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EF0F" w14:textId="77777777" w:rsidR="008E6C4D" w:rsidRDefault="008E6C4D" w:rsidP="00326952">
      <w:pPr>
        <w:spacing w:after="0"/>
        <w:jc w:val="both"/>
        <w:rPr>
          <w:b/>
          <w:bCs/>
        </w:rPr>
      </w:pPr>
    </w:p>
    <w:p w14:paraId="73BDFEB2" w14:textId="77777777" w:rsidR="002C4808" w:rsidRDefault="002C4808" w:rsidP="00326952">
      <w:pPr>
        <w:spacing w:after="0"/>
        <w:jc w:val="both"/>
        <w:rPr>
          <w:b/>
          <w:bCs/>
        </w:rPr>
      </w:pPr>
    </w:p>
    <w:p w14:paraId="2725F68E" w14:textId="10359C68" w:rsidR="00D866F1" w:rsidRDefault="003C3520" w:rsidP="00326952">
      <w:pPr>
        <w:spacing w:after="0"/>
        <w:jc w:val="both"/>
      </w:pPr>
      <w:r>
        <w:rPr>
          <w:b/>
          <w:bCs/>
        </w:rPr>
        <w:t>Objetivo</w:t>
      </w:r>
      <w:r w:rsidR="00F75A91" w:rsidRPr="00C47CFE">
        <w:t>:</w:t>
      </w:r>
      <w:r w:rsidRPr="00C47CFE">
        <w:t xml:space="preserve"> </w:t>
      </w:r>
    </w:p>
    <w:p w14:paraId="52C47B28" w14:textId="42D95886" w:rsidR="00C47CFE" w:rsidRDefault="00C47CFE" w:rsidP="00326952">
      <w:pPr>
        <w:spacing w:after="0"/>
        <w:jc w:val="both"/>
      </w:pPr>
      <w:r w:rsidRPr="00C47CFE">
        <w:t xml:space="preserve">Entrega de </w:t>
      </w:r>
      <w:r w:rsidR="00FD0283">
        <w:t>datos financieros</w:t>
      </w:r>
      <w:r w:rsidRPr="00C47CFE">
        <w:t xml:space="preserve"> en</w:t>
      </w:r>
      <w:r>
        <w:t xml:space="preserve"> </w:t>
      </w:r>
      <w:r w:rsidRPr="00C47CFE">
        <w:t>forma confiable y oportuna</w:t>
      </w:r>
      <w:r>
        <w:t xml:space="preserve"> que sea útil </w:t>
      </w:r>
      <w:r w:rsidR="00865CEE">
        <w:t xml:space="preserve">para </w:t>
      </w:r>
      <w:r w:rsidR="00865CEE" w:rsidRPr="00FD0283">
        <w:t>suministrar</w:t>
      </w:r>
      <w:r w:rsidR="00FD0283" w:rsidRPr="00FD0283">
        <w:t xml:space="preserve"> información acerca de la situación financiera, del rendimiento financiero y de los flujos de efectivo de</w:t>
      </w:r>
      <w:r w:rsidR="00D866F1">
        <w:t xml:space="preserve"> la empresa</w:t>
      </w:r>
      <w:r w:rsidR="00FD0283">
        <w:t>.</w:t>
      </w:r>
    </w:p>
    <w:p w14:paraId="6FD58C3D" w14:textId="77777777" w:rsidR="00865CEE" w:rsidRPr="00C47CFE" w:rsidRDefault="00865CEE" w:rsidP="00326952">
      <w:pPr>
        <w:spacing w:after="0"/>
        <w:jc w:val="both"/>
      </w:pPr>
    </w:p>
    <w:p w14:paraId="52DE40E7" w14:textId="77777777" w:rsidR="00D866F1" w:rsidRDefault="003C3520" w:rsidP="00326952">
      <w:pPr>
        <w:jc w:val="both"/>
        <w:rPr>
          <w:b/>
          <w:bCs/>
        </w:rPr>
      </w:pPr>
      <w:r w:rsidRPr="003C3520">
        <w:rPr>
          <w:b/>
          <w:bCs/>
        </w:rPr>
        <w:t>Alcance</w:t>
      </w:r>
      <w:r w:rsidR="00F75A91">
        <w:rPr>
          <w:b/>
          <w:bCs/>
        </w:rPr>
        <w:t xml:space="preserve">: </w:t>
      </w:r>
    </w:p>
    <w:p w14:paraId="20965D6D" w14:textId="4BDD52A6" w:rsidR="003C3520" w:rsidRPr="00865CEE" w:rsidRDefault="00865CEE" w:rsidP="00326952">
      <w:pPr>
        <w:jc w:val="both"/>
      </w:pPr>
      <w:r>
        <w:t>El proceso contable iniciara con la recepción</w:t>
      </w:r>
      <w:r w:rsidR="00D866F1">
        <w:t xml:space="preserve"> e identificación de</w:t>
      </w:r>
      <w:r>
        <w:t xml:space="preserve"> documentos d</w:t>
      </w:r>
      <w:r w:rsidR="00D866F1">
        <w:t>e</w:t>
      </w:r>
      <w:r>
        <w:t xml:space="preserve"> </w:t>
      </w:r>
      <w:r w:rsidR="00D866F1">
        <w:t>todas las</w:t>
      </w:r>
      <w:r>
        <w:t xml:space="preserve"> áreas que estén ligados al flujo de efectivo de la empresa y que impacten en la estructura financiera.</w:t>
      </w:r>
    </w:p>
    <w:p w14:paraId="62863372" w14:textId="7E0EDBB1" w:rsidR="00955757" w:rsidRDefault="00615216" w:rsidP="00326952">
      <w:pPr>
        <w:jc w:val="both"/>
      </w:pPr>
      <w:r w:rsidRPr="003C3520">
        <w:rPr>
          <w:b/>
          <w:bCs/>
        </w:rPr>
        <w:t>Políticas Generales</w:t>
      </w:r>
      <w:r w:rsidR="00F75A91">
        <w:rPr>
          <w:b/>
          <w:bCs/>
        </w:rPr>
        <w:t xml:space="preserve">: </w:t>
      </w:r>
      <w:r w:rsidRPr="003C3520">
        <w:rPr>
          <w:b/>
          <w:bCs/>
        </w:rPr>
        <w:t xml:space="preserve"> </w:t>
      </w:r>
    </w:p>
    <w:p w14:paraId="1B0F05FF" w14:textId="1EC0EAC4" w:rsidR="00D866F1" w:rsidRPr="00FC4EF7" w:rsidRDefault="00D866F1" w:rsidP="008E6C4D">
      <w:pPr>
        <w:pStyle w:val="Prrafodelista"/>
        <w:numPr>
          <w:ilvl w:val="0"/>
          <w:numId w:val="4"/>
        </w:numPr>
        <w:jc w:val="both"/>
      </w:pPr>
      <w:r w:rsidRPr="00FC4EF7">
        <w:t xml:space="preserve">Todo proceso contable y fiscal se </w:t>
      </w:r>
      <w:r w:rsidR="00326952" w:rsidRPr="00FC4EF7">
        <w:t>llevará</w:t>
      </w:r>
      <w:r w:rsidRPr="00FC4EF7">
        <w:t xml:space="preserve"> a cabo respetando el marco jurídico que la </w:t>
      </w:r>
      <w:r w:rsidR="00326952" w:rsidRPr="00E4330B">
        <w:t>Secretaría de Hacienda y Crédito Público, el Instituto Mexicano de Seguro Social y el Instituto del Fondo Nacional de la Vivienda para los Trabajadores señale</w:t>
      </w:r>
      <w:r w:rsidR="00326952" w:rsidRPr="00FC4EF7">
        <w:t>.</w:t>
      </w:r>
    </w:p>
    <w:p w14:paraId="0A744D7B" w14:textId="218F66B1" w:rsidR="008E6C4D" w:rsidRDefault="008E6C4D" w:rsidP="008E6C4D">
      <w:pPr>
        <w:pStyle w:val="Prrafodelista"/>
        <w:numPr>
          <w:ilvl w:val="0"/>
          <w:numId w:val="4"/>
        </w:numPr>
        <w:jc w:val="both"/>
      </w:pPr>
      <w:r>
        <w:t>Para la realización de los procesos contables es necesaria y obligatoria la documentación para evidencia y respaldo de las operaciones.</w:t>
      </w:r>
    </w:p>
    <w:p w14:paraId="509FD6EB" w14:textId="77777777" w:rsidR="00326952" w:rsidRDefault="00326952" w:rsidP="00326952">
      <w:pPr>
        <w:ind w:left="360"/>
        <w:jc w:val="both"/>
      </w:pPr>
    </w:p>
    <w:p w14:paraId="21B831E2" w14:textId="77777777" w:rsidR="00326952" w:rsidRPr="003C3520" w:rsidRDefault="00326952" w:rsidP="00D866F1">
      <w:pPr>
        <w:rPr>
          <w:b/>
          <w:bCs/>
        </w:rPr>
      </w:pPr>
    </w:p>
    <w:p w14:paraId="0A8F7ACA" w14:textId="3D663BCC" w:rsidR="003C3520" w:rsidRDefault="003C3520" w:rsidP="003C3520">
      <w:pPr>
        <w:spacing w:after="0"/>
        <w:jc w:val="both"/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746"/>
        <w:gridCol w:w="3592"/>
        <w:gridCol w:w="5436"/>
      </w:tblGrid>
      <w:tr w:rsidR="003C3520" w14:paraId="36F8BA6E" w14:textId="77777777" w:rsidTr="00DF44EC">
        <w:tc>
          <w:tcPr>
            <w:tcW w:w="1746" w:type="dxa"/>
          </w:tcPr>
          <w:p w14:paraId="4B69307A" w14:textId="4B909BC0" w:rsidR="003C3520" w:rsidRPr="00344ACA" w:rsidRDefault="003C3520" w:rsidP="00344ACA">
            <w:pPr>
              <w:jc w:val="center"/>
              <w:rPr>
                <w:b/>
                <w:bCs/>
              </w:rPr>
            </w:pPr>
            <w:r w:rsidRPr="00344ACA">
              <w:rPr>
                <w:b/>
                <w:bCs/>
              </w:rPr>
              <w:t>PROCESO</w:t>
            </w:r>
          </w:p>
        </w:tc>
        <w:tc>
          <w:tcPr>
            <w:tcW w:w="3592" w:type="dxa"/>
          </w:tcPr>
          <w:p w14:paraId="1D759CE0" w14:textId="595EBE60" w:rsidR="003C3520" w:rsidRPr="00344ACA" w:rsidRDefault="003C3520" w:rsidP="00344ACA">
            <w:pPr>
              <w:jc w:val="center"/>
              <w:rPr>
                <w:b/>
                <w:bCs/>
              </w:rPr>
            </w:pPr>
            <w:r w:rsidRPr="00344ACA">
              <w:rPr>
                <w:b/>
                <w:bCs/>
              </w:rPr>
              <w:t>ACTIVIDAD</w:t>
            </w:r>
          </w:p>
        </w:tc>
        <w:tc>
          <w:tcPr>
            <w:tcW w:w="5436" w:type="dxa"/>
          </w:tcPr>
          <w:p w14:paraId="44100E13" w14:textId="3E3AB4B0" w:rsidR="003C3520" w:rsidRPr="00344ACA" w:rsidRDefault="003C3520" w:rsidP="00344ACA">
            <w:pPr>
              <w:jc w:val="center"/>
              <w:rPr>
                <w:b/>
                <w:bCs/>
              </w:rPr>
            </w:pPr>
            <w:r w:rsidRPr="00344ACA">
              <w:rPr>
                <w:b/>
                <w:bCs/>
              </w:rPr>
              <w:t>DESARROLLO</w:t>
            </w:r>
          </w:p>
        </w:tc>
      </w:tr>
      <w:tr w:rsidR="000A4FCC" w14:paraId="6EF9B413" w14:textId="77777777" w:rsidTr="00DF44EC">
        <w:tc>
          <w:tcPr>
            <w:tcW w:w="1746" w:type="dxa"/>
            <w:vMerge w:val="restart"/>
            <w:vAlign w:val="center"/>
          </w:tcPr>
          <w:p w14:paraId="7F14EB65" w14:textId="16C6C47F" w:rsidR="000A4FCC" w:rsidRDefault="00245AE1" w:rsidP="00B14571">
            <w:pPr>
              <w:pStyle w:val="Prrafodelista"/>
              <w:numPr>
                <w:ilvl w:val="0"/>
                <w:numId w:val="1"/>
              </w:numPr>
            </w:pPr>
            <w:r>
              <w:t>Facturación electrónica</w:t>
            </w:r>
          </w:p>
        </w:tc>
        <w:tc>
          <w:tcPr>
            <w:tcW w:w="3592" w:type="dxa"/>
            <w:vAlign w:val="center"/>
          </w:tcPr>
          <w:p w14:paraId="60976EEF" w14:textId="689037B2" w:rsidR="000A4FCC" w:rsidRDefault="000A4FCC" w:rsidP="003C3520">
            <w:pPr>
              <w:jc w:val="both"/>
            </w:pPr>
            <w:r>
              <w:t xml:space="preserve">1.1 </w:t>
            </w:r>
            <w:r w:rsidR="00245AE1">
              <w:t>Solicitud de información para factura.</w:t>
            </w:r>
          </w:p>
        </w:tc>
        <w:tc>
          <w:tcPr>
            <w:tcW w:w="5436" w:type="dxa"/>
          </w:tcPr>
          <w:p w14:paraId="2C87C0BC" w14:textId="6CB33602" w:rsidR="000A4FCC" w:rsidRDefault="00245AE1" w:rsidP="003C3520">
            <w:pPr>
              <w:jc w:val="both"/>
            </w:pPr>
            <w:r>
              <w:t>Cada vez que se requiera Factura por la compra de algún producto y/o servicio, el vendedor o la parte involucrada solicitara al cliente su constancia de Situación Fiscal, correo electrónico y uso de CFDI.</w:t>
            </w:r>
          </w:p>
        </w:tc>
      </w:tr>
      <w:tr w:rsidR="000A4FCC" w14:paraId="5550B7E5" w14:textId="77777777" w:rsidTr="00DF44EC">
        <w:tc>
          <w:tcPr>
            <w:tcW w:w="1746" w:type="dxa"/>
            <w:vMerge/>
          </w:tcPr>
          <w:p w14:paraId="561103CC" w14:textId="77777777" w:rsidR="000A4FCC" w:rsidRDefault="000A4FCC" w:rsidP="00944907">
            <w:pPr>
              <w:pStyle w:val="Prrafodelista"/>
              <w:jc w:val="both"/>
            </w:pPr>
          </w:p>
        </w:tc>
        <w:tc>
          <w:tcPr>
            <w:tcW w:w="3592" w:type="dxa"/>
            <w:vAlign w:val="center"/>
          </w:tcPr>
          <w:p w14:paraId="65CB79E1" w14:textId="32AED4AD" w:rsidR="000A4FCC" w:rsidRDefault="000A4FCC" w:rsidP="003C3520">
            <w:pPr>
              <w:jc w:val="both"/>
            </w:pPr>
            <w:r>
              <w:t xml:space="preserve">1.2 </w:t>
            </w:r>
            <w:r w:rsidR="00245AE1">
              <w:t>Envío de solicitud mediante correo electrónico.</w:t>
            </w:r>
          </w:p>
        </w:tc>
        <w:tc>
          <w:tcPr>
            <w:tcW w:w="5436" w:type="dxa"/>
          </w:tcPr>
          <w:p w14:paraId="4A0FA599" w14:textId="3B5822BD" w:rsidR="000A4FCC" w:rsidRDefault="00245AE1" w:rsidP="003C3520">
            <w:pPr>
              <w:jc w:val="both"/>
            </w:pPr>
            <w:r>
              <w:t>Una vez recopilada la información correcta</w:t>
            </w:r>
            <w:r w:rsidR="00FC4EF7">
              <w:t xml:space="preserve"> del cliente y tener la nota de remisión o cotización </w:t>
            </w:r>
            <w:r>
              <w:t>es necesari</w:t>
            </w:r>
            <w:r w:rsidR="00FC4EF7">
              <w:t>o</w:t>
            </w:r>
            <w:r>
              <w:t xml:space="preserve"> enviar</w:t>
            </w:r>
            <w:r w:rsidR="00FC4EF7">
              <w:t xml:space="preserve">los </w:t>
            </w:r>
            <w:r>
              <w:t>al correo Facturacion@cosbiome.mx</w:t>
            </w:r>
          </w:p>
        </w:tc>
      </w:tr>
      <w:tr w:rsidR="000A4FCC" w:rsidRPr="00574CDB" w14:paraId="2D3C6CEB" w14:textId="77777777" w:rsidTr="00DF44EC">
        <w:trPr>
          <w:trHeight w:val="1236"/>
        </w:trPr>
        <w:tc>
          <w:tcPr>
            <w:tcW w:w="1746" w:type="dxa"/>
            <w:vMerge/>
            <w:vAlign w:val="center"/>
          </w:tcPr>
          <w:p w14:paraId="3D6177E6" w14:textId="77777777" w:rsidR="000A4FCC" w:rsidRPr="00574CDB" w:rsidRDefault="000A4FCC" w:rsidP="00944907">
            <w:pPr>
              <w:pStyle w:val="Prrafodelista"/>
              <w:jc w:val="both"/>
              <w:rPr>
                <w:color w:val="FF0000"/>
              </w:rPr>
            </w:pPr>
          </w:p>
        </w:tc>
        <w:tc>
          <w:tcPr>
            <w:tcW w:w="3592" w:type="dxa"/>
            <w:vAlign w:val="center"/>
          </w:tcPr>
          <w:p w14:paraId="5F4198E8" w14:textId="1F18D7ED" w:rsidR="000A4FCC" w:rsidRPr="004F73A5" w:rsidRDefault="000A4FCC" w:rsidP="003C3520">
            <w:pPr>
              <w:jc w:val="both"/>
            </w:pPr>
            <w:r w:rsidRPr="004F73A5">
              <w:t>1.3</w:t>
            </w:r>
            <w:r w:rsidR="004F73A5" w:rsidRPr="004F73A5">
              <w:t xml:space="preserve"> </w:t>
            </w:r>
            <w:r w:rsidR="00245AE1" w:rsidRPr="004F73A5">
              <w:t>Elaboración y envío de factura.</w:t>
            </w:r>
          </w:p>
        </w:tc>
        <w:tc>
          <w:tcPr>
            <w:tcW w:w="5436" w:type="dxa"/>
          </w:tcPr>
          <w:p w14:paraId="76207A8F" w14:textId="72FC4886" w:rsidR="000A4FCC" w:rsidRPr="004F73A5" w:rsidRDefault="004F73A5" w:rsidP="003C3520">
            <w:pPr>
              <w:jc w:val="both"/>
            </w:pPr>
            <w:r w:rsidRPr="004F73A5">
              <w:t>Se elabora y se timbra CFDI enviándolo al correo del cliente.</w:t>
            </w:r>
          </w:p>
          <w:p w14:paraId="7293DAC3" w14:textId="54D0390D" w:rsidR="004F73A5" w:rsidRPr="004F73A5" w:rsidRDefault="002D30DB" w:rsidP="003C3520">
            <w:pPr>
              <w:jc w:val="both"/>
            </w:pPr>
            <w:r w:rsidRPr="004F73A5">
              <w:t>En caso de que</w:t>
            </w:r>
            <w:r w:rsidR="004F73A5" w:rsidRPr="004F73A5">
              <w:t xml:space="preserve"> </w:t>
            </w:r>
            <w:r w:rsidR="004F73A5">
              <w:t xml:space="preserve">algún dato </w:t>
            </w:r>
            <w:r>
              <w:t xml:space="preserve">fiscal </w:t>
            </w:r>
            <w:r w:rsidR="004F73A5">
              <w:t xml:space="preserve">este erróneo </w:t>
            </w:r>
            <w:r>
              <w:t>e impida el timbrado del CFDI se solicitara de nuevo la información del punto 1.1.</w:t>
            </w:r>
          </w:p>
        </w:tc>
      </w:tr>
      <w:tr w:rsidR="000A4FCC" w:rsidRPr="00574CDB" w14:paraId="3D9A253F" w14:textId="77777777" w:rsidTr="00DF44EC">
        <w:tc>
          <w:tcPr>
            <w:tcW w:w="1746" w:type="dxa"/>
            <w:vMerge/>
            <w:vAlign w:val="center"/>
          </w:tcPr>
          <w:p w14:paraId="4CCCB446" w14:textId="77777777" w:rsidR="000A4FCC" w:rsidRPr="00574CDB" w:rsidRDefault="000A4FCC" w:rsidP="00944907">
            <w:pPr>
              <w:pStyle w:val="Prrafodelista"/>
              <w:jc w:val="both"/>
              <w:rPr>
                <w:color w:val="FF0000"/>
              </w:rPr>
            </w:pPr>
          </w:p>
        </w:tc>
        <w:tc>
          <w:tcPr>
            <w:tcW w:w="3592" w:type="dxa"/>
            <w:vAlign w:val="center"/>
          </w:tcPr>
          <w:p w14:paraId="642CCCF3" w14:textId="51AACC82" w:rsidR="000A4FCC" w:rsidRPr="00490A62" w:rsidRDefault="000A4FCC" w:rsidP="003C3520">
            <w:pPr>
              <w:jc w:val="both"/>
            </w:pPr>
            <w:r>
              <w:t xml:space="preserve">1.4 </w:t>
            </w:r>
            <w:r w:rsidR="002D30DB">
              <w:t xml:space="preserve">Seguimiento a </w:t>
            </w:r>
            <w:r w:rsidR="00B33C8A">
              <w:t>pago.</w:t>
            </w:r>
          </w:p>
        </w:tc>
        <w:tc>
          <w:tcPr>
            <w:tcW w:w="5436" w:type="dxa"/>
          </w:tcPr>
          <w:p w14:paraId="5711181A" w14:textId="77777777" w:rsidR="000A4FCC" w:rsidRDefault="002D30DB" w:rsidP="003C3520">
            <w:pPr>
              <w:jc w:val="both"/>
            </w:pPr>
            <w:r>
              <w:t>Una vez que se confirme el pago de la factura se guarda la factura con evidencia de pago.</w:t>
            </w:r>
          </w:p>
          <w:p w14:paraId="25BF7938" w14:textId="21EE892C" w:rsidR="004D4393" w:rsidRPr="00490A62" w:rsidRDefault="004D4393" w:rsidP="003C3520">
            <w:pPr>
              <w:jc w:val="both"/>
            </w:pPr>
          </w:p>
        </w:tc>
      </w:tr>
      <w:tr w:rsidR="00B757F7" w14:paraId="07B5B01C" w14:textId="77777777" w:rsidTr="00DF44EC">
        <w:tc>
          <w:tcPr>
            <w:tcW w:w="1746" w:type="dxa"/>
            <w:vMerge w:val="restart"/>
            <w:vAlign w:val="center"/>
          </w:tcPr>
          <w:p w14:paraId="7C7E3D8D" w14:textId="20F9C3E7" w:rsidR="00B757F7" w:rsidRDefault="006E47A2" w:rsidP="00B16B7B">
            <w:pPr>
              <w:jc w:val="both"/>
            </w:pPr>
            <w:r>
              <w:t>2.C</w:t>
            </w:r>
            <w:r w:rsidR="00B33C8A">
              <w:t>ontabilización</w:t>
            </w:r>
            <w:r>
              <w:t xml:space="preserve"> sistema</w:t>
            </w:r>
          </w:p>
        </w:tc>
        <w:tc>
          <w:tcPr>
            <w:tcW w:w="3592" w:type="dxa"/>
            <w:vAlign w:val="center"/>
          </w:tcPr>
          <w:p w14:paraId="120C45C8" w14:textId="7E1BF6AA" w:rsidR="00B757F7" w:rsidRDefault="00B757F7" w:rsidP="00B16B7B">
            <w:pPr>
              <w:jc w:val="both"/>
            </w:pPr>
            <w:r>
              <w:t xml:space="preserve">2.1 </w:t>
            </w:r>
            <w:r w:rsidR="002D30DB" w:rsidRPr="002D30DB">
              <w:t>Recopilación de datos</w:t>
            </w:r>
            <w:r w:rsidR="002D30DB">
              <w:t>.</w:t>
            </w:r>
          </w:p>
        </w:tc>
        <w:tc>
          <w:tcPr>
            <w:tcW w:w="5436" w:type="dxa"/>
          </w:tcPr>
          <w:p w14:paraId="1FED7905" w14:textId="77777777" w:rsidR="00B16B7B" w:rsidRDefault="00B16B7B" w:rsidP="00B16B7B">
            <w:r>
              <w:t>Consiste en la reunión de documentos fiscales y/o financieros que permitan sustentar las operaciones mercantiles de la empresa.</w:t>
            </w:r>
          </w:p>
          <w:p w14:paraId="7BDDD15C" w14:textId="3BD4E62C" w:rsidR="00B757F7" w:rsidRDefault="00B757F7" w:rsidP="003C3520">
            <w:pPr>
              <w:jc w:val="both"/>
            </w:pPr>
          </w:p>
        </w:tc>
      </w:tr>
      <w:tr w:rsidR="00B757F7" w14:paraId="6B7F964B" w14:textId="77777777" w:rsidTr="00DF44EC">
        <w:tc>
          <w:tcPr>
            <w:tcW w:w="1746" w:type="dxa"/>
            <w:vMerge/>
            <w:vAlign w:val="center"/>
          </w:tcPr>
          <w:p w14:paraId="6031D50C" w14:textId="34F66378" w:rsidR="00B757F7" w:rsidRDefault="00B757F7" w:rsidP="00B16B7B">
            <w:pPr>
              <w:jc w:val="both"/>
            </w:pPr>
          </w:p>
        </w:tc>
        <w:tc>
          <w:tcPr>
            <w:tcW w:w="3592" w:type="dxa"/>
            <w:vAlign w:val="center"/>
          </w:tcPr>
          <w:p w14:paraId="72C71402" w14:textId="69F43F4D" w:rsidR="00B757F7" w:rsidRDefault="00B757F7" w:rsidP="00B16B7B">
            <w:pPr>
              <w:jc w:val="both"/>
            </w:pPr>
            <w:r>
              <w:t>2.2</w:t>
            </w:r>
            <w:r w:rsidR="00B16B7B">
              <w:t xml:space="preserve"> </w:t>
            </w:r>
            <w:r w:rsidR="00B16B7B" w:rsidRPr="00B16B7B">
              <w:t>Análisis y registro de operaciones</w:t>
            </w:r>
          </w:p>
        </w:tc>
        <w:tc>
          <w:tcPr>
            <w:tcW w:w="5436" w:type="dxa"/>
          </w:tcPr>
          <w:p w14:paraId="01422DBE" w14:textId="77777777" w:rsidR="00B16B7B" w:rsidRDefault="00B16B7B" w:rsidP="00B16B7B">
            <w:r w:rsidRPr="00E20E41">
              <w:t>Una vez recopilada la información se procede al análisis</w:t>
            </w:r>
            <w:r>
              <w:t xml:space="preserve">, clasificación y registro </w:t>
            </w:r>
            <w:r w:rsidRPr="00E20E41">
              <w:t>de cada una de las operacion</w:t>
            </w:r>
            <w:r>
              <w:t>es en el sistema contable.</w:t>
            </w:r>
          </w:p>
          <w:p w14:paraId="5A578B15" w14:textId="3B99403D" w:rsidR="00B757F7" w:rsidRDefault="00B757F7" w:rsidP="00344ACA">
            <w:pPr>
              <w:jc w:val="both"/>
            </w:pPr>
          </w:p>
        </w:tc>
      </w:tr>
      <w:tr w:rsidR="00B757F7" w14:paraId="66751DAD" w14:textId="77777777" w:rsidTr="00DF44EC">
        <w:trPr>
          <w:trHeight w:val="99"/>
        </w:trPr>
        <w:tc>
          <w:tcPr>
            <w:tcW w:w="1746" w:type="dxa"/>
            <w:vMerge/>
            <w:vAlign w:val="center"/>
          </w:tcPr>
          <w:p w14:paraId="72FA5590" w14:textId="77777777" w:rsidR="00B757F7" w:rsidRDefault="00B757F7" w:rsidP="00B16B7B">
            <w:pPr>
              <w:jc w:val="both"/>
            </w:pPr>
          </w:p>
        </w:tc>
        <w:tc>
          <w:tcPr>
            <w:tcW w:w="3592" w:type="dxa"/>
            <w:vAlign w:val="center"/>
          </w:tcPr>
          <w:p w14:paraId="08B17957" w14:textId="28DD447E" w:rsidR="00B757F7" w:rsidRDefault="00B16B7B" w:rsidP="00B16B7B">
            <w:pPr>
              <w:jc w:val="both"/>
            </w:pPr>
            <w:r w:rsidRPr="00B16B7B">
              <w:t>2.3</w:t>
            </w:r>
            <w:r w:rsidR="006E47A2">
              <w:t xml:space="preserve"> </w:t>
            </w:r>
            <w:r w:rsidRPr="00B16B7B">
              <w:t>Ajustes y cierre</w:t>
            </w:r>
            <w:r w:rsidR="00B757F7">
              <w:t xml:space="preserve"> </w:t>
            </w:r>
          </w:p>
        </w:tc>
        <w:tc>
          <w:tcPr>
            <w:tcW w:w="5436" w:type="dxa"/>
          </w:tcPr>
          <w:p w14:paraId="6BF8E200" w14:textId="2637EA5C" w:rsidR="00B16B7B" w:rsidRDefault="00B16B7B" w:rsidP="00B16B7B">
            <w:r>
              <w:t>Se realiza la comprobación de los datos contables con el fin de que la información plasmada dentro del sistem</w:t>
            </w:r>
            <w:r w:rsidRPr="00194E60">
              <w:t xml:space="preserve">a </w:t>
            </w:r>
            <w:r>
              <w:t xml:space="preserve">contable </w:t>
            </w:r>
            <w:r w:rsidRPr="00194E60">
              <w:t>cuadre</w:t>
            </w:r>
            <w:r>
              <w:t>.</w:t>
            </w:r>
          </w:p>
          <w:p w14:paraId="4602FA22" w14:textId="77777777" w:rsidR="00B16B7B" w:rsidRDefault="00B16B7B" w:rsidP="00B16B7B">
            <w:r>
              <w:t>Una vez realizada la comprobación, se elaborarán los papeles de trabajo para la determinación y presentación de impuestos estatales y federales.</w:t>
            </w:r>
          </w:p>
          <w:p w14:paraId="1B88B42F" w14:textId="2E96D868" w:rsidR="00B757F7" w:rsidRDefault="00B757F7" w:rsidP="00344ACA">
            <w:pPr>
              <w:jc w:val="both"/>
            </w:pPr>
          </w:p>
        </w:tc>
      </w:tr>
      <w:tr w:rsidR="00DF44EC" w14:paraId="36185E02" w14:textId="77777777" w:rsidTr="00DF44EC">
        <w:tc>
          <w:tcPr>
            <w:tcW w:w="1746" w:type="dxa"/>
            <w:vMerge w:val="restart"/>
            <w:vAlign w:val="center"/>
          </w:tcPr>
          <w:p w14:paraId="18B5AA25" w14:textId="32843185" w:rsidR="00DF44EC" w:rsidRDefault="00DF44EC" w:rsidP="00F359CF">
            <w:pPr>
              <w:jc w:val="both"/>
            </w:pPr>
            <w:r>
              <w:t xml:space="preserve">3. </w:t>
            </w:r>
            <w:r w:rsidRPr="00F359CF">
              <w:t>Cálculo de nómina de los empleados</w:t>
            </w:r>
          </w:p>
        </w:tc>
        <w:tc>
          <w:tcPr>
            <w:tcW w:w="3592" w:type="dxa"/>
            <w:vAlign w:val="center"/>
          </w:tcPr>
          <w:p w14:paraId="0C4CFA54" w14:textId="26A890BD" w:rsidR="00DF44EC" w:rsidRDefault="00DF44EC" w:rsidP="003C3520">
            <w:pPr>
              <w:jc w:val="both"/>
            </w:pPr>
            <w:r>
              <w:t xml:space="preserve">3.1 Datos del empleado. </w:t>
            </w:r>
          </w:p>
        </w:tc>
        <w:tc>
          <w:tcPr>
            <w:tcW w:w="5436" w:type="dxa"/>
          </w:tcPr>
          <w:p w14:paraId="309B2804" w14:textId="77777777" w:rsidR="00DF44EC" w:rsidRDefault="00DF44EC" w:rsidP="00DF44EC">
            <w:pPr>
              <w:jc w:val="both"/>
            </w:pPr>
            <w:r>
              <w:t>Revisa la información del empleado y verifica que se</w:t>
            </w:r>
          </w:p>
          <w:p w14:paraId="4B5ADD05" w14:textId="77777777" w:rsidR="00DF44EC" w:rsidRDefault="00DF44EC" w:rsidP="00DF44EC">
            <w:pPr>
              <w:jc w:val="both"/>
            </w:pPr>
            <w:r>
              <w:t>cuente con la información mínima necesaria para el</w:t>
            </w:r>
          </w:p>
          <w:p w14:paraId="002C146E" w14:textId="4C4EA1A9" w:rsidR="00DF44EC" w:rsidRDefault="00DF44EC" w:rsidP="00DF44EC">
            <w:pPr>
              <w:jc w:val="both"/>
            </w:pPr>
            <w:r>
              <w:t>registro de nóminas según lo establecido por el SAT.</w:t>
            </w:r>
          </w:p>
        </w:tc>
      </w:tr>
      <w:tr w:rsidR="00DF44EC" w14:paraId="13DB6CC3" w14:textId="77777777" w:rsidTr="00DF44EC">
        <w:trPr>
          <w:trHeight w:val="696"/>
        </w:trPr>
        <w:tc>
          <w:tcPr>
            <w:tcW w:w="1746" w:type="dxa"/>
            <w:vMerge/>
            <w:vAlign w:val="center"/>
          </w:tcPr>
          <w:p w14:paraId="5FDB4659" w14:textId="6A25150D" w:rsidR="00DF44EC" w:rsidRDefault="00DF44EC" w:rsidP="00EC0802">
            <w:pPr>
              <w:pStyle w:val="Prrafodelista"/>
              <w:jc w:val="both"/>
            </w:pPr>
          </w:p>
        </w:tc>
        <w:tc>
          <w:tcPr>
            <w:tcW w:w="3592" w:type="dxa"/>
            <w:vAlign w:val="center"/>
          </w:tcPr>
          <w:p w14:paraId="3B9E2EA3" w14:textId="470B9FF4" w:rsidR="00DF44EC" w:rsidRDefault="00DF44EC" w:rsidP="003C3520">
            <w:pPr>
              <w:jc w:val="both"/>
            </w:pPr>
            <w:r>
              <w:t>3.2 Incidencias</w:t>
            </w:r>
          </w:p>
          <w:p w14:paraId="7A26A177" w14:textId="0375071A" w:rsidR="00DF44EC" w:rsidRDefault="00DF44EC" w:rsidP="003C3520">
            <w:pPr>
              <w:jc w:val="both"/>
            </w:pPr>
          </w:p>
        </w:tc>
        <w:tc>
          <w:tcPr>
            <w:tcW w:w="5436" w:type="dxa"/>
          </w:tcPr>
          <w:p w14:paraId="36130FD9" w14:textId="77777777" w:rsidR="00DF44EC" w:rsidRDefault="00DF44EC" w:rsidP="00DF44EC">
            <w:pPr>
              <w:jc w:val="both"/>
            </w:pPr>
            <w:r>
              <w:t>Realiza el cálculo de las percepciones y deducciones</w:t>
            </w:r>
          </w:p>
          <w:p w14:paraId="370D49F7" w14:textId="1453D678" w:rsidR="00DF44EC" w:rsidRPr="00661D85" w:rsidRDefault="00DF44EC" w:rsidP="00DF44EC">
            <w:pPr>
              <w:jc w:val="both"/>
            </w:pPr>
            <w:r>
              <w:t>que integrarán la nómina de cada empleado</w:t>
            </w:r>
          </w:p>
        </w:tc>
      </w:tr>
      <w:tr w:rsidR="00DF44EC" w14:paraId="6BCAF013" w14:textId="77777777" w:rsidTr="00DF44EC">
        <w:tc>
          <w:tcPr>
            <w:tcW w:w="1746" w:type="dxa"/>
            <w:vMerge/>
            <w:vAlign w:val="center"/>
          </w:tcPr>
          <w:p w14:paraId="63E83B1F" w14:textId="1D338076" w:rsidR="00DF44EC" w:rsidRDefault="00DF44EC" w:rsidP="00DF44EC">
            <w:pPr>
              <w:pStyle w:val="Prrafodelista"/>
              <w:ind w:left="360"/>
              <w:jc w:val="both"/>
            </w:pPr>
          </w:p>
        </w:tc>
        <w:tc>
          <w:tcPr>
            <w:tcW w:w="3592" w:type="dxa"/>
            <w:vAlign w:val="center"/>
          </w:tcPr>
          <w:p w14:paraId="5F30FCA3" w14:textId="5531CF4B" w:rsidR="00DF44EC" w:rsidRDefault="00DF44EC" w:rsidP="003C3520">
            <w:pPr>
              <w:jc w:val="both"/>
            </w:pPr>
            <w:r>
              <w:t>3.3 Generación de nómina.</w:t>
            </w:r>
          </w:p>
        </w:tc>
        <w:tc>
          <w:tcPr>
            <w:tcW w:w="5436" w:type="dxa"/>
          </w:tcPr>
          <w:p w14:paraId="7558D406" w14:textId="17711D8D" w:rsidR="00DF44EC" w:rsidRDefault="00DF44EC" w:rsidP="00DF44EC">
            <w:pPr>
              <w:jc w:val="both"/>
            </w:pPr>
            <w:r>
              <w:t>Una vez revisado el cálculo, se obtiene los CFDI timbrados y genera su representación impresa en formato PDF</w:t>
            </w:r>
          </w:p>
        </w:tc>
      </w:tr>
      <w:tr w:rsidR="00DF44EC" w14:paraId="5BDDC0D7" w14:textId="77777777" w:rsidTr="00DF44EC">
        <w:tc>
          <w:tcPr>
            <w:tcW w:w="1746" w:type="dxa"/>
            <w:vMerge/>
            <w:vAlign w:val="center"/>
          </w:tcPr>
          <w:p w14:paraId="6368F985" w14:textId="285A7C14" w:rsidR="00DF44EC" w:rsidRDefault="00DF44EC" w:rsidP="00684078">
            <w:pPr>
              <w:jc w:val="both"/>
            </w:pPr>
          </w:p>
        </w:tc>
        <w:tc>
          <w:tcPr>
            <w:tcW w:w="3592" w:type="dxa"/>
            <w:vAlign w:val="center"/>
          </w:tcPr>
          <w:p w14:paraId="4D393D74" w14:textId="3636D595" w:rsidR="00DF44EC" w:rsidRDefault="00DF44EC" w:rsidP="003C3520">
            <w:pPr>
              <w:jc w:val="both"/>
            </w:pPr>
            <w:r>
              <w:t>3.4 Pago y firma de nomina</w:t>
            </w:r>
          </w:p>
        </w:tc>
        <w:tc>
          <w:tcPr>
            <w:tcW w:w="5436" w:type="dxa"/>
          </w:tcPr>
          <w:p w14:paraId="27F778B0" w14:textId="3ABDE45D" w:rsidR="00DF44EC" w:rsidRDefault="00DF44EC" w:rsidP="003C3520">
            <w:pPr>
              <w:jc w:val="both"/>
            </w:pPr>
            <w:r>
              <w:t xml:space="preserve">Se </w:t>
            </w:r>
            <w:r w:rsidR="004D4393">
              <w:t>enviará</w:t>
            </w:r>
            <w:r>
              <w:t xml:space="preserve"> al departamento de </w:t>
            </w:r>
            <w:r w:rsidR="004D4393">
              <w:t>pagos para</w:t>
            </w:r>
            <w:r>
              <w:t xml:space="preserve"> que proceda </w:t>
            </w:r>
            <w:r w:rsidR="004D4393">
              <w:t xml:space="preserve">a pagar  </w:t>
            </w:r>
            <w:r>
              <w:t xml:space="preserve"> cada uno de los CFDIs </w:t>
            </w:r>
            <w:r w:rsidR="004D4393">
              <w:t>obteniendo la firma de los trabajadores como respaldo.</w:t>
            </w:r>
          </w:p>
        </w:tc>
      </w:tr>
    </w:tbl>
    <w:p w14:paraId="79BAA41B" w14:textId="77777777" w:rsidR="004D4393" w:rsidRDefault="004D4393"/>
    <w:p w14:paraId="5862DF87" w14:textId="77777777" w:rsidR="004D4393" w:rsidRDefault="004D4393"/>
    <w:p w14:paraId="65B131DF" w14:textId="19A5458C" w:rsidR="003C3520" w:rsidRDefault="00E50672">
      <w:pPr>
        <w:rPr>
          <w:b/>
          <w:bCs/>
        </w:rPr>
      </w:pPr>
      <w:r w:rsidRPr="004D4393">
        <w:rPr>
          <w:b/>
          <w:bCs/>
        </w:rPr>
        <w:t xml:space="preserve">ANEXOS/DOCUMENTOS </w:t>
      </w:r>
    </w:p>
    <w:p w14:paraId="7469BC8F" w14:textId="1773BCB4" w:rsidR="004D4393" w:rsidRDefault="004D4393">
      <w:pPr>
        <w:rPr>
          <w:b/>
          <w:bCs/>
        </w:rPr>
      </w:pPr>
    </w:p>
    <w:p w14:paraId="4E1AF784" w14:textId="77777777" w:rsidR="004D4393" w:rsidRPr="004D4393" w:rsidRDefault="004D4393">
      <w:pPr>
        <w:rPr>
          <w:b/>
          <w:bCs/>
        </w:rPr>
      </w:pPr>
    </w:p>
    <w:p w14:paraId="25D93A7B" w14:textId="77777777" w:rsidR="004D4393" w:rsidRPr="009463C4" w:rsidRDefault="004D4393">
      <w:pPr>
        <w:rPr>
          <w:i/>
          <w:iCs/>
          <w:color w:val="0070C0"/>
        </w:rPr>
      </w:pPr>
    </w:p>
    <w:tbl>
      <w:tblPr>
        <w:tblW w:w="10560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3119"/>
        <w:gridCol w:w="3969"/>
        <w:gridCol w:w="1902"/>
      </w:tblGrid>
      <w:tr w:rsidR="00E50672" w:rsidRPr="00E50672" w14:paraId="09F900AB" w14:textId="77777777" w:rsidTr="00E50672">
        <w:trPr>
          <w:trHeight w:val="323"/>
        </w:trPr>
        <w:tc>
          <w:tcPr>
            <w:tcW w:w="10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13CDE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E5067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Control de Emisión</w:t>
            </w:r>
          </w:p>
        </w:tc>
      </w:tr>
      <w:tr w:rsidR="00E50672" w:rsidRPr="00E50672" w14:paraId="3934331C" w14:textId="77777777" w:rsidTr="00E50672">
        <w:trPr>
          <w:trHeight w:val="310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B68CE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061A7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F340F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D0EF8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</w:tr>
      <w:tr w:rsidR="00E50672" w:rsidRPr="00E50672" w14:paraId="6B4D4BD4" w14:textId="77777777" w:rsidTr="00E50672">
        <w:trPr>
          <w:trHeight w:val="323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98C0B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Elaboró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E57C9" w14:textId="685DDFC7" w:rsidR="00E50672" w:rsidRPr="0006215E" w:rsidRDefault="0006215E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Contador General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AB967" w14:textId="506656B0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74FCE" w14:textId="7E9399CE" w:rsidR="00E50672" w:rsidRPr="00E50672" w:rsidRDefault="0006215E" w:rsidP="00803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24/11/2</w:t>
            </w:r>
            <w:r w:rsidR="00E4330B">
              <w:rPr>
                <w:rFonts w:ascii="Calibri" w:eastAsia="Times New Roman" w:hAnsi="Calibri" w:cs="Calibri"/>
                <w:color w:val="000000"/>
                <w:lang w:eastAsia="es-MX"/>
              </w:rPr>
              <w:t>022</w:t>
            </w:r>
          </w:p>
        </w:tc>
      </w:tr>
      <w:tr w:rsidR="00E50672" w:rsidRPr="00E50672" w14:paraId="7D38ED20" w14:textId="77777777" w:rsidTr="00E50672">
        <w:trPr>
          <w:trHeight w:val="323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2F47C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Revisó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A053F" w14:textId="0A9B0AE0" w:rsidR="00E50672" w:rsidRPr="0006215E" w:rsidRDefault="00E4330B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Auditor de Calidad</w:t>
            </w:r>
            <w:r w:rsidR="00E50672" w:rsidRPr="0006215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837AC" w14:textId="236449D3" w:rsidR="00E50672" w:rsidRPr="00E50672" w:rsidRDefault="00E4330B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Noé de J. Cervantes Juárez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CB001" w14:textId="788AD70F" w:rsidR="00E50672" w:rsidRPr="00E50672" w:rsidRDefault="00E4330B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25/11/2022</w:t>
            </w:r>
            <w:r w:rsidR="00E50672" w:rsidRPr="00E5067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50672" w:rsidRPr="00E50672" w14:paraId="7DBC1E2E" w14:textId="77777777" w:rsidTr="00E50672">
        <w:trPr>
          <w:trHeight w:val="323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DF1DE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Autorizó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49443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8942D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940EA" w14:textId="77777777" w:rsidR="00E50672" w:rsidRPr="00E50672" w:rsidRDefault="00E50672" w:rsidP="00E50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067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02F276AE" w14:textId="77777777" w:rsidR="00E50672" w:rsidRDefault="00E50672"/>
    <w:sectPr w:rsidR="00E5067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F3826" w14:textId="77777777" w:rsidR="006D66A6" w:rsidRDefault="006D66A6" w:rsidP="000D154E">
      <w:pPr>
        <w:spacing w:after="0" w:line="240" w:lineRule="auto"/>
      </w:pPr>
      <w:r>
        <w:separator/>
      </w:r>
    </w:p>
  </w:endnote>
  <w:endnote w:type="continuationSeparator" w:id="0">
    <w:p w14:paraId="50F04E24" w14:textId="77777777" w:rsidR="006D66A6" w:rsidRDefault="006D66A6" w:rsidP="000D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2FC3D" w14:textId="77777777" w:rsidR="006D66A6" w:rsidRDefault="006D66A6" w:rsidP="000D154E">
      <w:pPr>
        <w:spacing w:after="0" w:line="240" w:lineRule="auto"/>
      </w:pPr>
      <w:r>
        <w:separator/>
      </w:r>
    </w:p>
  </w:footnote>
  <w:footnote w:type="continuationSeparator" w:id="0">
    <w:p w14:paraId="52976CF2" w14:textId="77777777" w:rsidR="006D66A6" w:rsidRDefault="006D66A6" w:rsidP="000D1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horzAnchor="margin" w:tblpXSpec="center" w:tblpY="-1008"/>
      <w:tblW w:w="10768" w:type="dxa"/>
      <w:tblLook w:val="04A0" w:firstRow="1" w:lastRow="0" w:firstColumn="1" w:lastColumn="0" w:noHBand="0" w:noVBand="1"/>
    </w:tblPr>
    <w:tblGrid>
      <w:gridCol w:w="2531"/>
      <w:gridCol w:w="5402"/>
      <w:gridCol w:w="1134"/>
      <w:gridCol w:w="1701"/>
    </w:tblGrid>
    <w:tr w:rsidR="000D154E" w14:paraId="2DFBB13D" w14:textId="77777777" w:rsidTr="008D3831">
      <w:trPr>
        <w:trHeight w:val="367"/>
      </w:trPr>
      <w:tc>
        <w:tcPr>
          <w:tcW w:w="2531" w:type="dxa"/>
          <w:vMerge w:val="restart"/>
        </w:tcPr>
        <w:p w14:paraId="093AD222" w14:textId="77777777" w:rsidR="000D154E" w:rsidRDefault="000D154E" w:rsidP="000D154E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BA24F99" wp14:editId="28AF468E">
                <wp:simplePos x="0" y="0"/>
                <wp:positionH relativeFrom="column">
                  <wp:posOffset>-17780</wp:posOffset>
                </wp:positionH>
                <wp:positionV relativeFrom="paragraph">
                  <wp:posOffset>207010</wp:posOffset>
                </wp:positionV>
                <wp:extent cx="1470660" cy="192587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660" cy="192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02" w:type="dxa"/>
          <w:vAlign w:val="center"/>
        </w:tcPr>
        <w:p w14:paraId="309C130E" w14:textId="5883E557" w:rsidR="000D154E" w:rsidRPr="000D154E" w:rsidRDefault="000D154E" w:rsidP="000D154E">
          <w:pPr>
            <w:jc w:val="center"/>
            <w:rPr>
              <w:b/>
              <w:bCs/>
            </w:rPr>
          </w:pPr>
          <w:r w:rsidRPr="000D154E">
            <w:rPr>
              <w:b/>
              <w:bCs/>
            </w:rPr>
            <w:t>DOCUMENTO</w:t>
          </w:r>
        </w:p>
      </w:tc>
      <w:tc>
        <w:tcPr>
          <w:tcW w:w="1134" w:type="dxa"/>
          <w:shd w:val="clear" w:color="auto" w:fill="D5DCE4" w:themeFill="text2" w:themeFillTint="33"/>
          <w:vAlign w:val="center"/>
        </w:tcPr>
        <w:p w14:paraId="6E93DC78" w14:textId="6D566C89" w:rsidR="000D154E" w:rsidRDefault="000D154E" w:rsidP="000D154E">
          <w:pPr>
            <w:jc w:val="right"/>
          </w:pPr>
          <w:r>
            <w:t>CÓDIGO:</w:t>
          </w:r>
        </w:p>
      </w:tc>
      <w:tc>
        <w:tcPr>
          <w:tcW w:w="1701" w:type="dxa"/>
          <w:vAlign w:val="center"/>
        </w:tcPr>
        <w:p w14:paraId="397DE660" w14:textId="29FC63FB" w:rsidR="000D154E" w:rsidRDefault="008D3831" w:rsidP="007A348B">
          <w:pPr>
            <w:jc w:val="center"/>
          </w:pPr>
          <w:r>
            <w:t>P-</w:t>
          </w:r>
          <w:r w:rsidR="0006215E">
            <w:t>CONT</w:t>
          </w:r>
          <w:r w:rsidR="00E4330B">
            <w:t>-01</w:t>
          </w:r>
        </w:p>
      </w:tc>
    </w:tr>
    <w:tr w:rsidR="000D154E" w14:paraId="6FE6283B" w14:textId="77777777" w:rsidTr="000D154E">
      <w:trPr>
        <w:trHeight w:val="383"/>
      </w:trPr>
      <w:tc>
        <w:tcPr>
          <w:tcW w:w="2531" w:type="dxa"/>
          <w:vMerge/>
        </w:tcPr>
        <w:p w14:paraId="2BCB4C20" w14:textId="77777777" w:rsidR="000D154E" w:rsidRDefault="000D154E" w:rsidP="000D154E"/>
      </w:tc>
      <w:tc>
        <w:tcPr>
          <w:tcW w:w="5402" w:type="dxa"/>
          <w:vAlign w:val="center"/>
        </w:tcPr>
        <w:p w14:paraId="31342EBC" w14:textId="34E05EFE" w:rsidR="00E4330B" w:rsidRPr="000D154E" w:rsidRDefault="00E4330B" w:rsidP="00E4330B">
          <w:pPr>
            <w:jc w:val="center"/>
            <w:rPr>
              <w:b/>
              <w:bCs/>
            </w:rPr>
          </w:pPr>
          <w:r>
            <w:rPr>
              <w:b/>
              <w:bCs/>
            </w:rPr>
            <w:t>PROCEDIMIENTO DE GESTIÓN CONTABLE</w:t>
          </w:r>
        </w:p>
      </w:tc>
      <w:tc>
        <w:tcPr>
          <w:tcW w:w="1134" w:type="dxa"/>
          <w:vAlign w:val="center"/>
        </w:tcPr>
        <w:p w14:paraId="39F1A43C" w14:textId="0FB81AF6" w:rsidR="000D154E" w:rsidRDefault="000D154E" w:rsidP="000D154E">
          <w:pPr>
            <w:jc w:val="right"/>
          </w:pPr>
          <w:r>
            <w:t>REVISÓN:</w:t>
          </w:r>
        </w:p>
      </w:tc>
      <w:tc>
        <w:tcPr>
          <w:tcW w:w="1701" w:type="dxa"/>
          <w:vAlign w:val="center"/>
        </w:tcPr>
        <w:p w14:paraId="063665A5" w14:textId="6085CB33" w:rsidR="000D154E" w:rsidRDefault="007A348B" w:rsidP="007A348B">
          <w:pPr>
            <w:jc w:val="center"/>
          </w:pPr>
          <w:r>
            <w:t>0</w:t>
          </w:r>
          <w:r w:rsidR="00E4330B">
            <w:t>1</w:t>
          </w:r>
        </w:p>
      </w:tc>
    </w:tr>
  </w:tbl>
  <w:p w14:paraId="62CCC343" w14:textId="77777777" w:rsidR="000D154E" w:rsidRDefault="000D15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136A"/>
    <w:multiLevelType w:val="multilevel"/>
    <w:tmpl w:val="4C5A7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D795FD9"/>
    <w:multiLevelType w:val="hybridMultilevel"/>
    <w:tmpl w:val="00EA57EE"/>
    <w:lvl w:ilvl="0" w:tplc="EAECDD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8252E"/>
    <w:multiLevelType w:val="hybridMultilevel"/>
    <w:tmpl w:val="8C0055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D26BA"/>
    <w:multiLevelType w:val="hybridMultilevel"/>
    <w:tmpl w:val="EB10852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895998">
    <w:abstractNumId w:val="0"/>
  </w:num>
  <w:num w:numId="2" w16cid:durableId="1781485099">
    <w:abstractNumId w:val="1"/>
  </w:num>
  <w:num w:numId="3" w16cid:durableId="1508206343">
    <w:abstractNumId w:val="2"/>
  </w:num>
  <w:num w:numId="4" w16cid:durableId="95173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4E"/>
    <w:rsid w:val="00034E11"/>
    <w:rsid w:val="0006215E"/>
    <w:rsid w:val="00075103"/>
    <w:rsid w:val="000A4FCC"/>
    <w:rsid w:val="000D154E"/>
    <w:rsid w:val="001C2665"/>
    <w:rsid w:val="001D73F2"/>
    <w:rsid w:val="0020434F"/>
    <w:rsid w:val="00245AE1"/>
    <w:rsid w:val="002A2766"/>
    <w:rsid w:val="002C4808"/>
    <w:rsid w:val="002D30DB"/>
    <w:rsid w:val="00326952"/>
    <w:rsid w:val="00344ACA"/>
    <w:rsid w:val="0037516E"/>
    <w:rsid w:val="00393566"/>
    <w:rsid w:val="003C3520"/>
    <w:rsid w:val="0040329B"/>
    <w:rsid w:val="00426981"/>
    <w:rsid w:val="004519D5"/>
    <w:rsid w:val="004646B9"/>
    <w:rsid w:val="00490A62"/>
    <w:rsid w:val="00496003"/>
    <w:rsid w:val="004D4393"/>
    <w:rsid w:val="004F73A5"/>
    <w:rsid w:val="00544B9F"/>
    <w:rsid w:val="00574CDB"/>
    <w:rsid w:val="005811CB"/>
    <w:rsid w:val="00593483"/>
    <w:rsid w:val="005D395E"/>
    <w:rsid w:val="00615216"/>
    <w:rsid w:val="006257BA"/>
    <w:rsid w:val="00636B4C"/>
    <w:rsid w:val="00645D83"/>
    <w:rsid w:val="00661D85"/>
    <w:rsid w:val="0066768A"/>
    <w:rsid w:val="0068059E"/>
    <w:rsid w:val="00684078"/>
    <w:rsid w:val="00684611"/>
    <w:rsid w:val="006B692E"/>
    <w:rsid w:val="006D669E"/>
    <w:rsid w:val="006D66A6"/>
    <w:rsid w:val="006D7D78"/>
    <w:rsid w:val="006E457F"/>
    <w:rsid w:val="006E47A2"/>
    <w:rsid w:val="0078357D"/>
    <w:rsid w:val="007A348B"/>
    <w:rsid w:val="007D3212"/>
    <w:rsid w:val="007E4C14"/>
    <w:rsid w:val="00803BD6"/>
    <w:rsid w:val="008569EF"/>
    <w:rsid w:val="00865CEE"/>
    <w:rsid w:val="008A64B7"/>
    <w:rsid w:val="008B75C8"/>
    <w:rsid w:val="008D3831"/>
    <w:rsid w:val="008E6C4D"/>
    <w:rsid w:val="00944907"/>
    <w:rsid w:val="009463C4"/>
    <w:rsid w:val="00955757"/>
    <w:rsid w:val="00974D76"/>
    <w:rsid w:val="00B052CE"/>
    <w:rsid w:val="00B14571"/>
    <w:rsid w:val="00B16B7B"/>
    <w:rsid w:val="00B33C8A"/>
    <w:rsid w:val="00B757F7"/>
    <w:rsid w:val="00B832CF"/>
    <w:rsid w:val="00B85A81"/>
    <w:rsid w:val="00BB72D9"/>
    <w:rsid w:val="00BD0D4E"/>
    <w:rsid w:val="00C30088"/>
    <w:rsid w:val="00C47CFE"/>
    <w:rsid w:val="00C51152"/>
    <w:rsid w:val="00D51B64"/>
    <w:rsid w:val="00D866F1"/>
    <w:rsid w:val="00DA3A84"/>
    <w:rsid w:val="00DB6376"/>
    <w:rsid w:val="00DD762D"/>
    <w:rsid w:val="00DF44EC"/>
    <w:rsid w:val="00E4330B"/>
    <w:rsid w:val="00E50672"/>
    <w:rsid w:val="00EC0112"/>
    <w:rsid w:val="00EC0802"/>
    <w:rsid w:val="00ED65D4"/>
    <w:rsid w:val="00F359CF"/>
    <w:rsid w:val="00F75A91"/>
    <w:rsid w:val="00F974BF"/>
    <w:rsid w:val="00FC09AA"/>
    <w:rsid w:val="00FC4EF7"/>
    <w:rsid w:val="00FD0283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8B7B6"/>
  <w15:chartTrackingRefBased/>
  <w15:docId w15:val="{31CCFE7D-4C18-4C66-9D89-9CCC1A8E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1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15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54E"/>
  </w:style>
  <w:style w:type="paragraph" w:styleId="Piedepgina">
    <w:name w:val="footer"/>
    <w:basedOn w:val="Normal"/>
    <w:link w:val="PiedepginaCar"/>
    <w:uiPriority w:val="99"/>
    <w:unhideWhenUsed/>
    <w:rsid w:val="000D15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54E"/>
  </w:style>
  <w:style w:type="paragraph" w:styleId="Prrafodelista">
    <w:name w:val="List Paragraph"/>
    <w:basedOn w:val="Normal"/>
    <w:uiPriority w:val="34"/>
    <w:qFormat/>
    <w:rsid w:val="003751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63C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63C4"/>
    <w:rPr>
      <w:color w:val="605E5C"/>
      <w:shd w:val="clear" w:color="auto" w:fill="E1DFDD"/>
    </w:rPr>
  </w:style>
  <w:style w:type="character" w:customStyle="1" w:styleId="hgkelc">
    <w:name w:val="hgkelc"/>
    <w:basedOn w:val="Fuentedeprrafopredeter"/>
    <w:rsid w:val="00326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03C0F-F3BC-4301-98AC-C0F3AC204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COSBIOME MR</dc:creator>
  <cp:keywords/>
  <dc:description/>
  <cp:lastModifiedBy>COSBIOME MR</cp:lastModifiedBy>
  <cp:revision>2</cp:revision>
  <dcterms:created xsi:type="dcterms:W3CDTF">2022-11-25T23:03:00Z</dcterms:created>
  <dcterms:modified xsi:type="dcterms:W3CDTF">2022-11-25T23:03:00Z</dcterms:modified>
</cp:coreProperties>
</file>