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86" w:rsidRPr="008875B0" w:rsidRDefault="00BB2486" w:rsidP="00BB2486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19.01</w:t>
      </w:r>
      <w:r w:rsidRPr="008875B0">
        <w:rPr>
          <w:rStyle w:val="SubtleEmphasis"/>
          <w:sz w:val="28"/>
        </w:rPr>
        <w:t>.202</w:t>
      </w:r>
      <w:r>
        <w:rPr>
          <w:rStyle w:val="SubtleEmphasis"/>
          <w:sz w:val="28"/>
        </w:rPr>
        <w:t>3</w:t>
      </w:r>
      <w:r w:rsidRPr="008875B0">
        <w:rPr>
          <w:rStyle w:val="SubtleEmphasis"/>
          <w:sz w:val="28"/>
        </w:rPr>
        <w:t xml:space="preserve"> </w:t>
      </w:r>
      <w:r>
        <w:rPr>
          <w:rStyle w:val="SubtleEmphasis"/>
          <w:sz w:val="28"/>
        </w:rPr>
        <w:t xml:space="preserve">by </w:t>
      </w:r>
      <w:r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r w:rsidR="00257A8F">
        <w:rPr>
          <w:lang w:val="en-GB"/>
        </w:rPr>
        <w:t>In details</w:t>
      </w:r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BB2486" w:rsidRPr="008875B0" w:rsidRDefault="00BB2486" w:rsidP="00BB2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</w:t>
      </w: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Find</w:t>
      </w: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BB2486" w:rsidRDefault="00BB2486" w:rsidP="00BB2486">
      <w:pPr>
        <w:spacing w:line="240" w:lineRule="auto"/>
        <w:ind w:left="720"/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BB2486" w:rsidRPr="008875B0" w:rsidRDefault="00BB2486" w:rsidP="00BB2486">
      <w:pPr>
        <w:spacing w:line="240" w:lineRule="auto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&gt;Select1DataGroup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BB2486" w:rsidRPr="00700D88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BB2486" w:rsidRP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it-IT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BB2486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it-IT"/>
        </w:rPr>
        <w:t xml:space="preserve">&gt;Insight3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</w:pPr>
      <w:r w:rsidRPr="006A2F1F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  <w:t>&gt;Inisght3io</w:t>
      </w: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hAnsi="Century Gothic"/>
          <w:b/>
          <w:lang w:val="it-IT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</w:pPr>
      <w:r w:rsidRPr="006A2F1F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it-IT"/>
        </w:rPr>
        <w:t>&gt;compareClusterMetricData</w:t>
      </w:r>
      <w:r w:rsidRPr="006A2F1F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  <w:t xml:space="preserve"> </w:t>
      </w:r>
    </w:p>
    <w:p w:rsidR="00BB2486" w:rsidRDefault="00BB2486" w:rsidP="00BB2486">
      <w:pPr>
        <w:spacing w:after="0" w:line="240" w:lineRule="auto"/>
        <w:contextualSpacing/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it-IT"/>
        </w:rPr>
      </w:pPr>
      <w:r w:rsidRPr="006A2F1F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it-IT"/>
        </w:rPr>
        <w:t xml:space="preserve">                       &gt;calc_plot_ClusterMedians</w:t>
      </w:r>
    </w:p>
    <w:p w:rsidR="00BB2486" w:rsidRP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</w:pPr>
      <w:r w:rsidRPr="00BB2486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  <w:t xml:space="preserve">&gt;plotCompareData </w:t>
      </w:r>
    </w:p>
    <w:p w:rsidR="00BB2486" w:rsidRPr="006A2F1F" w:rsidRDefault="00BB2486" w:rsidP="00BB248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</w:pPr>
      <w:r w:rsidRPr="006A2F1F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it-IT"/>
        </w:rPr>
        <w:t>&gt;saveClusterMetricData</w:t>
      </w:r>
      <w:r w:rsidRPr="006A2F1F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E7FC8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loadI3data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Locs2Mask </w:t>
      </w: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                    </w:t>
      </w:r>
    </w:p>
    <w:p w:rsid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create_xynFilename</w:t>
      </w:r>
      <w:proofErr w:type="spellEnd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XYN</w:t>
      </w: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&gt;D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DC</w:t>
      </w:r>
    </w:p>
    <w:p w:rsidR="00BB2486" w:rsidRPr="008446BD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BB2486" w:rsidRPr="008875B0" w:rsidRDefault="00BB2486" w:rsidP="00BB2486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BB2486" w:rsidRDefault="00BB2486" w:rsidP="00BB2486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BB2486" w:rsidRDefault="00BB2486" w:rsidP="00BB2486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04BEC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plotClusterStat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Pr="00804BEC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hAnsi="Century Gothic"/>
          <w:b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plotStairs</w:t>
      </w:r>
      <w:proofErr w:type="spellEnd"/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</w:p>
    <w:p w:rsidR="00BB2486" w:rsidRDefault="00BB2486" w:rsidP="00BB2486">
      <w:pPr>
        <w:spacing w:after="0" w:line="240" w:lineRule="auto"/>
        <w:ind w:left="72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xlsx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.mat, .bin, .dcc, .fig,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8875B0" w:rsidRPr="00EA4293" w:rsidRDefault="00BB2486" w:rsidP="008875B0">
      <w:pPr>
        <w:rPr>
          <w:lang w:val="en-GB" w:eastAsia="en-GB"/>
        </w:rPr>
      </w:pPr>
      <w:r>
        <w:rPr>
          <w:lang w:val="en-GB" w:eastAsia="en-GB"/>
        </w:rPr>
        <w:br w:type="page"/>
      </w: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bookmarkStart w:id="0" w:name="_GoBack"/>
      <w:r w:rsidRPr="008875B0">
        <w:rPr>
          <w:rFonts w:ascii="Arial" w:hAnsi="Arial" w:cs="Arial"/>
          <w:b/>
          <w:lang w:val="en-GB"/>
        </w:rPr>
        <w:lastRenderedPageBreak/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Alert! If Mf2 is not filled, </w:t>
      </w:r>
      <w:r w:rsidRPr="00AF2511">
        <w:rPr>
          <w:rFonts w:ascii="Arial" w:hAnsi="Arial" w:cs="Arial"/>
          <w:color w:val="2F5496" w:themeColor="accent5" w:themeShade="BF"/>
        </w:rPr>
        <w:t>it means that the code found no pixels with locs &gt;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threshold. Thus the threshold values is too high and should be reduced.</w:t>
      </w:r>
      <w:r w:rsidR="00BC09A6" w:rsidRPr="00AF2511">
        <w:rPr>
          <w:rStyle w:val="pl-smi"/>
          <w:rFonts w:ascii="Arial" w:hAnsi="Arial" w:cs="Arial"/>
          <w:color w:val="2F5496" w:themeColor="accent5" w:themeShade="BF"/>
        </w:rPr>
        <w:br/>
      </w:r>
    </w:p>
    <w:p w:rsidR="00F27278" w:rsidRPr="00AF2511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 xml:space="preserve">we put True for Use Iterative Segmentation, </w:t>
      </w:r>
      <w:r w:rsidR="00267329" w:rsidRPr="00AF2511">
        <w:rPr>
          <w:rFonts w:ascii="Arial" w:hAnsi="Arial" w:cs="Arial"/>
          <w:color w:val="2F5496" w:themeColor="accent5" w:themeShade="BF"/>
        </w:rPr>
        <w:t>go to ln 920</w:t>
      </w:r>
      <w:r w:rsidR="00ED1415" w:rsidRPr="00AF2511">
        <w:rPr>
          <w:rFonts w:ascii="Arial" w:hAnsi="Arial" w:cs="Arial"/>
          <w:color w:val="2F5496" w:themeColor="accent5" w:themeShade="BF"/>
        </w:rPr>
        <w:t>-1104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, function </w:t>
      </w:r>
      <w:r w:rsidR="00267329" w:rsidRPr="00AF2511">
        <w:rPr>
          <w:rStyle w:val="pl-en"/>
          <w:rFonts w:ascii="Consolas" w:hAnsi="Consolas" w:cs="Arial"/>
          <w:color w:val="2F5496" w:themeColor="accent5" w:themeShade="BF"/>
        </w:rPr>
        <w:t>segment_nn</w:t>
      </w:r>
      <w:r w:rsidR="00267329" w:rsidRPr="00AF2511">
        <w:rPr>
          <w:rFonts w:ascii="Consolas" w:hAnsi="Consolas" w:cs="Arial"/>
          <w:color w:val="2F5496" w:themeColor="accent5" w:themeShade="BF"/>
        </w:rPr>
        <w:t>(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Mf2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BW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th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max_area</w:t>
      </w:r>
      <w:r w:rsidR="00267329" w:rsidRPr="00AF2511">
        <w:rPr>
          <w:rFonts w:ascii="Consolas" w:hAnsi="Consolas" w:cs="Arial"/>
          <w:color w:val="2F5496" w:themeColor="accent5" w:themeShade="BF"/>
        </w:rPr>
        <w:t>).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 If there is any Island with an area </w:t>
      </w:r>
      <w:r w:rsidR="00267329" w:rsidRPr="00AF2511">
        <w:rPr>
          <w:rFonts w:ascii="Consolas" w:hAnsi="Consolas" w:cs="Arial"/>
          <w:color w:val="2F5496" w:themeColor="accent5" w:themeShade="BF"/>
        </w:rPr>
        <w:t>&gt;max_segmentation_area</w:t>
      </w:r>
      <w:r w:rsidR="00267329" w:rsidRPr="00AF2511">
        <w:rPr>
          <w:rFonts w:ascii="Arial" w:hAnsi="Arial" w:cs="Arial"/>
          <w:color w:val="2F5496" w:themeColor="accent5" w:themeShade="BF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 xml:space="preserve">Mf2 </w:t>
      </w:r>
      <w:proofErr w:type="gramStart"/>
      <w:r w:rsidRPr="008770AA">
        <w:rPr>
          <w:rFonts w:ascii="Arial" w:hAnsi="Arial" w:cs="Arial"/>
          <w:lang w:val="en-GB"/>
        </w:rPr>
        <w:t>is converted</w:t>
      </w:r>
      <w:proofErr w:type="gramEnd"/>
      <w:r w:rsidRPr="008770AA">
        <w:rPr>
          <w:rFonts w:ascii="Arial" w:hAnsi="Arial" w:cs="Arial"/>
          <w:lang w:val="en-GB"/>
        </w:rPr>
        <w:t xml:space="preserve">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lastRenderedPageBreak/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 xml:space="preserve">, 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</w:t>
      </w:r>
      <w:r w:rsidR="00BC09A6" w:rsidRPr="00AF2511">
        <w:rPr>
          <w:rFonts w:ascii="Arial" w:hAnsi="Arial" w:cs="Arial"/>
          <w:color w:val="2F5496" w:themeColor="accent5" w:themeShade="BF"/>
        </w:rPr>
        <w:t>his Island will be</w:t>
      </w:r>
      <w:r w:rsidRPr="00AF2511">
        <w:rPr>
          <w:rFonts w:ascii="Arial" w:hAnsi="Arial" w:cs="Arial"/>
          <w:color w:val="2F5496" w:themeColor="accent5" w:themeShade="BF"/>
        </w:rPr>
        <w:t xml:space="preserve"> discarded from the analysis. If you want to analyze every Island, increase the ignoreNumPeakThreshold</w:t>
      </w:r>
      <w:r w:rsidR="00340368" w:rsidRPr="00AF2511">
        <w:rPr>
          <w:rFonts w:ascii="Arial" w:hAnsi="Arial" w:cs="Arial"/>
          <w:color w:val="2F5496" w:themeColor="accent5" w:themeShade="BF"/>
        </w:rPr>
        <w:t xml:space="preserve"> (keep in mind that the analysis will take very long)</w:t>
      </w:r>
      <w:r w:rsidRPr="00AF2511">
        <w:rPr>
          <w:rFonts w:ascii="Arial" w:hAnsi="Arial" w:cs="Arial"/>
          <w:color w:val="2F5496" w:themeColor="accent5" w:themeShade="BF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</w:p>
    <w:p w:rsidR="00340368" w:rsidRPr="00AF2511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 xml:space="preserve">, </w:t>
      </w:r>
      <w:r w:rsidRPr="00AF2511">
        <w:rPr>
          <w:rFonts w:ascii="Arial" w:hAnsi="Arial" w:cs="Arial"/>
          <w:color w:val="2F5496" w:themeColor="accent5" w:themeShade="BF"/>
        </w:rPr>
        <w:t>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6767D6" w:rsidRPr="006767D6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>
        <w:rPr>
          <w:rFonts w:ascii="Arial" w:hAnsi="Arial" w:cs="Arial"/>
          <w:lang w:val="en-GB"/>
        </w:rPr>
        <w:t xml:space="preserve">- </w:t>
      </w:r>
      <w:r w:rsidR="006767D6" w:rsidRPr="006767D6">
        <w:rPr>
          <w:rFonts w:ascii="Arial" w:hAnsi="Arial" w:cs="Arial"/>
          <w:lang w:val="en-GB"/>
        </w:rPr>
        <w:t>mix x = left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max x = right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min y = up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 xml:space="preserve">max y </w:t>
      </w:r>
      <w:r w:rsidR="00ED1415">
        <w:rPr>
          <w:rFonts w:ascii="Arial" w:hAnsi="Arial" w:cs="Arial"/>
          <w:lang w:val="en-GB"/>
        </w:rPr>
        <w:t>= down</w:t>
      </w:r>
      <w:r w:rsidR="006767D6">
        <w:rPr>
          <w:lang w:val="en-GB"/>
        </w:rPr>
        <w:br/>
      </w:r>
      <w:r w:rsidR="006767D6" w:rsidRPr="006767D6">
        <w:rPr>
          <w:rFonts w:ascii="Arial" w:hAnsi="Arial" w:cs="Arial"/>
          <w:lang w:val="en-GB"/>
        </w:rPr>
        <w:t>These extremities</w:t>
      </w:r>
      <w:r w:rsidR="006767D6">
        <w:rPr>
          <w:lang w:val="en-GB"/>
        </w:rPr>
        <w:t xml:space="preserve"> </w:t>
      </w:r>
      <w:r w:rsidR="006767D6"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 w:rsidR="006767D6">
        <w:rPr>
          <w:rFonts w:ascii="Consolas" w:hAnsi="Consolas" w:cs="Arial"/>
        </w:rPr>
        <w:t xml:space="preserve"> </w:t>
      </w:r>
      <w:r w:rsidR="006767D6">
        <w:rPr>
          <w:rFonts w:ascii="Arial" w:hAnsi="Arial" w:cs="Arial"/>
        </w:rPr>
        <w:t>from the coordinates of the localization.</w:t>
      </w:r>
      <w:r w:rsidR="006767D6">
        <w:rPr>
          <w:rFonts w:ascii="Arial" w:hAnsi="Arial" w:cs="Arial"/>
        </w:rPr>
        <w:br/>
      </w:r>
      <w:r w:rsidR="006767D6" w:rsidRPr="006767D6">
        <w:rPr>
          <w:rFonts w:ascii="Consolas" w:hAnsi="Consolas" w:cs="Arial"/>
        </w:rPr>
        <w:t>numSigma</w:t>
      </w:r>
      <w:r w:rsidR="006767D6">
        <w:rPr>
          <w:rFonts w:ascii="Consolas" w:hAnsi="Consolas" w:cs="Arial"/>
        </w:rPr>
        <w:t xml:space="preserve"> </w:t>
      </w:r>
      <w:r w:rsidR="006767D6" w:rsidRPr="006767D6">
        <w:rPr>
          <w:rFonts w:ascii="Arial" w:hAnsi="Arial" w:cs="Arial"/>
        </w:rPr>
        <w:t>is set as 3</w:t>
      </w:r>
      <w:r w:rsidR="006767D6">
        <w:rPr>
          <w:rFonts w:ascii="Arial" w:hAnsi="Arial" w:cs="Arial"/>
        </w:rPr>
        <w:t xml:space="preserve"> but can be changed. The smaller the </w:t>
      </w:r>
      <w:r w:rsidR="006767D6" w:rsidRPr="006767D6">
        <w:rPr>
          <w:rFonts w:ascii="Consolas" w:hAnsi="Consolas" w:cs="Arial"/>
        </w:rPr>
        <w:t>numSigma</w:t>
      </w:r>
      <w:r w:rsidR="006767D6" w:rsidRPr="006767D6">
        <w:rPr>
          <w:rFonts w:ascii="Arial" w:hAnsi="Arial" w:cs="Arial"/>
        </w:rPr>
        <w:t>, the smaller the area associated to each localization.</w:t>
      </w:r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Pr="00271E31" w:rsidRDefault="00BC09A6" w:rsidP="004958DE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271E31">
        <w:rPr>
          <w:rFonts w:ascii="Arial" w:hAnsi="Arial" w:cs="Arial"/>
          <w:color w:val="C45911" w:themeColor="accent2" w:themeShade="BF"/>
        </w:rPr>
        <w:t>G=</w:t>
      </w:r>
      <w:r w:rsidR="004A0341" w:rsidRPr="00271E31">
        <w:rPr>
          <w:rFonts w:ascii="Arial" w:hAnsi="Arial" w:cs="Arial"/>
        </w:rPr>
        <w:t xml:space="preserve"> </w:t>
      </w:r>
      <w:r w:rsidR="004A0341" w:rsidRPr="00271E31">
        <w:rPr>
          <w:rFonts w:ascii="Arial" w:hAnsi="Arial" w:cs="Arial"/>
          <w:color w:val="70AD47" w:themeColor="accent6"/>
        </w:rPr>
        <w:t>@(x,y,x0,y0,rx)</w:t>
      </w:r>
      <w:r w:rsidR="004A0341" w:rsidRPr="00271E31">
        <w:rPr>
          <w:rFonts w:ascii="Arial" w:hAnsi="Arial" w:cs="Arial"/>
        </w:rPr>
        <w:t xml:space="preserve">  </w:t>
      </w:r>
      <w:r w:rsidR="004A0341" w:rsidRPr="00271E31">
        <w:rPr>
          <w:rFonts w:ascii="Arial" w:hAnsi="Arial" w:cs="Arial"/>
          <w:color w:val="C45911" w:themeColor="accent2" w:themeShade="BF"/>
        </w:rPr>
        <w:t>(1./((2*pi)*(rx*rx))).*exp(-(((x-x0)).^2)/(2*rx^2).*exp(-(((y-y0)).^2)/(2*rx^2))</w:t>
      </w:r>
    </w:p>
    <w:p w:rsidR="00EA4293" w:rsidRPr="00271E31" w:rsidRDefault="00EA4293" w:rsidP="00EA4293">
      <w:pPr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271E31">
        <w:rPr>
          <w:rFonts w:ascii="Arial" w:eastAsia="Times New Roman" w:hAnsi="Arial" w:cs="Arial"/>
          <w:color w:val="70AD47" w:themeColor="accent6"/>
          <w:lang w:val="en-GB" w:eastAsia="en-GB"/>
        </w:rPr>
        <w:t>Function handle</w:t>
      </w:r>
    </w:p>
    <w:p w:rsidR="00EA4293" w:rsidRPr="00271E31" w:rsidRDefault="00EA4293" w:rsidP="00EA4293">
      <w:pPr>
        <w:rPr>
          <w:rFonts w:ascii="Arial" w:eastAsia="Times New Roman" w:hAnsi="Arial" w:cs="Arial"/>
          <w:color w:val="C45911" w:themeColor="accent2" w:themeShade="BF"/>
          <w:lang w:val="en-GB" w:eastAsia="en-GB"/>
        </w:rPr>
      </w:pPr>
      <w:r w:rsidRPr="00271E31">
        <w:rPr>
          <w:rFonts w:ascii="Arial" w:eastAsia="Times New Roman" w:hAnsi="Arial" w:cs="Arial"/>
          <w:color w:val="C45911" w:themeColor="accent2" w:themeShade="BF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Pr="005C5E38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All kernel Gaussias belonging to the same Island are summed together, generating a local density map. This matrix </w:t>
      </w:r>
      <w:r w:rsidR="003833AC" w:rsidRPr="005C5E38">
        <w:rPr>
          <w:rFonts w:ascii="Arial" w:hAnsi="Arial" w:cs="Arial"/>
        </w:rPr>
        <w:t xml:space="preserve">is </w:t>
      </w:r>
      <w:r w:rsidRPr="005C5E38">
        <w:rPr>
          <w:rFonts w:ascii="Arial" w:hAnsi="Arial" w:cs="Arial"/>
        </w:rPr>
        <w:t>called Mi_c.</w:t>
      </w:r>
    </w:p>
    <w:p w:rsidR="003833AC" w:rsidRPr="005C5E38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lastRenderedPageBreak/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SIGX = 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SIGY = Standard deviation of y coordinates of cluster localizations</w:t>
      </w:r>
    </w:p>
    <w:p w:rsidR="00E82FA0" w:rsidRDefault="004F3F4C" w:rsidP="005C54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 = </w:t>
      </w:r>
      <w:r w:rsidR="005C54F4" w:rsidRPr="005C54F4">
        <w:rPr>
          <w:rFonts w:ascii="Consolas" w:hAnsi="Consolas" w:cs="Arial"/>
        </w:rPr>
        <w:t>(xstd+ystd)/2</w:t>
      </w:r>
      <w:r w:rsidR="005C54F4">
        <w:rPr>
          <w:rFonts w:ascii="Arial" w:hAnsi="Arial" w:cs="Arial"/>
        </w:rPr>
        <w:t>. Average of sd</w:t>
      </w:r>
      <w:r w:rsidR="00E82FA0">
        <w:rPr>
          <w:rFonts w:ascii="Arial" w:hAnsi="Arial" w:cs="Arial"/>
        </w:rPr>
        <w:t xml:space="preserve">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 w:rsidR="001F2625">
        <w:rPr>
          <w:rFonts w:ascii="Consolas" w:hAnsi="Consolas" w:cs="Arial"/>
        </w:rPr>
        <w:t>rt(xstd^2</w:t>
      </w:r>
      <w:r w:rsidR="00AF2511">
        <w:rPr>
          <w:rFonts w:ascii="Consolas" w:hAnsi="Consolas" w:cs="Arial"/>
        </w:rPr>
        <w:t xml:space="preserve"> + </w:t>
      </w:r>
      <w:r w:rsidR="001F2625">
        <w:rPr>
          <w:rFonts w:ascii="Consolas" w:hAnsi="Consolas" w:cs="Arial"/>
        </w:rPr>
        <w:t>ystd^2)</w:t>
      </w:r>
      <w:r w:rsidR="00AF2511">
        <w:rPr>
          <w:rFonts w:ascii="Consolas" w:hAnsi="Consolas" w:cs="Arial"/>
        </w:rPr>
        <w:t>.</w:t>
      </w:r>
      <w:r w:rsidR="005C54F4">
        <w:rPr>
          <w:rFonts w:ascii="Arial" w:hAnsi="Arial" w:cs="Arial"/>
        </w:rPr>
        <w:t>Sd</w:t>
      </w:r>
      <w:r w:rsidR="001F2625">
        <w:rPr>
          <w:rFonts w:ascii="Arial" w:hAnsi="Arial" w:cs="Arial"/>
        </w:rPr>
        <w:t xml:space="preserve"> of the centroid</w:t>
      </w:r>
      <w:r w:rsidR="005C54F4">
        <w:rPr>
          <w:rFonts w:ascii="Arial" w:hAnsi="Arial" w:cs="Arial"/>
        </w:rPr>
        <w:t>.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371596">
        <w:rPr>
          <w:rFonts w:ascii="Arial" w:hAnsi="Arial" w:cs="Arial"/>
        </w:rPr>
        <w:t>z coordinate of the centroid.</w:t>
      </w:r>
      <w:r w:rsidR="00271E31">
        <w:rPr>
          <w:rFonts w:ascii="Arial" w:hAnsi="Arial" w:cs="Arial"/>
        </w:rPr>
        <w:t xml:space="preserve"> </w:t>
      </w:r>
      <w:r w:rsidR="00371596">
        <w:rPr>
          <w:rFonts w:ascii="Arial" w:hAnsi="Arial" w:cs="Arial"/>
        </w:rPr>
        <w:br/>
        <w:t>(Calculated as the a</w:t>
      </w:r>
      <w:r w:rsidR="00E82FA0">
        <w:rPr>
          <w:rFonts w:ascii="Arial" w:hAnsi="Arial" w:cs="Arial"/>
        </w:rPr>
        <w:t>verage of z-</w:t>
      </w:r>
      <w:r w:rsidR="00371596">
        <w:rPr>
          <w:rFonts w:ascii="Arial" w:hAnsi="Arial" w:cs="Arial"/>
        </w:rPr>
        <w:t xml:space="preserve"> coordinates of localizations belonging to the cluster</w:t>
      </w:r>
      <w:r w:rsidR="00E82FA0">
        <w:rPr>
          <w:rFonts w:ascii="Arial" w:hAnsi="Arial" w:cs="Arial"/>
        </w:rPr>
        <w:t>.</w:t>
      </w:r>
      <w:r w:rsidR="00371596">
        <w:rPr>
          <w:rFonts w:ascii="Arial" w:hAnsi="Arial" w:cs="Arial"/>
        </w:rPr>
        <w:t>)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>Standard deviation of z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  <w:r w:rsidR="00AF2511">
        <w:rPr>
          <w:rFonts w:ascii="Arial" w:hAnsi="Arial" w:cs="Arial"/>
        </w:rPr>
        <w:t>.</w:t>
      </w:r>
    </w:p>
    <w:p w:rsidR="00AF2511" w:rsidRDefault="00AF2511" w:rsidP="00AF251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E82FA0">
        <w:rPr>
          <w:rFonts w:ascii="Arial" w:hAnsi="Arial" w:cs="Arial"/>
        </w:rPr>
        <w:t>nly for clusters inside Islands (thus, NOT for single clusters), it calculates the Nearest Neighbour Distance (NND).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AF2511" w:rsidRPr="00AF2511" w:rsidRDefault="00AF2511" w:rsidP="00AF25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2511">
        <w:rPr>
          <w:rFonts w:ascii="Arial" w:hAnsi="Arial" w:cs="Arial"/>
        </w:rPr>
        <w:t xml:space="preserve">NCI </w:t>
      </w:r>
      <w:r>
        <w:rPr>
          <w:rFonts w:ascii="Arial" w:hAnsi="Arial" w:cs="Arial"/>
        </w:rPr>
        <w:t>=</w:t>
      </w:r>
      <w:r w:rsidRPr="00AF2511">
        <w:rPr>
          <w:rFonts w:ascii="Arial" w:hAnsi="Arial" w:cs="Arial"/>
        </w:rPr>
        <w:t xml:space="preserve"> index of the clusters inside the Island (1, 2, 3, ...) or Single (1).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xyzNND is a matrix containing the </w:t>
      </w:r>
      <w:r w:rsidR="00271E31">
        <w:rPr>
          <w:rFonts w:ascii="Arial" w:hAnsi="Arial" w:cs="Arial"/>
        </w:rPr>
        <w:t>x-y-z-</w:t>
      </w:r>
      <w:r>
        <w:rPr>
          <w:rFonts w:ascii="Arial" w:hAnsi="Arial" w:cs="Arial"/>
        </w:rPr>
        <w:t>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</w:t>
      </w:r>
      <w:r w:rsidR="003973AD">
        <w:rPr>
          <w:rFonts w:ascii="Arial" w:hAnsi="Arial" w:cs="Arial"/>
        </w:rPr>
        <w:t>:</w:t>
      </w:r>
      <w:r w:rsidR="00E31643" w:rsidRPr="005C5E38">
        <w:rPr>
          <w:rFonts w:ascii="Arial" w:hAnsi="Arial" w:cs="Arial"/>
        </w:rPr>
        <w:t xml:space="preserve">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lastRenderedPageBreak/>
        <w:t xml:space="preserve">In ln 691 of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the code generates a .bin file for clusters visualization with the Insight3 software.</w:t>
      </w:r>
      <w:r w:rsidR="0042297C">
        <w:rPr>
          <w:rFonts w:ascii="Arial" w:hAnsi="Arial" w:cs="Arial"/>
        </w:rPr>
        <w:br/>
      </w:r>
      <w:r w:rsidR="00A268A2">
        <w:rPr>
          <w:rFonts w:ascii="Arial" w:hAnsi="Arial" w:cs="Arial"/>
        </w:rPr>
        <w:t>In details:</w:t>
      </w: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973AD">
        <w:rPr>
          <w:rFonts w:ascii="Arial" w:hAnsi="Arial" w:cs="Arial"/>
          <w:color w:val="ED7D31" w:themeColor="accent2"/>
        </w:rPr>
        <w:t>if in the initial GUI we put “False”</w:t>
      </w:r>
      <w:r>
        <w:rPr>
          <w:rFonts w:ascii="Arial" w:hAnsi="Arial" w:cs="Arial"/>
        </w:rPr>
        <w:t xml:space="preserve">, all localizations belonging to the same cluster will be displayed with the same color, </w:t>
      </w:r>
      <w:r w:rsidRPr="0042297C">
        <w:rPr>
          <w:rFonts w:ascii="Arial" w:hAnsi="Arial" w:cs="Arial"/>
          <w:u w:val="single"/>
        </w:rPr>
        <w:t>randomly</w:t>
      </w:r>
      <w:r>
        <w:rPr>
          <w:rFonts w:ascii="Arial" w:hAnsi="Arial" w:cs="Arial"/>
        </w:rPr>
        <w:t xml:space="preserve"> chosen among the 9 available (with no correlation with the z coordinate of each centroid). The centroids are displayed in white.</w:t>
      </w:r>
      <w:r w:rsidR="00A268A2">
        <w:rPr>
          <w:rFonts w:ascii="Arial" w:hAnsi="Arial" w:cs="Arial"/>
        </w:rPr>
        <w:br/>
        <w:t xml:space="preserve">- </w:t>
      </w:r>
      <w:r w:rsidR="00A268A2" w:rsidRPr="003973AD">
        <w:rPr>
          <w:rFonts w:ascii="Arial" w:hAnsi="Arial" w:cs="Arial"/>
          <w:color w:val="ED7D31" w:themeColor="accent2"/>
        </w:rPr>
        <w:t>i</w:t>
      </w:r>
      <w:r w:rsidR="00271E31" w:rsidRPr="003973AD">
        <w:rPr>
          <w:rFonts w:ascii="Arial" w:hAnsi="Arial" w:cs="Arial"/>
          <w:color w:val="ED7D31" w:themeColor="accent2"/>
        </w:rPr>
        <w:t xml:space="preserve">f </w:t>
      </w:r>
      <w:r w:rsidR="00A268A2" w:rsidRPr="003973AD">
        <w:rPr>
          <w:rFonts w:ascii="Arial" w:hAnsi="Arial" w:cs="Arial"/>
          <w:color w:val="ED7D31" w:themeColor="accent2"/>
        </w:rPr>
        <w:t>in the initial GUI we put “True” for drawUsingZRange</w:t>
      </w:r>
      <w:r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instead</w:t>
      </w:r>
      <w:r w:rsidR="00A268A2">
        <w:rPr>
          <w:rFonts w:ascii="Arial" w:hAnsi="Arial" w:cs="Arial"/>
        </w:rPr>
        <w:t>, the localizations of each cluster will be assigned to 9 different channels, based on the z-coordinate</w:t>
      </w:r>
      <w:r>
        <w:rPr>
          <w:rFonts w:ascii="Arial" w:hAnsi="Arial" w:cs="Arial"/>
        </w:rPr>
        <w:t xml:space="preserve"> of their</w:t>
      </w:r>
      <w:r w:rsidR="0042297C">
        <w:rPr>
          <w:rFonts w:ascii="Arial" w:hAnsi="Arial" w:cs="Arial"/>
        </w:rPr>
        <w:t xml:space="preserve"> centroid</w:t>
      </w:r>
      <w:r w:rsidR="00A268A2">
        <w:rPr>
          <w:rFonts w:ascii="Arial" w:hAnsi="Arial" w:cs="Arial"/>
        </w:rPr>
        <w:t xml:space="preserve">. The z- range is defined as </w:t>
      </w:r>
      <w:r w:rsidR="006F7762">
        <w:rPr>
          <w:rFonts w:ascii="Arial" w:hAnsi="Arial" w:cs="Arial"/>
        </w:rPr>
        <w:t xml:space="preserve">the interval between </w:t>
      </w:r>
      <w:r w:rsidR="0042297C">
        <w:rPr>
          <w:rFonts w:ascii="Arial" w:hAnsi="Arial" w:cs="Arial"/>
        </w:rPr>
        <w:t xml:space="preserve">the max and min z-coordinate of all centroids, </w:t>
      </w:r>
      <w:r w:rsidR="006F7762">
        <w:rPr>
          <w:rFonts w:ascii="Arial" w:hAnsi="Arial" w:cs="Arial"/>
        </w:rPr>
        <w:t xml:space="preserve">divided per 9. z-min correspond to magenta color, while z-max corresponds to red color. </w:t>
      </w:r>
      <w:r w:rsidR="0042297C">
        <w:rPr>
          <w:rFonts w:ascii="Arial" w:hAnsi="Arial" w:cs="Arial"/>
        </w:rPr>
        <w:t xml:space="preserve">So, </w:t>
      </w:r>
      <w:r w:rsidR="006F7762">
        <w:rPr>
          <w:rFonts w:ascii="Arial" w:hAnsi="Arial" w:cs="Arial"/>
        </w:rPr>
        <w:t>localizations will be displayed with a d</w:t>
      </w:r>
      <w:r w:rsidR="0042297C">
        <w:rPr>
          <w:rFonts w:ascii="Arial" w:hAnsi="Arial" w:cs="Arial"/>
        </w:rPr>
        <w:t>ifferent color depending on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 centroid of the cluster to which they belong</w:t>
      </w:r>
      <w:r w:rsidR="006F7762">
        <w:rPr>
          <w:rFonts w:ascii="Arial" w:hAnsi="Arial" w:cs="Arial"/>
        </w:rPr>
        <w:t xml:space="preserve">. Localizations </w:t>
      </w:r>
      <w:r w:rsidR="0042297C">
        <w:rPr>
          <w:rFonts w:ascii="Arial" w:hAnsi="Arial" w:cs="Arial"/>
        </w:rPr>
        <w:t xml:space="preserve">of different clusters </w:t>
      </w:r>
      <w:r w:rsidR="006F7762">
        <w:rPr>
          <w:rFonts w:ascii="Arial" w:hAnsi="Arial" w:cs="Arial"/>
        </w:rPr>
        <w:t>will be displayed</w:t>
      </w:r>
      <w:r w:rsidR="0042297C">
        <w:rPr>
          <w:rFonts w:ascii="Arial" w:hAnsi="Arial" w:cs="Arial"/>
        </w:rPr>
        <w:t xml:space="preserve"> with the same color if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their centroids belong </w:t>
      </w:r>
      <w:r w:rsidR="006F7762">
        <w:rPr>
          <w:rFonts w:ascii="Arial" w:hAnsi="Arial" w:cs="Arial"/>
        </w:rPr>
        <w:t>to the same interval.</w:t>
      </w:r>
      <w:r w:rsidR="006F7762">
        <w:rPr>
          <w:rFonts w:ascii="Arial" w:hAnsi="Arial" w:cs="Arial"/>
        </w:rPr>
        <w:br/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calculates the distance </w:t>
      </w:r>
      <w:r w:rsidR="00271E31">
        <w:rPr>
          <w:rFonts w:ascii="Arial" w:hAnsi="Arial" w:cs="Arial"/>
          <w:bCs/>
          <w:lang w:val="en-US"/>
        </w:rPr>
        <w:t xml:space="preserve">in x-y-z dimensions </w:t>
      </w:r>
      <w:r>
        <w:rPr>
          <w:rFonts w:ascii="Arial" w:hAnsi="Arial" w:cs="Arial"/>
          <w:bCs/>
          <w:lang w:val="en-US"/>
        </w:rPr>
        <w:t>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>Dist = 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 xml:space="preserve">isSameFile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C647AE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 in 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lastRenderedPageBreak/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“ddcData.nndXY” to the results generated in FindClusters.m as a 13th column.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17"/>
        <w:gridCol w:w="416"/>
        <w:gridCol w:w="528"/>
        <w:gridCol w:w="749"/>
        <w:gridCol w:w="749"/>
        <w:gridCol w:w="638"/>
        <w:gridCol w:w="1127"/>
        <w:gridCol w:w="416"/>
        <w:gridCol w:w="750"/>
        <w:gridCol w:w="638"/>
        <w:gridCol w:w="638"/>
        <w:gridCol w:w="1383"/>
        <w:gridCol w:w="1305"/>
      </w:tblGrid>
      <w:tr w:rsidR="00AF2511" w:rsidRPr="00AF2511" w:rsidTr="00AF2511">
        <w:trPr>
          <w:trHeight w:val="214"/>
        </w:trPr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X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Y</w:t>
            </w:r>
          </w:p>
        </w:tc>
        <w:tc>
          <w:tcPr>
            <w:tcW w:w="554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SIGX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SIGY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</w:t>
            </w:r>
          </w:p>
        </w:tc>
        <w:tc>
          <w:tcPr>
            <w:tcW w:w="1151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SIGQUAD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Z</w:t>
            </w:r>
          </w:p>
        </w:tc>
        <w:tc>
          <w:tcPr>
            <w:tcW w:w="768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SIGZ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NCI</w:t>
            </w:r>
          </w:p>
        </w:tc>
        <w:tc>
          <w:tcPr>
            <w:tcW w:w="1412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IslandIdx</w:t>
            </w:r>
          </w:p>
        </w:tc>
        <w:tc>
          <w:tcPr>
            <w:tcW w:w="1020" w:type="dxa"/>
          </w:tcPr>
          <w:p w:rsidR="00C647AE" w:rsidRPr="00AF2511" w:rsidRDefault="00AF2511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  <w:r w:rsidR="00C647AE" w:rsidRPr="00AF2511">
              <w:rPr>
                <w:rFonts w:ascii="Consolas" w:hAnsi="Consolas"/>
                <w:color w:val="C00000"/>
              </w:rPr>
              <w:t>global</w:t>
            </w:r>
          </w:p>
        </w:tc>
      </w:tr>
    </w:tbl>
    <w:p w:rsidR="00C647AE" w:rsidRPr="00AF2511" w:rsidRDefault="00C647AE" w:rsidP="008118C5">
      <w:pPr>
        <w:rPr>
          <w:rFonts w:ascii="Arial" w:hAnsi="Arial" w:cs="Arial"/>
          <w:color w:val="C00000"/>
        </w:rPr>
      </w:pPr>
      <w:r w:rsidRPr="00AF2511">
        <w:rPr>
          <w:rFonts w:ascii="Arial" w:hAnsi="Arial" w:cs="Arial"/>
          <w:color w:val="C00000"/>
        </w:rPr>
        <w:t>This table of 13 columns is temporarily saved as</w:t>
      </w:r>
      <w:r w:rsidR="00907B89" w:rsidRPr="00AF2511">
        <w:rPr>
          <w:rFonts w:ascii="Arial" w:hAnsi="Arial" w:cs="Arial"/>
          <w:color w:val="C00000"/>
        </w:rPr>
        <w:t xml:space="preserve"> the matrix</w:t>
      </w:r>
      <w:r w:rsidRPr="00AF2511">
        <w:rPr>
          <w:rFonts w:ascii="Arial" w:hAnsi="Arial" w:cs="Arial"/>
          <w:color w:val="C00000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 xml:space="preserve">the original list file has a long name, </w:t>
      </w:r>
      <w:r w:rsidRPr="00AF2511">
        <w:rPr>
          <w:rFonts w:ascii="Arial" w:hAnsi="Arial" w:cs="Arial"/>
          <w:color w:val="2F5496" w:themeColor="accent5" w:themeShade="BF"/>
        </w:rPr>
        <w:t>the code could give error when saving the final .xyn. Apparently .xyn cannot be open correctly when they have a name &gt; 256 characters. If .xyn file gives problem, rename the .xyn (reducing the number of characters) or rename the original list 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Back in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bookmarkEnd w:id="0"/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E340C"/>
    <w:rsid w:val="0012227D"/>
    <w:rsid w:val="00187791"/>
    <w:rsid w:val="001B426D"/>
    <w:rsid w:val="001F2625"/>
    <w:rsid w:val="002334CC"/>
    <w:rsid w:val="00257A8F"/>
    <w:rsid w:val="00267329"/>
    <w:rsid w:val="00271E31"/>
    <w:rsid w:val="002E2707"/>
    <w:rsid w:val="00340368"/>
    <w:rsid w:val="00371596"/>
    <w:rsid w:val="003833AC"/>
    <w:rsid w:val="003973AD"/>
    <w:rsid w:val="0042297C"/>
    <w:rsid w:val="00454F17"/>
    <w:rsid w:val="00491ED1"/>
    <w:rsid w:val="004954DF"/>
    <w:rsid w:val="004958DE"/>
    <w:rsid w:val="004A0341"/>
    <w:rsid w:val="004F3F4C"/>
    <w:rsid w:val="005B4425"/>
    <w:rsid w:val="005C54F4"/>
    <w:rsid w:val="005C5E38"/>
    <w:rsid w:val="005F68CE"/>
    <w:rsid w:val="006767D6"/>
    <w:rsid w:val="006917C8"/>
    <w:rsid w:val="006F2889"/>
    <w:rsid w:val="006F7762"/>
    <w:rsid w:val="007214E3"/>
    <w:rsid w:val="00800DC4"/>
    <w:rsid w:val="008118C5"/>
    <w:rsid w:val="008446BD"/>
    <w:rsid w:val="00855A1C"/>
    <w:rsid w:val="008770AA"/>
    <w:rsid w:val="008875B0"/>
    <w:rsid w:val="008A5BCB"/>
    <w:rsid w:val="00907B89"/>
    <w:rsid w:val="00A07015"/>
    <w:rsid w:val="00A1339C"/>
    <w:rsid w:val="00A268A2"/>
    <w:rsid w:val="00A32801"/>
    <w:rsid w:val="00AF2511"/>
    <w:rsid w:val="00B84AB7"/>
    <w:rsid w:val="00B84B4F"/>
    <w:rsid w:val="00B85B3E"/>
    <w:rsid w:val="00BB2486"/>
    <w:rsid w:val="00BC09A6"/>
    <w:rsid w:val="00BE164D"/>
    <w:rsid w:val="00C158C3"/>
    <w:rsid w:val="00C647AE"/>
    <w:rsid w:val="00D43332"/>
    <w:rsid w:val="00DC1F1D"/>
    <w:rsid w:val="00E31643"/>
    <w:rsid w:val="00E82CE2"/>
    <w:rsid w:val="00E82FA0"/>
    <w:rsid w:val="00EA4293"/>
    <w:rsid w:val="00EB0485"/>
    <w:rsid w:val="00ED1415"/>
    <w:rsid w:val="00F03A45"/>
    <w:rsid w:val="00F27278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B3A5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3</cp:revision>
  <dcterms:created xsi:type="dcterms:W3CDTF">2023-01-16T12:20:00Z</dcterms:created>
  <dcterms:modified xsi:type="dcterms:W3CDTF">2023-01-19T16:45:00Z</dcterms:modified>
</cp:coreProperties>
</file>