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IN THE STATE COURT OF GLYNN COUNTY</w:t>
      </w:r>
    </w:p>
    <w:p/>
    <w:p>
      <w:r>
        <w:t>STATE OF GEORGIA</w:t>
      </w:r>
    </w:p>
    <w:p/>
    <w:p>
      <w:r>
        <w:t>STATE OF GEORGIA    :  CASE NO.: 24CR13237</w:t>
      </w:r>
    </w:p>
    <w:p>
      <w:r>
        <w:t xml:space="preserve">     v.              :</w:t>
      </w:r>
    </w:p>
    <w:p>
      <w:r>
        <w:t xml:space="preserve">                    :</w:t>
      </w:r>
    </w:p>
    <w:p>
      <w:r>
        <w:t>AUSTIN TYLER UNDERWOOD :</w:t>
      </w:r>
    </w:p>
    <w:p/>
    <w:p>
      <w:r>
        <w:t>MOTION TO STRIKE UNSIGNED PSYCHOLOGICAL EVALUATION ORDER</w:t>
      </w:r>
    </w:p>
    <w:p/>
    <w:p>
      <w:r>
        <w:t>Plaintiff moves to strike...</w:t>
      </w:r>
    </w:p>
    <w:p>
      <w:r>
        <w:t>...</w:t>
      </w:r>
    </w:p>
    <w:p>
      <w:r>
        <w:t>(Complete content goes here.)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