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A6B3A" w:val="clear"/>
        <w:spacing w:after="160" w:before="1440"/>
        <w:jc w:val="center"/>
      </w:pPr>
      <w:r>
        <w:rPr>
          <w:rFonts w:ascii="Arial" w:cs="Arial" w:eastAsia="Arial" w:hAnsi="Arial"/>
          <w:b/>
          <w:bCs/>
          <w:color w:val="FFFFFF"/>
          <w:sz w:val="60"/>
          <w:szCs w:val="60"/>
        </w:rPr>
        <w:t xml:space="preserve">WORK REPORT</w:t>
      </w:r>
    </w:p>
    <w:p>
      <w:pPr>
        <w:shd w:fill="1A6B3A" w:val="clear"/>
        <w:spacing w:after="1440"/>
        <w:jc w:val="center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June 27 – July 6</w:t>
      </w:r>
    </w:p>
    <w:p>
      <w:pPr>
        <w:spacing w:after="3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0E8D8" w:sz="1"/>
              <w:left w:val="single" w:color="D0E8D8" w:sz="1"/>
              <w:bottom w:val="single" w:color="D0E8D8" w:sz="1"/>
              <w:right w:val="single" w:color="D0E8D8" w:sz="1"/>
            </w:tcBorders>
            <w:shd w:fill="E8F5E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30"/>
                <w:szCs w:val="30"/>
              </w:rPr>
              <w:t xml:space="preserve">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Mobile Apps Updated</w:t>
            </w:r>
          </w:p>
        </w:tc>
        <w:tc>
          <w:tcPr>
            <w:tcW w:type="dxa" w:w="2340"/>
            <w:tcBorders>
              <w:top w:val="single" w:color="D0E8D8" w:sz="1"/>
              <w:left w:val="single" w:color="D0E8D8" w:sz="1"/>
              <w:bottom w:val="single" w:color="D0E8D8" w:sz="1"/>
              <w:right w:val="single" w:color="D0E8D8" w:sz="1"/>
            </w:tcBorders>
            <w:shd w:fill="E8F5E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30"/>
                <w:szCs w:val="30"/>
              </w:rPr>
              <w:t xml:space="preserve">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Server Systems Touched</w:t>
            </w:r>
          </w:p>
        </w:tc>
        <w:tc>
          <w:tcPr>
            <w:tcW w:type="dxa" w:w="2340"/>
            <w:tcBorders>
              <w:top w:val="single" w:color="D0E8D8" w:sz="1"/>
              <w:left w:val="single" w:color="D0E8D8" w:sz="1"/>
              <w:bottom w:val="single" w:color="D0E8D8" w:sz="1"/>
              <w:right w:val="single" w:color="D0E8D8" w:sz="1"/>
            </w:tcBorders>
            <w:shd w:fill="E8F5E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30"/>
                <w:szCs w:val="30"/>
              </w:rPr>
              <w:t xml:space="preserve">11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Features Delivered</w:t>
            </w:r>
          </w:p>
        </w:tc>
        <w:tc>
          <w:tcPr>
            <w:tcW w:type="dxa" w:w="2340"/>
            <w:tcBorders>
              <w:top w:val="single" w:color="D0E8D8" w:sz="1"/>
              <w:left w:val="single" w:color="D0E8D8" w:sz="1"/>
              <w:bottom w:val="single" w:color="D0E8D8" w:sz="1"/>
              <w:right w:val="single" w:color="D0E8D8" w:sz="1"/>
            </w:tcBorders>
            <w:shd w:fill="E8F5E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30"/>
                <w:szCs w:val="30"/>
              </w:rPr>
              <w:t xml:space="preserve">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Bugs Fixed</w:t>
            </w:r>
          </w:p>
        </w:tc>
      </w:tr>
    </w:tbl>
    <w:p>
      <w:pPr>
        <w:pageBreakBefore/>
        <w:pBdr>
          <w:bottom w:val="single" w:color="1A6B3A" w:sz="8" w:space="4"/>
        </w:pBdr>
        <w:spacing w:after="80" w:before="360"/>
      </w:pPr>
      <w:r>
        <w:rPr>
          <w:rFonts w:ascii="Arial" w:cs="Arial" w:eastAsia="Arial" w:hAnsi="Arial"/>
          <w:b/>
          <w:bCs/>
          <w:color w:val="1A6B3A"/>
          <w:sz w:val="32"/>
          <w:szCs w:val="32"/>
        </w:rPr>
        <w:t xml:space="preserve">Overview</w:t>
      </w:r>
    </w:p>
    <w:p>
      <w:p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This report covers all work completed on the logistics platform between June 27 and July 6, 2026. Compared with the previous two-week period, this was a shorter and more focused stretch of work, concentrated on two things: bringing a third provider app across the finish line, and polishing the customer's truck-booking experience to match the latest designs.</w:t>
      </w:r>
    </w:p>
    <w:p>
      <w:p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most significant event was merging the dispatch (bike and package) delivery provider app and its backend service — built in a parallel workstream — into the main codebase. This gives Cosmicforge Logistics a third fully-featured provider app, alongside the customer and truck driver apps, covering sign-in, onboarding, availability, job requests, trip handling, vehicle registration, and driver verification.</w:t>
      </w:r>
    </w:p>
    <w:p>
      <w:p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On the customer side, the three screens a customer sees while a truck job is in progress — searching for a driver, tracking an active trip, and rating the driver afterwards — were rebuilt to match the latest mockups exactly. A real bug in the driver-matching engine was also fixed, so a driver who declines a job is never offered that same job again.</w:t>
      </w:r>
    </w:p>
    <w:p>
      <w:p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By the end of this period, the dispatch provider app is code-complete and ready for local testing, though it is not yet reachable from the customer app — booking a bike or package delivery from the customer side remains the next milestone.</w:t>
      </w:r>
    </w:p>
    <w:p>
      <w:pPr>
        <w:pageBreakBefore/>
        <w:pBdr>
          <w:bottom w:val="single" w:color="1A6B3A" w:sz="8" w:space="4"/>
        </w:pBdr>
        <w:spacing w:after="80" w:before="360"/>
      </w:pPr>
      <w:r>
        <w:rPr>
          <w:rFonts w:ascii="Arial" w:cs="Arial" w:eastAsia="Arial" w:hAnsi="Arial"/>
          <w:b/>
          <w:bCs/>
          <w:color w:val="1A6B3A"/>
          <w:sz w:val="32"/>
          <w:szCs w:val="32"/>
        </w:rPr>
        <w:t xml:space="preserve">Dispatch &amp; Package Delivery Platform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1A6B3A"/>
          <w:sz w:val="26"/>
          <w:szCs w:val="26"/>
        </w:rPr>
        <w:t xml:space="preserve">Provider App Merged Into Main Codebase</w:t>
      </w:r>
    </w:p>
    <w:p>
      <w:p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parallel workstream had been building the bike/package delivery provider app on a separate branch. That work was reconciled with the current main codebase and brought in as apps/dispatch_provider, giving delivery riders the same level of app coverage as truck drivers already have.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Sign-in and onboarding, including account type selection and initial setup.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Availability toggle so a rider can go online or offline to receive jobs.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Incoming job requests, active trip handling, and a trip history list.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Bike/vehicle registration and document-based rider verification.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Rider profile and an in-app wallet.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1A6B3A"/>
          <w:sz w:val="26"/>
          <w:szCs w:val="26"/>
        </w:rPr>
        <w:t xml:space="preserve">Backend Service Merged</w:t>
      </w:r>
    </w:p>
    <w:p>
      <w:p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matching server for dispatch riders (services/driver-dispatch-delivery-service) was brought in alongside the app. It follows the same pattern already used by the truck-hauling server: rider sign-in, availability, job matching, trip lifecycle, proof-of-delivery, and document verification each live in their own clearly separated area of the service.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1A6B3A"/>
          <w:sz w:val="26"/>
          <w:szCs w:val="26"/>
        </w:rPr>
        <w:t xml:space="preserve">Rebranded to Cosmicforge Logistics</w:t>
      </w:r>
    </w:p>
    <w:p>
      <w:p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App names, package identifiers, and in-app branding text were aligned with the rest of the platform (“Cosmicforge Logistics”), matching the naming convention already used everywhere else.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1A6B3A"/>
          <w:sz w:val="26"/>
          <w:szCs w:val="26"/>
        </w:rPr>
        <w:t xml:space="preserve">Not Yet Connected to Customers</w:t>
      </w:r>
    </w:p>
    <w:p>
      <w:p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customer app's “Bike Delivery” option still shows a “Coming soon” message. The dispatch provider app and its backend are ready on their own, but wiring the customer-facing booking flow through to this service is the next step — the same journey already built for truck hauling.</w:t>
      </w:r>
    </w:p>
    <w:p>
      <w:pPr>
        <w:pageBreakBefore/>
        <w:pBdr>
          <w:bottom w:val="single" w:color="1A6B3A" w:sz="8" w:space="4"/>
        </w:pBdr>
        <w:spacing w:after="80" w:before="360"/>
      </w:pPr>
      <w:r>
        <w:rPr>
          <w:rFonts w:ascii="Arial" w:cs="Arial" w:eastAsia="Arial" w:hAnsi="Arial"/>
          <w:b/>
          <w:bCs/>
          <w:color w:val="1A6B3A"/>
          <w:sz w:val="32"/>
          <w:szCs w:val="32"/>
        </w:rPr>
        <w:t xml:space="preserve">Customer App — Live Trip Screens</w:t>
      </w:r>
    </w:p>
    <w:p>
      <w:p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three screens a customer sees while a truck job is running — searching, active trip, and rating — were rebuilt end-to-end to match the latest design mockups.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1A6B3A"/>
          <w:sz w:val="26"/>
          <w:szCs w:val="26"/>
        </w:rPr>
        <w:t xml:space="preserve">Connecting Driver Screen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Redesigned bottom sheet over the live map, with the matched driver's details filling in as soon as a driver accepts.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New “Edit Destination” option: a customer can back out of a search and return to the address screen with pickup and drop-off still filled in, instead of cancelling and starting over.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1A6B3A"/>
          <w:sz w:val="26"/>
          <w:szCs w:val="26"/>
        </w:rPr>
        <w:t xml:space="preserve">Active Trip Screen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Two clear phases: “driver is on the way to pickup” (with a live time estimate) and “trip has started” once the cargo is picked up.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Call Driver and Cancel Trip actions during the approach phase.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Share Trip, Report, and SOS quick-action buttons once the trip is under way.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1A6B3A"/>
          <w:sz w:val="26"/>
          <w:szCs w:val="26"/>
        </w:rPr>
        <w:t xml:space="preserve">Rating Screen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“You have arrived” screen redesigned with the driver's photo, name, and vehicle details front and centre.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Five-star rating, a comment field, and a clear “Would you recommend this driver?” choice, then Submit Review.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1A6B3A"/>
          <w:sz w:val="26"/>
          <w:szCs w:val="26"/>
        </w:rPr>
        <w:t xml:space="preserve">Driver Profile Card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Now shows how long the driver has been on the platform (e.g. “1 year”) and a rounded count of completed trips (e.g. “1,000+”), alongside their rating.</w:t>
      </w:r>
    </w:p>
    <w:p>
      <w:pPr>
        <w:pageBreakBefore/>
        <w:pBdr>
          <w:bottom w:val="single" w:color="1A6B3A" w:sz="8" w:space="4"/>
        </w:pBdr>
        <w:spacing w:after="80" w:before="360"/>
      </w:pPr>
      <w:r>
        <w:rPr>
          <w:rFonts w:ascii="Arial" w:cs="Arial" w:eastAsia="Arial" w:hAnsi="Arial"/>
          <w:b/>
          <w:bCs/>
          <w:color w:val="1A6B3A"/>
          <w:sz w:val="32"/>
          <w:szCs w:val="32"/>
        </w:rPr>
        <w:t xml:space="preserve">Driver Matching &amp; Platform Reliability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1A6B3A"/>
          <w:sz w:val="26"/>
          <w:szCs w:val="26"/>
        </w:rPr>
        <w:t xml:space="preserve">Fixed: Declined Jobs Were Being Re-Offered</w:t>
      </w:r>
    </w:p>
    <w:p>
      <w:p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When a driver declined a job, the matching engine could still re-offer that exact same job to them later in the same search if no one else had been found yet. The matching engine now remembers every driver who has declined a specific job and excludes them from all later attempts to fill it — a driver only ever sees a job once unless they simply didn't respond in time.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1A6B3A"/>
          <w:sz w:val="26"/>
          <w:szCs w:val="26"/>
        </w:rPr>
        <w:t xml:space="preserve">Local Setup Now Seeds Sample Drivers Automatically</w:t>
      </w:r>
    </w:p>
    <w:p>
      <w:p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one-command local setup script for the truck haulage service now also loads a set of sample driver accounts and trucks automatically, so a freshly set-up environment is ready for end-to-end testing without a separate manual step.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1A6B3A"/>
          <w:sz w:val="26"/>
          <w:szCs w:val="26"/>
        </w:rPr>
        <w:t xml:space="preserve">Clearer Error Logs for Faster Debugging</w:t>
      </w:r>
    </w:p>
    <w:p>
      <w:p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Server error logs now include the underlying technical cause of a failure alongside the user-facing error message, making it faster to track down the root cause of a problem in a live environment.</w:t>
      </w:r>
    </w:p>
    <w:p>
      <w:pPr>
        <w:pageBreakBefore/>
        <w:pBdr>
          <w:bottom w:val="single" w:color="1A6B3A" w:sz="8" w:space="4"/>
        </w:pBdr>
        <w:spacing w:after="80" w:before="360"/>
      </w:pPr>
      <w:r>
        <w:rPr>
          <w:rFonts w:ascii="Arial" w:cs="Arial" w:eastAsia="Arial" w:hAnsi="Arial"/>
          <w:b/>
          <w:bCs/>
          <w:color w:val="1A6B3A"/>
          <w:sz w:val="32"/>
          <w:szCs w:val="32"/>
        </w:rPr>
        <w:t xml:space="preserve">Summary of Deliverables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460"/>
        <w:gridCol w:w="2300"/>
      </w:tblGrid>
      <w:tr>
        <w:trPr>
          <w:tblHeader/>
        </w:trPr>
        <w:tc>
          <w:tcPr>
            <w:tcW w:type="dxa" w:w="1600"/>
            <w:tcBorders>
              <w:top w:val="single" w:color="B0D4BD" w:sz="1"/>
              <w:left w:val="single" w:color="B0D4BD" w:sz="1"/>
              <w:bottom w:val="single" w:color="B0D4BD" w:sz="1"/>
              <w:right w:val="single" w:color="B0D4BD" w:sz="1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5460"/>
            <w:tcBorders>
              <w:top w:val="single" w:color="B0D4BD" w:sz="1"/>
              <w:left w:val="single" w:color="B0D4BD" w:sz="1"/>
              <w:bottom w:val="single" w:color="B0D4BD" w:sz="1"/>
              <w:right w:val="single" w:color="B0D4BD" w:sz="1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Was Delivered</w:t>
            </w:r>
          </w:p>
        </w:tc>
        <w:tc>
          <w:tcPr>
            <w:tcW w:type="dxa" w:w="2300"/>
            <w:tcBorders>
              <w:top w:val="single" w:color="B0D4BD" w:sz="1"/>
              <w:left w:val="single" w:color="B0D4BD" w:sz="1"/>
              <w:bottom w:val="single" w:color="B0D4BD" w:sz="1"/>
              <w:right w:val="single" w:color="B0D4BD" w:sz="1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600"/>
            <w:tcBorders>
              <w:top w:val="single" w:color="B0D4BD" w:sz="1"/>
              <w:left w:val="single" w:color="B0D4BD" w:sz="1"/>
              <w:bottom w:val="single" w:color="B0D4BD" w:sz="1"/>
              <w:right w:val="single" w:color="B0D4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Dispatch App</w:t>
            </w:r>
          </w:p>
        </w:tc>
        <w:tc>
          <w:tcPr>
            <w:tcW w:type="dxa" w:w="5460"/>
            <w:tcBorders>
              <w:top w:val="single" w:color="B0D4BD" w:sz="1"/>
              <w:left w:val="single" w:color="B0D4BD" w:sz="1"/>
              <w:bottom w:val="single" w:color="B0D4BD" w:sz="1"/>
              <w:right w:val="single" w:color="B0D4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Bike/package delivery provider app merged into the main codebase (sign-in, onboarding, availability, requests, trips, vehicle registration, wallet)</w:t>
            </w:r>
          </w:p>
        </w:tc>
        <w:tc>
          <w:tcPr>
            <w:tcW w:type="dxa" w:w="2300"/>
            <w:tcBorders>
              <w:top w:val="single" w:color="B0D4BD" w:sz="1"/>
              <w:left w:val="single" w:color="B0D4BD" w:sz="1"/>
              <w:bottom w:val="single" w:color="B0D4BD" w:sz="1"/>
              <w:right w:val="single" w:color="B0D4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1600"/>
            <w:tcBorders>
              <w:top w:val="single" w:color="B0D4BD" w:sz="1"/>
              <w:left w:val="single" w:color="B0D4BD" w:sz="1"/>
              <w:bottom w:val="single" w:color="B0D4BD" w:sz="1"/>
              <w:right w:val="single" w:color="B0D4BD" w:sz="1"/>
            </w:tcBorders>
            <w:shd w:fill="F5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Dispatch App</w:t>
            </w:r>
          </w:p>
        </w:tc>
        <w:tc>
          <w:tcPr>
            <w:tcW w:type="dxa" w:w="5460"/>
            <w:tcBorders>
              <w:top w:val="single" w:color="B0D4BD" w:sz="1"/>
              <w:left w:val="single" w:color="B0D4BD" w:sz="1"/>
              <w:bottom w:val="single" w:color="B0D4BD" w:sz="1"/>
              <w:right w:val="single" w:color="B0D4BD" w:sz="1"/>
            </w:tcBorders>
            <w:shd w:fill="F5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Full backend service for dispatch riders merged in (auth, matching, trip lifecycle, proof of delivery, verification)</w:t>
            </w:r>
          </w:p>
        </w:tc>
        <w:tc>
          <w:tcPr>
            <w:tcW w:type="dxa" w:w="2300"/>
            <w:tcBorders>
              <w:top w:val="single" w:color="B0D4BD" w:sz="1"/>
              <w:left w:val="single" w:color="B0D4BD" w:sz="1"/>
              <w:bottom w:val="single" w:color="B0D4BD" w:sz="1"/>
              <w:right w:val="single" w:color="B0D4BD" w:sz="1"/>
            </w:tcBorders>
            <w:shd w:fill="F5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1600"/>
            <w:tcBorders>
              <w:top w:val="single" w:color="B0D4BD" w:sz="1"/>
              <w:left w:val="single" w:color="B0D4BD" w:sz="1"/>
              <w:bottom w:val="single" w:color="B0D4BD" w:sz="1"/>
              <w:right w:val="single" w:color="B0D4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Dispatch App</w:t>
            </w:r>
          </w:p>
        </w:tc>
        <w:tc>
          <w:tcPr>
            <w:tcW w:type="dxa" w:w="5460"/>
            <w:tcBorders>
              <w:top w:val="single" w:color="B0D4BD" w:sz="1"/>
              <w:left w:val="single" w:color="B0D4BD" w:sz="1"/>
              <w:bottom w:val="single" w:color="B0D4BD" w:sz="1"/>
              <w:right w:val="single" w:color="B0D4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Renamed and re-styled to match the Cosmicforge Logistics brand across the app</w:t>
            </w:r>
          </w:p>
        </w:tc>
        <w:tc>
          <w:tcPr>
            <w:tcW w:type="dxa" w:w="2300"/>
            <w:tcBorders>
              <w:top w:val="single" w:color="B0D4BD" w:sz="1"/>
              <w:left w:val="single" w:color="B0D4BD" w:sz="1"/>
              <w:bottom w:val="single" w:color="B0D4BD" w:sz="1"/>
              <w:right w:val="single" w:color="B0D4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1600"/>
            <w:tcBorders>
              <w:top w:val="single" w:color="B0D4BD" w:sz="1"/>
              <w:left w:val="single" w:color="B0D4BD" w:sz="1"/>
              <w:bottom w:val="single" w:color="B0D4BD" w:sz="1"/>
              <w:right w:val="single" w:color="B0D4BD" w:sz="1"/>
            </w:tcBorders>
            <w:shd w:fill="F5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Dispatch App</w:t>
            </w:r>
          </w:p>
        </w:tc>
        <w:tc>
          <w:tcPr>
            <w:tcW w:type="dxa" w:w="5460"/>
            <w:tcBorders>
              <w:top w:val="single" w:color="B0D4BD" w:sz="1"/>
              <w:left w:val="single" w:color="B0D4BD" w:sz="1"/>
              <w:bottom w:val="single" w:color="B0D4BD" w:sz="1"/>
              <w:right w:val="single" w:color="B0D4BD" w:sz="1"/>
            </w:tcBorders>
            <w:shd w:fill="F5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Connect the customer app's “Bike Delivery” option through to this new service</w:t>
            </w:r>
          </w:p>
        </w:tc>
        <w:tc>
          <w:tcPr>
            <w:tcW w:type="dxa" w:w="2300"/>
            <w:tcBorders>
              <w:top w:val="single" w:color="B0D4BD" w:sz="1"/>
              <w:left w:val="single" w:color="B0D4BD" w:sz="1"/>
              <w:bottom w:val="single" w:color="B0D4BD" w:sz="1"/>
              <w:right w:val="single" w:color="B0D4BD" w:sz="1"/>
            </w:tcBorders>
            <w:shd w:fill="F5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 Progress</w:t>
            </w:r>
          </w:p>
        </w:tc>
      </w:tr>
      <w:tr>
        <w:tc>
          <w:tcPr>
            <w:tcW w:type="dxa" w:w="1600"/>
            <w:tcBorders>
              <w:top w:val="single" w:color="B0D4BD" w:sz="1"/>
              <w:left w:val="single" w:color="B0D4BD" w:sz="1"/>
              <w:bottom w:val="single" w:color="B0D4BD" w:sz="1"/>
              <w:right w:val="single" w:color="B0D4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Customer App</w:t>
            </w:r>
          </w:p>
        </w:tc>
        <w:tc>
          <w:tcPr>
            <w:tcW w:type="dxa" w:w="5460"/>
            <w:tcBorders>
              <w:top w:val="single" w:color="B0D4BD" w:sz="1"/>
              <w:left w:val="single" w:color="B0D4BD" w:sz="1"/>
              <w:bottom w:val="single" w:color="B0D4BD" w:sz="1"/>
              <w:right w:val="single" w:color="B0D4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Connecting Driver (searching) screen redesigned to match mockups</w:t>
            </w:r>
          </w:p>
        </w:tc>
        <w:tc>
          <w:tcPr>
            <w:tcW w:type="dxa" w:w="2300"/>
            <w:tcBorders>
              <w:top w:val="single" w:color="B0D4BD" w:sz="1"/>
              <w:left w:val="single" w:color="B0D4BD" w:sz="1"/>
              <w:bottom w:val="single" w:color="B0D4BD" w:sz="1"/>
              <w:right w:val="single" w:color="B0D4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1600"/>
            <w:tcBorders>
              <w:top w:val="single" w:color="B0D4BD" w:sz="1"/>
              <w:left w:val="single" w:color="B0D4BD" w:sz="1"/>
              <w:bottom w:val="single" w:color="B0D4BD" w:sz="1"/>
              <w:right w:val="single" w:color="B0D4BD" w:sz="1"/>
            </w:tcBorders>
            <w:shd w:fill="F5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Customer App</w:t>
            </w:r>
          </w:p>
        </w:tc>
        <w:tc>
          <w:tcPr>
            <w:tcW w:type="dxa" w:w="5460"/>
            <w:tcBorders>
              <w:top w:val="single" w:color="B0D4BD" w:sz="1"/>
              <w:left w:val="single" w:color="B0D4BD" w:sz="1"/>
              <w:bottom w:val="single" w:color="B0D4BD" w:sz="1"/>
              <w:right w:val="single" w:color="B0D4BD" w:sz="1"/>
            </w:tcBorders>
            <w:shd w:fill="F5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“Edit Destination” option added while still searching for a driver</w:t>
            </w:r>
          </w:p>
        </w:tc>
        <w:tc>
          <w:tcPr>
            <w:tcW w:type="dxa" w:w="2300"/>
            <w:tcBorders>
              <w:top w:val="single" w:color="B0D4BD" w:sz="1"/>
              <w:left w:val="single" w:color="B0D4BD" w:sz="1"/>
              <w:bottom w:val="single" w:color="B0D4BD" w:sz="1"/>
              <w:right w:val="single" w:color="B0D4BD" w:sz="1"/>
            </w:tcBorders>
            <w:shd w:fill="F5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1600"/>
            <w:tcBorders>
              <w:top w:val="single" w:color="B0D4BD" w:sz="1"/>
              <w:left w:val="single" w:color="B0D4BD" w:sz="1"/>
              <w:bottom w:val="single" w:color="B0D4BD" w:sz="1"/>
              <w:right w:val="single" w:color="B0D4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Customer App</w:t>
            </w:r>
          </w:p>
        </w:tc>
        <w:tc>
          <w:tcPr>
            <w:tcW w:type="dxa" w:w="5460"/>
            <w:tcBorders>
              <w:top w:val="single" w:color="B0D4BD" w:sz="1"/>
              <w:left w:val="single" w:color="B0D4BD" w:sz="1"/>
              <w:bottom w:val="single" w:color="B0D4BD" w:sz="1"/>
              <w:right w:val="single" w:color="B0D4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Active trip screen redesigned with a clearer before/after pickup view</w:t>
            </w:r>
          </w:p>
        </w:tc>
        <w:tc>
          <w:tcPr>
            <w:tcW w:type="dxa" w:w="2300"/>
            <w:tcBorders>
              <w:top w:val="single" w:color="B0D4BD" w:sz="1"/>
              <w:left w:val="single" w:color="B0D4BD" w:sz="1"/>
              <w:bottom w:val="single" w:color="B0D4BD" w:sz="1"/>
              <w:right w:val="single" w:color="B0D4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1600"/>
            <w:tcBorders>
              <w:top w:val="single" w:color="B0D4BD" w:sz="1"/>
              <w:left w:val="single" w:color="B0D4BD" w:sz="1"/>
              <w:bottom w:val="single" w:color="B0D4BD" w:sz="1"/>
              <w:right w:val="single" w:color="B0D4BD" w:sz="1"/>
            </w:tcBorders>
            <w:shd w:fill="F5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Customer App</w:t>
            </w:r>
          </w:p>
        </w:tc>
        <w:tc>
          <w:tcPr>
            <w:tcW w:type="dxa" w:w="5460"/>
            <w:tcBorders>
              <w:top w:val="single" w:color="B0D4BD" w:sz="1"/>
              <w:left w:val="single" w:color="B0D4BD" w:sz="1"/>
              <w:bottom w:val="single" w:color="B0D4BD" w:sz="1"/>
              <w:right w:val="single" w:color="B0D4BD" w:sz="1"/>
            </w:tcBorders>
            <w:shd w:fill="F5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Share Trip, Report, and SOS quick actions added during an active trip</w:t>
            </w:r>
          </w:p>
        </w:tc>
        <w:tc>
          <w:tcPr>
            <w:tcW w:type="dxa" w:w="2300"/>
            <w:tcBorders>
              <w:top w:val="single" w:color="B0D4BD" w:sz="1"/>
              <w:left w:val="single" w:color="B0D4BD" w:sz="1"/>
              <w:bottom w:val="single" w:color="B0D4BD" w:sz="1"/>
              <w:right w:val="single" w:color="B0D4BD" w:sz="1"/>
            </w:tcBorders>
            <w:shd w:fill="F5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1600"/>
            <w:tcBorders>
              <w:top w:val="single" w:color="B0D4BD" w:sz="1"/>
              <w:left w:val="single" w:color="B0D4BD" w:sz="1"/>
              <w:bottom w:val="single" w:color="B0D4BD" w:sz="1"/>
              <w:right w:val="single" w:color="B0D4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Customer App</w:t>
            </w:r>
          </w:p>
        </w:tc>
        <w:tc>
          <w:tcPr>
            <w:tcW w:type="dxa" w:w="5460"/>
            <w:tcBorders>
              <w:top w:val="single" w:color="B0D4BD" w:sz="1"/>
              <w:left w:val="single" w:color="B0D4BD" w:sz="1"/>
              <w:bottom w:val="single" w:color="B0D4BD" w:sz="1"/>
              <w:right w:val="single" w:color="B0D4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Driver rating screen redesigned to match mockups</w:t>
            </w:r>
          </w:p>
        </w:tc>
        <w:tc>
          <w:tcPr>
            <w:tcW w:type="dxa" w:w="2300"/>
            <w:tcBorders>
              <w:top w:val="single" w:color="B0D4BD" w:sz="1"/>
              <w:left w:val="single" w:color="B0D4BD" w:sz="1"/>
              <w:bottom w:val="single" w:color="B0D4BD" w:sz="1"/>
              <w:right w:val="single" w:color="B0D4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1600"/>
            <w:tcBorders>
              <w:top w:val="single" w:color="B0D4BD" w:sz="1"/>
              <w:left w:val="single" w:color="B0D4BD" w:sz="1"/>
              <w:bottom w:val="single" w:color="B0D4BD" w:sz="1"/>
              <w:right w:val="single" w:color="B0D4BD" w:sz="1"/>
            </w:tcBorders>
            <w:shd w:fill="F5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Customer App</w:t>
            </w:r>
          </w:p>
        </w:tc>
        <w:tc>
          <w:tcPr>
            <w:tcW w:type="dxa" w:w="5460"/>
            <w:tcBorders>
              <w:top w:val="single" w:color="B0D4BD" w:sz="1"/>
              <w:left w:val="single" w:color="B0D4BD" w:sz="1"/>
              <w:bottom w:val="single" w:color="B0D4BD" w:sz="1"/>
              <w:right w:val="single" w:color="B0D4BD" w:sz="1"/>
            </w:tcBorders>
            <w:shd w:fill="F5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Driver profile card now shows time on the platform and completed trip count</w:t>
            </w:r>
          </w:p>
        </w:tc>
        <w:tc>
          <w:tcPr>
            <w:tcW w:type="dxa" w:w="2300"/>
            <w:tcBorders>
              <w:top w:val="single" w:color="B0D4BD" w:sz="1"/>
              <w:left w:val="single" w:color="B0D4BD" w:sz="1"/>
              <w:bottom w:val="single" w:color="B0D4BD" w:sz="1"/>
              <w:right w:val="single" w:color="B0D4BD" w:sz="1"/>
            </w:tcBorders>
            <w:shd w:fill="F5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1600"/>
            <w:tcBorders>
              <w:top w:val="single" w:color="B0D4BD" w:sz="1"/>
              <w:left w:val="single" w:color="B0D4BD" w:sz="1"/>
              <w:bottom w:val="single" w:color="B0D4BD" w:sz="1"/>
              <w:right w:val="single" w:color="B0D4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Matching</w:t>
            </w:r>
          </w:p>
        </w:tc>
        <w:tc>
          <w:tcPr>
            <w:tcW w:type="dxa" w:w="5460"/>
            <w:tcBorders>
              <w:top w:val="single" w:color="B0D4BD" w:sz="1"/>
              <w:left w:val="single" w:color="B0D4BD" w:sz="1"/>
              <w:bottom w:val="single" w:color="B0D4BD" w:sz="1"/>
              <w:right w:val="single" w:color="B0D4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Fixed: a driver who declines a job was sometimes offered that same job again</w:t>
            </w:r>
          </w:p>
        </w:tc>
        <w:tc>
          <w:tcPr>
            <w:tcW w:type="dxa" w:w="2300"/>
            <w:tcBorders>
              <w:top w:val="single" w:color="B0D4BD" w:sz="1"/>
              <w:left w:val="single" w:color="B0D4BD" w:sz="1"/>
              <w:bottom w:val="single" w:color="B0D4BD" w:sz="1"/>
              <w:right w:val="single" w:color="B0D4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1600"/>
            <w:tcBorders>
              <w:top w:val="single" w:color="B0D4BD" w:sz="1"/>
              <w:left w:val="single" w:color="B0D4BD" w:sz="1"/>
              <w:bottom w:val="single" w:color="B0D4BD" w:sz="1"/>
              <w:right w:val="single" w:color="B0D4BD" w:sz="1"/>
            </w:tcBorders>
            <w:shd w:fill="F5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Platform</w:t>
            </w:r>
          </w:p>
        </w:tc>
        <w:tc>
          <w:tcPr>
            <w:tcW w:type="dxa" w:w="5460"/>
            <w:tcBorders>
              <w:top w:val="single" w:color="B0D4BD" w:sz="1"/>
              <w:left w:val="single" w:color="B0D4BD" w:sz="1"/>
              <w:bottom w:val="single" w:color="B0D4BD" w:sz="1"/>
              <w:right w:val="single" w:color="B0D4BD" w:sz="1"/>
            </w:tcBorders>
            <w:shd w:fill="F5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Local setup script now seeds sample driver accounts automatically</w:t>
            </w:r>
          </w:p>
        </w:tc>
        <w:tc>
          <w:tcPr>
            <w:tcW w:type="dxa" w:w="2300"/>
            <w:tcBorders>
              <w:top w:val="single" w:color="B0D4BD" w:sz="1"/>
              <w:left w:val="single" w:color="B0D4BD" w:sz="1"/>
              <w:bottom w:val="single" w:color="B0D4BD" w:sz="1"/>
              <w:right w:val="single" w:color="B0D4BD" w:sz="1"/>
            </w:tcBorders>
            <w:shd w:fill="F5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1600"/>
            <w:tcBorders>
              <w:top w:val="single" w:color="B0D4BD" w:sz="1"/>
              <w:left w:val="single" w:color="B0D4BD" w:sz="1"/>
              <w:bottom w:val="single" w:color="B0D4BD" w:sz="1"/>
              <w:right w:val="single" w:color="B0D4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Platform</w:t>
            </w:r>
          </w:p>
        </w:tc>
        <w:tc>
          <w:tcPr>
            <w:tcW w:type="dxa" w:w="5460"/>
            <w:tcBorders>
              <w:top w:val="single" w:color="B0D4BD" w:sz="1"/>
              <w:left w:val="single" w:color="B0D4BD" w:sz="1"/>
              <w:bottom w:val="single" w:color="B0D4BD" w:sz="1"/>
              <w:right w:val="single" w:color="B0D4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Server error logs now include the underlying technical cause</w:t>
            </w:r>
          </w:p>
        </w:tc>
        <w:tc>
          <w:tcPr>
            <w:tcW w:type="dxa" w:w="2300"/>
            <w:tcBorders>
              <w:top w:val="single" w:color="B0D4BD" w:sz="1"/>
              <w:left w:val="single" w:color="B0D4BD" w:sz="1"/>
              <w:bottom w:val="single" w:color="B0D4BD" w:sz="1"/>
              <w:right w:val="single" w:color="B0D4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Complete</w:t>
            </w:r>
          </w:p>
        </w:tc>
      </w:tr>
    </w:tbl>
    <w:p>
      <w:pPr>
        <w:pageBreakBefore/>
        <w:pBdr>
          <w:bottom w:val="single" w:color="1A6B3A" w:sz="8" w:space="4"/>
        </w:pBdr>
        <w:spacing w:after="80" w:before="360"/>
      </w:pPr>
      <w:r>
        <w:rPr>
          <w:rFonts w:ascii="Arial" w:cs="Arial" w:eastAsia="Arial" w:hAnsi="Arial"/>
          <w:b/>
          <w:bCs/>
          <w:color w:val="1A6B3A"/>
          <w:sz w:val="32"/>
          <w:szCs w:val="32"/>
        </w:rPr>
        <w:t xml:space="preserve">Still in Progress</w:t>
      </w:r>
    </w:p>
    <w:p>
      <w:p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following items were noted but will be addressed in an upcoming sprint: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dispatch (bike/package) provider app and backend are merged but not yet reachable from the customer app — “Bike Delivery” still shows “Coming soon.”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truck tier selection step (Normal / Economy / Comfort) was removed from the booking flow since it had no effect on fare or matching — customers now move directly from address entry to trip details. A tier system that genuinely changes price or vehicle assignment can be reintroduced later if needed.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Card payment still requires a confirmation signal from Paystack to fully secure funds — the receiver for this signal is carried over from the previous period and is not yet built.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Earnings balance on the driver Earnings screen and the balance shown during withdrawal still pull from different sources — carried over, to be unified.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Face verification, driver support chat, and the withdrawal transaction PIN remain visual-only, without a real check behind them — carried over.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dispatch provider app has not yet been build-verified on a physical device in this environment (its Android build was blocked only by a missing internet connection for a Gradle download, not by any code issue).</w:t>
      </w:r>
    </w:p>
    <w:p>
      <w:pPr>
        <w:spacing w:before="360"/>
      </w:pPr>
    </w:p>
    <w:p>
      <w:pPr>
        <w:pBdr>
          <w:top w:val="single" w:color="B0D4BD" w:sz="4" w:space="4"/>
        </w:pBdr>
        <w:spacing w:before="2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Prepared by: Moses</w:t>
      </w:r>
    </w:p>
    <w:p>
      <w:r>
        <w:rPr>
          <w:rFonts w:ascii="Arial" w:cs="Arial" w:eastAsia="Arial" w:hAnsi="Arial"/>
          <w:color w:val="555555"/>
          <w:sz w:val="20"/>
          <w:szCs w:val="20"/>
        </w:rPr>
        <w:t xml:space="preserve">Report Date: July 6, 2026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6B3A" w:sz="6" w:space="4"/>
      </w:pBdr>
      <w:tabs>
        <w:tab w:val="right" w:pos="9026"/>
      </w:tabs>
    </w:pPr>
    <w:r>
      <w:rPr>
        <w:rFonts w:ascii="Arial" w:cs="Arial" w:eastAsia="Arial" w:hAnsi="Arial"/>
        <w:color w:val="555555"/>
        <w:sz w:val="18"/>
        <w:szCs w:val="18"/>
      </w:rPr>
      <w:t xml:space="preserve">	Page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55555"/>
        <w:sz w:val="18"/>
        <w:szCs w:val="18"/>
      </w:rPr>
      <w:t xml:space="preserve"> of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6B3A" w:sz="6" w:space="4"/>
      </w:pBdr>
      <w:tabs>
        <w:tab w:val="right" w:pos="9026"/>
      </w:tabs>
    </w:pPr>
    <w:r>
      <w:rPr>
        <w:rFonts w:ascii="Arial" w:cs="Arial" w:eastAsia="Arial" w:hAnsi="Arial"/>
        <w:b/>
        <w:bCs/>
        <w:color w:val="1A6B3A"/>
        <w:sz w:val="20"/>
        <w:szCs w:val="20"/>
      </w:rPr>
      <w:t xml:space="preserve">Work Report for July 6</w:t>
    </w:r>
    <w:r>
      <w:rPr>
        <w:rFonts w:ascii="Arial" w:cs="Arial" w:eastAsia="Arial" w:hAnsi="Arial"/>
        <w:color w:val="555555"/>
        <w:sz w:val="20"/>
        <w:szCs w:val="20"/>
      </w:rPr>
      <w:t xml:space="preserve">	Confidential — Internal Use Only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2026-07-06T09:11:43.722Z</dcterms:created>
  <dcterms:modified xsi:type="dcterms:W3CDTF">2026-07-06T09:11:43.723Z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