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BDA" w:rsidRDefault="003C3C11">
      <w:pPr>
        <w:rPr>
          <w:b/>
        </w:rPr>
      </w:pPr>
      <w:r w:rsidRPr="003C3C11">
        <w:rPr>
          <w:b/>
        </w:rPr>
        <w:t>On</w:t>
      </w:r>
      <w:r>
        <w:rPr>
          <w:b/>
        </w:rPr>
        <w:t xml:space="preserve"> </w:t>
      </w:r>
      <w:r w:rsidRPr="003C3C11">
        <w:rPr>
          <w:b/>
        </w:rPr>
        <w:t xml:space="preserve">Board </w:t>
      </w:r>
      <w:r w:rsidR="002D0C6B">
        <w:rPr>
          <w:b/>
        </w:rPr>
        <w:t xml:space="preserve">S- Band </w:t>
      </w:r>
      <w:r w:rsidRPr="003C3C11">
        <w:rPr>
          <w:b/>
        </w:rPr>
        <w:t xml:space="preserve">Patch Antenna Selection </w:t>
      </w:r>
    </w:p>
    <w:p w:rsidR="003C3C11" w:rsidRDefault="00710B4B">
      <w:r>
        <w:t>The following key features were considered</w:t>
      </w:r>
      <w:r w:rsidR="003C3C11">
        <w:t xml:space="preserve"> when selecting a preliminary Patch antenna:</w:t>
      </w:r>
    </w:p>
    <w:p w:rsidR="003C3C11" w:rsidRDefault="00710B4B" w:rsidP="00710B4B">
      <w:pPr>
        <w:pStyle w:val="ListParagraph"/>
        <w:numPr>
          <w:ilvl w:val="0"/>
          <w:numId w:val="1"/>
        </w:numPr>
      </w:pPr>
      <w:r>
        <w:t>center frequency gain</w:t>
      </w:r>
    </w:p>
    <w:p w:rsidR="00710B4B" w:rsidRDefault="00710B4B" w:rsidP="00710B4B">
      <w:pPr>
        <w:pStyle w:val="ListParagraph"/>
        <w:numPr>
          <w:ilvl w:val="0"/>
          <w:numId w:val="1"/>
        </w:numPr>
      </w:pPr>
      <w:r>
        <w:t>beam width</w:t>
      </w:r>
    </w:p>
    <w:p w:rsidR="009D4A16" w:rsidRDefault="002D0C6B" w:rsidP="00006B53">
      <w:pPr>
        <w:pStyle w:val="ListParagraph"/>
        <w:numPr>
          <w:ilvl w:val="0"/>
          <w:numId w:val="1"/>
        </w:numPr>
      </w:pPr>
      <w:r>
        <w:t>mass</w:t>
      </w:r>
    </w:p>
    <w:p w:rsidR="002D0C6B" w:rsidRDefault="006D1D85" w:rsidP="002D0C6B">
      <w:r>
        <w:tab/>
      </w:r>
      <w:r w:rsidR="002D0C6B">
        <w:t xml:space="preserve">Center frequency gain was the most important consideration since it </w:t>
      </w:r>
      <w:r>
        <w:t xml:space="preserve">contributes to the power at the receiving antenna, which effects the Signal to Noise numerator of our system and thus, directly effects the data rate. </w:t>
      </w:r>
      <w:r w:rsidR="009D4A16">
        <w:t xml:space="preserve">Beam width and mass were treated more as limitations, </w:t>
      </w:r>
      <w:r w:rsidR="00F76C97">
        <w:t xml:space="preserve">since </w:t>
      </w:r>
      <w:r w:rsidR="009D4A16">
        <w:t>we were given maximum pointing requirements and a mass budget</w:t>
      </w:r>
      <w:r w:rsidR="00F76C97">
        <w:t xml:space="preserve"> from respective subsystems. </w:t>
      </w:r>
      <w:r w:rsidR="002D0C6B">
        <w:t>Table 1: Summary of S-Band patch antennas key features</w:t>
      </w:r>
    </w:p>
    <w:tbl>
      <w:tblPr>
        <w:tblStyle w:val="TableGrid"/>
        <w:tblW w:w="10031" w:type="dxa"/>
        <w:tblLayout w:type="fixed"/>
        <w:tblLook w:val="04A0"/>
      </w:tblPr>
      <w:tblGrid>
        <w:gridCol w:w="1435"/>
        <w:gridCol w:w="1508"/>
        <w:gridCol w:w="1843"/>
        <w:gridCol w:w="1701"/>
        <w:gridCol w:w="3544"/>
      </w:tblGrid>
      <w:tr w:rsidR="00006B53" w:rsidTr="00006B53">
        <w:tc>
          <w:tcPr>
            <w:tcW w:w="1435" w:type="dxa"/>
          </w:tcPr>
          <w:p w:rsidR="00006B53" w:rsidRDefault="00006B53" w:rsidP="00710B4B">
            <w:r>
              <w:t>Company</w:t>
            </w:r>
          </w:p>
        </w:tc>
        <w:tc>
          <w:tcPr>
            <w:tcW w:w="1508" w:type="dxa"/>
          </w:tcPr>
          <w:p w:rsidR="00006B53" w:rsidRDefault="00006B53" w:rsidP="00710B4B">
            <w:r>
              <w:t>Center frequency  gain (</w:t>
            </w:r>
            <w:proofErr w:type="spellStart"/>
            <w:r>
              <w:t>dBi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:rsidR="00006B53" w:rsidRDefault="00006B53" w:rsidP="00710B4B">
            <w:r>
              <w:t>Beam Width (deg)</w:t>
            </w:r>
          </w:p>
        </w:tc>
        <w:tc>
          <w:tcPr>
            <w:tcW w:w="1701" w:type="dxa"/>
          </w:tcPr>
          <w:p w:rsidR="00006B53" w:rsidRDefault="00006B53" w:rsidP="00F76C97">
            <w:r>
              <w:t>Mass (g)</w:t>
            </w:r>
          </w:p>
        </w:tc>
        <w:tc>
          <w:tcPr>
            <w:tcW w:w="3544" w:type="dxa"/>
          </w:tcPr>
          <w:p w:rsidR="00006B53" w:rsidRDefault="00006B53" w:rsidP="00710B4B">
            <w:r>
              <w:t>Website</w:t>
            </w:r>
          </w:p>
        </w:tc>
      </w:tr>
      <w:tr w:rsidR="00006B53" w:rsidTr="00006B53">
        <w:tc>
          <w:tcPr>
            <w:tcW w:w="1435" w:type="dxa"/>
          </w:tcPr>
          <w:p w:rsidR="00006B53" w:rsidRDefault="00006B53" w:rsidP="00710B4B">
            <w:proofErr w:type="spellStart"/>
            <w:r>
              <w:t>EnduroSat</w:t>
            </w:r>
            <w:proofErr w:type="spellEnd"/>
          </w:p>
        </w:tc>
        <w:tc>
          <w:tcPr>
            <w:tcW w:w="1508" w:type="dxa"/>
          </w:tcPr>
          <w:p w:rsidR="00006B53" w:rsidRDefault="00006B53" w:rsidP="00710B4B">
            <w:r>
              <w:t>8.3</w:t>
            </w:r>
          </w:p>
        </w:tc>
        <w:tc>
          <w:tcPr>
            <w:tcW w:w="1843" w:type="dxa"/>
          </w:tcPr>
          <w:p w:rsidR="00006B53" w:rsidRDefault="00006B53" w:rsidP="00710B4B">
            <w:r>
              <w:t>71</w:t>
            </w:r>
          </w:p>
        </w:tc>
        <w:tc>
          <w:tcPr>
            <w:tcW w:w="1701" w:type="dxa"/>
          </w:tcPr>
          <w:p w:rsidR="00006B53" w:rsidRDefault="00006B53" w:rsidP="00710B4B">
            <w:r>
              <w:t>64</w:t>
            </w:r>
          </w:p>
        </w:tc>
        <w:tc>
          <w:tcPr>
            <w:tcW w:w="3544" w:type="dxa"/>
          </w:tcPr>
          <w:p w:rsidR="00006B53" w:rsidRDefault="00006B53" w:rsidP="00710B4B">
            <w:r w:rsidRPr="002D0C6B">
              <w:t>https://www.endurosat.com/products/cubesat-s-band-patch-antenna/</w:t>
            </w:r>
          </w:p>
        </w:tc>
      </w:tr>
      <w:tr w:rsidR="00006B53" w:rsidTr="00006B53">
        <w:tc>
          <w:tcPr>
            <w:tcW w:w="1435" w:type="dxa"/>
          </w:tcPr>
          <w:p w:rsidR="00006B53" w:rsidRDefault="00006B53" w:rsidP="00710B4B">
            <w:proofErr w:type="spellStart"/>
            <w:r>
              <w:t>NanoAvionics</w:t>
            </w:r>
            <w:proofErr w:type="spellEnd"/>
          </w:p>
        </w:tc>
        <w:tc>
          <w:tcPr>
            <w:tcW w:w="1508" w:type="dxa"/>
          </w:tcPr>
          <w:p w:rsidR="00006B53" w:rsidRDefault="00006B53" w:rsidP="002D0C6B">
            <w:pPr>
              <w:tabs>
                <w:tab w:val="left" w:pos="870"/>
              </w:tabs>
            </w:pPr>
            <w:r>
              <w:t>6</w:t>
            </w:r>
          </w:p>
        </w:tc>
        <w:tc>
          <w:tcPr>
            <w:tcW w:w="1843" w:type="dxa"/>
          </w:tcPr>
          <w:p w:rsidR="00006B53" w:rsidRDefault="00006B53" w:rsidP="00710B4B">
            <w:r>
              <w:t>40</w:t>
            </w:r>
          </w:p>
        </w:tc>
        <w:tc>
          <w:tcPr>
            <w:tcW w:w="1701" w:type="dxa"/>
          </w:tcPr>
          <w:p w:rsidR="00006B53" w:rsidRDefault="00006B53" w:rsidP="00710B4B">
            <w:r>
              <w:t>49</w:t>
            </w:r>
          </w:p>
        </w:tc>
        <w:tc>
          <w:tcPr>
            <w:tcW w:w="3544" w:type="dxa"/>
          </w:tcPr>
          <w:p w:rsidR="00006B53" w:rsidRDefault="00006B53" w:rsidP="00710B4B">
            <w:r w:rsidRPr="002D0C6B">
              <w:t>https://n-avionics.com/subsystems/cubesat-s-band-patch-antenna/</w:t>
            </w:r>
          </w:p>
        </w:tc>
      </w:tr>
      <w:tr w:rsidR="00006B53" w:rsidTr="00006B53">
        <w:tc>
          <w:tcPr>
            <w:tcW w:w="1435" w:type="dxa"/>
          </w:tcPr>
          <w:p w:rsidR="00006B53" w:rsidRDefault="00006B53" w:rsidP="00710B4B">
            <w:proofErr w:type="spellStart"/>
            <w:r>
              <w:t>CubeSatShop</w:t>
            </w:r>
            <w:proofErr w:type="spellEnd"/>
          </w:p>
        </w:tc>
        <w:tc>
          <w:tcPr>
            <w:tcW w:w="1508" w:type="dxa"/>
          </w:tcPr>
          <w:p w:rsidR="00006B53" w:rsidRDefault="00006B53" w:rsidP="00710B4B">
            <w:r>
              <w:t>6</w:t>
            </w:r>
          </w:p>
        </w:tc>
        <w:tc>
          <w:tcPr>
            <w:tcW w:w="1843" w:type="dxa"/>
          </w:tcPr>
          <w:p w:rsidR="00006B53" w:rsidRDefault="00006B53" w:rsidP="00710B4B">
            <w:r>
              <w:t>85</w:t>
            </w:r>
          </w:p>
        </w:tc>
        <w:tc>
          <w:tcPr>
            <w:tcW w:w="1701" w:type="dxa"/>
          </w:tcPr>
          <w:p w:rsidR="00006B53" w:rsidRDefault="00006B53" w:rsidP="00710B4B">
            <w:r>
              <w:t>72</w:t>
            </w:r>
          </w:p>
        </w:tc>
        <w:tc>
          <w:tcPr>
            <w:tcW w:w="3544" w:type="dxa"/>
          </w:tcPr>
          <w:p w:rsidR="00006B53" w:rsidRDefault="00006B53" w:rsidP="00710B4B">
            <w:r w:rsidRPr="002D0C6B">
              <w:t>https://www.cubesatshop.com/product/s-band-patch-antenna-rhcp-hispico/</w:t>
            </w:r>
          </w:p>
        </w:tc>
      </w:tr>
    </w:tbl>
    <w:p w:rsidR="00710B4B" w:rsidRDefault="00710B4B" w:rsidP="00710B4B"/>
    <w:p w:rsidR="00710B4B" w:rsidRDefault="00951838" w:rsidP="00710B4B">
      <w:r>
        <w:tab/>
      </w:r>
      <w:r w:rsidR="006D1D85">
        <w:t xml:space="preserve">The selected Patch antenna is the </w:t>
      </w:r>
      <w:proofErr w:type="spellStart"/>
      <w:r w:rsidR="006D1D85">
        <w:t>Cubesat</w:t>
      </w:r>
      <w:proofErr w:type="spellEnd"/>
      <w:r w:rsidR="006D1D85">
        <w:t xml:space="preserve"> S-band Patch Antenna made by </w:t>
      </w:r>
      <w:proofErr w:type="spellStart"/>
      <w:r w:rsidR="006D1D85">
        <w:t>EnduroSat</w:t>
      </w:r>
      <w:proofErr w:type="spellEnd"/>
      <w:r w:rsidR="006D1D85">
        <w:t xml:space="preserve">. This antenna was chosen over other </w:t>
      </w:r>
      <w:r w:rsidR="009D4A16">
        <w:t>candidates</w:t>
      </w:r>
      <w:r w:rsidR="006D1D85">
        <w:t xml:space="preserve"> mainly for its superior center frequency gain.</w:t>
      </w:r>
      <w:r>
        <w:t xml:space="preserve">. With this antenna selected, the total mass of the transceiver and antenna comes out to 254 g. When comparing total mass to our allotted mass budget (5% of 3.6g=180g), It appears this selection oversteps our budget. However, after discussion with a member of the structural team, it has been decided that this mass overshoot is justified, since the currently selected parts in the model puts the mass of the </w:t>
      </w:r>
      <w:proofErr w:type="spellStart"/>
      <w:r>
        <w:t>CubeSat</w:t>
      </w:r>
      <w:proofErr w:type="spellEnd"/>
      <w:r>
        <w:t xml:space="preserve"> well below 3.6 kg.</w:t>
      </w:r>
    </w:p>
    <w:p w:rsidR="00E802EF" w:rsidRDefault="00E802EF" w:rsidP="00E802EF">
      <w:pPr>
        <w:jc w:val="center"/>
      </w:pPr>
    </w:p>
    <w:p w:rsidR="0067662F" w:rsidRDefault="0067662F" w:rsidP="00E802EF">
      <w:pPr>
        <w:jc w:val="center"/>
      </w:pPr>
    </w:p>
    <w:p w:rsidR="0067662F" w:rsidRDefault="0067662F" w:rsidP="00E802EF">
      <w:pPr>
        <w:jc w:val="center"/>
      </w:pPr>
    </w:p>
    <w:p w:rsidR="0067662F" w:rsidRDefault="0067662F" w:rsidP="00E802EF">
      <w:pPr>
        <w:jc w:val="center"/>
      </w:pPr>
    </w:p>
    <w:p w:rsidR="0067662F" w:rsidRDefault="0067662F" w:rsidP="00E802EF">
      <w:pPr>
        <w:jc w:val="center"/>
      </w:pPr>
    </w:p>
    <w:p w:rsidR="0067662F" w:rsidRDefault="0067662F" w:rsidP="00E802EF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>
            <wp:extent cx="4215765" cy="344360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765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2F" w:rsidRDefault="0067662F" w:rsidP="00E802EF">
      <w:pPr>
        <w:jc w:val="center"/>
      </w:pPr>
      <w:r>
        <w:t>Figure 1: Top Side</w:t>
      </w:r>
    </w:p>
    <w:p w:rsidR="00E802EF" w:rsidRDefault="0067662F" w:rsidP="00E802EF">
      <w:pPr>
        <w:jc w:val="center"/>
      </w:pPr>
      <w:r>
        <w:rPr>
          <w:noProof/>
          <w:lang w:eastAsia="en-CA"/>
        </w:rPr>
        <w:drawing>
          <wp:inline distT="0" distB="0" distL="0" distR="0">
            <wp:extent cx="4775531" cy="2980707"/>
            <wp:effectExtent l="19050" t="0" r="6019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869" cy="298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2F" w:rsidRDefault="0067662F" w:rsidP="00E802EF">
      <w:pPr>
        <w:jc w:val="center"/>
      </w:pPr>
      <w:r>
        <w:t>Figure 2: Bottom Side</w:t>
      </w:r>
    </w:p>
    <w:p w:rsidR="00E802EF" w:rsidRDefault="0067662F" w:rsidP="00710B4B">
      <w:r>
        <w:rPr>
          <w:noProof/>
          <w:lang w:eastAsia="en-CA"/>
        </w:rPr>
        <w:lastRenderedPageBreak/>
        <w:drawing>
          <wp:inline distT="0" distB="0" distL="0" distR="0">
            <wp:extent cx="5943600" cy="302323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3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62F" w:rsidRPr="003C3C11" w:rsidRDefault="0067662F" w:rsidP="0067662F">
      <w:pPr>
        <w:jc w:val="center"/>
      </w:pPr>
      <w:r>
        <w:t>Figure 3: Measured Return Loss of Antenna</w:t>
      </w:r>
    </w:p>
    <w:sectPr w:rsidR="0067662F" w:rsidRPr="003C3C11" w:rsidSect="00B71B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BE04C9"/>
    <w:multiLevelType w:val="hybridMultilevel"/>
    <w:tmpl w:val="106EB1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3C3C11"/>
    <w:rsid w:val="00006B53"/>
    <w:rsid w:val="001F47D6"/>
    <w:rsid w:val="002D0C6B"/>
    <w:rsid w:val="003C3C11"/>
    <w:rsid w:val="0067662F"/>
    <w:rsid w:val="006D1D85"/>
    <w:rsid w:val="00710B4B"/>
    <w:rsid w:val="0075595C"/>
    <w:rsid w:val="00951838"/>
    <w:rsid w:val="009D4A16"/>
    <w:rsid w:val="00B71BDA"/>
    <w:rsid w:val="00E802EF"/>
    <w:rsid w:val="00F76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B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C11"/>
    <w:pPr>
      <w:ind w:left="720"/>
      <w:contextualSpacing/>
    </w:pPr>
  </w:style>
  <w:style w:type="table" w:styleId="TableGrid">
    <w:name w:val="Table Grid"/>
    <w:basedOn w:val="TableNormal"/>
    <w:uiPriority w:val="39"/>
    <w:rsid w:val="00710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02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2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Rea</dc:creator>
  <cp:lastModifiedBy>Daniel Rea</cp:lastModifiedBy>
  <cp:revision>3</cp:revision>
  <dcterms:created xsi:type="dcterms:W3CDTF">2018-12-07T21:02:00Z</dcterms:created>
  <dcterms:modified xsi:type="dcterms:W3CDTF">2018-12-07T21:14:00Z</dcterms:modified>
</cp:coreProperties>
</file>