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6FAD8" w14:textId="4B77F5BF" w:rsidR="00B476C2" w:rsidRDefault="00B476C2" w:rsidP="008270A6">
      <w:pPr>
        <w:jc w:val="center"/>
      </w:pPr>
    </w:p>
    <w:p w14:paraId="541B7B80" w14:textId="3D5DB28B" w:rsidR="008270A6" w:rsidRDefault="008270A6" w:rsidP="008270A6">
      <w:pPr>
        <w:jc w:val="center"/>
      </w:pPr>
    </w:p>
    <w:p w14:paraId="4E975E8E" w14:textId="2013422F" w:rsidR="008270A6" w:rsidRDefault="008270A6" w:rsidP="008270A6">
      <w:pPr>
        <w:jc w:val="center"/>
      </w:pPr>
    </w:p>
    <w:p w14:paraId="1DDEBB53" w14:textId="04C5261D" w:rsidR="008270A6" w:rsidRDefault="008270A6" w:rsidP="008270A6">
      <w:pPr>
        <w:jc w:val="center"/>
      </w:pPr>
    </w:p>
    <w:p w14:paraId="1A53DA8A" w14:textId="1DF395DC" w:rsidR="008270A6" w:rsidRDefault="008270A6" w:rsidP="008270A6">
      <w:pPr>
        <w:jc w:val="center"/>
      </w:pPr>
    </w:p>
    <w:p w14:paraId="24C8D577" w14:textId="144D1275" w:rsidR="008270A6" w:rsidRDefault="008270A6" w:rsidP="008270A6">
      <w:pPr>
        <w:jc w:val="center"/>
        <w:rPr>
          <w:sz w:val="96"/>
          <w:szCs w:val="96"/>
        </w:rPr>
      </w:pPr>
      <w:r>
        <w:rPr>
          <w:sz w:val="96"/>
          <w:szCs w:val="96"/>
        </w:rPr>
        <w:t>Ukpik-1</w:t>
      </w:r>
    </w:p>
    <w:p w14:paraId="6BC9C753" w14:textId="06AB010A" w:rsidR="008270A6" w:rsidRDefault="008A3282" w:rsidP="008270A6">
      <w:pPr>
        <w:jc w:val="center"/>
        <w:rPr>
          <w:i/>
          <w:iCs/>
          <w:color w:val="FF0000"/>
          <w:sz w:val="48"/>
          <w:szCs w:val="48"/>
        </w:rPr>
      </w:pPr>
      <w:r>
        <w:rPr>
          <w:i/>
          <w:iCs/>
          <w:color w:val="FF0000"/>
          <w:sz w:val="48"/>
          <w:szCs w:val="48"/>
        </w:rPr>
        <w:t>Power Analysis</w:t>
      </w:r>
    </w:p>
    <w:p w14:paraId="53BB8369" w14:textId="5BAD26D7" w:rsidR="008270A6" w:rsidRDefault="008270A6" w:rsidP="008270A6">
      <w:pPr>
        <w:jc w:val="center"/>
        <w:rPr>
          <w:i/>
          <w:iCs/>
          <w:color w:val="FF0000"/>
          <w:sz w:val="48"/>
          <w:szCs w:val="48"/>
        </w:rPr>
      </w:pPr>
    </w:p>
    <w:p w14:paraId="1CB7DBD3" w14:textId="19DFDA91" w:rsidR="008270A6" w:rsidRPr="008270A6" w:rsidRDefault="008270A6" w:rsidP="008270A6">
      <w:pPr>
        <w:rPr>
          <w:i/>
          <w:iCs/>
          <w:color w:val="FF0000"/>
          <w:sz w:val="24"/>
          <w:szCs w:val="24"/>
        </w:rPr>
      </w:pPr>
      <w:r w:rsidRPr="008270A6">
        <w:rPr>
          <w:sz w:val="24"/>
          <w:szCs w:val="24"/>
        </w:rPr>
        <w:t>REVISION NUMBER:</w:t>
      </w:r>
      <w:r>
        <w:rPr>
          <w:i/>
          <w:iCs/>
          <w:sz w:val="24"/>
          <w:szCs w:val="24"/>
        </w:rPr>
        <w:t xml:space="preserve"> </w:t>
      </w:r>
      <w:r>
        <w:rPr>
          <w:i/>
          <w:iCs/>
          <w:color w:val="FF0000"/>
          <w:sz w:val="24"/>
          <w:szCs w:val="24"/>
        </w:rPr>
        <w:t>0.1</w:t>
      </w:r>
    </w:p>
    <w:p w14:paraId="13F7844F" w14:textId="5D51EC20" w:rsidR="008270A6" w:rsidRPr="008270A6" w:rsidRDefault="008270A6" w:rsidP="008270A6">
      <w:pPr>
        <w:rPr>
          <w:sz w:val="24"/>
          <w:szCs w:val="24"/>
        </w:rPr>
      </w:pPr>
      <w:r w:rsidRPr="008270A6">
        <w:rPr>
          <w:sz w:val="24"/>
          <w:szCs w:val="24"/>
        </w:rPr>
        <w:t>DATE:</w:t>
      </w:r>
      <w:r>
        <w:rPr>
          <w:sz w:val="24"/>
          <w:szCs w:val="24"/>
        </w:rPr>
        <w:t xml:space="preserve"> </w:t>
      </w:r>
      <w:r w:rsidR="00CC1B20">
        <w:rPr>
          <w:i/>
          <w:iCs/>
          <w:color w:val="FF0000"/>
          <w:sz w:val="24"/>
          <w:szCs w:val="24"/>
        </w:rPr>
        <w:t>2020</w:t>
      </w:r>
      <w:r w:rsidRPr="008270A6">
        <w:rPr>
          <w:i/>
          <w:iCs/>
          <w:color w:val="FF0000"/>
          <w:sz w:val="24"/>
          <w:szCs w:val="24"/>
        </w:rPr>
        <w:t>-</w:t>
      </w:r>
      <w:r w:rsidR="00CC1B20">
        <w:rPr>
          <w:i/>
          <w:iCs/>
          <w:color w:val="FF0000"/>
          <w:sz w:val="24"/>
          <w:szCs w:val="24"/>
        </w:rPr>
        <w:t>08</w:t>
      </w:r>
      <w:r w:rsidRPr="008270A6">
        <w:rPr>
          <w:i/>
          <w:iCs/>
          <w:color w:val="FF0000"/>
          <w:sz w:val="24"/>
          <w:szCs w:val="24"/>
        </w:rPr>
        <w:t>-</w:t>
      </w:r>
      <w:r w:rsidR="00CC1B20">
        <w:rPr>
          <w:i/>
          <w:iCs/>
          <w:color w:val="FF0000"/>
          <w:sz w:val="24"/>
          <w:szCs w:val="24"/>
        </w:rPr>
        <w:t>28</w:t>
      </w:r>
    </w:p>
    <w:p w14:paraId="33EB9719" w14:textId="1FBC10DA" w:rsidR="008270A6" w:rsidRDefault="00455052" w:rsidP="00455052">
      <w:pPr>
        <w:tabs>
          <w:tab w:val="left" w:pos="2505"/>
        </w:tabs>
        <w:rPr>
          <w:i/>
          <w:iCs/>
          <w:color w:val="FF0000"/>
          <w:sz w:val="24"/>
          <w:szCs w:val="24"/>
        </w:rPr>
      </w:pPr>
      <w:r>
        <w:rPr>
          <w:sz w:val="24"/>
          <w:szCs w:val="24"/>
        </w:rPr>
        <w:t>COMPILED</w:t>
      </w:r>
      <w:r w:rsidR="008270A6" w:rsidRPr="008270A6">
        <w:rPr>
          <w:sz w:val="24"/>
          <w:szCs w:val="24"/>
        </w:rPr>
        <w:t xml:space="preserve"> BY:</w:t>
      </w:r>
      <w:r w:rsidR="008270A6">
        <w:rPr>
          <w:sz w:val="24"/>
          <w:szCs w:val="24"/>
        </w:rPr>
        <w:t xml:space="preserve"> </w:t>
      </w:r>
      <w:r w:rsidR="008A3282">
        <w:rPr>
          <w:i/>
          <w:iCs/>
          <w:color w:val="FF0000"/>
          <w:sz w:val="24"/>
          <w:szCs w:val="24"/>
        </w:rPr>
        <w:t>Ashwin Singh</w:t>
      </w:r>
      <w:r>
        <w:rPr>
          <w:i/>
          <w:iCs/>
          <w:color w:val="FF0000"/>
          <w:sz w:val="24"/>
          <w:szCs w:val="24"/>
        </w:rPr>
        <w:tab/>
      </w:r>
    </w:p>
    <w:p w14:paraId="2DE89921" w14:textId="2D56D57C" w:rsidR="00455052" w:rsidRDefault="00455052" w:rsidP="00455052">
      <w:pPr>
        <w:rPr>
          <w:i/>
          <w:iCs/>
          <w:color w:val="FF0000"/>
          <w:sz w:val="24"/>
          <w:szCs w:val="24"/>
        </w:rPr>
      </w:pPr>
      <w:r>
        <w:rPr>
          <w:sz w:val="24"/>
          <w:szCs w:val="24"/>
        </w:rPr>
        <w:t>CONTRIBUTIONS FROM</w:t>
      </w:r>
      <w:r w:rsidRPr="008270A6">
        <w:rPr>
          <w:sz w:val="24"/>
          <w:szCs w:val="24"/>
        </w:rPr>
        <w:t>:</w:t>
      </w:r>
      <w:r>
        <w:rPr>
          <w:sz w:val="24"/>
          <w:szCs w:val="24"/>
        </w:rPr>
        <w:t xml:space="preserve"> </w:t>
      </w:r>
      <w:r w:rsidR="008A3282">
        <w:rPr>
          <w:i/>
          <w:iCs/>
          <w:color w:val="FF0000"/>
          <w:sz w:val="24"/>
          <w:szCs w:val="24"/>
        </w:rPr>
        <w:t xml:space="preserve">Bryan </w:t>
      </w:r>
      <w:proofErr w:type="spellStart"/>
      <w:r w:rsidR="008A3282">
        <w:rPr>
          <w:i/>
          <w:iCs/>
          <w:color w:val="FF0000"/>
          <w:sz w:val="24"/>
          <w:szCs w:val="24"/>
        </w:rPr>
        <w:t>Southwell</w:t>
      </w:r>
      <w:proofErr w:type="spellEnd"/>
    </w:p>
    <w:p w14:paraId="5D30D632" w14:textId="77777777" w:rsidR="00455052" w:rsidRDefault="00455052" w:rsidP="00455052">
      <w:pPr>
        <w:tabs>
          <w:tab w:val="left" w:pos="2505"/>
        </w:tabs>
        <w:rPr>
          <w:i/>
          <w:iCs/>
          <w:color w:val="FF0000"/>
          <w:sz w:val="24"/>
          <w:szCs w:val="24"/>
        </w:rPr>
        <w:sectPr w:rsidR="00455052">
          <w:headerReference w:type="default" r:id="rId8"/>
          <w:footerReference w:type="default" r:id="rId9"/>
          <w:pgSz w:w="12240" w:h="15840"/>
          <w:pgMar w:top="1440" w:right="1440" w:bottom="1440" w:left="1440" w:header="708" w:footer="708" w:gutter="0"/>
          <w:cols w:space="708"/>
          <w:docGrid w:linePitch="360"/>
        </w:sectPr>
      </w:pPr>
    </w:p>
    <w:p w14:paraId="7FD6483A" w14:textId="2DFF77F0" w:rsidR="009A4CCC" w:rsidRPr="00CC1B20" w:rsidRDefault="009A4CCC" w:rsidP="009A4CCC">
      <w:pPr>
        <w:pStyle w:val="Heading1"/>
        <w:rPr>
          <w:b/>
          <w:bCs/>
          <w:color w:val="FF0000"/>
        </w:rPr>
      </w:pPr>
      <w:bookmarkStart w:id="0" w:name="_Toc46068749"/>
      <w:r w:rsidRPr="00CC1B20">
        <w:rPr>
          <w:b/>
          <w:bCs/>
          <w:color w:val="FF0000"/>
        </w:rPr>
        <w:lastRenderedPageBreak/>
        <w:t>Power Analysis</w:t>
      </w:r>
      <w:bookmarkEnd w:id="0"/>
    </w:p>
    <w:p w14:paraId="276C2556" w14:textId="57FBA5EB" w:rsidR="008A3282" w:rsidRDefault="008A3282" w:rsidP="008A3282">
      <w:pPr>
        <w:jc w:val="center"/>
        <w:rPr>
          <w:i/>
          <w:iCs/>
          <w:color w:val="FF0000"/>
        </w:rPr>
      </w:pPr>
      <w:r>
        <w:rPr>
          <w:noProof/>
        </w:rPr>
        <w:drawing>
          <wp:inline distT="0" distB="0" distL="0" distR="0" wp14:anchorId="73F92F46" wp14:editId="39978B63">
            <wp:extent cx="2438400" cy="16881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6783" cy="1728542"/>
                    </a:xfrm>
                    <a:prstGeom prst="rect">
                      <a:avLst/>
                    </a:prstGeom>
                  </pic:spPr>
                </pic:pic>
              </a:graphicData>
            </a:graphic>
          </wp:inline>
        </w:drawing>
      </w:r>
      <w:r>
        <w:rPr>
          <w:noProof/>
        </w:rPr>
        <w:drawing>
          <wp:inline distT="0" distB="0" distL="0" distR="0" wp14:anchorId="373DE437" wp14:editId="5C68DA23">
            <wp:extent cx="2497016" cy="174711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7336" cy="1782319"/>
                    </a:xfrm>
                    <a:prstGeom prst="rect">
                      <a:avLst/>
                    </a:prstGeom>
                  </pic:spPr>
                </pic:pic>
              </a:graphicData>
            </a:graphic>
          </wp:inline>
        </w:drawing>
      </w:r>
    </w:p>
    <w:p w14:paraId="6C18FFF6" w14:textId="7ECEBB63" w:rsidR="008A3282" w:rsidRPr="008A3282" w:rsidRDefault="008A3282" w:rsidP="008A3282">
      <w:pPr>
        <w:rPr>
          <w:b/>
          <w:bCs/>
          <w:color w:val="FF0000"/>
        </w:rPr>
      </w:pPr>
      <w:r w:rsidRPr="008A3282">
        <w:rPr>
          <w:b/>
          <w:bCs/>
          <w:color w:val="FF0000"/>
        </w:rPr>
        <w:t>Overview of Worst-Case Power Production</w:t>
      </w:r>
    </w:p>
    <w:p w14:paraId="61E96FCC" w14:textId="3D4DE2E4" w:rsidR="008261B3" w:rsidRDefault="00695AA2" w:rsidP="00207DB6">
      <w:r>
        <w:t xml:space="preserve">The </w:t>
      </w:r>
      <w:proofErr w:type="spellStart"/>
      <w:r>
        <w:t>cubesat</w:t>
      </w:r>
      <w:proofErr w:type="spellEnd"/>
      <w:r>
        <w:t xml:space="preserve"> produces approximately 1600Wh of energy and consumes 1525Wh of energy during a one-month period in the worst-case scenario considering only a single solar panel and sun angles. There is a 4.68% margin which is a good start and shows that the </w:t>
      </w:r>
      <w:proofErr w:type="spellStart"/>
      <w:r>
        <w:t>cubesat</w:t>
      </w:r>
      <w:proofErr w:type="spellEnd"/>
      <w:r>
        <w:t xml:space="preserve"> is power positive. </w:t>
      </w:r>
      <w:r w:rsidR="00B15327">
        <w:t xml:space="preserve">Over the entire orbital period, the </w:t>
      </w:r>
      <w:proofErr w:type="spellStart"/>
      <w:r w:rsidR="00B15327">
        <w:t>cubesat</w:t>
      </w:r>
      <w:proofErr w:type="spellEnd"/>
      <w:r w:rsidR="00B15327">
        <w:t xml:space="preserve"> generates an excess of 75Wh of energy.</w:t>
      </w:r>
    </w:p>
    <w:p w14:paraId="075B92BD" w14:textId="1D2F349D" w:rsidR="00695AA2" w:rsidRDefault="00695AA2" w:rsidP="00207DB6">
      <w:proofErr w:type="gramStart"/>
      <w:r>
        <w:t>However</w:t>
      </w:r>
      <w:proofErr w:type="gramEnd"/>
      <w:r>
        <w:t xml:space="preserve"> on closer analysis of the satellite’s behavior on a per-orbit basis, it is evident that there </w:t>
      </w:r>
      <w:r w:rsidR="00B15327">
        <w:t>is a</w:t>
      </w:r>
      <w:r>
        <w:t xml:space="preserve"> period where the satellite </w:t>
      </w:r>
      <w:r w:rsidR="00B15327">
        <w:t xml:space="preserve">is in a power deficit for a prolonged period of time (183 consecutive orbits). During this time the satellite will consume more power than it can </w:t>
      </w:r>
      <w:proofErr w:type="gramStart"/>
      <w:r w:rsidR="00B15327">
        <w:t>generate</w:t>
      </w:r>
      <w:proofErr w:type="gramEnd"/>
      <w:r w:rsidR="00B15327">
        <w:t xml:space="preserve"> and its net energy production will cumulatively lower. To determine how much energy is required to counteract that deficit and keep the satellite in orbit for that period, it is necessary to track negative changes in net energy. Particularly during points when the satellite is producing less than zero watt-hours of energy. </w:t>
      </w:r>
    </w:p>
    <w:p w14:paraId="37021BAA" w14:textId="0AD82A3A" w:rsidR="008A3282" w:rsidRPr="008A3282" w:rsidRDefault="008A3282" w:rsidP="00207DB6">
      <w:pPr>
        <w:rPr>
          <w:b/>
          <w:bCs/>
          <w:color w:val="FF0000"/>
        </w:rPr>
      </w:pPr>
      <w:r w:rsidRPr="008A3282">
        <w:rPr>
          <w:b/>
          <w:bCs/>
          <w:color w:val="FF0000"/>
        </w:rPr>
        <w:t>Battery Capabilities Considering Worst-Case</w:t>
      </w:r>
    </w:p>
    <w:p w14:paraId="64435868" w14:textId="55B3BC96" w:rsidR="00B15327" w:rsidRDefault="00B15327" w:rsidP="00207DB6">
      <w:r>
        <w:t xml:space="preserve">From the simulation it is determined that approximately 40Wh of battery power is required to counteract the deficit. According to </w:t>
      </w:r>
      <w:proofErr w:type="spellStart"/>
      <w:r>
        <w:t>Endurosat’s</w:t>
      </w:r>
      <w:proofErr w:type="spellEnd"/>
      <w:r>
        <w:t xml:space="preserve"> EPS I datasheet, it can provide up to 20.4Wh of power. </w:t>
      </w:r>
      <w:proofErr w:type="gramStart"/>
      <w:r>
        <w:t>However</w:t>
      </w:r>
      <w:proofErr w:type="gramEnd"/>
      <w:r>
        <w:t xml:space="preserve"> keep in mind that this simulation considers the worst-case</w:t>
      </w:r>
      <w:r w:rsidR="008B5E12">
        <w:t xml:space="preserve">, thus the required battery power should be lower and closer to the capacity provided by EPS I. </w:t>
      </w:r>
    </w:p>
    <w:p w14:paraId="43FAB4E1" w14:textId="389B4397" w:rsidR="00B15327" w:rsidRDefault="00B15327" w:rsidP="00207DB6">
      <w:r>
        <w:t>Based on a power budget that considers the best case</w:t>
      </w:r>
      <w:r w:rsidR="008B5E12">
        <w:t xml:space="preserve"> (panel always faces sun perfectly)</w:t>
      </w:r>
      <w:r>
        <w:t xml:space="preserve">, the </w:t>
      </w:r>
      <w:proofErr w:type="spellStart"/>
      <w:r>
        <w:t>cubesat</w:t>
      </w:r>
      <w:proofErr w:type="spellEnd"/>
      <w:r>
        <w:t xml:space="preserve"> will produce an excess of 2Wh of energy per every orbit</w:t>
      </w:r>
      <w:r w:rsidR="008B5E12">
        <w:t xml:space="preserve"> per a single solar panel</w:t>
      </w:r>
      <w:r>
        <w:t>. Over the orbital period defined (720 orbits), it should generate 1440Wh of excess energy</w:t>
      </w:r>
      <w:r w:rsidR="008B5E12">
        <w:t xml:space="preserve"> and a total of 3168Wh of energy</w:t>
      </w:r>
      <w:r>
        <w:t xml:space="preserve">. </w:t>
      </w:r>
    </w:p>
    <w:p w14:paraId="0C02E26C" w14:textId="6C9568F4" w:rsidR="008B5E12" w:rsidRDefault="00B15327" w:rsidP="00207DB6">
      <w:r>
        <w:t xml:space="preserve">The </w:t>
      </w:r>
      <w:proofErr w:type="gramStart"/>
      <w:r>
        <w:t>worst and best case</w:t>
      </w:r>
      <w:proofErr w:type="gramEnd"/>
      <w:r>
        <w:t xml:space="preserve"> scenarios </w:t>
      </w:r>
      <w:r w:rsidR="008B5E12">
        <w:t xml:space="preserve">(considering one solar panel) </w:t>
      </w:r>
      <w:r>
        <w:t xml:space="preserve">produce 75Wh and 1440Wh of excess energy respectively. </w:t>
      </w:r>
    </w:p>
    <w:p w14:paraId="3AE85758" w14:textId="1345DCA7" w:rsidR="008A3282" w:rsidRPr="008A3282" w:rsidRDefault="008A3282" w:rsidP="00207DB6">
      <w:pPr>
        <w:rPr>
          <w:b/>
          <w:bCs/>
          <w:color w:val="FF0000"/>
        </w:rPr>
      </w:pPr>
      <w:r w:rsidRPr="008A3282">
        <w:rPr>
          <w:b/>
          <w:bCs/>
          <w:color w:val="FF0000"/>
        </w:rPr>
        <w:t>Estimating Realistic Outcome and Margins for Operation</w:t>
      </w:r>
    </w:p>
    <w:p w14:paraId="6020EF2B" w14:textId="757C1108" w:rsidR="008B5E12" w:rsidRDefault="00B15327" w:rsidP="00207DB6">
      <w:r>
        <w:t xml:space="preserve">A realistic analysis considering four solar panels should fall somewhere </w:t>
      </w:r>
      <w:r w:rsidR="008B5E12">
        <w:t>towards the higher end of this range and</w:t>
      </w:r>
      <w:r>
        <w:t xml:space="preserve"> provide a healthy margin for operation. </w:t>
      </w:r>
      <w:r w:rsidR="008B5E12">
        <w:t xml:space="preserve">Expecting a safe 20% margin given the satellite consumes 1525Wh of energy implies that it must generate 1830Wh of energy. </w:t>
      </w:r>
    </w:p>
    <w:p w14:paraId="33A64B48" w14:textId="15CE8856" w:rsidR="008B5E12" w:rsidRDefault="008B5E12" w:rsidP="008B5E12">
      <w:pPr>
        <w:pStyle w:val="ListParagraph"/>
        <w:numPr>
          <w:ilvl w:val="0"/>
          <w:numId w:val="2"/>
        </w:numPr>
      </w:pPr>
      <w:r>
        <w:t>Worst-Case Scenario: 1600Wh energy</w:t>
      </w:r>
    </w:p>
    <w:p w14:paraId="2F50F594" w14:textId="3E066465" w:rsidR="008B5E12" w:rsidRDefault="008B5E12" w:rsidP="008B5E12">
      <w:pPr>
        <w:pStyle w:val="ListParagraph"/>
        <w:numPr>
          <w:ilvl w:val="0"/>
          <w:numId w:val="2"/>
        </w:numPr>
      </w:pPr>
      <w:r>
        <w:t>Best-Case Scenario: 3168Wh energy</w:t>
      </w:r>
    </w:p>
    <w:p w14:paraId="16464C1D" w14:textId="416D74A2" w:rsidR="008B5E12" w:rsidRDefault="008B5E12" w:rsidP="008B5E12">
      <w:pPr>
        <w:pStyle w:val="ListParagraph"/>
        <w:numPr>
          <w:ilvl w:val="0"/>
          <w:numId w:val="2"/>
        </w:numPr>
      </w:pPr>
      <w:r>
        <w:lastRenderedPageBreak/>
        <w:t>Required Scenario: 1830Wh energy</w:t>
      </w:r>
    </w:p>
    <w:p w14:paraId="1F20467E" w14:textId="7343FADB" w:rsidR="008B5E12" w:rsidRDefault="008B5E12" w:rsidP="008B5E12">
      <w:r>
        <w:t>The required energy benchmark should be easily surpassed with the addition of more panels. This is possible since a single panel in the worst-case already comes close.</w:t>
      </w:r>
    </w:p>
    <w:p w14:paraId="51574D84" w14:textId="4A485146" w:rsidR="00B15327" w:rsidRDefault="00B15327" w:rsidP="00207DB6">
      <w:r>
        <w:t xml:space="preserve">Additionally, higher power production will mitigate the effects of the orbital deficit period and require less stored energy to keep the satellite running. </w:t>
      </w:r>
    </w:p>
    <w:p w14:paraId="26E24D0F" w14:textId="6ED41C33" w:rsidR="00B15327" w:rsidRPr="00695AA2" w:rsidRDefault="00B15327" w:rsidP="00207DB6">
      <w:r>
        <w:t xml:space="preserve">With those considerations in mind, the </w:t>
      </w:r>
      <w:proofErr w:type="spellStart"/>
      <w:r>
        <w:t>cubesat’s</w:t>
      </w:r>
      <w:proofErr w:type="spellEnd"/>
      <w:r>
        <w:t xml:space="preserve"> power system should keep it in orbit and power positive most of the time. Even if it is not power positive, the energy stored in its EPS unit should provide ample power to keep the satellite going. </w:t>
      </w:r>
    </w:p>
    <w:sectPr w:rsidR="00B15327" w:rsidRPr="00695AA2" w:rsidSect="00455052">
      <w:footerReference w:type="default" r:id="rId1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E80F2" w14:textId="77777777" w:rsidR="00A96141" w:rsidRDefault="00A96141" w:rsidP="008270A6">
      <w:pPr>
        <w:spacing w:after="0" w:line="240" w:lineRule="auto"/>
      </w:pPr>
      <w:r>
        <w:separator/>
      </w:r>
    </w:p>
  </w:endnote>
  <w:endnote w:type="continuationSeparator" w:id="0">
    <w:p w14:paraId="0E3A4B72" w14:textId="77777777" w:rsidR="00A96141" w:rsidRDefault="00A96141" w:rsidP="0082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AEE63" w14:textId="03DCE6EB" w:rsidR="00B15327" w:rsidRDefault="00B15327">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3EF77" w14:textId="1B5DD6DD" w:rsidR="00B15327" w:rsidRDefault="00B15327">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rsidRPr="00455052">
      <w:t xml:space="preserve"> of </w:t>
    </w:r>
    <w:r>
      <w:rPr>
        <w:b/>
        <w:bCs/>
      </w:rPr>
      <w:fldChar w:fldCharType="begin"/>
    </w:r>
    <w:r>
      <w:rPr>
        <w:b/>
        <w:bCs/>
      </w:rPr>
      <w:instrText xml:space="preserve"> SECTIONPAGES  \* Arabic  \* MERGEFORMAT </w:instrText>
    </w:r>
    <w:r>
      <w:rPr>
        <w:b/>
        <w:bCs/>
      </w:rPr>
      <w:fldChar w:fldCharType="separate"/>
    </w:r>
    <w:r w:rsidR="00CC1B20">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2042F" w14:textId="77777777" w:rsidR="00A96141" w:rsidRDefault="00A96141" w:rsidP="008270A6">
      <w:pPr>
        <w:spacing w:after="0" w:line="240" w:lineRule="auto"/>
      </w:pPr>
      <w:r>
        <w:separator/>
      </w:r>
    </w:p>
  </w:footnote>
  <w:footnote w:type="continuationSeparator" w:id="0">
    <w:p w14:paraId="0DEFB679" w14:textId="77777777" w:rsidR="00A96141" w:rsidRDefault="00A96141" w:rsidP="0082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7336C" w14:textId="1733A834" w:rsidR="00B15327" w:rsidRPr="008270A6" w:rsidRDefault="00B15327">
    <w:pPr>
      <w:pStyle w:val="Header"/>
      <w:rPr>
        <w:b/>
        <w:bCs/>
      </w:rPr>
    </w:pPr>
    <w:r w:rsidRPr="008270A6">
      <w:rPr>
        <w:b/>
        <w:bCs/>
      </w:rPr>
      <w:t>UKPIK-1</w:t>
    </w:r>
    <w:r w:rsidRPr="008270A6">
      <w:rPr>
        <w:b/>
        <w:bCs/>
      </w:rPr>
      <w:ptab w:relativeTo="margin" w:alignment="center" w:leader="none"/>
    </w:r>
    <w:r w:rsidR="008A3282">
      <w:rPr>
        <w:b/>
        <w:bCs/>
        <w:i/>
        <w:iCs/>
        <w:color w:val="FF0000"/>
      </w:rPr>
      <w:t>Power Analysis</w:t>
    </w:r>
    <w:r w:rsidRPr="008270A6">
      <w:rPr>
        <w:b/>
        <w:bCs/>
      </w:rPr>
      <w:ptab w:relativeTo="margin" w:alignment="right" w:leader="none"/>
    </w:r>
    <w:r w:rsidR="00CC1B20">
      <w:rPr>
        <w:b/>
        <w:bCs/>
        <w:i/>
        <w:iCs/>
        <w:color w:val="FF0000"/>
      </w:rPr>
      <w:t>2020</w:t>
    </w:r>
    <w:r w:rsidRPr="008270A6">
      <w:rPr>
        <w:b/>
        <w:bCs/>
        <w:i/>
        <w:iCs/>
        <w:color w:val="FF0000"/>
      </w:rPr>
      <w:t>-</w:t>
    </w:r>
    <w:r w:rsidR="00CC1B20">
      <w:rPr>
        <w:b/>
        <w:bCs/>
        <w:i/>
        <w:iCs/>
        <w:color w:val="FF0000"/>
      </w:rPr>
      <w:t>08</w:t>
    </w:r>
    <w:r w:rsidRPr="008270A6">
      <w:rPr>
        <w:b/>
        <w:bCs/>
        <w:i/>
        <w:iCs/>
        <w:color w:val="FF0000"/>
      </w:rPr>
      <w:t>-</w:t>
    </w:r>
    <w:r w:rsidR="00CC1B20">
      <w:rPr>
        <w:b/>
        <w:bCs/>
        <w:i/>
        <w:iCs/>
        <w:color w:val="FF0000"/>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BC499E"/>
    <w:multiLevelType w:val="hybridMultilevel"/>
    <w:tmpl w:val="F5D6D2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81D73D6"/>
    <w:multiLevelType w:val="hybridMultilevel"/>
    <w:tmpl w:val="789A09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5E"/>
    <w:rsid w:val="00062EEA"/>
    <w:rsid w:val="000B4FB8"/>
    <w:rsid w:val="000F6F5E"/>
    <w:rsid w:val="00207DB6"/>
    <w:rsid w:val="00225705"/>
    <w:rsid w:val="003106E1"/>
    <w:rsid w:val="00455052"/>
    <w:rsid w:val="0047361F"/>
    <w:rsid w:val="005F0545"/>
    <w:rsid w:val="005F192A"/>
    <w:rsid w:val="005F335E"/>
    <w:rsid w:val="00633ED8"/>
    <w:rsid w:val="00695AA2"/>
    <w:rsid w:val="006A4463"/>
    <w:rsid w:val="00717DEF"/>
    <w:rsid w:val="00735AD4"/>
    <w:rsid w:val="008261B3"/>
    <w:rsid w:val="008270A6"/>
    <w:rsid w:val="008A3282"/>
    <w:rsid w:val="008B2D38"/>
    <w:rsid w:val="008B5E12"/>
    <w:rsid w:val="009032AF"/>
    <w:rsid w:val="00931D7F"/>
    <w:rsid w:val="00946F9C"/>
    <w:rsid w:val="009A4CCC"/>
    <w:rsid w:val="00A96141"/>
    <w:rsid w:val="00B15327"/>
    <w:rsid w:val="00B44D28"/>
    <w:rsid w:val="00B476C2"/>
    <w:rsid w:val="00CC1B20"/>
    <w:rsid w:val="00CE093E"/>
    <w:rsid w:val="00D60434"/>
    <w:rsid w:val="00D80D83"/>
    <w:rsid w:val="00D8496D"/>
    <w:rsid w:val="00E540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ED32A"/>
  <w15:chartTrackingRefBased/>
  <w15:docId w15:val="{D2118A2F-5BBF-443E-AC3E-93896FCD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A6"/>
  </w:style>
  <w:style w:type="paragraph" w:styleId="Footer">
    <w:name w:val="footer"/>
    <w:basedOn w:val="Normal"/>
    <w:link w:val="FooterChar"/>
    <w:uiPriority w:val="99"/>
    <w:unhideWhenUsed/>
    <w:rsid w:val="0082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A6"/>
  </w:style>
  <w:style w:type="table" w:styleId="TableGrid">
    <w:name w:val="Table Grid"/>
    <w:basedOn w:val="TableNormal"/>
    <w:rsid w:val="00D60434"/>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04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0434"/>
    <w:pPr>
      <w:outlineLvl w:val="9"/>
    </w:pPr>
    <w:rPr>
      <w:lang w:val="en-US"/>
    </w:rPr>
  </w:style>
  <w:style w:type="paragraph" w:styleId="TOC1">
    <w:name w:val="toc 1"/>
    <w:basedOn w:val="Normal"/>
    <w:next w:val="Normal"/>
    <w:autoRedefine/>
    <w:uiPriority w:val="39"/>
    <w:unhideWhenUsed/>
    <w:rsid w:val="00D60434"/>
    <w:pPr>
      <w:spacing w:after="100"/>
    </w:pPr>
  </w:style>
  <w:style w:type="character" w:styleId="Hyperlink">
    <w:name w:val="Hyperlink"/>
    <w:basedOn w:val="DefaultParagraphFont"/>
    <w:uiPriority w:val="99"/>
    <w:unhideWhenUsed/>
    <w:rsid w:val="00D60434"/>
    <w:rPr>
      <w:color w:val="0563C1" w:themeColor="hyperlink"/>
      <w:u w:val="single"/>
    </w:rPr>
  </w:style>
  <w:style w:type="character" w:customStyle="1" w:styleId="Heading2Char">
    <w:name w:val="Heading 2 Char"/>
    <w:basedOn w:val="DefaultParagraphFont"/>
    <w:link w:val="Heading2"/>
    <w:uiPriority w:val="9"/>
    <w:rsid w:val="009A4CC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A4CCC"/>
    <w:pPr>
      <w:spacing w:after="100"/>
      <w:ind w:left="220"/>
    </w:pPr>
  </w:style>
  <w:style w:type="character" w:styleId="UnresolvedMention">
    <w:name w:val="Unresolved Mention"/>
    <w:basedOn w:val="DefaultParagraphFont"/>
    <w:uiPriority w:val="99"/>
    <w:semiHidden/>
    <w:unhideWhenUsed/>
    <w:rsid w:val="00633ED8"/>
    <w:rPr>
      <w:color w:val="605E5C"/>
      <w:shd w:val="clear" w:color="auto" w:fill="E1DFDD"/>
    </w:rPr>
  </w:style>
  <w:style w:type="paragraph" w:styleId="ListParagraph">
    <w:name w:val="List Paragraph"/>
    <w:basedOn w:val="Normal"/>
    <w:uiPriority w:val="34"/>
    <w:qFormat/>
    <w:rsid w:val="008B5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04E75-2C7F-4533-8908-60697270C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Cross</dc:creator>
  <cp:keywords/>
  <dc:description/>
  <cp:lastModifiedBy>EIJ ijewfi</cp:lastModifiedBy>
  <cp:revision>4</cp:revision>
  <dcterms:created xsi:type="dcterms:W3CDTF">2020-08-17T22:46:00Z</dcterms:created>
  <dcterms:modified xsi:type="dcterms:W3CDTF">2020-08-18T21:46:00Z</dcterms:modified>
</cp:coreProperties>
</file>