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5C8A"/>
        </w:rPr>
        <w:t>Glioma Post-Treatment Surveillance Report</w:t>
      </w:r>
    </w:p>
    <w:p>
      <w:pPr/>
      <w:r/>
      <w:r>
        <w:rPr>
          <w:b/>
        </w:rPr>
        <w:t>Patient:</w:t>
      </w:r>
      <w:r>
        <w:t xml:space="preserve"> </w:t>
      </w:r>
      <w:r>
        <w:rPr>
          <w:rFonts w:ascii="Courier New" w:hAnsi="Courier New"/>
          <w:color w:val="C0392B"/>
          <w:sz w:val="18"/>
        </w:rPr>
        <w:t>PatientID_0019</w:t>
      </w:r>
      <w:r>
        <w:t xml:space="preserve"> | </w:t>
      </w:r>
      <w:r>
        <w:rPr>
          <w:b/>
        </w:rPr>
        <w:t>Timepoint:</w:t>
      </w:r>
      <w:r>
        <w:t xml:space="preserve"> </w:t>
      </w:r>
      <w:r>
        <w:rPr>
          <w:rFonts w:ascii="Courier New" w:hAnsi="Courier New"/>
          <w:color w:val="C0392B"/>
          <w:sz w:val="18"/>
        </w:rPr>
        <w:t>Timepoint_5</w:t>
      </w:r>
      <w:r>
        <w:t xml:space="preserve"> | </w:t>
      </w:r>
      <w:r>
        <w:rPr>
          <w:b/>
        </w:rPr>
        <w:t>Generated:</w:t>
      </w:r>
      <w:r>
        <w:t xml:space="preserve"> AI Agent Pipeline v1.0</w:t>
      </w:r>
    </w:p>
    <w:p>
      <w:pPr>
        <w:pBdr>
          <w:bottom w:val="single" w:sz="6" w:space="1" w:color="AAAAAA"/>
        </w:pBdr>
      </w:pPr>
    </w:p>
    <w:p>
      <w:pPr>
        <w:pStyle w:val="Heading2"/>
      </w:pPr>
      <w:r>
        <w:rPr>
          <w:color w:val="2E75B6"/>
        </w:rPr>
        <w:t>Section 1 — Fixed Clinical &amp; Volumetric Metrics</w:t>
      </w:r>
    </w:p>
    <w:p>
      <w:pPr>
        <w:pStyle w:val="Heading3"/>
      </w:pPr>
      <w:r>
        <w:t>Patient Demographics &amp; Timeline</w:t>
      </w:r>
    </w:p>
    <w:tbl>
      <w:tblPr>
        <w:tblStyle w:val="TableGrid"/>
        <w:tblW w:type="auto" w:w="0"/>
        <w:tblLook w:firstColumn="1" w:firstRow="1" w:lastColumn="0" w:lastRow="0" w:noHBand="0" w:noVBand="1" w:val="04A0"/>
      </w:tblPr>
      <w:tblGrid>
        <w:gridCol w:w="4703"/>
        <w:gridCol w:w="4703"/>
      </w:tblGrid>
      <w:tr>
        <w:tc>
          <w:tcPr>
            <w:tcW w:type="dxa" w:w="4703"/>
            <w:shd w:val="clear" w:color="auto" w:fill="2E75B6"/>
          </w:tcPr>
          <w:p>
            <w:r/>
            <w:r>
              <w:rPr>
                <w:b/>
                <w:color w:val="FFFFFF"/>
                <w:sz w:val="19"/>
              </w:rPr>
              <w:t>Field</w:t>
            </w:r>
          </w:p>
        </w:tc>
        <w:tc>
          <w:tcPr>
            <w:tcW w:type="dxa" w:w="4703"/>
            <w:shd w:val="clear" w:color="auto" w:fill="2E75B6"/>
          </w:tcPr>
          <w:p>
            <w:r/>
            <w:r>
              <w:rPr>
                <w:b/>
                <w:color w:val="FFFFFF"/>
                <w:sz w:val="19"/>
              </w:rPr>
              <w:t>Value</w:t>
            </w:r>
          </w:p>
        </w:tc>
      </w:tr>
      <w:tr>
        <w:tc>
          <w:tcPr>
            <w:tcW w:type="dxa" w:w="4703"/>
            <w:shd w:val="clear" w:color="auto" w:fill="FFFFFF"/>
          </w:tcPr>
          <w:p>
            <w:r/>
            <w:r>
              <w:rPr>
                <w:sz w:val="19"/>
              </w:rPr>
              <w:t>Patient ID</w:t>
            </w:r>
          </w:p>
        </w:tc>
        <w:tc>
          <w:tcPr>
            <w:tcW w:type="dxa" w:w="4703"/>
            <w:shd w:val="clear" w:color="auto" w:fill="FFFFFF"/>
          </w:tcPr>
          <w:p>
            <w:r/>
            <w:r/>
            <w:r>
              <w:rPr>
                <w:rFonts w:ascii="Courier New" w:hAnsi="Courier New"/>
                <w:color w:val="C0392B"/>
                <w:sz w:val="18"/>
              </w:rPr>
              <w:t>PatientID_0019</w:t>
            </w:r>
            <w:r>
              <w:rPr>
                <w:sz w:val="19"/>
              </w:rPr>
            </w:r>
          </w:p>
        </w:tc>
      </w:tr>
      <w:tr>
        <w:tc>
          <w:tcPr>
            <w:tcW w:type="dxa" w:w="4703"/>
            <w:shd w:val="clear" w:color="auto" w:fill="F2F7FC"/>
          </w:tcPr>
          <w:p>
            <w:r/>
            <w:r>
              <w:rPr>
                <w:sz w:val="19"/>
              </w:rPr>
              <w:t>Current Timepoint</w:t>
            </w:r>
          </w:p>
        </w:tc>
        <w:tc>
          <w:tcPr>
            <w:tcW w:type="dxa" w:w="4703"/>
            <w:shd w:val="clear" w:color="auto" w:fill="F2F7FC"/>
          </w:tcPr>
          <w:p>
            <w:r/>
            <w:r/>
            <w:r>
              <w:rPr>
                <w:rFonts w:ascii="Courier New" w:hAnsi="Courier New"/>
                <w:color w:val="C0392B"/>
                <w:sz w:val="18"/>
              </w:rPr>
              <w:t>Timepoint_5</w:t>
            </w:r>
            <w:r>
              <w:rPr>
                <w:sz w:val="19"/>
              </w:rPr>
              <w:t xml:space="preserve"> (Timepoint #5)</w:t>
            </w:r>
          </w:p>
        </w:tc>
      </w:tr>
      <w:tr>
        <w:tc>
          <w:tcPr>
            <w:tcW w:type="dxa" w:w="4703"/>
            <w:shd w:val="clear" w:color="auto" w:fill="FFFFFF"/>
          </w:tcPr>
          <w:p>
            <w:r/>
            <w:r>
              <w:rPr>
                <w:sz w:val="19"/>
              </w:rPr>
              <w:t>Days from Diagnosis to MRI</w:t>
            </w:r>
          </w:p>
        </w:tc>
        <w:tc>
          <w:tcPr>
            <w:tcW w:type="dxa" w:w="4703"/>
            <w:shd w:val="clear" w:color="auto" w:fill="FFFFFF"/>
          </w:tcPr>
          <w:p>
            <w:r/>
            <w:r>
              <w:rPr>
                <w:sz w:val="19"/>
              </w:rPr>
              <w:t>317 days</w:t>
            </w:r>
          </w:p>
        </w:tc>
      </w:tr>
      <w:tr>
        <w:tc>
          <w:tcPr>
            <w:tcW w:type="dxa" w:w="4703"/>
            <w:shd w:val="clear" w:color="auto" w:fill="F2F7FC"/>
          </w:tcPr>
          <w:p>
            <w:r/>
            <w:r>
              <w:rPr>
                <w:sz w:val="19"/>
              </w:rPr>
              <w:t>Ground Truth Label</w:t>
            </w:r>
          </w:p>
        </w:tc>
        <w:tc>
          <w:tcPr>
            <w:tcW w:type="dxa" w:w="4703"/>
            <w:shd w:val="clear" w:color="auto" w:fill="F2F7FC"/>
          </w:tcPr>
          <w:p>
            <w:r/>
            <w:r>
              <w:rPr>
                <w:sz w:val="19"/>
              </w:rPr>
              <w:t>No Progression (0)</w:t>
            </w:r>
          </w:p>
        </w:tc>
      </w:tr>
    </w:tbl>
    <w:p/>
    <w:p>
      <w:pPr>
        <w:pStyle w:val="Heading3"/>
      </w:pPr>
      <w:r>
        <w:t>Molecular Profile</w:t>
      </w:r>
    </w:p>
    <w:p>
      <w:pPr/>
      <w:r>
        <w:rPr>
          <w:i/>
          <w:color w:val="777777"/>
          <w:sz w:val="18"/>
        </w:rPr>
        <w:t>Note: Molecular profile values are sourced from `measurements.py` (currently being finalized). Placeholder values shown below — to be populated from EHR in production.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5B6"/>
          </w:tcPr>
          <w:p>
            <w:r/>
            <w:r>
              <w:rPr>
                <w:b/>
                <w:color w:val="FFFFFF"/>
                <w:sz w:val="19"/>
              </w:rPr>
              <w:t>Biomarker</w:t>
            </w:r>
          </w:p>
        </w:tc>
        <w:tc>
          <w:tcPr>
            <w:tcW w:type="dxa" w:w="3135"/>
            <w:shd w:val="clear" w:color="auto" w:fill="2E75B6"/>
          </w:tcPr>
          <w:p>
            <w:r/>
            <w:r>
              <w:rPr>
                <w:b/>
                <w:color w:val="FFFFFF"/>
                <w:sz w:val="19"/>
              </w:rPr>
              <w:t>Status</w:t>
            </w:r>
          </w:p>
        </w:tc>
        <w:tc>
          <w:tcPr>
            <w:tcW w:type="dxa" w:w="3135"/>
            <w:shd w:val="clear" w:color="auto" w:fill="2E75B6"/>
          </w:tcPr>
          <w:p>
            <w:r/>
            <w:r>
              <w:rPr>
                <w:b/>
                <w:color w:val="FFFFFF"/>
                <w:sz w:val="19"/>
              </w:rPr>
              <w:t>Clinical Significance</w:t>
            </w:r>
          </w:p>
        </w:tc>
      </w:tr>
      <w:tr>
        <w:tc>
          <w:tcPr>
            <w:tcW w:type="dxa" w:w="3135"/>
            <w:shd w:val="clear" w:color="auto" w:fill="FFFFFF"/>
          </w:tcPr>
          <w:p>
            <w:r/>
            <w:r>
              <w:rPr>
                <w:sz w:val="19"/>
              </w:rPr>
              <w:t>IDH1 Mutation</w:t>
            </w:r>
          </w:p>
        </w:tc>
        <w:tc>
          <w:tcPr>
            <w:tcW w:type="dxa" w:w="3135"/>
            <w:shd w:val="clear" w:color="auto" w:fill="FFFFFF"/>
          </w:tcPr>
          <w:p>
            <w:r/>
            <w:r>
              <w:rPr>
                <w:sz w:val="19"/>
              </w:rPr>
              <w:t>Wild-type (0)</w:t>
            </w:r>
          </w:p>
        </w:tc>
        <w:tc>
          <w:tcPr>
            <w:tcW w:type="dxa" w:w="3135"/>
            <w:shd w:val="clear" w:color="auto" w:fill="FFFFFF"/>
          </w:tcPr>
          <w:p>
            <w:r/>
            <w:r>
              <w:rPr>
                <w:sz w:val="19"/>
              </w:rPr>
              <w:t>Associated with worse prognosis</w:t>
            </w:r>
          </w:p>
        </w:tc>
      </w:tr>
      <w:tr>
        <w:tc>
          <w:tcPr>
            <w:tcW w:type="dxa" w:w="3135"/>
            <w:shd w:val="clear" w:color="auto" w:fill="F2F7FC"/>
          </w:tcPr>
          <w:p>
            <w:r/>
            <w:r>
              <w:rPr>
                <w:sz w:val="19"/>
              </w:rPr>
              <w:t>MGMT Methylation</w:t>
            </w:r>
          </w:p>
        </w:tc>
        <w:tc>
          <w:tcPr>
            <w:tcW w:type="dxa" w:w="3135"/>
            <w:shd w:val="clear" w:color="auto" w:fill="F2F7FC"/>
          </w:tcPr>
          <w:p>
            <w:r/>
            <w:r>
              <w:rPr>
                <w:sz w:val="19"/>
              </w:rPr>
              <w:t>Unknown (4)</w:t>
            </w:r>
          </w:p>
        </w:tc>
        <w:tc>
          <w:tcPr>
            <w:tcW w:type="dxa" w:w="3135"/>
            <w:shd w:val="clear" w:color="auto" w:fill="F2F7FC"/>
          </w:tcPr>
          <w:p>
            <w:r/>
            <w:r>
              <w:rPr>
                <w:sz w:val="19"/>
              </w:rPr>
              <w:t>Affects pseudoprogression risk</w:t>
            </w:r>
          </w:p>
        </w:tc>
      </w:tr>
      <w:tr>
        <w:tc>
          <w:tcPr>
            <w:tcW w:type="dxa" w:w="3135"/>
            <w:shd w:val="clear" w:color="auto" w:fill="FFFFFF"/>
          </w:tcPr>
          <w:p>
            <w:r/>
            <w:r>
              <w:rPr>
                <w:sz w:val="19"/>
              </w:rPr>
              <w:t>EGFR Amplification</w:t>
            </w:r>
          </w:p>
        </w:tc>
        <w:tc>
          <w:tcPr>
            <w:tcW w:type="dxa" w:w="3135"/>
            <w:shd w:val="clear" w:color="auto" w:fill="FFFFFF"/>
          </w:tcPr>
          <w:p>
            <w:r/>
            <w:r>
              <w:rPr>
                <w:sz w:val="19"/>
              </w:rPr>
              <w:t>Amplified (2)</w:t>
            </w:r>
          </w:p>
        </w:tc>
        <w:tc>
          <w:tcPr>
            <w:tcW w:type="dxa" w:w="3135"/>
            <w:shd w:val="clear" w:color="auto" w:fill="FFFFFF"/>
          </w:tcPr>
          <w:p>
            <w:r/>
            <w:r>
              <w:rPr>
                <w:sz w:val="19"/>
              </w:rPr>
              <w:t>Aggressive phenotype marker</w:t>
            </w:r>
          </w:p>
        </w:tc>
      </w:tr>
      <w:tr>
        <w:tc>
          <w:tcPr>
            <w:tcW w:type="dxa" w:w="3135"/>
            <w:shd w:val="clear" w:color="auto" w:fill="F2F7FC"/>
          </w:tcPr>
          <w:p>
            <w:r/>
            <w:r>
              <w:rPr>
                <w:sz w:val="19"/>
              </w:rPr>
              <w:t>1p/19q Codeletion</w:t>
            </w:r>
          </w:p>
        </w:tc>
        <w:tc>
          <w:tcPr>
            <w:tcW w:type="dxa" w:w="3135"/>
            <w:shd w:val="clear" w:color="auto" w:fill="F2F7FC"/>
          </w:tcPr>
          <w:p>
            <w:r/>
            <w:r>
              <w:rPr>
                <w:sz w:val="19"/>
              </w:rPr>
              <w:t>Intact (0)</w:t>
            </w:r>
          </w:p>
        </w:tc>
        <w:tc>
          <w:tcPr>
            <w:tcW w:type="dxa" w:w="3135"/>
            <w:shd w:val="clear" w:color="auto" w:fill="F2F7FC"/>
          </w:tcPr>
          <w:p>
            <w:r/>
            <w:r>
              <w:rPr>
                <w:sz w:val="19"/>
              </w:rPr>
              <w:t>Not oligodendroglial</w:t>
            </w:r>
          </w:p>
        </w:tc>
      </w:tr>
      <w:tr>
        <w:tc>
          <w:tcPr>
            <w:tcW w:type="dxa" w:w="3135"/>
            <w:shd w:val="clear" w:color="auto" w:fill="FFFFFF"/>
          </w:tcPr>
          <w:p>
            <w:r/>
            <w:r>
              <w:rPr>
                <w:sz w:val="19"/>
              </w:rPr>
              <w:t>TERT Promoter Mutation</w:t>
            </w:r>
          </w:p>
        </w:tc>
        <w:tc>
          <w:tcPr>
            <w:tcW w:type="dxa" w:w="3135"/>
            <w:shd w:val="clear" w:color="auto" w:fill="FFFFFF"/>
          </w:tcPr>
          <w:p>
            <w:r/>
            <w:r>
              <w:rPr>
                <w:sz w:val="19"/>
              </w:rPr>
              <w:t>Mutated (2)</w:t>
            </w:r>
          </w:p>
        </w:tc>
        <w:tc>
          <w:tcPr>
            <w:tcW w:type="dxa" w:w="3135"/>
            <w:shd w:val="clear" w:color="auto" w:fill="FFFFFF"/>
          </w:tcPr>
          <w:p>
            <w:r/>
            <w:r>
              <w:rPr>
                <w:sz w:val="19"/>
              </w:rPr>
              <w:t>Poor prognostic marker</w:t>
            </w:r>
          </w:p>
        </w:tc>
      </w:tr>
      <w:tr>
        <w:tc>
          <w:tcPr>
            <w:tcW w:type="dxa" w:w="3135"/>
            <w:shd w:val="clear" w:color="auto" w:fill="F2F7FC"/>
          </w:tcPr>
          <w:p>
            <w:r/>
            <w:r>
              <w:rPr>
                <w:sz w:val="19"/>
              </w:rPr>
              <w:t>WHO Grade</w:t>
            </w:r>
          </w:p>
        </w:tc>
        <w:tc>
          <w:tcPr>
            <w:tcW w:type="dxa" w:w="3135"/>
            <w:shd w:val="clear" w:color="auto" w:fill="F2F7FC"/>
          </w:tcPr>
          <w:p>
            <w:r/>
            <w:r>
              <w:rPr>
                <w:sz w:val="19"/>
              </w:rPr>
              <w:t>4</w:t>
            </w:r>
          </w:p>
        </w:tc>
        <w:tc>
          <w:tcPr>
            <w:tcW w:type="dxa" w:w="3135"/>
            <w:shd w:val="clear" w:color="auto" w:fill="F2F7FC"/>
          </w:tcPr>
          <w:p>
            <w:r/>
            <w:r>
              <w:rPr>
                <w:sz w:val="19"/>
              </w:rPr>
              <w:t>Highest malignancy grade</w:t>
            </w:r>
          </w:p>
        </w:tc>
      </w:tr>
    </w:tbl>
    <w:p/>
    <w:p>
      <w:pPr>
        <w:pStyle w:val="Heading3"/>
      </w:pPr>
      <w:r>
        <w:t>Longitudinal Risk Score Trajectory</w:t>
      </w:r>
    </w:p>
    <w:p>
      <w:pPr/>
      <w:r>
        <w:rPr>
          <w:i/>
          <w:color w:val="777777"/>
          <w:sz w:val="18"/>
        </w:rPr>
        <w:t>The table below shows the evolution of the LightGBM molecular risk score across all available timepoints. Delta values capture the rate of change — the clinically informative signal.</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5B6"/>
          </w:tcPr>
          <w:p>
            <w:r/>
            <w:r>
              <w:rPr>
                <w:b/>
                <w:color w:val="FFFFFF"/>
                <w:sz w:val="19"/>
              </w:rPr>
              <w:t>Timepoint</w:t>
            </w:r>
          </w:p>
        </w:tc>
        <w:tc>
          <w:tcPr>
            <w:tcW w:type="dxa" w:w="1344"/>
            <w:shd w:val="clear" w:color="auto" w:fill="2E75B6"/>
          </w:tcPr>
          <w:p>
            <w:r/>
            <w:r>
              <w:rPr>
                <w:b/>
                <w:color w:val="FFFFFF"/>
                <w:sz w:val="19"/>
              </w:rPr>
              <w:t>Days from Dx</w:t>
            </w:r>
          </w:p>
        </w:tc>
        <w:tc>
          <w:tcPr>
            <w:tcW w:type="dxa" w:w="1344"/>
            <w:shd w:val="clear" w:color="auto" w:fill="2E75B6"/>
          </w:tcPr>
          <w:p>
            <w:r/>
            <w:r>
              <w:rPr>
                <w:b/>
                <w:color w:val="FFFFFF"/>
                <w:sz w:val="19"/>
              </w:rPr>
              <w:t>Mol Score</w:t>
            </w:r>
          </w:p>
        </w:tc>
        <w:tc>
          <w:tcPr>
            <w:tcW w:type="dxa" w:w="1344"/>
            <w:shd w:val="clear" w:color="auto" w:fill="2E75B6"/>
          </w:tcPr>
          <w:p>
            <w:r/>
            <w:r>
              <w:rPr>
                <w:b/>
                <w:color w:val="FFFFFF"/>
                <w:sz w:val="19"/>
              </w:rPr>
              <w:t>Δ from Prior</w:t>
            </w:r>
          </w:p>
        </w:tc>
        <w:tc>
          <w:tcPr>
            <w:tcW w:type="dxa" w:w="1344"/>
            <w:shd w:val="clear" w:color="auto" w:fill="2E75B6"/>
          </w:tcPr>
          <w:p>
            <w:r/>
            <w:r>
              <w:rPr>
                <w:b/>
                <w:color w:val="FFFFFF"/>
                <w:sz w:val="19"/>
              </w:rPr>
              <w:t>Δ% from Prior</w:t>
            </w:r>
          </w:p>
        </w:tc>
        <w:tc>
          <w:tcPr>
            <w:tcW w:type="dxa" w:w="1344"/>
            <w:shd w:val="clear" w:color="auto" w:fill="2E75B6"/>
          </w:tcPr>
          <w:p>
            <w:r/>
            <w:r>
              <w:rPr>
                <w:b/>
                <w:color w:val="FFFFFF"/>
                <w:sz w:val="19"/>
              </w:rPr>
              <w:t>Δ from Nadir</w:t>
            </w:r>
          </w:p>
        </w:tc>
        <w:tc>
          <w:tcPr>
            <w:tcW w:type="dxa" w:w="1344"/>
            <w:shd w:val="clear" w:color="auto" w:fill="2E75B6"/>
          </w:tcPr>
          <w:p>
            <w:r/>
            <w:r>
              <w:rPr>
                <w:b/>
                <w:color w:val="FFFFFF"/>
                <w:sz w:val="19"/>
              </w:rPr>
              <w:t>Label</w:t>
            </w:r>
          </w:p>
        </w:tc>
      </w:tr>
      <w:tr>
        <w:tc>
          <w:tcPr>
            <w:tcW w:type="dxa" w:w="1344"/>
            <w:shd w:val="clear" w:color="auto" w:fill="FFFFFF"/>
          </w:tcPr>
          <w:p>
            <w:r/>
            <w:r>
              <w:rPr>
                <w:sz w:val="19"/>
              </w:rPr>
              <w:t>Timepoint_4</w:t>
            </w:r>
          </w:p>
        </w:tc>
        <w:tc>
          <w:tcPr>
            <w:tcW w:type="dxa" w:w="1344"/>
            <w:shd w:val="clear" w:color="auto" w:fill="FFFFFF"/>
          </w:tcPr>
          <w:p>
            <w:r/>
            <w:r>
              <w:rPr>
                <w:sz w:val="19"/>
              </w:rPr>
              <w:t>268</w:t>
            </w:r>
          </w:p>
        </w:tc>
        <w:tc>
          <w:tcPr>
            <w:tcW w:type="dxa" w:w="1344"/>
            <w:shd w:val="clear" w:color="auto" w:fill="FFFFFF"/>
          </w:tcPr>
          <w:p>
            <w:r/>
            <w:r>
              <w:rPr>
                <w:sz w:val="19"/>
              </w:rPr>
              <w:t>0.2151</w:t>
            </w:r>
          </w:p>
        </w:tc>
        <w:tc>
          <w:tcPr>
            <w:tcW w:type="dxa" w:w="1344"/>
            <w:shd w:val="clear" w:color="auto" w:fill="FFFFFF"/>
          </w:tcPr>
          <w:p>
            <w:r/>
            <w:r>
              <w:rPr>
                <w:sz w:val="19"/>
              </w:rPr>
              <w:t>—</w:t>
            </w:r>
          </w:p>
        </w:tc>
        <w:tc>
          <w:tcPr>
            <w:tcW w:type="dxa" w:w="1344"/>
            <w:shd w:val="clear" w:color="auto" w:fill="FFFFFF"/>
          </w:tcPr>
          <w:p>
            <w:r/>
            <w:r>
              <w:rPr>
                <w:sz w:val="19"/>
              </w:rPr>
              <w:t>—</w:t>
            </w:r>
          </w:p>
        </w:tc>
        <w:tc>
          <w:tcPr>
            <w:tcW w:type="dxa" w:w="1344"/>
            <w:shd w:val="clear" w:color="auto" w:fill="FFFFFF"/>
          </w:tcPr>
          <w:p>
            <w:r/>
            <w:r>
              <w:rPr>
                <w:sz w:val="19"/>
              </w:rPr>
              <w:t>+0.0000</w:t>
            </w:r>
          </w:p>
        </w:tc>
        <w:tc>
          <w:tcPr>
            <w:tcW w:type="dxa" w:w="1344"/>
            <w:shd w:val="clear" w:color="auto" w:fill="FFFFFF"/>
          </w:tcPr>
          <w:p>
            <w:r/>
            <w:r>
              <w:rPr>
                <w:sz w:val="19"/>
              </w:rPr>
              <w:t>Stable</w:t>
            </w:r>
          </w:p>
        </w:tc>
      </w:tr>
      <w:tr>
        <w:tc>
          <w:tcPr>
            <w:tcW w:type="dxa" w:w="1344"/>
            <w:shd w:val="clear" w:color="auto" w:fill="F2F7FC"/>
          </w:tcPr>
          <w:p>
            <w:r/>
            <w:r>
              <w:t xml:space="preserve">Timepoint_5 ◀ </w:t>
            </w:r>
            <w:r>
              <w:rPr>
                <w:b/>
              </w:rPr>
              <w:t>Current</w:t>
            </w:r>
            <w:r>
              <w:rPr>
                <w:sz w:val="19"/>
              </w:rPr>
            </w:r>
          </w:p>
        </w:tc>
        <w:tc>
          <w:tcPr>
            <w:tcW w:type="dxa" w:w="1344"/>
            <w:shd w:val="clear" w:color="auto" w:fill="F2F7FC"/>
          </w:tcPr>
          <w:p>
            <w:r/>
            <w:r>
              <w:rPr>
                <w:sz w:val="19"/>
              </w:rPr>
              <w:t>317</w:t>
            </w:r>
          </w:p>
        </w:tc>
        <w:tc>
          <w:tcPr>
            <w:tcW w:type="dxa" w:w="1344"/>
            <w:shd w:val="clear" w:color="auto" w:fill="F2F7FC"/>
          </w:tcPr>
          <w:p>
            <w:r/>
            <w:r>
              <w:rPr>
                <w:sz w:val="19"/>
              </w:rPr>
              <w:t>0.3692</w:t>
            </w:r>
          </w:p>
        </w:tc>
        <w:tc>
          <w:tcPr>
            <w:tcW w:type="dxa" w:w="1344"/>
            <w:shd w:val="clear" w:color="auto" w:fill="F2F7FC"/>
          </w:tcPr>
          <w:p>
            <w:r/>
            <w:r>
              <w:rPr>
                <w:sz w:val="19"/>
              </w:rPr>
              <w:t>+0.1541</w:t>
            </w:r>
          </w:p>
        </w:tc>
        <w:tc>
          <w:tcPr>
            <w:tcW w:type="dxa" w:w="1344"/>
            <w:shd w:val="clear" w:color="auto" w:fill="F2F7FC"/>
          </w:tcPr>
          <w:p>
            <w:r/>
            <w:r>
              <w:rPr>
                <w:sz w:val="19"/>
              </w:rPr>
              <w:t>+71.6%</w:t>
            </w:r>
          </w:p>
        </w:tc>
        <w:tc>
          <w:tcPr>
            <w:tcW w:type="dxa" w:w="1344"/>
            <w:shd w:val="clear" w:color="auto" w:fill="F2F7FC"/>
          </w:tcPr>
          <w:p>
            <w:r/>
            <w:r>
              <w:rPr>
                <w:sz w:val="19"/>
              </w:rPr>
              <w:t>+0.1541</w:t>
            </w:r>
          </w:p>
        </w:tc>
        <w:tc>
          <w:tcPr>
            <w:tcW w:type="dxa" w:w="1344"/>
            <w:shd w:val="clear" w:color="auto" w:fill="F2F7FC"/>
          </w:tcPr>
          <w:p>
            <w:r/>
            <w:r>
              <w:rPr>
                <w:sz w:val="19"/>
              </w:rPr>
              <w:t>Stable</w:t>
            </w:r>
          </w:p>
        </w:tc>
      </w:tr>
      <w:tr>
        <w:tc>
          <w:tcPr>
            <w:tcW w:type="dxa" w:w="1344"/>
            <w:shd w:val="clear" w:color="auto" w:fill="FFFFFF"/>
          </w:tcPr>
          <w:p>
            <w:r/>
            <w:r>
              <w:rPr>
                <w:sz w:val="19"/>
              </w:rPr>
              <w:t>Timepoint_6</w:t>
            </w:r>
          </w:p>
        </w:tc>
        <w:tc>
          <w:tcPr>
            <w:tcW w:type="dxa" w:w="1344"/>
            <w:shd w:val="clear" w:color="auto" w:fill="FFFFFF"/>
          </w:tcPr>
          <w:p>
            <w:r/>
            <w:r>
              <w:rPr>
                <w:sz w:val="19"/>
              </w:rPr>
              <w:t>379</w:t>
            </w:r>
          </w:p>
        </w:tc>
        <w:tc>
          <w:tcPr>
            <w:tcW w:type="dxa" w:w="1344"/>
            <w:shd w:val="clear" w:color="auto" w:fill="FFFFFF"/>
          </w:tcPr>
          <w:p>
            <w:r/>
            <w:r>
              <w:rPr>
                <w:sz w:val="19"/>
              </w:rPr>
              <w:t>0.5665</w:t>
            </w:r>
          </w:p>
        </w:tc>
        <w:tc>
          <w:tcPr>
            <w:tcW w:type="dxa" w:w="1344"/>
            <w:shd w:val="clear" w:color="auto" w:fill="FFFFFF"/>
          </w:tcPr>
          <w:p>
            <w:r/>
            <w:r>
              <w:rPr>
                <w:sz w:val="19"/>
              </w:rPr>
              <w:t>+0.1973</w:t>
            </w:r>
          </w:p>
        </w:tc>
        <w:tc>
          <w:tcPr>
            <w:tcW w:type="dxa" w:w="1344"/>
            <w:shd w:val="clear" w:color="auto" w:fill="FFFFFF"/>
          </w:tcPr>
          <w:p>
            <w:r/>
            <w:r>
              <w:rPr>
                <w:sz w:val="19"/>
              </w:rPr>
              <w:t>+53.5%</w:t>
            </w:r>
          </w:p>
        </w:tc>
        <w:tc>
          <w:tcPr>
            <w:tcW w:type="dxa" w:w="1344"/>
            <w:shd w:val="clear" w:color="auto" w:fill="FFFFFF"/>
          </w:tcPr>
          <w:p>
            <w:r/>
            <w:r>
              <w:rPr>
                <w:sz w:val="19"/>
              </w:rPr>
              <w:t>+0.3514</w:t>
            </w:r>
          </w:p>
        </w:tc>
        <w:tc>
          <w:tcPr>
            <w:tcW w:type="dxa" w:w="1344"/>
            <w:shd w:val="clear" w:color="auto" w:fill="FFFFFF"/>
          </w:tcPr>
          <w:p>
            <w:r/>
            <w:r/>
            <w:r>
              <w:rPr>
                <w:b/>
              </w:rPr>
              <w:t>PD</w:t>
            </w:r>
            <w:r>
              <w:rPr>
                <w:sz w:val="19"/>
              </w:rPr>
            </w:r>
          </w:p>
        </w:tc>
      </w:tr>
    </w:tbl>
    <w:p/>
    <w:p>
      <w:pPr>
        <w:jc w:val="center"/>
      </w:pPr>
      <w:r>
        <w:drawing>
          <wp:inline xmlns:a="http://schemas.openxmlformats.org/drawingml/2006/main" xmlns:pic="http://schemas.openxmlformats.org/drawingml/2006/picture">
            <wp:extent cx="5486400" cy="2395412"/>
            <wp:docPr id="1" name="Picture 1"/>
            <wp:cNvGraphicFramePr>
              <a:graphicFrameLocks noChangeAspect="1"/>
            </wp:cNvGraphicFramePr>
            <a:graphic>
              <a:graphicData uri="http://schemas.openxmlformats.org/drawingml/2006/picture">
                <pic:pic>
                  <pic:nvPicPr>
                    <pic:cNvPr id="0" name="PatientID_0019_longitudinal_trend.png"/>
                    <pic:cNvPicPr/>
                  </pic:nvPicPr>
                  <pic:blipFill>
                    <a:blip r:embed="rId9"/>
                    <a:stretch>
                      <a:fillRect/>
                    </a:stretch>
                  </pic:blipFill>
                  <pic:spPr>
                    <a:xfrm>
                      <a:off x="0" y="0"/>
                      <a:ext cx="5486400" cy="2395412"/>
                    </a:xfrm>
                    <a:prstGeom prst="rect"/>
                  </pic:spPr>
                </pic:pic>
              </a:graphicData>
            </a:graphic>
          </wp:inline>
        </w:drawing>
      </w:r>
    </w:p>
    <w:p>
      <w:pPr>
        <w:jc w:val="center"/>
      </w:pPr>
      <w:r>
        <w:rPr>
          <w:i/>
          <w:color w:val="888888"/>
          <w:sz w:val="18"/>
        </w:rPr>
        <w:t>Longitudinal Trend</w:t>
      </w:r>
    </w:p>
    <w:p>
      <w:pPr>
        <w:pBdr>
          <w:bottom w:val="single" w:sz="6" w:space="1" w:color="AAAAAA"/>
        </w:pBdr>
      </w:pPr>
    </w:p>
    <w:p>
      <w:pPr>
        <w:pStyle w:val="Heading2"/>
      </w:pPr>
      <w:r>
        <w:rPr>
          <w:color w:val="2E75B6"/>
        </w:rPr>
        <w:t>Section 2 — RANO 2.0 Rule Engine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5B6"/>
          </w:tcPr>
          <w:p>
            <w:r/>
            <w:r>
              <w:rPr>
                <w:b/>
                <w:color w:val="FFFFFF"/>
                <w:sz w:val="19"/>
              </w:rPr>
              <w:t>Criterion</w:t>
            </w:r>
          </w:p>
        </w:tc>
        <w:tc>
          <w:tcPr>
            <w:tcW w:type="dxa" w:w="2351"/>
            <w:shd w:val="clear" w:color="auto" w:fill="2E75B6"/>
          </w:tcPr>
          <w:p>
            <w:r/>
            <w:r>
              <w:rPr>
                <w:b/>
                <w:color w:val="FFFFFF"/>
                <w:sz w:val="19"/>
              </w:rPr>
              <w:t>Value</w:t>
            </w:r>
          </w:p>
        </w:tc>
        <w:tc>
          <w:tcPr>
            <w:tcW w:type="dxa" w:w="2351"/>
            <w:shd w:val="clear" w:color="auto" w:fill="2E75B6"/>
          </w:tcPr>
          <w:p>
            <w:r/>
            <w:r>
              <w:rPr>
                <w:b/>
                <w:color w:val="FFFFFF"/>
                <w:sz w:val="19"/>
              </w:rPr>
              <w:t>Threshold</w:t>
            </w:r>
          </w:p>
        </w:tc>
        <w:tc>
          <w:tcPr>
            <w:tcW w:type="dxa" w:w="2351"/>
            <w:shd w:val="clear" w:color="auto" w:fill="2E75B6"/>
          </w:tcPr>
          <w:p>
            <w:r/>
            <w:r>
              <w:rPr>
                <w:b/>
                <w:color w:val="FFFFFF"/>
                <w:sz w:val="19"/>
              </w:rPr>
              <w:t>Triggered?</w:t>
            </w:r>
          </w:p>
        </w:tc>
      </w:tr>
      <w:tr>
        <w:tc>
          <w:tcPr>
            <w:tcW w:type="dxa" w:w="2351"/>
            <w:shd w:val="clear" w:color="auto" w:fill="FFFFFF"/>
          </w:tcPr>
          <w:p>
            <w:r/>
            <w:r>
              <w:rPr>
                <w:sz w:val="19"/>
              </w:rPr>
              <w:t>Bidimensional (BD) Product Change</w:t>
            </w:r>
          </w:p>
        </w:tc>
        <w:tc>
          <w:tcPr>
            <w:tcW w:type="dxa" w:w="2351"/>
            <w:shd w:val="clear" w:color="auto" w:fill="FFFFFF"/>
          </w:tcPr>
          <w:p>
            <w:r/>
            <w:r>
              <w:rPr>
                <w:sz w:val="19"/>
              </w:rPr>
              <w:t>+71.6%</w:t>
            </w:r>
          </w:p>
        </w:tc>
        <w:tc>
          <w:tcPr>
            <w:tcW w:type="dxa" w:w="2351"/>
            <w:shd w:val="clear" w:color="auto" w:fill="FFFFFF"/>
          </w:tcPr>
          <w:p>
            <w:r/>
            <w:r>
              <w:rPr>
                <w:sz w:val="19"/>
              </w:rPr>
              <w:t>+25%</w:t>
            </w:r>
          </w:p>
        </w:tc>
        <w:tc>
          <w:tcPr>
            <w:tcW w:type="dxa" w:w="2351"/>
            <w:shd w:val="clear" w:color="auto" w:fill="FFFFFF"/>
          </w:tcPr>
          <w:p>
            <w:r/>
            <w:r/>
            <w:r>
              <w:rPr>
                <w:b/>
              </w:rPr>
              <w:t>YES</w:t>
            </w:r>
            <w:r>
              <w:rPr>
                <w:sz w:val="19"/>
              </w:rPr>
            </w:r>
          </w:p>
        </w:tc>
      </w:tr>
      <w:tr>
        <w:tc>
          <w:tcPr>
            <w:tcW w:type="dxa" w:w="2351"/>
            <w:shd w:val="clear" w:color="auto" w:fill="F2F7FC"/>
          </w:tcPr>
          <w:p>
            <w:r/>
            <w:r>
              <w:rPr>
                <w:sz w:val="19"/>
              </w:rPr>
              <w:t>New Independent Lesion</w:t>
            </w:r>
          </w:p>
        </w:tc>
        <w:tc>
          <w:tcPr>
            <w:tcW w:type="dxa" w:w="2351"/>
            <w:shd w:val="clear" w:color="auto" w:fill="F2F7FC"/>
          </w:tcPr>
          <w:p>
            <w:r/>
            <w:r>
              <w:rPr>
                <w:sz w:val="19"/>
              </w:rPr>
              <w:t>Detected</w:t>
            </w:r>
          </w:p>
        </w:tc>
        <w:tc>
          <w:tcPr>
            <w:tcW w:type="dxa" w:w="2351"/>
            <w:shd w:val="clear" w:color="auto" w:fill="F2F7FC"/>
          </w:tcPr>
          <w:p>
            <w:r/>
            <w:r>
              <w:rPr>
                <w:sz w:val="19"/>
              </w:rPr>
              <w:t>Any</w:t>
            </w:r>
          </w:p>
        </w:tc>
        <w:tc>
          <w:tcPr>
            <w:tcW w:type="dxa" w:w="2351"/>
            <w:shd w:val="clear" w:color="auto" w:fill="F2F7FC"/>
          </w:tcPr>
          <w:p>
            <w:r/>
            <w:r/>
            <w:r>
              <w:rPr>
                <w:b/>
              </w:rPr>
              <w:t>YES</w:t>
            </w:r>
            <w:r>
              <w:rPr>
                <w:sz w:val="19"/>
              </w:rPr>
            </w:r>
          </w:p>
        </w:tc>
      </w:tr>
    </w:tbl>
    <w:p/>
    <w:p>
      <w:pPr>
        <w:spacing w:before="80" w:after="80"/>
        <w:ind w:left="576"/>
        <w:pBdr>
          <w:left w:val="single" w:sz="12" w:space="4" w:color="2E75B6"/>
        </w:pBdr>
      </w:pPr>
      <w:r>
        <w:rPr>
          <w:i/>
          <w:color w:val="444444"/>
        </w:rPr>
      </w:r>
      <w:r>
        <w:rPr>
          <w:b/>
          <w:i/>
          <w:color w:val="444444"/>
        </w:rPr>
        <w:t>RANO 2.0 Verdict:</w:t>
      </w:r>
      <w:r>
        <w:rPr>
          <w:i/>
          <w:color w:val="444444"/>
        </w:rPr>
        <w:t xml:space="preserve"> </w:t>
      </w:r>
      <w:r>
        <w:rPr>
          <w:b/>
          <w:i/>
          <w:color w:val="444444"/>
        </w:rPr>
        <w:t>Progressive Disease (PD)</w:t>
      </w:r>
      <w:r>
        <w:rPr>
          <w:i/>
          <w:color w:val="444444"/>
        </w:rPr>
      </w:r>
    </w:p>
    <w:p>
      <w:pPr>
        <w:pBdr>
          <w:bottom w:val="single" w:sz="6" w:space="1" w:color="AAAAAA"/>
        </w:pBdr>
      </w:pPr>
    </w:p>
    <w:p>
      <w:pPr>
        <w:pStyle w:val="Heading2"/>
      </w:pPr>
      <w:r>
        <w:rPr>
          <w:color w:val="2E75B6"/>
        </w:rPr>
        <w:t>Section 3 — Confounder Check (Weighted Pseudoprogression Risk)</w:t>
      </w:r>
    </w:p>
    <w:p>
      <w:pPr/>
      <w:r/>
      <w:r>
        <w:rPr>
          <w:b/>
        </w:rPr>
        <w:t>Total Risk Score: 2.0 / 5.5</w:t>
      </w:r>
      <w:r/>
    </w:p>
    <w:p>
      <w:pPr>
        <w:spacing w:before="80" w:after="80"/>
        <w:ind w:left="576"/>
        <w:pBdr>
          <w:left w:val="single" w:sz="12" w:space="4" w:color="2E75B6"/>
        </w:pBdr>
      </w:pPr>
      <w:r>
        <w:rPr>
          <w:i/>
          <w:color w:val="444444"/>
        </w:rPr>
      </w:r>
      <w:r>
        <w:rPr>
          <w:b/>
          <w:i/>
          <w:color w:val="444444"/>
        </w:rPr>
        <w:t>Risk Classification: MODERATE Pseudoprogression Risk</w:t>
      </w:r>
      <w:r>
        <w:rPr>
          <w:i/>
          <w:color w:val="444444"/>
        </w:rPr>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5B6"/>
          </w:tcPr>
          <w:p>
            <w:r/>
            <w:r>
              <w:rPr>
                <w:b/>
                <w:color w:val="FFFFFF"/>
                <w:sz w:val="19"/>
              </w:rPr>
              <w:t>Confounder Factor</w:t>
            </w:r>
          </w:p>
        </w:tc>
        <w:tc>
          <w:tcPr>
            <w:tcW w:type="dxa" w:w="3135"/>
            <w:shd w:val="clear" w:color="auto" w:fill="2E75B6"/>
          </w:tcPr>
          <w:p>
            <w:r/>
            <w:r>
              <w:rPr>
                <w:b/>
                <w:color w:val="FFFFFF"/>
                <w:sz w:val="19"/>
              </w:rPr>
              <w:t>Score Contribution</w:t>
            </w:r>
          </w:p>
        </w:tc>
        <w:tc>
          <w:tcPr>
            <w:tcW w:type="dxa" w:w="3135"/>
            <w:shd w:val="clear" w:color="auto" w:fill="2E75B6"/>
          </w:tcPr>
          <w:p>
            <w:r/>
            <w:r>
              <w:rPr>
                <w:b/>
                <w:color w:val="FFFFFF"/>
                <w:sz w:val="19"/>
              </w:rPr>
              <w:t>Rationale</w:t>
            </w:r>
          </w:p>
        </w:tc>
      </w:tr>
      <w:tr>
        <w:tc>
          <w:tcPr>
            <w:tcW w:type="dxa" w:w="3135"/>
            <w:shd w:val="clear" w:color="auto" w:fill="FFFFFF"/>
          </w:tcPr>
          <w:p>
            <w:r/>
            <w:r>
              <w:rPr>
                <w:sz w:val="19"/>
              </w:rPr>
              <w:t>Time Post Rt</w:t>
            </w:r>
          </w:p>
        </w:tc>
        <w:tc>
          <w:tcPr>
            <w:tcW w:type="dxa" w:w="3135"/>
            <w:shd w:val="clear" w:color="auto" w:fill="FFFFFF"/>
          </w:tcPr>
          <w:p>
            <w:r/>
            <w:r>
              <w:rPr>
                <w:sz w:val="19"/>
              </w:rPr>
              <w:t>+0.5</w:t>
            </w:r>
          </w:p>
        </w:tc>
        <w:tc>
          <w:tcPr>
            <w:tcW w:type="dxa" w:w="3135"/>
            <w:shd w:val="clear" w:color="auto" w:fill="FFFFFF"/>
          </w:tcPr>
          <w:p>
            <w:r/>
            <w:r>
              <w:rPr>
                <w:sz w:val="19"/>
              </w:rPr>
              <w:t>(6–12 months post-RT — moderate risk, late pseudoprogression possible)</w:t>
            </w:r>
          </w:p>
        </w:tc>
      </w:tr>
      <w:tr>
        <w:tc>
          <w:tcPr>
            <w:tcW w:type="dxa" w:w="3135"/>
            <w:shd w:val="clear" w:color="auto" w:fill="F2F7FC"/>
          </w:tcPr>
          <w:p>
            <w:r/>
            <w:r>
              <w:rPr>
                <w:sz w:val="19"/>
              </w:rPr>
              <w:t>Mgmt</w:t>
            </w:r>
          </w:p>
        </w:tc>
        <w:tc>
          <w:tcPr>
            <w:tcW w:type="dxa" w:w="3135"/>
            <w:shd w:val="clear" w:color="auto" w:fill="F2F7FC"/>
          </w:tcPr>
          <w:p>
            <w:r/>
            <w:r>
              <w:rPr>
                <w:sz w:val="19"/>
              </w:rPr>
              <w:t>+1.5</w:t>
            </w:r>
          </w:p>
        </w:tc>
        <w:tc>
          <w:tcPr>
            <w:tcW w:type="dxa" w:w="3135"/>
            <w:shd w:val="clear" w:color="auto" w:fill="F2F7FC"/>
          </w:tcPr>
          <w:p>
            <w:r/>
            <w:r>
              <w:rPr>
                <w:sz w:val="19"/>
              </w:rPr>
              <w:t>(MGMT methylated — pseudoprogression rate ~30-40%)</w:t>
            </w:r>
          </w:p>
        </w:tc>
      </w:tr>
      <w:tr>
        <w:tc>
          <w:tcPr>
            <w:tcW w:type="dxa" w:w="3135"/>
            <w:shd w:val="clear" w:color="auto" w:fill="FFFFFF"/>
          </w:tcPr>
          <w:p>
            <w:r/>
            <w:r>
              <w:rPr>
                <w:sz w:val="19"/>
              </w:rPr>
              <w:t>Steroid</w:t>
            </w:r>
          </w:p>
        </w:tc>
        <w:tc>
          <w:tcPr>
            <w:tcW w:type="dxa" w:w="3135"/>
            <w:shd w:val="clear" w:color="auto" w:fill="FFFFFF"/>
          </w:tcPr>
          <w:p>
            <w:r/>
            <w:r>
              <w:rPr>
                <w:sz w:val="19"/>
              </w:rPr>
              <w:t>+0.0</w:t>
            </w:r>
          </w:p>
        </w:tc>
        <w:tc>
          <w:tcPr>
            <w:tcW w:type="dxa" w:w="3135"/>
            <w:shd w:val="clear" w:color="auto" w:fill="FFFFFF"/>
          </w:tcPr>
          <w:p>
            <w:r/>
            <w:r>
              <w:rPr>
                <w:sz w:val="19"/>
              </w:rPr>
              <w:t>(Steroid dose change +0% — within normal range)</w:t>
            </w:r>
          </w:p>
        </w:tc>
      </w:tr>
      <w:tr>
        <w:tc>
          <w:tcPr>
            <w:tcW w:type="dxa" w:w="3135"/>
            <w:shd w:val="clear" w:color="auto" w:fill="F2F7FC"/>
          </w:tcPr>
          <w:p>
            <w:r/>
            <w:r>
              <w:rPr>
                <w:sz w:val="19"/>
              </w:rPr>
              <w:t>Rc Adjacent</w:t>
            </w:r>
          </w:p>
        </w:tc>
        <w:tc>
          <w:tcPr>
            <w:tcW w:type="dxa" w:w="3135"/>
            <w:shd w:val="clear" w:color="auto" w:fill="F2F7FC"/>
          </w:tcPr>
          <w:p>
            <w:r/>
            <w:r>
              <w:rPr>
                <w:sz w:val="19"/>
              </w:rPr>
              <w:t>+0.0</w:t>
            </w:r>
          </w:p>
        </w:tc>
        <w:tc>
          <w:tcPr>
            <w:tcW w:type="dxa" w:w="3135"/>
            <w:shd w:val="clear" w:color="auto" w:fill="F2F7FC"/>
          </w:tcPr>
          <w:p>
            <w:r/>
            <w:r>
              <w:rPr>
                <w:sz w:val="19"/>
              </w:rPr>
              <w:t>(No RC-adjacent enhancement)</w:t>
            </w:r>
          </w:p>
        </w:tc>
      </w:tr>
    </w:tbl>
    <w:p/>
    <w:p>
      <w:pPr/>
      <w:r>
        <w:rPr>
          <w:i/>
          <w:color w:val="777777"/>
          <w:sz w:val="18"/>
        </w:rPr>
        <w:t>Note: MGMT methylation status is the single strongest predictor of pseudoprogression risk. When MGMT status is unknown, risk should be treated conservatively.</w:t>
      </w:r>
    </w:p>
    <w:p>
      <w:pPr>
        <w:pBdr>
          <w:bottom w:val="single" w:sz="6" w:space="1" w:color="AAAAAA"/>
        </w:pBdr>
      </w:pPr>
    </w:p>
    <w:p>
      <w:pPr>
        <w:pStyle w:val="Heading2"/>
      </w:pPr>
      <w:r>
        <w:rPr>
          <w:color w:val="2E75B6"/>
        </w:rPr>
        <w:t>Section 4 — AI Interpretation: Fusion MLP &amp; SHAP Analysis</w:t>
      </w:r>
    </w:p>
    <w:tbl>
      <w:tblPr>
        <w:tblStyle w:val="TableGrid"/>
        <w:tblW w:type="auto" w:w="0"/>
        <w:tblLook w:firstColumn="1" w:firstRow="1" w:lastColumn="0" w:lastRow="0" w:noHBand="0" w:noVBand="1" w:val="04A0"/>
      </w:tblPr>
      <w:tblGrid>
        <w:gridCol w:w="4703"/>
        <w:gridCol w:w="4703"/>
      </w:tblGrid>
      <w:tr>
        <w:tc>
          <w:tcPr>
            <w:tcW w:type="dxa" w:w="4703"/>
            <w:shd w:val="clear" w:color="auto" w:fill="2E75B6"/>
          </w:tcPr>
          <w:p>
            <w:r/>
            <w:r>
              <w:rPr>
                <w:b/>
                <w:color w:val="FFFFFF"/>
                <w:sz w:val="19"/>
              </w:rPr>
              <w:t>Metric</w:t>
            </w:r>
          </w:p>
        </w:tc>
        <w:tc>
          <w:tcPr>
            <w:tcW w:type="dxa" w:w="4703"/>
            <w:shd w:val="clear" w:color="auto" w:fill="2E75B6"/>
          </w:tcPr>
          <w:p>
            <w:r/>
            <w:r>
              <w:rPr>
                <w:b/>
                <w:color w:val="FFFFFF"/>
                <w:sz w:val="19"/>
              </w:rPr>
              <w:t>Value</w:t>
            </w:r>
          </w:p>
        </w:tc>
      </w:tr>
      <w:tr>
        <w:tc>
          <w:tcPr>
            <w:tcW w:type="dxa" w:w="4703"/>
            <w:shd w:val="clear" w:color="auto" w:fill="FFFFFF"/>
          </w:tcPr>
          <w:p>
            <w:r/>
            <w:r>
              <w:rPr>
                <w:sz w:val="19"/>
              </w:rPr>
              <w:t>Unified Fusion Probability</w:t>
            </w:r>
          </w:p>
        </w:tc>
        <w:tc>
          <w:tcPr>
            <w:tcW w:type="dxa" w:w="4703"/>
            <w:shd w:val="clear" w:color="auto" w:fill="FFFFFF"/>
          </w:tcPr>
          <w:p>
            <w:r/>
            <w:r/>
            <w:r>
              <w:rPr>
                <w:b/>
              </w:rPr>
              <w:t>0.4306</w:t>
            </w:r>
            <w:r>
              <w:rPr>
                <w:sz w:val="19"/>
              </w:rPr>
            </w:r>
          </w:p>
        </w:tc>
      </w:tr>
      <w:tr>
        <w:tc>
          <w:tcPr>
            <w:tcW w:type="dxa" w:w="4703"/>
            <w:shd w:val="clear" w:color="auto" w:fill="F2F7FC"/>
          </w:tcPr>
          <w:p>
            <w:r/>
            <w:r>
              <w:rPr>
                <w:sz w:val="19"/>
              </w:rPr>
              <w:t>Alert Threshold</w:t>
            </w:r>
          </w:p>
        </w:tc>
        <w:tc>
          <w:tcPr>
            <w:tcW w:type="dxa" w:w="4703"/>
            <w:shd w:val="clear" w:color="auto" w:fill="F2F7FC"/>
          </w:tcPr>
          <w:p>
            <w:r/>
            <w:r>
              <w:rPr>
                <w:sz w:val="19"/>
              </w:rPr>
              <w:t>0.48</w:t>
            </w:r>
          </w:p>
        </w:tc>
      </w:tr>
      <w:tr>
        <w:tc>
          <w:tcPr>
            <w:tcW w:type="dxa" w:w="4703"/>
            <w:shd w:val="clear" w:color="auto" w:fill="FFFFFF"/>
          </w:tcPr>
          <w:p>
            <w:r/>
            <w:r>
              <w:rPr>
                <w:sz w:val="19"/>
              </w:rPr>
              <w:t>AI Verdict</w:t>
            </w:r>
          </w:p>
        </w:tc>
        <w:tc>
          <w:tcPr>
            <w:tcW w:type="dxa" w:w="4703"/>
            <w:shd w:val="clear" w:color="auto" w:fill="FFFFFF"/>
          </w:tcPr>
          <w:p>
            <w:r/>
            <w:r>
              <w:t xml:space="preserve">🟢 </w:t>
            </w:r>
            <w:r>
              <w:rPr>
                <w:b/>
              </w:rPr>
              <w:t>LOW — NO ALERT</w:t>
            </w:r>
            <w:r>
              <w:rPr>
                <w:sz w:val="19"/>
              </w:rPr>
            </w:r>
          </w:p>
        </w:tc>
      </w:tr>
      <w:tr>
        <w:tc>
          <w:tcPr>
            <w:tcW w:type="dxa" w:w="4703"/>
            <w:shd w:val="clear" w:color="auto" w:fill="F2F7FC"/>
          </w:tcPr>
          <w:p>
            <w:r/>
            <w:r>
              <w:rPr>
                <w:sz w:val="19"/>
              </w:rPr>
              <w:t>RANO-AI Concordance</w:t>
            </w:r>
          </w:p>
        </w:tc>
        <w:tc>
          <w:tcPr>
            <w:tcW w:type="dxa" w:w="4703"/>
            <w:shd w:val="clear" w:color="auto" w:fill="F2F7FC"/>
          </w:tcPr>
          <w:p>
            <w:r/>
            <w:r>
              <w:rPr>
                <w:sz w:val="19"/>
              </w:rPr>
              <w:t>⚠️ DISCORDANT — MDT REVIEW RECOMMENDED</w:t>
            </w:r>
          </w:p>
        </w:tc>
      </w:tr>
    </w:tbl>
    <w:p/>
    <w:p>
      <w:pPr>
        <w:pStyle w:val="Heading3"/>
      </w:pPr>
      <w:r>
        <w:t>SHAP Top Feature Contributions</w:t>
      </w:r>
    </w:p>
    <w:p>
      <w:pPr/>
      <w:r>
        <w:rPr>
          <w:i/>
          <w:color w:val="777777"/>
          <w:sz w:val="18"/>
        </w:rPr>
        <w:t>SHAP values explain the model's prediction, not direct causality. Features marked 'Novel Signal' should be interpreted with caution and cross-referenced with clinical findings.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E75B6"/>
          </w:tcPr>
          <w:p>
            <w:r/>
            <w:r>
              <w:rPr>
                <w:b/>
                <w:color w:val="FFFFFF"/>
                <w:sz w:val="19"/>
              </w:rPr>
              <w:t>Rank</w:t>
            </w:r>
          </w:p>
        </w:tc>
        <w:tc>
          <w:tcPr>
            <w:tcW w:type="dxa" w:w="1881"/>
            <w:shd w:val="clear" w:color="auto" w:fill="2E75B6"/>
          </w:tcPr>
          <w:p>
            <w:r/>
            <w:r>
              <w:rPr>
                <w:b/>
                <w:color w:val="FFFFFF"/>
                <w:sz w:val="19"/>
              </w:rPr>
              <w:t>Feature</w:t>
            </w:r>
          </w:p>
        </w:tc>
        <w:tc>
          <w:tcPr>
            <w:tcW w:type="dxa" w:w="1881"/>
            <w:shd w:val="clear" w:color="auto" w:fill="2E75B6"/>
          </w:tcPr>
          <w:p>
            <w:r/>
            <w:r>
              <w:rPr>
                <w:b/>
                <w:color w:val="FFFFFF"/>
                <w:sz w:val="19"/>
              </w:rPr>
              <w:t>SHAP Value</w:t>
            </w:r>
          </w:p>
        </w:tc>
        <w:tc>
          <w:tcPr>
            <w:tcW w:type="dxa" w:w="1881"/>
            <w:shd w:val="clear" w:color="auto" w:fill="2E75B6"/>
          </w:tcPr>
          <w:p>
            <w:r/>
            <w:r>
              <w:rPr>
                <w:b/>
                <w:color w:val="FFFFFF"/>
                <w:sz w:val="19"/>
              </w:rPr>
              <w:t>Direction</w:t>
            </w:r>
          </w:p>
        </w:tc>
        <w:tc>
          <w:tcPr>
            <w:tcW w:type="dxa" w:w="1881"/>
            <w:shd w:val="clear" w:color="auto" w:fill="2E75B6"/>
          </w:tcPr>
          <w:p>
            <w:r/>
            <w:r>
              <w:rPr>
                <w:b/>
                <w:color w:val="FFFFFF"/>
                <w:sz w:val="19"/>
              </w:rPr>
              <w:t>Clinical Status</w:t>
            </w:r>
          </w:p>
        </w:tc>
      </w:tr>
      <w:tr>
        <w:tc>
          <w:tcPr>
            <w:tcW w:type="dxa" w:w="1881"/>
            <w:shd w:val="clear" w:color="auto" w:fill="FFFFFF"/>
          </w:tcPr>
          <w:p>
            <w:r/>
            <w:r>
              <w:rPr>
                <w:sz w:val="19"/>
              </w:rPr>
              <w:t>1</w:t>
            </w:r>
          </w:p>
        </w:tc>
        <w:tc>
          <w:tcPr>
            <w:tcW w:type="dxa" w:w="1881"/>
            <w:shd w:val="clear" w:color="auto" w:fill="FFFFFF"/>
          </w:tcPr>
          <w:p>
            <w:r/>
            <w:r/>
            <w:r>
              <w:rPr>
                <w:rFonts w:ascii="Courier New" w:hAnsi="Courier New"/>
                <w:color w:val="C0392B"/>
                <w:sz w:val="18"/>
              </w:rPr>
              <w:t>upstream_mol_score</w:t>
            </w:r>
            <w:r>
              <w:rPr>
                <w:sz w:val="19"/>
              </w:rPr>
            </w:r>
          </w:p>
        </w:tc>
        <w:tc>
          <w:tcPr>
            <w:tcW w:type="dxa" w:w="1881"/>
            <w:shd w:val="clear" w:color="auto" w:fill="FFFFFF"/>
          </w:tcPr>
          <w:p>
            <w:r/>
            <w:r>
              <w:rPr>
                <w:sz w:val="19"/>
              </w:rPr>
              <w:t>+0.1661</w:t>
            </w:r>
          </w:p>
        </w:tc>
        <w:tc>
          <w:tcPr>
            <w:tcW w:type="dxa" w:w="1881"/>
            <w:shd w:val="clear" w:color="auto" w:fill="FFFFFF"/>
          </w:tcPr>
          <w:p>
            <w:r/>
            <w:r>
              <w:rPr>
                <w:sz w:val="19"/>
              </w:rPr>
              <w:t>↑ Increases risk</w:t>
            </w:r>
          </w:p>
        </w:tc>
        <w:tc>
          <w:tcPr>
            <w:tcW w:type="dxa" w:w="1881"/>
            <w:shd w:val="clear" w:color="auto" w:fill="FFFFFF"/>
          </w:tcPr>
          <w:p>
            <w:r/>
            <w:r>
              <w:rPr>
                <w:sz w:val="19"/>
              </w:rPr>
              <w:t>Clinically Validated</w:t>
            </w:r>
          </w:p>
        </w:tc>
      </w:tr>
      <w:tr>
        <w:tc>
          <w:tcPr>
            <w:tcW w:type="dxa" w:w="1881"/>
            <w:shd w:val="clear" w:color="auto" w:fill="F2F7FC"/>
          </w:tcPr>
          <w:p>
            <w:r/>
            <w:r>
              <w:rPr>
                <w:sz w:val="19"/>
              </w:rPr>
              <w:t>2</w:t>
            </w:r>
          </w:p>
        </w:tc>
        <w:tc>
          <w:tcPr>
            <w:tcW w:type="dxa" w:w="1881"/>
            <w:shd w:val="clear" w:color="auto" w:fill="F2F7FC"/>
          </w:tcPr>
          <w:p>
            <w:r/>
            <w:r/>
            <w:r>
              <w:rPr>
                <w:rFonts w:ascii="Courier New" w:hAnsi="Courier New"/>
                <w:color w:val="C0392B"/>
                <w:sz w:val="18"/>
              </w:rPr>
              <w:t>vision_dim_32</w:t>
            </w:r>
            <w:r>
              <w:rPr>
                <w:sz w:val="19"/>
              </w:rPr>
            </w:r>
          </w:p>
        </w:tc>
        <w:tc>
          <w:tcPr>
            <w:tcW w:type="dxa" w:w="1881"/>
            <w:shd w:val="clear" w:color="auto" w:fill="F2F7FC"/>
          </w:tcPr>
          <w:p>
            <w:r/>
            <w:r>
              <w:rPr>
                <w:sz w:val="19"/>
              </w:rPr>
              <w:t>-0.0022</w:t>
            </w:r>
          </w:p>
        </w:tc>
        <w:tc>
          <w:tcPr>
            <w:tcW w:type="dxa" w:w="1881"/>
            <w:shd w:val="clear" w:color="auto" w:fill="F2F7FC"/>
          </w:tcPr>
          <w:p>
            <w:r/>
            <w:r>
              <w:rPr>
                <w:sz w:val="19"/>
              </w:rPr>
              <w:t>↓ Decreases risk</w:t>
            </w:r>
          </w:p>
        </w:tc>
        <w:tc>
          <w:tcPr>
            <w:tcW w:type="dxa" w:w="1881"/>
            <w:shd w:val="clear" w:color="auto" w:fill="F2F7FC"/>
          </w:tcPr>
          <w:p>
            <w:r/>
            <w:r>
              <w:rPr>
                <w:sz w:val="19"/>
              </w:rPr>
              <w:t>Novel Signal</w:t>
            </w:r>
          </w:p>
        </w:tc>
      </w:tr>
      <w:tr>
        <w:tc>
          <w:tcPr>
            <w:tcW w:type="dxa" w:w="1881"/>
            <w:shd w:val="clear" w:color="auto" w:fill="FFFFFF"/>
          </w:tcPr>
          <w:p>
            <w:r/>
            <w:r>
              <w:rPr>
                <w:sz w:val="19"/>
              </w:rPr>
              <w:t>3</w:t>
            </w:r>
          </w:p>
        </w:tc>
        <w:tc>
          <w:tcPr>
            <w:tcW w:type="dxa" w:w="1881"/>
            <w:shd w:val="clear" w:color="auto" w:fill="FFFFFF"/>
          </w:tcPr>
          <w:p>
            <w:r/>
            <w:r/>
            <w:r>
              <w:rPr>
                <w:rFonts w:ascii="Courier New" w:hAnsi="Courier New"/>
                <w:color w:val="C0392B"/>
                <w:sz w:val="18"/>
              </w:rPr>
              <w:t>vision_dim_2</w:t>
            </w:r>
            <w:r>
              <w:rPr>
                <w:sz w:val="19"/>
              </w:rPr>
            </w:r>
          </w:p>
        </w:tc>
        <w:tc>
          <w:tcPr>
            <w:tcW w:type="dxa" w:w="1881"/>
            <w:shd w:val="clear" w:color="auto" w:fill="FFFFFF"/>
          </w:tcPr>
          <w:p>
            <w:r/>
            <w:r>
              <w:rPr>
                <w:sz w:val="19"/>
              </w:rPr>
              <w:t>-0.0020</w:t>
            </w:r>
          </w:p>
        </w:tc>
        <w:tc>
          <w:tcPr>
            <w:tcW w:type="dxa" w:w="1881"/>
            <w:shd w:val="clear" w:color="auto" w:fill="FFFFFF"/>
          </w:tcPr>
          <w:p>
            <w:r/>
            <w:r>
              <w:rPr>
                <w:sz w:val="19"/>
              </w:rPr>
              <w:t>↓ Decreases risk</w:t>
            </w:r>
          </w:p>
        </w:tc>
        <w:tc>
          <w:tcPr>
            <w:tcW w:type="dxa" w:w="1881"/>
            <w:shd w:val="clear" w:color="auto" w:fill="FFFFFF"/>
          </w:tcPr>
          <w:p>
            <w:r/>
            <w:r>
              <w:rPr>
                <w:sz w:val="19"/>
              </w:rPr>
              <w:t>Novel Signal</w:t>
            </w:r>
          </w:p>
        </w:tc>
      </w:tr>
      <w:tr>
        <w:tc>
          <w:tcPr>
            <w:tcW w:type="dxa" w:w="1881"/>
            <w:shd w:val="clear" w:color="auto" w:fill="F2F7FC"/>
          </w:tcPr>
          <w:p>
            <w:r/>
            <w:r>
              <w:rPr>
                <w:sz w:val="19"/>
              </w:rPr>
              <w:t>4</w:t>
            </w:r>
          </w:p>
        </w:tc>
        <w:tc>
          <w:tcPr>
            <w:tcW w:type="dxa" w:w="1881"/>
            <w:shd w:val="clear" w:color="auto" w:fill="F2F7FC"/>
          </w:tcPr>
          <w:p>
            <w:r/>
            <w:r/>
            <w:r>
              <w:rPr>
                <w:rFonts w:ascii="Courier New" w:hAnsi="Courier New"/>
                <w:color w:val="C0392B"/>
                <w:sz w:val="18"/>
              </w:rPr>
              <w:t>vision_dim_27</w:t>
            </w:r>
            <w:r>
              <w:rPr>
                <w:sz w:val="19"/>
              </w:rPr>
            </w:r>
          </w:p>
        </w:tc>
        <w:tc>
          <w:tcPr>
            <w:tcW w:type="dxa" w:w="1881"/>
            <w:shd w:val="clear" w:color="auto" w:fill="F2F7FC"/>
          </w:tcPr>
          <w:p>
            <w:r/>
            <w:r>
              <w:rPr>
                <w:sz w:val="19"/>
              </w:rPr>
              <w:t>+0.0020</w:t>
            </w:r>
          </w:p>
        </w:tc>
        <w:tc>
          <w:tcPr>
            <w:tcW w:type="dxa" w:w="1881"/>
            <w:shd w:val="clear" w:color="auto" w:fill="F2F7FC"/>
          </w:tcPr>
          <w:p>
            <w:r/>
            <w:r>
              <w:rPr>
                <w:sz w:val="19"/>
              </w:rPr>
              <w:t>↑ Increases risk</w:t>
            </w:r>
          </w:p>
        </w:tc>
        <w:tc>
          <w:tcPr>
            <w:tcW w:type="dxa" w:w="1881"/>
            <w:shd w:val="clear" w:color="auto" w:fill="F2F7FC"/>
          </w:tcPr>
          <w:p>
            <w:r/>
            <w:r>
              <w:rPr>
                <w:sz w:val="19"/>
              </w:rPr>
              <w:t>Novel Signal</w:t>
            </w:r>
          </w:p>
        </w:tc>
      </w:tr>
      <w:tr>
        <w:tc>
          <w:tcPr>
            <w:tcW w:type="dxa" w:w="1881"/>
            <w:shd w:val="clear" w:color="auto" w:fill="FFFFFF"/>
          </w:tcPr>
          <w:p>
            <w:r/>
            <w:r>
              <w:rPr>
                <w:sz w:val="19"/>
              </w:rPr>
              <w:t>5</w:t>
            </w:r>
          </w:p>
        </w:tc>
        <w:tc>
          <w:tcPr>
            <w:tcW w:type="dxa" w:w="1881"/>
            <w:shd w:val="clear" w:color="auto" w:fill="FFFFFF"/>
          </w:tcPr>
          <w:p>
            <w:r/>
            <w:r/>
            <w:r>
              <w:rPr>
                <w:rFonts w:ascii="Courier New" w:hAnsi="Courier New"/>
                <w:color w:val="C0392B"/>
                <w:sz w:val="18"/>
              </w:rPr>
              <w:t>vision_dim_0</w:t>
            </w:r>
            <w:r>
              <w:rPr>
                <w:sz w:val="19"/>
              </w:rPr>
            </w:r>
          </w:p>
        </w:tc>
        <w:tc>
          <w:tcPr>
            <w:tcW w:type="dxa" w:w="1881"/>
            <w:shd w:val="clear" w:color="auto" w:fill="FFFFFF"/>
          </w:tcPr>
          <w:p>
            <w:r/>
            <w:r>
              <w:rPr>
                <w:sz w:val="19"/>
              </w:rPr>
              <w:t>-0.0019</w:t>
            </w:r>
          </w:p>
        </w:tc>
        <w:tc>
          <w:tcPr>
            <w:tcW w:type="dxa" w:w="1881"/>
            <w:shd w:val="clear" w:color="auto" w:fill="FFFFFF"/>
          </w:tcPr>
          <w:p>
            <w:r/>
            <w:r>
              <w:rPr>
                <w:sz w:val="19"/>
              </w:rPr>
              <w:t>↓ Decreases risk</w:t>
            </w:r>
          </w:p>
        </w:tc>
        <w:tc>
          <w:tcPr>
            <w:tcW w:type="dxa" w:w="1881"/>
            <w:shd w:val="clear" w:color="auto" w:fill="FFFFFF"/>
          </w:tcPr>
          <w:p>
            <w:r/>
            <w:r>
              <w:rPr>
                <w:sz w:val="19"/>
              </w:rPr>
              <w:t>Novel Signal</w:t>
            </w:r>
          </w:p>
        </w:tc>
      </w:tr>
    </w:tbl>
    <w:p/>
    <w:p>
      <w:pPr>
        <w:jc w:val="center"/>
      </w:pPr>
      <w:r>
        <w:drawing>
          <wp:inline xmlns:a="http://schemas.openxmlformats.org/drawingml/2006/main" xmlns:pic="http://schemas.openxmlformats.org/drawingml/2006/picture">
            <wp:extent cx="5486400" cy="2391824"/>
            <wp:docPr id="2" name="Picture 2"/>
            <wp:cNvGraphicFramePr>
              <a:graphicFrameLocks noChangeAspect="1"/>
            </wp:cNvGraphicFramePr>
            <a:graphic>
              <a:graphicData uri="http://schemas.openxmlformats.org/drawingml/2006/picture">
                <pic:pic>
                  <pic:nvPicPr>
                    <pic:cNvPr id="0" name="PatientID_0019_Timepoint_5_shap.png"/>
                    <pic:cNvPicPr/>
                  </pic:nvPicPr>
                  <pic:blipFill>
                    <a:blip r:embed="rId10"/>
                    <a:stretch>
                      <a:fillRect/>
                    </a:stretch>
                  </pic:blipFill>
                  <pic:spPr>
                    <a:xfrm>
                      <a:off x="0" y="0"/>
                      <a:ext cx="5486400" cy="2391824"/>
                    </a:xfrm>
                    <a:prstGeom prst="rect"/>
                  </pic:spPr>
                </pic:pic>
              </a:graphicData>
            </a:graphic>
          </wp:inline>
        </w:drawing>
      </w:r>
    </w:p>
    <w:p>
      <w:pPr>
        <w:jc w:val="center"/>
      </w:pPr>
      <w:r>
        <w:rPr>
          <w:i/>
          <w:color w:val="888888"/>
          <w:sz w:val="18"/>
        </w:rPr>
        <w:t>SHAP Feature Importance</w:t>
      </w:r>
    </w:p>
    <w:p>
      <w:pPr>
        <w:pBdr>
          <w:bottom w:val="single" w:sz="6" w:space="1" w:color="AAAAAA"/>
        </w:pBdr>
      </w:pPr>
    </w:p>
    <w:p>
      <w:pPr>
        <w:pStyle w:val="Heading2"/>
      </w:pPr>
      <w:r>
        <w:rPr>
          <w:color w:val="2E75B6"/>
        </w:rPr>
        <w:t>Section 5 — LLM-Generated Clinical Summary</w:t>
      </w:r>
    </w:p>
    <w:p>
      <w:pPr>
        <w:spacing w:before="80" w:after="80"/>
        <w:ind w:left="576"/>
        <w:pBdr>
          <w:left w:val="single" w:sz="12" w:space="4" w:color="2E75B6"/>
        </w:pBdr>
      </w:pPr>
      <w:r>
        <w:rPr>
          <w:i/>
          <w:color w:val="444444"/>
        </w:rPr>
        <w:t>At 317 days from diagnosis, PatientID_0019 demonstrates a notable increase in the longitudinal LightGBM molecular score by 0.1541 from the prior timepoint, indicating a potential upward risk trajectory. The RANO 2.0 criteria classify the current imaging as progressive disease, citing a 71.6% increase in bidimensional measurements and the presence of a new lesion. In contrast, the AI fusion model yields a unified probability of 0.4306, below the alert threshold of 0.48, and thus does not support progression at this timepoint. This discordance may be partly explained by the AI’s reliance on the upstream molecular score as the primary driver toward progression (SHAP +0.1661), while novel imaging features (vision_dim_32 and vision_dim_2) exert minimal influence away from progression. The moderate pseudoprogression risk, influenced by MGMT methylation status and timing post-radiotherapy, further complicates interpretation. Given this clinical uncertainty and the conflicting assessments, a multidisciplinary team review is strongly recommended alongside short-interval follow-up imaging within 4 to 6 weeks to clarify disease status and guide management.</w:t>
      </w:r>
    </w:p>
    <w:p>
      <w:pPr>
        <w:pBdr>
          <w:bottom w:val="single" w:sz="6" w:space="1" w:color="AAAAAA"/>
        </w:pBdr>
      </w:pPr>
    </w:p>
    <w:p>
      <w:pPr/>
      <w:r>
        <w:rPr>
          <w:i/>
          <w:color w:val="777777"/>
          <w:sz w:val="18"/>
        </w:rPr>
        <w:t>This report was generated automatically by the Glioma Post-Treatment Surveillance AI Agent. It is intended as a decision-support tool and does not replace clinical judgment. All findings should be reviewed by a qualified neuro-oncologist.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