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C8A"/>
        </w:rPr>
        <w:t>Glioma Post-Treatment Surveillance Report</w:t>
      </w:r>
    </w:p>
    <w:p>
      <w:pPr/>
      <w:r/>
      <w:r>
        <w:rPr>
          <w:b/>
        </w:rPr>
        <w:t>Patient:</w:t>
      </w:r>
      <w:r>
        <w:t xml:space="preserve"> </w:t>
      </w:r>
      <w:r>
        <w:rPr>
          <w:rFonts w:ascii="Courier New" w:hAnsi="Courier New"/>
          <w:color w:val="C0392B"/>
          <w:sz w:val="18"/>
        </w:rPr>
        <w:t>PatientID_0019</w:t>
      </w:r>
      <w:r>
        <w:t xml:space="preserve"> | </w:t>
      </w:r>
      <w:r>
        <w:rPr>
          <w:b/>
        </w:rPr>
        <w:t>Timepoint:</w:t>
      </w:r>
      <w:r>
        <w:t xml:space="preserve"> </w:t>
      </w:r>
      <w:r>
        <w:rPr>
          <w:rFonts w:ascii="Courier New" w:hAnsi="Courier New"/>
          <w:color w:val="C0392B"/>
          <w:sz w:val="18"/>
        </w:rPr>
        <w:t>Timepoint_6</w:t>
      </w:r>
      <w:r>
        <w:t xml:space="preserve"> | </w:t>
      </w:r>
      <w:r>
        <w:rPr>
          <w:b/>
        </w:rPr>
        <w:t>Generated:</w:t>
      </w:r>
      <w:r>
        <w:t xml:space="preserve"> AI Agent Pipeline v1.0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5B6"/>
        </w:rPr>
        <w:t>Section 1 — Fixed Clinical &amp; Volumetric Metrics</w:t>
      </w:r>
    </w:p>
    <w:p>
      <w:pPr>
        <w:pStyle w:val="Heading3"/>
      </w:pPr>
      <w:r>
        <w:t>Patient Demographics &amp;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9"/>
              </w:rPr>
              <w:t>Patient ID</w:t>
            </w:r>
          </w:p>
        </w:tc>
        <w:tc>
          <w:tcPr>
            <w:tcW w:type="dxa" w:w="4703"/>
            <w:shd w:val="clear" w:color="auto" w:fill="FFFFFF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PatientID_0019</w:t>
            </w:r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Current Timepoint</w:t>
            </w:r>
          </w:p>
        </w:tc>
        <w:tc>
          <w:tcPr>
            <w:tcW w:type="dxa" w:w="4703"/>
            <w:shd w:val="clear" w:color="auto" w:fill="F2F7FC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Timepoint_6</w:t>
            </w:r>
            <w:r>
              <w:rPr>
                <w:sz w:val="19"/>
              </w:rPr>
              <w:t xml:space="preserve"> (Timepoint #6)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9"/>
              </w:rPr>
              <w:t>Days from Diagnosis to MRI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9"/>
              </w:rPr>
              <w:t>379 days</w:t>
            </w:r>
          </w:p>
        </w:tc>
      </w:tr>
      <w:tr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Ground Truth Label</w:t>
            </w:r>
          </w:p>
        </w:tc>
        <w:tc>
          <w:tcPr>
            <w:tcW w:type="dxa" w:w="4703"/>
            <w:shd w:val="clear" w:color="auto" w:fill="F2F7FC"/>
          </w:tcPr>
          <w:p>
            <w:r/>
            <w:r/>
            <w:r>
              <w:rPr>
                <w:b/>
              </w:rPr>
              <w:t>Progression (1)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Molecular Profile</w:t>
      </w:r>
    </w:p>
    <w:p>
      <w:pPr/>
      <w:r>
        <w:rPr>
          <w:i/>
          <w:color w:val="777777"/>
          <w:sz w:val="18"/>
        </w:rPr>
        <w:t>Note: Molecular profile values are sourced from `measurements.py` (currently being finalized). Placeholder values shown below — to be populated from EHR in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Biomarker</w:t>
            </w:r>
          </w:p>
        </w:tc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Clinical Significance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IDH1 Mutation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Wild-type (0)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Associated with worse prognosis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MGMT Methylation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Unknown (4)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Affects pseudoprogression risk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EGFR Amplification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Amplified (2)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Aggressive phenotype marker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1p/19q Codeletion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Intact (0)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Not oligodendroglial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TERT Promoter Mutation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Mutated (2)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Poor prognostic marker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WHO Grade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Highest malignancy grade</w:t>
            </w:r>
          </w:p>
        </w:tc>
      </w:tr>
    </w:tbl>
    <w:p/>
    <w:p>
      <w:pPr>
        <w:pStyle w:val="Heading3"/>
      </w:pPr>
      <w:r>
        <w:t>Longitudinal Risk Score Trajectory</w:t>
      </w:r>
    </w:p>
    <w:p>
      <w:pPr/>
      <w:r>
        <w:rPr>
          <w:i/>
          <w:color w:val="777777"/>
          <w:sz w:val="18"/>
        </w:rPr>
        <w:t>The table below shows the evolution of the LightGBM molecular risk score across all available timepoints. Delta values capture the rate of change — the clinically informative signal.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Timepoint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Days from Dx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Mol Score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Δ from Prior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Δ% from Prior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Δ from Nadir</w:t>
            </w:r>
          </w:p>
        </w:tc>
        <w:tc>
          <w:tcPr>
            <w:tcW w:type="dxa" w:w="1344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Timepoint_4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268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0.2151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+0.0000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Stable</w:t>
            </w:r>
          </w:p>
        </w:tc>
      </w:tr>
      <w:tr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Timepoint_5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317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0.3692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+0.1541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+71.6%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+0.1541</w:t>
            </w:r>
          </w:p>
        </w:tc>
        <w:tc>
          <w:tcPr>
            <w:tcW w:type="dxa" w:w="1344"/>
            <w:shd w:val="clear" w:color="auto" w:fill="F2F7FC"/>
          </w:tcPr>
          <w:p>
            <w:r/>
            <w:r>
              <w:rPr>
                <w:sz w:val="19"/>
              </w:rPr>
              <w:t>Stable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/>
            <w:r>
              <w:t xml:space="preserve">Timepoint_6 ◀ </w:t>
            </w:r>
            <w:r>
              <w:rPr>
                <w:b/>
              </w:rPr>
              <w:t>Current</w:t>
            </w:r>
            <w:r>
              <w:rPr>
                <w:sz w:val="19"/>
              </w:rPr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379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0.5665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+0.1973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+53.5%</w:t>
            </w:r>
          </w:p>
        </w:tc>
        <w:tc>
          <w:tcPr>
            <w:tcW w:type="dxa" w:w="1344"/>
            <w:shd w:val="clear" w:color="auto" w:fill="FFFFFF"/>
          </w:tcPr>
          <w:p>
            <w:r/>
            <w:r>
              <w:rPr>
                <w:sz w:val="19"/>
              </w:rPr>
              <w:t>+0.3514</w:t>
            </w:r>
          </w:p>
        </w:tc>
        <w:tc>
          <w:tcPr>
            <w:tcW w:type="dxa" w:w="1344"/>
            <w:shd w:val="clear" w:color="auto" w:fill="FFFFFF"/>
          </w:tcPr>
          <w:p>
            <w:r/>
            <w:r/>
            <w:r>
              <w:rPr>
                <w:b/>
              </w:rPr>
              <w:t>PD</w:t>
            </w:r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5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ID_0019_longitudin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Longitudinal Trend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5B6"/>
        </w:rPr>
        <w:t>Section 2 — RANO 2.0 Rule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3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3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3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Triggered?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9"/>
              </w:rPr>
              <w:t>Bidimensional (BD) Product Change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9"/>
              </w:rPr>
              <w:t>+53.5%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9"/>
              </w:rPr>
              <w:t>+25%</w:t>
            </w:r>
          </w:p>
        </w:tc>
        <w:tc>
          <w:tcPr>
            <w:tcW w:type="dxa" w:w="2351"/>
            <w:shd w:val="clear" w:color="auto" w:fill="FFFFFF"/>
          </w:tcPr>
          <w:p>
            <w:r/>
            <w:r/>
            <w:r>
              <w:rPr>
                <w:b/>
              </w:rPr>
              <w:t>YES</w:t>
            </w:r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F2F7FC"/>
          </w:tcPr>
          <w:p>
            <w:r/>
            <w:r>
              <w:rPr>
                <w:sz w:val="19"/>
              </w:rPr>
              <w:t>New Independent Lesion</w:t>
            </w:r>
          </w:p>
        </w:tc>
        <w:tc>
          <w:tcPr>
            <w:tcW w:type="dxa" w:w="2351"/>
            <w:shd w:val="clear" w:color="auto" w:fill="F2F7FC"/>
          </w:tcPr>
          <w:p>
            <w:r/>
            <w:r>
              <w:rPr>
                <w:sz w:val="19"/>
              </w:rPr>
              <w:t>Detected</w:t>
            </w:r>
          </w:p>
        </w:tc>
        <w:tc>
          <w:tcPr>
            <w:tcW w:type="dxa" w:w="2351"/>
            <w:shd w:val="clear" w:color="auto" w:fill="F2F7FC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351"/>
            <w:shd w:val="clear" w:color="auto" w:fill="F2F7FC"/>
          </w:tcPr>
          <w:p>
            <w:r/>
            <w:r/>
            <w:r>
              <w:rPr>
                <w:b/>
              </w:rPr>
              <w:t>YES</w:t>
            </w:r>
            <w:r>
              <w:rPr>
                <w:sz w:val="19"/>
              </w:rPr>
            </w:r>
          </w:p>
        </w:tc>
      </w:tr>
    </w:tbl>
    <w:p/>
    <w:p>
      <w:pPr>
        <w:spacing w:before="80" w:after="80"/>
        <w:ind w:left="576"/>
        <w:pBdr>
          <w:left w:val="single" w:sz="12" w:space="4" w:color="2E75B6"/>
        </w:pBdr>
      </w:pPr>
      <w:r>
        <w:rPr>
          <w:i/>
          <w:color w:val="444444"/>
        </w:rPr>
      </w:r>
      <w:r>
        <w:rPr>
          <w:b/>
          <w:i/>
          <w:color w:val="444444"/>
        </w:rPr>
        <w:t>RANO 2.0 Verdict:</w:t>
      </w:r>
      <w:r>
        <w:rPr>
          <w:i/>
          <w:color w:val="444444"/>
        </w:rPr>
        <w:t xml:space="preserve"> </w:t>
      </w:r>
      <w:r>
        <w:rPr>
          <w:b/>
          <w:i/>
          <w:color w:val="444444"/>
        </w:rPr>
        <w:t>Progressive Disease (PD)</w:t>
      </w:r>
      <w:r>
        <w:rPr>
          <w:i/>
          <w:color w:val="444444"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5B6"/>
        </w:rPr>
        <w:t>Section 3 — Confounder Check (Weighted Pseudoprogression Risk)</w:t>
      </w:r>
    </w:p>
    <w:p>
      <w:pPr/>
      <w:r/>
      <w:r>
        <w:rPr>
          <w:b/>
        </w:rPr>
        <w:t>Total Risk Score: 0.0 / 5.5</w:t>
      </w:r>
      <w:r/>
    </w:p>
    <w:p>
      <w:pPr>
        <w:spacing w:before="80" w:after="80"/>
        <w:ind w:left="576"/>
        <w:pBdr>
          <w:left w:val="single" w:sz="12" w:space="4" w:color="2E75B6"/>
        </w:pBdr>
      </w:pPr>
      <w:r>
        <w:rPr>
          <w:i/>
          <w:color w:val="444444"/>
        </w:rPr>
      </w:r>
      <w:r>
        <w:rPr>
          <w:b/>
          <w:i/>
          <w:color w:val="444444"/>
        </w:rPr>
        <w:t>Risk Classification: LOW Pseudoprogression Risk</w:t>
      </w:r>
      <w:r>
        <w:rPr>
          <w:i/>
          <w:color w:val="44444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Confounder Factor</w:t>
            </w:r>
          </w:p>
        </w:tc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Score Contribution</w:t>
            </w:r>
          </w:p>
        </w:tc>
        <w:tc>
          <w:tcPr>
            <w:tcW w:type="dxa" w:w="3135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Time Post Rt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+0.0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(&gt; 12 months post-RT — pseudoprogression less likely but not excluded)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Mgmt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(MGMT status not provided)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Steroid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+0.0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9"/>
              </w:rPr>
              <w:t>(Steroid dose change +0% — within normal range)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Rc Adjacent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+0.0</w:t>
            </w:r>
          </w:p>
        </w:tc>
        <w:tc>
          <w:tcPr>
            <w:tcW w:type="dxa" w:w="3135"/>
            <w:shd w:val="clear" w:color="auto" w:fill="F2F7FC"/>
          </w:tcPr>
          <w:p>
            <w:r/>
            <w:r>
              <w:rPr>
                <w:sz w:val="19"/>
              </w:rPr>
              <w:t>(No RC-adjacent enhancement)</w:t>
            </w:r>
          </w:p>
        </w:tc>
      </w:tr>
    </w:tbl>
    <w:p/>
    <w:p>
      <w:pPr/>
      <w:r>
        <w:rPr>
          <w:i/>
          <w:color w:val="777777"/>
          <w:sz w:val="18"/>
        </w:rPr>
        <w:t>Note: MGMT methylation status is the single strongest predictor of pseudoprogression risk. When MGMT status is unknown, risk should be treated conservatively.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5B6"/>
        </w:rPr>
        <w:t>Section 4 — AI Interpretation: Fusion MLP &amp; SHAP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9"/>
              </w:rPr>
              <w:t>Unified Fusion Probability</w:t>
            </w:r>
          </w:p>
        </w:tc>
        <w:tc>
          <w:tcPr>
            <w:tcW w:type="dxa" w:w="4703"/>
            <w:shd w:val="clear" w:color="auto" w:fill="FFFFFF"/>
          </w:tcPr>
          <w:p>
            <w:r/>
            <w:r/>
            <w:r>
              <w:rPr>
                <w:b/>
              </w:rPr>
              <w:t>0.5782</w:t>
            </w:r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Alert Threshold</w:t>
            </w:r>
          </w:p>
        </w:tc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0.48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9"/>
              </w:rPr>
              <w:t>AI Verdict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 xml:space="preserve">🟠 </w:t>
            </w:r>
            <w:r>
              <w:rPr>
                <w:b/>
              </w:rPr>
              <w:t>MODERATE — CLOSE FOLLOW-UP WARRANTED</w:t>
            </w:r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RANO-AI Concordance</w:t>
            </w:r>
          </w:p>
        </w:tc>
        <w:tc>
          <w:tcPr>
            <w:tcW w:type="dxa" w:w="4703"/>
            <w:shd w:val="clear" w:color="auto" w:fill="F2F7FC"/>
          </w:tcPr>
          <w:p>
            <w:r/>
            <w:r>
              <w:rPr>
                <w:sz w:val="19"/>
              </w:rPr>
              <w:t>✅ CONCORDANT</w:t>
            </w:r>
          </w:p>
        </w:tc>
      </w:tr>
    </w:tbl>
    <w:p/>
    <w:p>
      <w:pPr>
        <w:pStyle w:val="Heading3"/>
      </w:pPr>
      <w:r>
        <w:t>SHAP Top Feature Contributions</w:t>
      </w:r>
    </w:p>
    <w:p>
      <w:pPr/>
      <w:r>
        <w:rPr>
          <w:i/>
          <w:color w:val="777777"/>
          <w:sz w:val="18"/>
        </w:rPr>
        <w:t>SHAP values explain the model's prediction, not direct causality. Features marked 'Novel Signal' should be interpreted with caution and cross-referenced with clinical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188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8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SHAP Value</w:t>
            </w:r>
          </w:p>
        </w:tc>
        <w:tc>
          <w:tcPr>
            <w:tcW w:type="dxa" w:w="188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88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Clinical 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upstream_mol_score</w:t>
            </w:r>
            <w:r>
              <w:rPr>
                <w:sz w:val="19"/>
              </w:rPr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+0.3329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↑ Increases risk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Clinically Validated</w:t>
            </w:r>
          </w:p>
        </w:tc>
      </w:tr>
      <w:tr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81"/>
            <w:shd w:val="clear" w:color="auto" w:fill="F2F7FC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vision_dim_32</w:t>
            </w:r>
            <w:r>
              <w:rPr>
                <w:sz w:val="19"/>
              </w:rPr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-0.0018</w:t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↓ Decreases risk</w:t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Novel Signal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vision_dim_27</w:t>
            </w:r>
            <w:r>
              <w:rPr>
                <w:sz w:val="19"/>
              </w:rPr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+0.0016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↑ Increases risk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Novel Signal</w:t>
            </w:r>
          </w:p>
        </w:tc>
      </w:tr>
      <w:tr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81"/>
            <w:shd w:val="clear" w:color="auto" w:fill="F2F7FC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vision_dim_0</w:t>
            </w:r>
            <w:r>
              <w:rPr>
                <w:sz w:val="19"/>
              </w:rPr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-0.0014</w:t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↓ Decreases risk</w:t>
            </w:r>
          </w:p>
        </w:tc>
        <w:tc>
          <w:tcPr>
            <w:tcW w:type="dxa" w:w="1881"/>
            <w:shd w:val="clear" w:color="auto" w:fill="F2F7FC"/>
          </w:tcPr>
          <w:p>
            <w:r/>
            <w:r>
              <w:rPr>
                <w:sz w:val="19"/>
              </w:rPr>
              <w:t>Novel Signal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r/>
            <w:r/>
            <w:r>
              <w:rPr>
                <w:rFonts w:ascii="Courier New" w:hAnsi="Courier New"/>
                <w:color w:val="C0392B"/>
                <w:sz w:val="18"/>
              </w:rPr>
              <w:t>vision_dim_2</w:t>
            </w:r>
            <w:r>
              <w:rPr>
                <w:sz w:val="19"/>
              </w:rPr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-0.0014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↓ Decreases risk</w:t>
            </w:r>
          </w:p>
        </w:tc>
        <w:tc>
          <w:tcPr>
            <w:tcW w:type="dxa" w:w="1881"/>
            <w:shd w:val="clear" w:color="auto" w:fill="FFFFFF"/>
          </w:tcPr>
          <w:p>
            <w:r/>
            <w:r>
              <w:rPr>
                <w:sz w:val="19"/>
              </w:rPr>
              <w:t>Novel Signal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1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ID_0019_Timepoint_6_sh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SHAP Feature Importance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5B6"/>
        </w:rPr>
        <w:t>Section 5 — LLM-Generated Clinical Summary</w:t>
      </w:r>
    </w:p>
    <w:p>
      <w:pPr>
        <w:spacing w:before="80" w:after="80"/>
        <w:ind w:left="576"/>
        <w:pBdr>
          <w:left w:val="single" w:sz="12" w:space="4" w:color="2E75B6"/>
        </w:pBdr>
      </w:pPr>
      <w:r>
        <w:rPr>
          <w:i/>
          <w:color w:val="444444"/>
        </w:rPr>
        <w:t>At 379 days post-diagnosis, PatientID_0019 demonstrates a significant longitudinal increase in molecular risk score, with a delta of +0.1973 from the prior timepoint and +0.3514 from the nadir, indicating a notable upward trajectory. The RANO 2.0 assessment confirms progressive disease, evidenced by a 53.5% increase in bidimensional measurements and the appearance of a new lesion. Concordantly, the AI fusion model issues a progression alert with a unified fusion probability of 0.5782, which is above the predefined threshold yet within a moderate range, consistent with progression but warranting close follow-up. The low pseudoprogression risk score, given the time elapsed since radiotherapy and stable steroid dosing, reduces the likelihood of treatment-related imaging changes confounding interpretation. The AI’s conclusion is primarily driven by the upstream molecular score (SHAP=+0.3329), a clinically validated feature strongly favoring progression, supplemented by minor contributions from novel imaging-derived signals. Given the concordance between RANO criteria and AI assessment, the findings support a diagnosis of true progression. It is recommended that the patient undergo multidisciplinary team review with consideration for short-interval MRI to closely monitor disease evolution and guide timely therapeutic decisions.</w:t>
      </w:r>
    </w:p>
    <w:p>
      <w:pPr>
        <w:pBdr>
          <w:bottom w:val="single" w:sz="6" w:space="1" w:color="AAAAAA"/>
        </w:pBdr>
      </w:pPr>
    </w:p>
    <w:p>
      <w:pPr/>
      <w:r>
        <w:rPr>
          <w:i/>
          <w:color w:val="777777"/>
          <w:sz w:val="18"/>
        </w:rPr>
        <w:t>This report was generated automatically by the Glioma Post-Treatment Surveillance AI Agent. It is intended as a decision-support tool and does not replace clinical judgment. All findings should be reviewed by a qualified neuro-oncologist.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