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5E1CD" w14:textId="77777777" w:rsidR="005774E2" w:rsidRPr="00943227" w:rsidRDefault="00247A89" w:rsidP="008925B3">
      <w:pPr>
        <w:ind w:firstLine="0"/>
        <w:rPr>
          <w:sz w:val="24"/>
          <w:szCs w:val="20"/>
        </w:rPr>
      </w:pPr>
      <w:r w:rsidRPr="00943227">
        <w:rPr>
          <w:sz w:val="24"/>
          <w:szCs w:val="20"/>
        </w:rPr>
        <w:t>38. Решение дифференциальных уравнений 1 порядка. Метод Эйлера</w:t>
      </w:r>
      <w:bookmarkStart w:id="0" w:name="_GoBack"/>
      <w:bookmarkEnd w:id="0"/>
    </w:p>
    <w:p w14:paraId="6BD48063" w14:textId="77777777" w:rsidR="00247A89" w:rsidRPr="00247A89" w:rsidRDefault="00247A89" w:rsidP="00D94D58">
      <w:pPr>
        <w:ind w:firstLine="0"/>
        <w:jc w:val="left"/>
        <w:rPr>
          <w:rFonts w:eastAsia="Times New Roman"/>
          <w:color w:val="000000"/>
          <w:szCs w:val="16"/>
          <w:lang w:eastAsia="ru-RU"/>
        </w:rPr>
      </w:pPr>
      <w:r w:rsidRPr="00247A89">
        <w:rPr>
          <w:rFonts w:eastAsia="Times New Roman"/>
          <w:color w:val="000000"/>
          <w:szCs w:val="16"/>
          <w:lang w:eastAsia="ru-RU"/>
        </w:rPr>
        <w:t>Если задачу об отыскании всех решений дифференциального уравнения удается свести к конечному числу</w:t>
      </w:r>
      <w:r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алгебраических операций, операций интегрирования и дифференцирования известных функций, то говорят, что</w:t>
      </w:r>
      <w:r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уравнение</w:t>
      </w:r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i/>
          <w:iCs/>
          <w:color w:val="000000"/>
          <w:szCs w:val="16"/>
          <w:lang w:eastAsia="ru-RU"/>
        </w:rPr>
        <w:t>интегрируется в квадратурах</w:t>
      </w:r>
      <w:r w:rsidRPr="00247A89">
        <w:rPr>
          <w:rFonts w:eastAsia="Times New Roman"/>
          <w:color w:val="000000"/>
          <w:szCs w:val="16"/>
          <w:lang w:eastAsia="ru-RU"/>
        </w:rPr>
        <w:t>. В приложениях крайне редко встречаются уравнения, интегрируемые в</w:t>
      </w:r>
      <w:r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квадратурах. Поэтому для исследования дифференциальных уравнений широко используются приближенные,</w:t>
      </w:r>
      <w:r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численные методы их решения.</w:t>
      </w:r>
    </w:p>
    <w:p w14:paraId="524E4D2D" w14:textId="0A53E0DD" w:rsidR="00D94D58" w:rsidRDefault="00247A89" w:rsidP="00D94D58">
      <w:pPr>
        <w:ind w:firstLine="0"/>
        <w:jc w:val="left"/>
        <w:rPr>
          <w:rFonts w:eastAsia="Times New Roman"/>
          <w:color w:val="000000"/>
          <w:szCs w:val="16"/>
          <w:lang w:eastAsia="ru-RU"/>
        </w:rPr>
      </w:pPr>
      <w:bookmarkStart w:id="1" w:name="t1"/>
      <w:r w:rsidRPr="00247A89">
        <w:rPr>
          <w:rFonts w:eastAsia="Times New Roman"/>
          <w:iCs/>
          <w:szCs w:val="16"/>
          <w:lang w:eastAsia="ru-RU"/>
        </w:rPr>
        <w:t>Численное решение</w:t>
      </w:r>
      <w:bookmarkEnd w:id="1"/>
      <w:r w:rsidR="00D94D58" w:rsidRPr="00D94D58">
        <w:rPr>
          <w:rFonts w:eastAsia="Times New Roman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 xml:space="preserve">на отрезке </w:t>
      </w:r>
      <m:oMath>
        <m:r>
          <w:rPr>
            <w:rFonts w:ascii="Cambria Math" w:eastAsia="Times New Roman" w:hAnsi="Cambria Math"/>
            <w:color w:val="000000"/>
            <w:szCs w:val="16"/>
            <w:lang w:eastAsia="ru-RU"/>
          </w:rPr>
          <m:t>[a, b]</m:t>
        </m:r>
      </m:oMath>
      <w:r w:rsidRPr="00247A89">
        <w:rPr>
          <w:rFonts w:eastAsia="Times New Roman"/>
          <w:color w:val="000000"/>
          <w:szCs w:val="16"/>
          <w:lang w:eastAsia="ru-RU"/>
        </w:rPr>
        <w:t xml:space="preserve"> задачи Коши</w:t>
      </w:r>
      <w:r w:rsidRPr="00247A89">
        <w:rPr>
          <w:rFonts w:eastAsia="Times New Roman"/>
          <w:color w:val="000000"/>
          <w:szCs w:val="16"/>
          <w:lang w:eastAsia="ru-RU"/>
        </w:rPr>
        <w:br/>
      </w: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color w:val="000000"/>
                  <w:szCs w:val="16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y</m:t>
              </m:r>
              <m:ctrlPr>
                <w:rPr>
                  <w:rFonts w:ascii="Cambria Math" w:eastAsia="Times New Roman" w:hAnsi="Cambria Math"/>
                  <w:i/>
                  <w:iCs/>
                  <w:color w:val="000000"/>
                  <w:szCs w:val="16"/>
                  <w:lang w:eastAsia="ru-RU"/>
                </w:rPr>
              </m:ctrlPr>
            </m:e>
            <m:sup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'</m:t>
              </m:r>
            </m:sup>
          </m:sSup>
          <m:r>
            <w:rPr>
              <w:rFonts w:ascii="Cambria Math" w:eastAsia="Times New Roman" w:hAnsi="Cambria Math"/>
              <w:color w:val="000000"/>
              <w:szCs w:val="16"/>
              <w:lang w:eastAsia="ru-RU"/>
            </w:rPr>
            <m:t>= f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szCs w:val="16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x, y</m:t>
              </m:r>
            </m:e>
          </m:d>
          <m:r>
            <w:rPr>
              <w:rFonts w:ascii="Cambria Math" w:eastAsia="Times New Roman" w:hAnsi="Cambria Math"/>
              <w:color w:val="000000"/>
              <w:szCs w:val="16"/>
              <w:lang w:eastAsia="ru-RU"/>
            </w:rPr>
            <m:t xml:space="preserve">,  </m:t>
          </m:r>
          <m:r>
            <w:rPr>
              <w:rFonts w:ascii="Cambria Math" w:eastAsia="Times New Roman" w:hAnsi="Cambria Math"/>
              <w:color w:val="000000"/>
              <w:szCs w:val="16"/>
              <w:lang w:eastAsia="ru-RU"/>
            </w:rPr>
            <m:t>y(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szCs w:val="1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Cs w:val="16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/>
              <w:color w:val="000000"/>
              <w:szCs w:val="16"/>
              <w:lang w:eastAsia="ru-RU"/>
            </w:rPr>
            <m:t>) = 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szCs w:val="1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0</m:t>
              </m:r>
            </m:sub>
          </m:sSub>
          <m:r>
            <m:rPr>
              <m:sty m:val="p"/>
            </m:rPr>
            <w:rPr>
              <w:rFonts w:eastAsia="Times New Roman"/>
              <w:color w:val="000000"/>
              <w:szCs w:val="16"/>
              <w:lang w:eastAsia="ru-RU"/>
            </w:rPr>
            <w:br/>
          </m:r>
        </m:oMath>
      </m:oMathPara>
      <w:r w:rsidR="00D94D58">
        <w:rPr>
          <w:rFonts w:eastAsia="Times New Roman"/>
          <w:color w:val="000000"/>
          <w:szCs w:val="16"/>
          <w:lang w:eastAsia="ru-RU"/>
        </w:rPr>
        <w:t>состоит</w:t>
      </w:r>
      <w:r w:rsidRPr="00247A89">
        <w:rPr>
          <w:rFonts w:eastAsia="Times New Roman"/>
          <w:color w:val="000000"/>
          <w:szCs w:val="16"/>
          <w:lang w:eastAsia="ru-RU"/>
        </w:rPr>
        <w:t xml:space="preserve"> в построении таблицы приближенных значений</w:t>
      </w:r>
      <w:r w:rsidRPr="00247A89">
        <w:rPr>
          <w:rFonts w:eastAsia="Times New Roman"/>
          <w:color w:val="000000"/>
          <w:szCs w:val="16"/>
          <w:lang w:eastAsia="ru-RU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szCs w:val="1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/>
              <w:color w:val="000000"/>
              <w:szCs w:val="16"/>
              <w:lang w:eastAsia="ru-RU"/>
            </w:rPr>
            <m:t>, 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szCs w:val="1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/>
              <w:szCs w:val="16"/>
              <w:lang w:eastAsia="ru-RU"/>
            </w:rPr>
            <m:t>, ..., 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szCs w:val="1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Cs w:val="16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/>
              <w:color w:val="000000"/>
              <w:szCs w:val="16"/>
              <w:lang w:eastAsia="ru-RU"/>
            </w:rPr>
            <m:t>, ... 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szCs w:val="1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Cs w:val="16"/>
                  <w:lang w:eastAsia="ru-RU"/>
                </w:rPr>
                <m:t>N</m:t>
              </m:r>
            </m:sub>
          </m:sSub>
          <m:r>
            <w:rPr>
              <w:rFonts w:ascii="Cambria Math" w:eastAsia="Times New Roman" w:hAnsi="Cambria Math"/>
              <w:color w:val="000000"/>
              <w:szCs w:val="16"/>
              <w:lang w:eastAsia="ru-RU"/>
            </w:rPr>
            <m:t> </m:t>
          </m:r>
          <m:r>
            <m:rPr>
              <m:sty m:val="p"/>
            </m:rPr>
            <w:rPr>
              <w:rFonts w:eastAsia="Times New Roman"/>
              <w:color w:val="000000"/>
              <w:szCs w:val="16"/>
              <w:lang w:eastAsia="ru-RU"/>
            </w:rPr>
            <w:br/>
          </m:r>
        </m:oMath>
      </m:oMathPara>
      <w:r w:rsidRPr="00247A89">
        <w:rPr>
          <w:rFonts w:eastAsia="Times New Roman"/>
          <w:color w:val="000000"/>
          <w:szCs w:val="16"/>
          <w:lang w:eastAsia="ru-RU"/>
        </w:rPr>
        <w:t>решения</w:t>
      </w:r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m:oMath>
        <m:r>
          <w:rPr>
            <w:rFonts w:ascii="Cambria Math" w:eastAsia="Times New Roman" w:hAnsi="Cambria Math"/>
            <w:color w:val="000000"/>
            <w:szCs w:val="16"/>
            <w:lang w:eastAsia="ru-RU"/>
          </w:rPr>
          <m:t>y(x)</m:t>
        </m:r>
      </m:oMath>
      <w:r w:rsidR="004A56B4">
        <w:rPr>
          <w:rFonts w:eastAsia="Times New Roman"/>
          <w:iCs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в узлах сетки</w:t>
      </w:r>
    </w:p>
    <w:p w14:paraId="20F390E4" w14:textId="46DAB255" w:rsidR="00D94D58" w:rsidRDefault="00943227" w:rsidP="00D94D58">
      <w:pPr>
        <w:ind w:firstLine="0"/>
        <w:jc w:val="center"/>
        <w:rPr>
          <w:rFonts w:eastAsia="Times New Roman"/>
          <w:color w:val="000000"/>
          <w:szCs w:val="16"/>
          <w:lang w:eastAsia="ru-RU"/>
        </w:rPr>
      </w:pPr>
      <m:oMath>
        <m:r>
          <w:rPr>
            <w:rFonts w:ascii="Cambria Math" w:eastAsia="Times New Roman" w:hAnsi="Cambria Math"/>
            <w:color w:val="000000"/>
            <w:szCs w:val="16"/>
            <w:lang w:val="en-US" w:eastAsia="ru-RU"/>
          </w:rPr>
          <m:t>a=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 &lt; 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&lt; ... &lt; 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&lt; ...&lt; 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=b</m:t>
        </m:r>
      </m:oMath>
      <w:r w:rsidR="00247A89" w:rsidRPr="00247A89">
        <w:rPr>
          <w:rFonts w:eastAsia="Times New Roman"/>
          <w:color w:val="000000"/>
          <w:szCs w:val="16"/>
          <w:lang w:eastAsia="ru-RU"/>
        </w:rPr>
        <w:t> </w:t>
      </w:r>
    </w:p>
    <w:p w14:paraId="3B0A30A1" w14:textId="77777777" w:rsidR="00247A89" w:rsidRPr="00247A89" w:rsidRDefault="00247A89" w:rsidP="00D94D58">
      <w:pPr>
        <w:ind w:firstLine="0"/>
        <w:jc w:val="left"/>
        <w:rPr>
          <w:rFonts w:eastAsia="Times New Roman"/>
          <w:color w:val="000000"/>
          <w:szCs w:val="16"/>
          <w:lang w:eastAsia="ru-RU"/>
        </w:rPr>
      </w:pPr>
      <w:r w:rsidRPr="00247A89">
        <w:rPr>
          <w:rFonts w:eastAsia="Times New Roman"/>
          <w:color w:val="000000"/>
          <w:szCs w:val="16"/>
          <w:lang w:eastAsia="ru-RU"/>
        </w:rPr>
        <w:t>Если</w:t>
      </w:r>
      <w:r w:rsidR="0045436D" w:rsidRPr="0045436D">
        <w:rPr>
          <w:rFonts w:eastAsia="Times New Roman"/>
          <w:color w:val="000000"/>
          <w:szCs w:val="16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 xml:space="preserve"> =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+ ih,  h=</m:t>
        </m:r>
        <m:f>
          <m:f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b-a</m:t>
            </m:r>
          </m:num>
          <m:den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N</m:t>
            </m:r>
          </m:den>
        </m:f>
        <m:r>
          <w:rPr>
            <w:rFonts w:ascii="Cambria Math" w:eastAsia="Times New Roman" w:hAnsi="Cambria Math"/>
            <w:color w:val="000000"/>
            <w:szCs w:val="16"/>
            <w:lang w:eastAsia="ru-RU"/>
          </w:rPr>
          <m:t xml:space="preserve"> </m:t>
        </m:r>
      </m:oMath>
      <w:r w:rsidRPr="00247A89">
        <w:rPr>
          <w:rFonts w:eastAsia="Times New Roman"/>
          <w:i/>
          <w:iCs/>
          <w:color w:val="000000"/>
          <w:szCs w:val="16"/>
          <w:lang w:eastAsia="ru-RU"/>
        </w:rPr>
        <w:t>,</w:t>
      </w:r>
      <w:r w:rsidR="00D94D58" w:rsidRPr="00D94D58">
        <w:rPr>
          <w:rFonts w:eastAsia="Times New Roman"/>
          <w:i/>
          <w:iCs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то сетка называется</w:t>
      </w:r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i/>
          <w:iCs/>
          <w:color w:val="000000"/>
          <w:szCs w:val="16"/>
          <w:lang w:eastAsia="ru-RU"/>
        </w:rPr>
        <w:t>равномерной.</w:t>
      </w:r>
    </w:p>
    <w:p w14:paraId="10F85400" w14:textId="77777777" w:rsidR="00247A89" w:rsidRPr="00247A89" w:rsidRDefault="00247A89" w:rsidP="00D94D58">
      <w:pPr>
        <w:ind w:firstLine="0"/>
        <w:jc w:val="left"/>
        <w:rPr>
          <w:rFonts w:eastAsia="Times New Roman"/>
          <w:color w:val="000000"/>
          <w:szCs w:val="16"/>
          <w:lang w:eastAsia="ru-RU"/>
        </w:rPr>
      </w:pPr>
      <w:r w:rsidRPr="00247A89">
        <w:rPr>
          <w:rFonts w:eastAsia="Times New Roman"/>
          <w:color w:val="000000"/>
          <w:szCs w:val="16"/>
          <w:lang w:eastAsia="ru-RU"/>
        </w:rPr>
        <w:t>Численный метод решения задачи Коши называется</w:t>
      </w:r>
      <w:bookmarkStart w:id="2" w:name="t2"/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w:r w:rsidRPr="00D94D58">
        <w:rPr>
          <w:rFonts w:eastAsia="Times New Roman"/>
          <w:iCs/>
          <w:szCs w:val="16"/>
          <w:lang w:eastAsia="ru-RU"/>
        </w:rPr>
        <w:t>одношаговым</w:t>
      </w:r>
      <w:bookmarkEnd w:id="2"/>
      <w:r w:rsidRPr="00247A89">
        <w:rPr>
          <w:rFonts w:eastAsia="Times New Roman"/>
          <w:color w:val="000000"/>
          <w:szCs w:val="16"/>
          <w:lang w:eastAsia="ru-RU"/>
        </w:rPr>
        <w:t>, если для вычисления решения в точке</w:t>
      </w:r>
      <w:r w:rsidR="0045436D" w:rsidRPr="0045436D">
        <w:rPr>
          <w:rFonts w:eastAsia="Times New Roman"/>
          <w:color w:val="000000"/>
          <w:szCs w:val="16"/>
          <w:lang w:eastAsia="ru-RU"/>
        </w:rPr>
        <w:t xml:space="preserve"> </w:t>
      </w:r>
      <w:r w:rsidR="0045436D">
        <w:rPr>
          <w:rFonts w:eastAsia="Times New Roman"/>
          <w:color w:val="000000"/>
          <w:szCs w:val="16"/>
          <w:lang w:eastAsia="ru-RU"/>
        </w:rPr>
        <w:br/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 xml:space="preserve">+h </m:t>
        </m:r>
      </m:oMath>
      <w:r w:rsidRPr="00247A89">
        <w:rPr>
          <w:rFonts w:eastAsia="Times New Roman"/>
          <w:color w:val="000000"/>
          <w:szCs w:val="16"/>
          <w:lang w:eastAsia="ru-RU"/>
        </w:rPr>
        <w:t>используется информация о решении только в точке</w:t>
      </w:r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i/>
          <w:iCs/>
          <w:color w:val="000000"/>
          <w:szCs w:val="16"/>
          <w:lang w:eastAsia="ru-RU"/>
        </w:rPr>
        <w:t>x</w:t>
      </w:r>
      <w:r w:rsidRPr="00247A89">
        <w:rPr>
          <w:rFonts w:eastAsia="Times New Roman"/>
          <w:color w:val="000000"/>
          <w:szCs w:val="16"/>
          <w:vertAlign w:val="subscript"/>
          <w:lang w:eastAsia="ru-RU"/>
        </w:rPr>
        <w:t>0</w:t>
      </w:r>
      <w:r w:rsidRPr="00247A89">
        <w:rPr>
          <w:rFonts w:eastAsia="Times New Roman"/>
          <w:color w:val="000000"/>
          <w:szCs w:val="16"/>
          <w:lang w:eastAsia="ru-RU"/>
        </w:rPr>
        <w:t>.</w:t>
      </w:r>
    </w:p>
    <w:p w14:paraId="21BB50BB" w14:textId="77777777" w:rsidR="00247A89" w:rsidRPr="004A56B4" w:rsidRDefault="00247A89" w:rsidP="004A56B4">
      <w:pPr>
        <w:ind w:firstLine="0"/>
        <w:jc w:val="left"/>
        <w:rPr>
          <w:rFonts w:eastAsia="Times New Roman"/>
          <w:color w:val="000000"/>
          <w:szCs w:val="16"/>
          <w:lang w:eastAsia="ru-RU"/>
        </w:rPr>
      </w:pPr>
      <w:r w:rsidRPr="00247A89">
        <w:rPr>
          <w:rFonts w:eastAsia="Times New Roman"/>
          <w:color w:val="000000"/>
          <w:szCs w:val="16"/>
          <w:lang w:eastAsia="ru-RU"/>
        </w:rPr>
        <w:t xml:space="preserve">Простейший одношаговый метод численного решения задачи Коши </w:t>
      </w:r>
      <w:bookmarkStart w:id="3" w:name="t3"/>
      <w:r w:rsidR="0045436D">
        <w:rPr>
          <w:rFonts w:eastAsia="Times New Roman"/>
          <w:color w:val="000000"/>
          <w:szCs w:val="16"/>
          <w:lang w:eastAsia="ru-RU"/>
        </w:rPr>
        <w:t>–</w:t>
      </w:r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w:r w:rsidRPr="00D94D58">
        <w:rPr>
          <w:rFonts w:eastAsia="Times New Roman"/>
          <w:iCs/>
          <w:szCs w:val="16"/>
          <w:lang w:eastAsia="ru-RU"/>
        </w:rPr>
        <w:t>метод Эйлера</w:t>
      </w:r>
      <w:bookmarkEnd w:id="3"/>
      <w:r w:rsidRPr="00247A89">
        <w:rPr>
          <w:rFonts w:eastAsia="Times New Roman"/>
          <w:color w:val="000000"/>
          <w:szCs w:val="16"/>
          <w:lang w:eastAsia="ru-RU"/>
        </w:rPr>
        <w:t>. В методе Эйлера</w:t>
      </w:r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величины</w:t>
      </w:r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val="en-US" w:eastAsia="ru-RU"/>
              </w:rPr>
              <m:t>i</m:t>
            </m:r>
          </m:sub>
        </m:sSub>
      </m:oMath>
      <w:r w:rsidR="00D94D58" w:rsidRPr="00D94D58"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вычисляются по формуле 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val="en-US" w:eastAsia="ru-RU"/>
              </w:rPr>
              <m:t>i</m:t>
            </m:r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+1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 xml:space="preserve"> =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+hf(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)</m:t>
        </m:r>
      </m:oMath>
      <w:r w:rsidR="0045436D">
        <w:rPr>
          <w:rFonts w:eastAsia="Times New Roman"/>
          <w:color w:val="000000"/>
          <w:szCs w:val="16"/>
          <w:lang w:eastAsia="ru-RU"/>
        </w:rPr>
        <w:t xml:space="preserve">, которая получается заменой производной </w:t>
      </w:r>
      <w:r w:rsidR="004A56B4">
        <w:rPr>
          <w:rFonts w:eastAsia="Times New Roman"/>
          <w:color w:val="000000"/>
          <w:szCs w:val="16"/>
          <w:lang w:eastAsia="ru-RU"/>
        </w:rPr>
        <w:t xml:space="preserve">в исходной задаче </w:t>
      </w:r>
      <w:r w:rsidR="0045436D">
        <w:rPr>
          <w:rFonts w:eastAsia="Times New Roman"/>
          <w:color w:val="000000"/>
          <w:szCs w:val="16"/>
          <w:lang w:eastAsia="ru-RU"/>
        </w:rPr>
        <w:t>на разностный аналог</w:t>
      </w:r>
      <w:r w:rsidR="004A56B4">
        <w:rPr>
          <w:rFonts w:eastAsia="Times New Roman"/>
          <w:color w:val="000000"/>
          <w:szCs w:val="16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color w:val="000000"/>
                    <w:szCs w:val="1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Cs w:val="16"/>
                    <w:lang w:val="en-US" w:eastAsia="ru-RU"/>
                  </w:rPr>
                  <m:t>i</m:t>
                </m:r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+1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color w:val="000000"/>
                    <w:szCs w:val="1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Cs w:val="16"/>
                    <w:lang w:val="en-US" w:eastAsia="ru-RU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h</m:t>
            </m:r>
          </m:den>
        </m:f>
        <m:r>
          <w:rPr>
            <w:rFonts w:ascii="Cambria Math" w:eastAsia="Times New Roman" w:hAnsi="Cambria Math"/>
            <w:color w:val="000000"/>
            <w:szCs w:val="16"/>
            <w:lang w:eastAsia="ru-RU"/>
          </w:rPr>
          <m:t>=f(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)</m:t>
        </m:r>
      </m:oMath>
      <w:r w:rsidR="004A56B4">
        <w:rPr>
          <w:sz w:val="24"/>
        </w:rPr>
        <w:t>.</w:t>
      </w:r>
    </w:p>
    <w:sectPr w:rsidR="00247A89" w:rsidRPr="004A56B4" w:rsidSect="008925B3">
      <w:footerReference w:type="default" r:id="rId8"/>
      <w:footerReference w:type="first" r:id="rId9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AD286" w14:textId="77777777" w:rsidR="00F255F8" w:rsidRDefault="00F255F8" w:rsidP="00135281">
      <w:pPr>
        <w:spacing w:line="240" w:lineRule="auto"/>
      </w:pPr>
      <w:r>
        <w:separator/>
      </w:r>
    </w:p>
  </w:endnote>
  <w:endnote w:type="continuationSeparator" w:id="0">
    <w:p w14:paraId="161B6C3A" w14:textId="77777777" w:rsidR="00F255F8" w:rsidRDefault="00F255F8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CA26D" w14:textId="77777777" w:rsidR="00532402" w:rsidRDefault="00532402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5B3">
      <w:rPr>
        <w:noProof/>
      </w:rPr>
      <w:t>6</w:t>
    </w:r>
    <w:r>
      <w:rPr>
        <w:noProof/>
      </w:rPr>
      <w:fldChar w:fldCharType="end"/>
    </w:r>
  </w:p>
  <w:p w14:paraId="789FD61C" w14:textId="77777777" w:rsidR="00532402" w:rsidRDefault="00532402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A4EC8" w14:textId="77777777" w:rsidR="00532402" w:rsidRDefault="00532402">
    <w:pPr>
      <w:pStyle w:val="aff9"/>
      <w:jc w:val="right"/>
    </w:pPr>
  </w:p>
  <w:p w14:paraId="6CCD2FC3" w14:textId="77777777" w:rsidR="00532402" w:rsidRDefault="00532402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4FECF" w14:textId="77777777" w:rsidR="00F255F8" w:rsidRDefault="00F255F8" w:rsidP="00135281">
      <w:pPr>
        <w:spacing w:line="240" w:lineRule="auto"/>
      </w:pPr>
      <w:r>
        <w:separator/>
      </w:r>
    </w:p>
  </w:footnote>
  <w:footnote w:type="continuationSeparator" w:id="0">
    <w:p w14:paraId="56D3F829" w14:textId="77777777" w:rsidR="00F255F8" w:rsidRDefault="00F255F8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7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32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2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1"/>
  </w:num>
  <w:num w:numId="13">
    <w:abstractNumId w:val="4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6"/>
  </w:num>
  <w:num w:numId="18">
    <w:abstractNumId w:val="27"/>
  </w:num>
  <w:num w:numId="19">
    <w:abstractNumId w:val="39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38"/>
  </w:num>
  <w:num w:numId="25">
    <w:abstractNumId w:val="12"/>
  </w:num>
  <w:num w:numId="26">
    <w:abstractNumId w:val="12"/>
  </w:num>
  <w:num w:numId="27">
    <w:abstractNumId w:val="12"/>
  </w:num>
  <w:num w:numId="28">
    <w:abstractNumId w:val="36"/>
  </w:num>
  <w:num w:numId="29">
    <w:abstractNumId w:val="29"/>
  </w:num>
  <w:num w:numId="30">
    <w:abstractNumId w:val="35"/>
  </w:num>
  <w:num w:numId="31">
    <w:abstractNumId w:val="17"/>
  </w:num>
  <w:num w:numId="32">
    <w:abstractNumId w:val="33"/>
  </w:num>
  <w:num w:numId="33">
    <w:abstractNumId w:val="24"/>
  </w:num>
  <w:num w:numId="34">
    <w:abstractNumId w:val="43"/>
  </w:num>
  <w:num w:numId="35">
    <w:abstractNumId w:val="16"/>
  </w:num>
  <w:num w:numId="36">
    <w:abstractNumId w:val="28"/>
  </w:num>
  <w:num w:numId="37">
    <w:abstractNumId w:val="25"/>
  </w:num>
  <w:num w:numId="38">
    <w:abstractNumId w:val="20"/>
  </w:num>
  <w:num w:numId="39">
    <w:abstractNumId w:val="14"/>
  </w:num>
  <w:num w:numId="40">
    <w:abstractNumId w:val="23"/>
  </w:num>
  <w:num w:numId="41">
    <w:abstractNumId w:val="41"/>
  </w:num>
  <w:num w:numId="42">
    <w:abstractNumId w:val="13"/>
  </w:num>
  <w:num w:numId="43">
    <w:abstractNumId w:val="44"/>
  </w:num>
  <w:num w:numId="44">
    <w:abstractNumId w:val="19"/>
  </w:num>
  <w:num w:numId="45">
    <w:abstractNumId w:val="18"/>
  </w:num>
  <w:num w:numId="46">
    <w:abstractNumId w:val="30"/>
  </w:num>
  <w:num w:numId="47">
    <w:abstractNumId w:val="40"/>
  </w:num>
  <w:num w:numId="48">
    <w:abstractNumId w:val="34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1"/>
  </w:num>
  <w:num w:numId="62">
    <w:abstractNumId w:val="37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2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47A89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0DF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436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56B4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2B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3227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4D5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255F8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57C11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C8301-53F1-499D-856F-1A4AA8F5F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Александр Трыкин</cp:lastModifiedBy>
  <cp:revision>7</cp:revision>
  <cp:lastPrinted>2019-06-06T08:25:00Z</cp:lastPrinted>
  <dcterms:created xsi:type="dcterms:W3CDTF">2019-06-04T20:09:00Z</dcterms:created>
  <dcterms:modified xsi:type="dcterms:W3CDTF">2019-06-06T15:42:00Z</dcterms:modified>
</cp:coreProperties>
</file>