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9" w:lineRule="auto"/>
        <w:ind w:firstLine="0" w:left="0"/>
        <w:jc w:val="center"/>
      </w:pPr>
      <w:r>
        <w:rPr>
          <w:rFonts w:ascii="Times New Roman" w:hAnsi="Times New Roman"/>
          <w:b/>
          <w:i w:val="0"/>
          <w:sz w:val="24"/>
        </w:rPr>
        <w:t>ASHFORD, CROMDALE CONSULTING &amp; LAINE LLP</w:t>
      </w:r>
    </w:p>
    <w:p>
      <w:pPr>
        <w:spacing w:after="40" w:before="0" w:line="259" w:lineRule="auto"/>
        <w:ind w:firstLine="0" w:left="0"/>
        <w:jc w:val="center"/>
      </w:pPr>
      <w:r>
        <w:rPr>
          <w:rFonts w:ascii="Times New Roman" w:hAnsi="Times New Roman"/>
          <w:b w:val="0"/>
          <w:i w:val="0"/>
          <w:sz w:val="18"/>
        </w:rPr>
        <w:t>411 South Tryon Street, Suite 2800 · Charlotte, North Carolina 28202</w:t>
      </w:r>
    </w:p>
    <w:p>
      <w:pPr>
        <w:spacing w:after="360" w:before="0" w:line="259" w:lineRule="auto"/>
        <w:ind w:firstLine="0" w:left="0"/>
        <w:jc w:val="center"/>
      </w:pPr>
      <w:r>
        <w:rPr>
          <w:rFonts w:ascii="Times New Roman" w:hAnsi="Times New Roman"/>
          <w:b w:val="0"/>
          <w:i/>
          <w:sz w:val="18"/>
        </w:rPr>
        <w:t>Counsel to Pinnacle Savings Bank, N.A.</w:t>
      </w:r>
    </w:p>
    <w:p>
      <w:pPr>
        <w:spacing w:after="280"/>
        <w:jc w:val="center"/>
        <w:pBdr>
          <w:top w:val="single" w:sz="8" w:space="4" w:color="8B1A1A"/>
          <w:bottom w:val="single" w:sz="8" w:space="4" w:color="8B1A1A"/>
        </w:pBdr>
      </w:pPr>
      <w:r>
        <w:rPr>
          <w:rFonts w:ascii="Times New Roman" w:hAnsi="Times New Roman"/>
          <w:b/>
          <w:color w:val="8B1A1A"/>
          <w:sz w:val="15"/>
        </w:rPr>
        <w:t>PRIVILEGED AND CONFIDENTIAL — ATTORNEY WORK PRODUCT — ATTORNEY-CLIENT COMMUNICATION</w:t>
      </w:r>
    </w:p>
    <w:p>
      <w:pPr>
        <w:spacing w:after="320" w:before="0" w:line="259" w:lineRule="auto"/>
        <w:ind w:firstLine="0" w:left="0"/>
        <w:jc w:val="center"/>
      </w:pPr>
      <w:r>
        <w:rPr>
          <w:rFonts w:ascii="Times New Roman" w:hAnsi="Times New Roman"/>
          <w:b/>
          <w:i w:val="0"/>
          <w:sz w:val="32"/>
        </w:rPr>
        <w:t>MEMORANDUM</w:t>
      </w:r>
    </w:p>
    <w:tbl>
      <w:tblPr>
        <w:tblW w:type="auto" w:w="0"/>
        <w:tblLayout w:type="fixed"/>
        <w:tblLook w:firstColumn="1" w:firstRow="1" w:lastColumn="0" w:lastRow="0" w:noHBand="0" w:noVBand="1" w:val="04A0"/>
      </w:tblPr>
      <w:tblGrid>
        <w:gridCol w:w="1872"/>
        <w:gridCol w:w="7488"/>
      </w:tblGrid>
      <w:tr>
        <w:tc>
          <w:tcPr>
            <w:tcW w:type="dxa" w:w="1872"/>
          </w:tcPr>
          <w:p>
            <w:pPr>
              <w:spacing w:after="80"/>
            </w:pPr>
            <w:r>
              <w:rPr>
                <w:rFonts w:ascii="Times New Roman" w:hAnsi="Times New Roman"/>
                <w:b/>
                <w:sz w:val="19"/>
              </w:rPr>
              <w:t>TO:</w:t>
            </w:r>
          </w:p>
        </w:tc>
        <w:tc>
          <w:tcPr>
            <w:tcW w:type="dxa" w:w="7488"/>
          </w:tcPr>
          <w:p>
            <w:pPr>
              <w:spacing w:after="80"/>
            </w:pPr>
            <w:r>
              <w:rPr>
                <w:rFonts w:ascii="Times New Roman" w:hAnsi="Times New Roman"/>
                <w:sz w:val="19"/>
              </w:rPr>
              <w:t>David Forsythe, Senior Vice President, Commercial Real Estate Lending;</w:t>
              <w:br/>
              <w:t>Senior Loan Committee, Pinnacle Savings Bank, N.A.</w:t>
            </w:r>
          </w:p>
        </w:tc>
      </w:tr>
      <w:tr>
        <w:tc>
          <w:tcPr>
            <w:tcW w:type="dxa" w:w="1872"/>
          </w:tcPr>
          <w:p>
            <w:pPr>
              <w:spacing w:after="80"/>
            </w:pPr>
            <w:r>
              <w:rPr>
                <w:rFonts w:ascii="Times New Roman" w:hAnsi="Times New Roman"/>
                <w:b/>
                <w:sz w:val="19"/>
              </w:rPr>
              <w:t>FROM:</w:t>
            </w:r>
          </w:p>
        </w:tc>
        <w:tc>
          <w:tcPr>
            <w:tcW w:type="dxa" w:w="7488"/>
          </w:tcPr>
          <w:p>
            <w:pPr>
              <w:spacing w:after="80"/>
            </w:pPr>
            <w:r>
              <w:rPr>
                <w:rFonts w:ascii="Times New Roman" w:hAnsi="Times New Roman"/>
                <w:sz w:val="19"/>
              </w:rPr>
              <w:t>Katharine “Kate” Drummond, Partner; Marcus Webb, Associate</w:t>
              <w:br/>
              <w:t>Ashford, Cromdale Consulting &amp; Laine LLP</w:t>
            </w:r>
          </w:p>
        </w:tc>
      </w:tr>
      <w:tr>
        <w:tc>
          <w:tcPr>
            <w:tcW w:type="dxa" w:w="1872"/>
          </w:tcPr>
          <w:p>
            <w:pPr>
              <w:spacing w:after="80"/>
            </w:pPr>
            <w:r>
              <w:rPr>
                <w:rFonts w:ascii="Times New Roman" w:hAnsi="Times New Roman"/>
                <w:b/>
                <w:sz w:val="19"/>
              </w:rPr>
              <w:t>DATE:</w:t>
            </w:r>
          </w:p>
        </w:tc>
        <w:tc>
          <w:tcPr>
            <w:tcW w:type="dxa" w:w="7488"/>
          </w:tcPr>
          <w:p>
            <w:pPr>
              <w:spacing w:after="80"/>
            </w:pPr>
            <w:r>
              <w:rPr>
                <w:rFonts w:ascii="Times New Roman" w:hAnsi="Times New Roman"/>
                <w:sz w:val="19"/>
              </w:rPr>
              <w:t>February 3, 2025</w:t>
            </w:r>
          </w:p>
        </w:tc>
      </w:tr>
      <w:tr>
        <w:tc>
          <w:tcPr>
            <w:tcW w:type="dxa" w:w="1872"/>
          </w:tcPr>
          <w:p>
            <w:pPr>
              <w:spacing w:after="80"/>
            </w:pPr>
            <w:r>
              <w:rPr>
                <w:rFonts w:ascii="Times New Roman" w:hAnsi="Times New Roman"/>
                <w:b/>
                <w:sz w:val="19"/>
              </w:rPr>
              <w:t>RE:</w:t>
            </w:r>
          </w:p>
        </w:tc>
        <w:tc>
          <w:tcPr>
            <w:tcW w:type="dxa" w:w="7488"/>
          </w:tcPr>
          <w:p>
            <w:pPr>
              <w:spacing w:after="80"/>
            </w:pPr>
            <w:r>
              <w:rPr>
                <w:rFonts w:ascii="Times New Roman" w:hAnsi="Times New Roman"/>
                <w:sz w:val="19"/>
              </w:rPr>
              <w:t>The Piedmont at Brightleaf — Construction-to-Mini-Permanent Loan (Loan No. CRE-2025-0342)</w:t>
              <w:br/>
              <w:t>Transmittal of draft Loan Agreement and report of material issues and inconsistencies in the source documents</w:t>
            </w:r>
          </w:p>
        </w:tc>
      </w:tr>
      <w:tr>
        <w:tc>
          <w:tcPr>
            <w:tcW w:type="dxa" w:w="1872"/>
          </w:tcPr>
          <w:p>
            <w:pPr>
              <w:spacing w:after="80"/>
            </w:pPr>
            <w:r>
              <w:rPr>
                <w:rFonts w:ascii="Times New Roman" w:hAnsi="Times New Roman"/>
                <w:b/>
                <w:sz w:val="19"/>
              </w:rPr>
              <w:t>ENCLOSURES:</w:t>
            </w:r>
          </w:p>
        </w:tc>
        <w:tc>
          <w:tcPr>
            <w:tcW w:type="dxa" w:w="7488"/>
          </w:tcPr>
          <w:p>
            <w:pPr>
              <w:spacing w:after="80"/>
            </w:pPr>
            <w:r>
              <w:rPr>
                <w:rFonts w:ascii="Times New Roman" w:hAnsi="Times New Roman"/>
                <w:sz w:val="19"/>
              </w:rPr>
              <w:t>(1) Construction-to-Mini-Permanent Loan Agreement (draft dated February 3, 2025)</w:t>
              <w:br/>
              <w:t>(2) This memorandum</w:t>
            </w:r>
          </w:p>
        </w:tc>
      </w:tr>
    </w:tbl>
    <w:p>
      <w:pPr>
        <w:spacing w:after="40" w:before="0" w:line="259" w:lineRule="auto"/>
        <w:ind w:firstLine="0" w:left="0"/>
        <w:jc w:val="both"/>
      </w:pPr>
    </w:p>
    <w:p>
      <w:pPr>
        <w:spacing w:after="240"/>
        <w:pBdr>
          <w:bottom w:val="single" w:sz="12" w:space="1" w:color="000000"/>
        </w:pBdr>
      </w:pPr>
    </w:p>
    <w:p>
      <w:pPr>
        <w:keepNext/>
        <w:spacing w:after="160" w:before="120" w:line="259" w:lineRule="auto"/>
        <w:ind w:firstLine="0" w:left="0"/>
        <w:jc w:val="center"/>
      </w:pPr>
      <w:r>
        <w:rPr>
          <w:rFonts w:ascii="Times New Roman" w:hAnsi="Times New Roman"/>
          <w:b/>
          <w:i w:val="0"/>
          <w:caps/>
          <w:sz w:val="24"/>
        </w:rPr>
        <w:t>1.  Purpose, Scope and Documents Reviewed</w:t>
      </w:r>
    </w:p>
    <w:p>
      <w:pPr>
        <w:spacing w:after="120" w:line="259" w:lineRule="auto"/>
        <w:ind w:left="0" w:firstLine="720"/>
        <w:jc w:val="both"/>
      </w:pPr>
      <w:r>
        <w:rPr>
          <w:rFonts w:ascii="Times New Roman" w:hAnsi="Times New Roman"/>
          <w:b w:val="0"/>
          <w:i w:val="0"/>
          <w:sz w:val="22"/>
        </w:rPr>
        <w:t>This memorandum transmits our draft of the Construction-to-Mini-Permanent Loan Agreement (the “Draft Agreement”) for the above-referenced facility and reports the material issues and inconsistencies we identified across the source documents furnished to us. It is written for the Bank’s internal credit and legal functions, is subject to the attorney-client privilege and is not to be delivered to Borrower, the Guarantors, the Mezzanine Lender or any third party.</w:t>
      </w:r>
    </w:p>
    <w:p>
      <w:pPr>
        <w:spacing w:after="120" w:line="259" w:lineRule="auto"/>
        <w:ind w:left="0" w:firstLine="720"/>
        <w:jc w:val="both"/>
      </w:pPr>
      <w:r>
        <w:rPr>
          <w:rFonts w:ascii="Times New Roman" w:hAnsi="Times New Roman"/>
          <w:b w:val="0"/>
          <w:i w:val="0"/>
          <w:sz w:val="22"/>
        </w:rPr>
        <w:t>We reviewed each of the seven source documents listed below in full, treating the economic terms of the Term Sheet as controlling except to the extent Sections 22 and 23 make it binding. We recomputed every ratio, total, date interval and draw amount in the record rather than adopting the stated figures; the results appear in Section 8. Where a source document conflicts with another, we have identified the conflict, indicated which document we consider controlling and stated why, and recommended a resolution. We have not resolved any conflict by assumption: each open item appears in the Draft Agreement in bracketed form, is listed on Exhibit H to the Draft Agreement and is cross-referenced in this memorandum.</w:t>
      </w:r>
    </w:p>
    <w:p>
      <w:pPr>
        <w:keepNext/>
        <w:spacing w:before="240" w:after="160"/>
        <w:ind w:left="0"/>
      </w:pPr>
      <w:r>
        <w:rPr>
          <w:rFonts w:ascii="Times New Roman" w:hAnsi="Times New Roman"/>
          <w:b/>
          <w:sz w:val="21"/>
        </w:rPr>
        <w:t>1.1  Source Inventory</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576"/>
            <w:shd w:val="clear" w:color="auto" w:fill="D9D9D9"/>
          </w:tcPr>
          <w:p>
            <w:pPr>
              <w:spacing w:after="20" w:before="20" w:line="240" w:lineRule="auto"/>
              <w:jc w:val="center"/>
            </w:pPr>
            <w:r/>
            <w:r>
              <w:rPr>
                <w:rFonts w:ascii="Times New Roman" w:hAnsi="Times New Roman"/>
                <w:b/>
                <w:sz w:val="15"/>
              </w:rPr>
              <w:t>Ref.</w:t>
            </w:r>
          </w:p>
        </w:tc>
        <w:tc>
          <w:tcPr>
            <w:tcW w:type="dxa" w:w="2232"/>
            <w:shd w:val="clear" w:color="auto" w:fill="D9D9D9"/>
          </w:tcPr>
          <w:p>
            <w:pPr>
              <w:spacing w:after="20" w:before="20" w:line="240" w:lineRule="auto"/>
              <w:jc w:val="center"/>
            </w:pPr>
            <w:r/>
            <w:r>
              <w:rPr>
                <w:rFonts w:ascii="Times New Roman" w:hAnsi="Times New Roman"/>
                <w:b/>
                <w:sz w:val="15"/>
              </w:rPr>
              <w:t>Document</w:t>
            </w:r>
          </w:p>
        </w:tc>
        <w:tc>
          <w:tcPr>
            <w:tcW w:type="dxa" w:w="2160"/>
            <w:shd w:val="clear" w:color="auto" w:fill="D9D9D9"/>
          </w:tcPr>
          <w:p>
            <w:pPr>
              <w:spacing w:after="20" w:before="20" w:line="240" w:lineRule="auto"/>
              <w:jc w:val="center"/>
            </w:pPr>
            <w:r/>
            <w:r>
              <w:rPr>
                <w:rFonts w:ascii="Times New Roman" w:hAnsi="Times New Roman"/>
                <w:b/>
                <w:sz w:val="15"/>
              </w:rPr>
              <w:t>Date / Identifier</w:t>
            </w:r>
          </w:p>
        </w:tc>
        <w:tc>
          <w:tcPr>
            <w:tcW w:type="dxa" w:w="1656"/>
            <w:shd w:val="clear" w:color="auto" w:fill="D9D9D9"/>
          </w:tcPr>
          <w:p>
            <w:pPr>
              <w:spacing w:after="20" w:before="20" w:line="240" w:lineRule="auto"/>
              <w:jc w:val="center"/>
            </w:pPr>
            <w:r/>
            <w:r>
              <w:rPr>
                <w:rFonts w:ascii="Times New Roman" w:hAnsi="Times New Roman"/>
                <w:b/>
                <w:sz w:val="15"/>
              </w:rPr>
              <w:t>Role in the file</w:t>
            </w:r>
          </w:p>
        </w:tc>
        <w:tc>
          <w:tcPr>
            <w:tcW w:type="dxa" w:w="2736"/>
            <w:shd w:val="clear" w:color="auto" w:fill="D9D9D9"/>
          </w:tcPr>
          <w:p>
            <w:pPr>
              <w:spacing w:after="20" w:before="20" w:line="240" w:lineRule="auto"/>
              <w:jc w:val="center"/>
            </w:pPr>
            <w:r/>
            <w:r>
              <w:rPr>
                <w:rFonts w:ascii="Times New Roman" w:hAnsi="Times New Roman"/>
                <w:b/>
                <w:sz w:val="15"/>
              </w:rPr>
              <w:t>Reliability assessment</w:t>
            </w:r>
          </w:p>
        </w:tc>
      </w:tr>
      <w:tr>
        <w:trPr>
          <w:cantSplit w:val="true"/>
        </w:trPr>
        <w:tc>
          <w:tcPr>
            <w:tcW w:type="dxa" w:w="576"/>
          </w:tcPr>
          <w:p>
            <w:pPr>
              <w:spacing w:after="20" w:before="20" w:line="240" w:lineRule="auto"/>
            </w:pPr>
            <w:r/>
            <w:r>
              <w:rPr>
                <w:rFonts w:ascii="Times New Roman" w:hAnsi="Times New Roman"/>
                <w:b w:val="0"/>
                <w:sz w:val="15"/>
              </w:rPr>
              <w:t>S-1</w:t>
            </w:r>
          </w:p>
        </w:tc>
        <w:tc>
          <w:tcPr>
            <w:tcW w:type="dxa" w:w="2232"/>
          </w:tcPr>
          <w:p>
            <w:pPr>
              <w:spacing w:after="20" w:before="20" w:line="240" w:lineRule="auto"/>
            </w:pPr>
            <w:r/>
            <w:r>
              <w:rPr>
                <w:rFonts w:ascii="Times New Roman" w:hAnsi="Times New Roman"/>
                <w:b w:val="0"/>
                <w:sz w:val="15"/>
              </w:rPr>
              <w:t>Executed Term Sheet (non-binding except §§ 22–23)</w:t>
            </w:r>
          </w:p>
        </w:tc>
        <w:tc>
          <w:tcPr>
            <w:tcW w:type="dxa" w:w="2160"/>
          </w:tcPr>
          <w:p>
            <w:pPr>
              <w:spacing w:after="20" w:before="20" w:line="240" w:lineRule="auto"/>
            </w:pPr>
            <w:r/>
            <w:r>
              <w:rPr>
                <w:rFonts w:ascii="Times New Roman" w:hAnsi="Times New Roman"/>
                <w:b w:val="0"/>
                <w:sz w:val="15"/>
              </w:rPr>
              <w:t>January 10, 2025; Loan No. CRE-2025-0342</w:t>
            </w:r>
          </w:p>
        </w:tc>
        <w:tc>
          <w:tcPr>
            <w:tcW w:type="dxa" w:w="1656"/>
          </w:tcPr>
          <w:p>
            <w:pPr>
              <w:spacing w:after="20" w:before="20" w:line="240" w:lineRule="auto"/>
            </w:pPr>
            <w:r/>
            <w:r>
              <w:rPr>
                <w:rFonts w:ascii="Times New Roman" w:hAnsi="Times New Roman"/>
                <w:b w:val="0"/>
                <w:sz w:val="15"/>
              </w:rPr>
              <w:t>Governing commercial terms</w:t>
            </w:r>
          </w:p>
        </w:tc>
        <w:tc>
          <w:tcPr>
            <w:tcW w:type="dxa" w:w="2736"/>
          </w:tcPr>
          <w:p>
            <w:pPr>
              <w:spacing w:after="20" w:before="20" w:line="240" w:lineRule="auto"/>
            </w:pPr>
            <w:r/>
            <w:r>
              <w:rPr>
                <w:rFonts w:ascii="Times New Roman" w:hAnsi="Times New Roman"/>
                <w:b w:val="0"/>
                <w:sz w:val="15"/>
              </w:rPr>
              <w:t>Executed by Borrower and Lender; controls the economic terms. Contains internal drafting defects (Section 3.10 below).</w:t>
            </w:r>
          </w:p>
        </w:tc>
      </w:tr>
      <w:tr>
        <w:trPr>
          <w:cantSplit w:val="true"/>
        </w:trPr>
        <w:tc>
          <w:tcPr>
            <w:tcW w:type="dxa" w:w="576"/>
          </w:tcPr>
          <w:p>
            <w:pPr>
              <w:spacing w:after="20" w:before="20" w:line="240" w:lineRule="auto"/>
            </w:pPr>
            <w:r/>
            <w:r>
              <w:rPr>
                <w:rFonts w:ascii="Times New Roman" w:hAnsi="Times New Roman"/>
                <w:b w:val="0"/>
                <w:sz w:val="15"/>
              </w:rPr>
              <w:t>S-2</w:t>
            </w:r>
          </w:p>
        </w:tc>
        <w:tc>
          <w:tcPr>
            <w:tcW w:type="dxa" w:w="2232"/>
          </w:tcPr>
          <w:p>
            <w:pPr>
              <w:spacing w:after="20" w:before="20" w:line="240" w:lineRule="auto"/>
            </w:pPr>
            <w:r/>
            <w:r>
              <w:rPr>
                <w:rFonts w:ascii="Times New Roman" w:hAnsi="Times New Roman"/>
                <w:b w:val="0"/>
                <w:sz w:val="15"/>
              </w:rPr>
              <w:t>Senior Loan Committee Credit Memorandum</w:t>
            </w:r>
          </w:p>
        </w:tc>
        <w:tc>
          <w:tcPr>
            <w:tcW w:type="dxa" w:w="2160"/>
          </w:tcPr>
          <w:p>
            <w:pPr>
              <w:spacing w:after="20" w:before="20" w:line="240" w:lineRule="auto"/>
            </w:pPr>
            <w:r/>
            <w:r>
              <w:rPr>
                <w:rFonts w:ascii="Times New Roman" w:hAnsi="Times New Roman"/>
                <w:b w:val="0"/>
                <w:sz w:val="15"/>
              </w:rPr>
              <w:t>January 22, 2025</w:t>
            </w:r>
          </w:p>
        </w:tc>
        <w:tc>
          <w:tcPr>
            <w:tcW w:type="dxa" w:w="1656"/>
          </w:tcPr>
          <w:p>
            <w:pPr>
              <w:spacing w:after="20" w:before="20" w:line="240" w:lineRule="auto"/>
            </w:pPr>
            <w:r/>
            <w:r>
              <w:rPr>
                <w:rFonts w:ascii="Times New Roman" w:hAnsi="Times New Roman"/>
                <w:b w:val="0"/>
                <w:sz w:val="15"/>
              </w:rPr>
              <w:t>Internal credit approval and conditions of approval</w:t>
            </w:r>
          </w:p>
        </w:tc>
        <w:tc>
          <w:tcPr>
            <w:tcW w:type="dxa" w:w="2736"/>
          </w:tcPr>
          <w:p>
            <w:pPr>
              <w:spacing w:after="20" w:before="20" w:line="240" w:lineRule="auto"/>
            </w:pPr>
            <w:r/>
            <w:r>
              <w:rPr>
                <w:rFonts w:ascii="Times New Roman" w:hAnsi="Times New Roman"/>
                <w:b w:val="0"/>
                <w:sz w:val="15"/>
              </w:rPr>
              <w:t>Approved recommendation; contains arithmetic and characterization errors (Sections 3.2, 3.4, 6.1).</w:t>
            </w:r>
          </w:p>
        </w:tc>
      </w:tr>
      <w:tr>
        <w:trPr>
          <w:cantSplit w:val="true"/>
        </w:trPr>
        <w:tc>
          <w:tcPr>
            <w:tcW w:type="dxa" w:w="576"/>
          </w:tcPr>
          <w:p>
            <w:pPr>
              <w:spacing w:after="20" w:before="20" w:line="240" w:lineRule="auto"/>
            </w:pPr>
            <w:r/>
            <w:r>
              <w:rPr>
                <w:rFonts w:ascii="Times New Roman" w:hAnsi="Times New Roman"/>
                <w:b w:val="0"/>
                <w:sz w:val="15"/>
              </w:rPr>
              <w:t>S-3</w:t>
            </w:r>
          </w:p>
        </w:tc>
        <w:tc>
          <w:tcPr>
            <w:tcW w:type="dxa" w:w="2232"/>
          </w:tcPr>
          <w:p>
            <w:pPr>
              <w:spacing w:after="20" w:before="20" w:line="240" w:lineRule="auto"/>
            </w:pPr>
            <w:r/>
            <w:r>
              <w:rPr>
                <w:rFonts w:ascii="Times New Roman" w:hAnsi="Times New Roman"/>
                <w:b w:val="0"/>
                <w:sz w:val="15"/>
              </w:rPr>
              <w:t>Appraisal — Executive Summary (self-contained report, 187 pp.)</w:t>
            </w:r>
          </w:p>
        </w:tc>
        <w:tc>
          <w:tcPr>
            <w:tcW w:type="dxa" w:w="2160"/>
          </w:tcPr>
          <w:p>
            <w:pPr>
              <w:spacing w:after="20" w:before="20" w:line="240" w:lineRule="auto"/>
            </w:pPr>
            <w:r/>
            <w:r>
              <w:rPr>
                <w:rFonts w:ascii="Times New Roman" w:hAnsi="Times New Roman"/>
                <w:b w:val="0"/>
                <w:sz w:val="15"/>
              </w:rPr>
              <w:t>Ridgeline Appraisal Services Inc.; Linda M. Haverford, MAI; November 15, 2024; File RAS-2024-1147</w:t>
            </w:r>
          </w:p>
        </w:tc>
        <w:tc>
          <w:tcPr>
            <w:tcW w:type="dxa" w:w="1656"/>
          </w:tcPr>
          <w:p>
            <w:pPr>
              <w:spacing w:after="20" w:before="20" w:line="240" w:lineRule="auto"/>
            </w:pPr>
            <w:r/>
            <w:r>
              <w:rPr>
                <w:rFonts w:ascii="Times New Roman" w:hAnsi="Times New Roman"/>
                <w:b w:val="0"/>
                <w:sz w:val="15"/>
              </w:rPr>
              <w:t>Valuation and stabilized NOI</w:t>
            </w:r>
          </w:p>
        </w:tc>
        <w:tc>
          <w:tcPr>
            <w:tcW w:type="dxa" w:w="2736"/>
          </w:tcPr>
          <w:p>
            <w:pPr>
              <w:spacing w:after="20" w:before="20" w:line="240" w:lineRule="auto"/>
            </w:pPr>
            <w:r/>
            <w:r>
              <w:rPr>
                <w:rFonts w:ascii="Times New Roman" w:hAnsi="Times New Roman"/>
                <w:b w:val="0"/>
                <w:sz w:val="15"/>
              </w:rPr>
              <w:t>USPAP/FIRREA compliant on its face. Operating expenses omit the Declaration assessment; states facts that conflict with S-4 (Section 4.4).</w:t>
            </w:r>
          </w:p>
        </w:tc>
      </w:tr>
      <w:tr>
        <w:trPr>
          <w:cantSplit w:val="true"/>
        </w:trPr>
        <w:tc>
          <w:tcPr>
            <w:tcW w:type="dxa" w:w="576"/>
          </w:tcPr>
          <w:p>
            <w:pPr>
              <w:spacing w:after="20" w:before="20" w:line="240" w:lineRule="auto"/>
            </w:pPr>
            <w:r/>
            <w:r>
              <w:rPr>
                <w:rFonts w:ascii="Times New Roman" w:hAnsi="Times New Roman"/>
                <w:b w:val="0"/>
                <w:sz w:val="15"/>
              </w:rPr>
              <w:t>S-4</w:t>
            </w:r>
          </w:p>
        </w:tc>
        <w:tc>
          <w:tcPr>
            <w:tcW w:type="dxa" w:w="2232"/>
          </w:tcPr>
          <w:p>
            <w:pPr>
              <w:spacing w:after="20" w:before="20" w:line="240" w:lineRule="auto"/>
            </w:pPr>
            <w:r/>
            <w:r>
              <w:rPr>
                <w:rFonts w:ascii="Times New Roman" w:hAnsi="Times New Roman"/>
                <w:b w:val="0"/>
                <w:sz w:val="15"/>
              </w:rPr>
              <w:t>Preliminary Title Commitment</w:t>
            </w:r>
          </w:p>
        </w:tc>
        <w:tc>
          <w:tcPr>
            <w:tcW w:type="dxa" w:w="2160"/>
          </w:tcPr>
          <w:p>
            <w:pPr>
              <w:spacing w:after="20" w:before="20" w:line="240" w:lineRule="auto"/>
            </w:pPr>
            <w:r/>
            <w:r>
              <w:rPr>
                <w:rFonts w:ascii="Times New Roman" w:hAnsi="Times New Roman"/>
                <w:b w:val="0"/>
                <w:sz w:val="15"/>
              </w:rPr>
              <w:t>Aldersgate Title &amp; Escrow Inc.; No. NC-2024-88712; effective December 5, 2024; expires June 5, 2025</w:t>
            </w:r>
          </w:p>
        </w:tc>
        <w:tc>
          <w:tcPr>
            <w:tcW w:type="dxa" w:w="1656"/>
          </w:tcPr>
          <w:p>
            <w:pPr>
              <w:spacing w:after="20" w:before="20" w:line="240" w:lineRule="auto"/>
            </w:pPr>
            <w:r/>
            <w:r>
              <w:rPr>
                <w:rFonts w:ascii="Times New Roman" w:hAnsi="Times New Roman"/>
                <w:b w:val="0"/>
                <w:sz w:val="15"/>
              </w:rPr>
              <w:t>Title, vesting, legal descriptions, exceptions</w:t>
            </w:r>
          </w:p>
        </w:tc>
        <w:tc>
          <w:tcPr>
            <w:tcW w:type="dxa" w:w="2736"/>
          </w:tcPr>
          <w:p>
            <w:pPr>
              <w:spacing w:after="20" w:before="20" w:line="240" w:lineRule="auto"/>
            </w:pPr>
            <w:r/>
            <w:r>
              <w:rPr>
                <w:rFonts w:ascii="Times New Roman" w:hAnsi="Times New Roman"/>
                <w:b w:val="0"/>
                <w:sz w:val="15"/>
              </w:rPr>
              <w:t>Primary record evidence for vesting and encumbrances. Legal descriptions do not close (Section 4.2); no environmental land use restriction disclosed (Section 3.5).</w:t>
            </w:r>
          </w:p>
        </w:tc>
      </w:tr>
      <w:tr>
        <w:trPr>
          <w:cantSplit w:val="true"/>
        </w:trPr>
        <w:tc>
          <w:tcPr>
            <w:tcW w:type="dxa" w:w="576"/>
          </w:tcPr>
          <w:p>
            <w:pPr>
              <w:spacing w:after="20" w:before="20" w:line="240" w:lineRule="auto"/>
            </w:pPr>
            <w:r/>
            <w:r>
              <w:rPr>
                <w:rFonts w:ascii="Times New Roman" w:hAnsi="Times New Roman"/>
                <w:b w:val="0"/>
                <w:sz w:val="15"/>
              </w:rPr>
              <w:t>S-5</w:t>
            </w:r>
          </w:p>
        </w:tc>
        <w:tc>
          <w:tcPr>
            <w:tcW w:type="dxa" w:w="2232"/>
          </w:tcPr>
          <w:p>
            <w:pPr>
              <w:spacing w:after="20" w:before="20" w:line="240" w:lineRule="auto"/>
            </w:pPr>
            <w:r/>
            <w:r>
              <w:rPr>
                <w:rFonts w:ascii="Times New Roman" w:hAnsi="Times New Roman"/>
                <w:b w:val="0"/>
                <w:sz w:val="15"/>
              </w:rPr>
              <w:t>Phase I Environmental Site Assessment — excerpted sections</w:t>
            </w:r>
          </w:p>
        </w:tc>
        <w:tc>
          <w:tcPr>
            <w:tcW w:type="dxa" w:w="2160"/>
          </w:tcPr>
          <w:p>
            <w:pPr>
              <w:spacing w:after="20" w:before="20" w:line="240" w:lineRule="auto"/>
            </w:pPr>
            <w:r/>
            <w:r>
              <w:rPr>
                <w:rFonts w:ascii="Times New Roman" w:hAnsi="Times New Roman"/>
                <w:b w:val="0"/>
                <w:sz w:val="15"/>
              </w:rPr>
              <w:t>Sentinel Environmental Consulting LLC; Dr. James Whitfield, P.E.; October 28, 2024; Project No. SEC-2024-1147</w:t>
            </w:r>
          </w:p>
        </w:tc>
        <w:tc>
          <w:tcPr>
            <w:tcW w:type="dxa" w:w="1656"/>
          </w:tcPr>
          <w:p>
            <w:pPr>
              <w:spacing w:after="20" w:before="20" w:line="240" w:lineRule="auto"/>
            </w:pPr>
            <w:r/>
            <w:r>
              <w:rPr>
                <w:rFonts w:ascii="Times New Roman" w:hAnsi="Times New Roman"/>
                <w:b w:val="0"/>
                <w:sz w:val="15"/>
              </w:rPr>
              <w:t>Environmental condition and NFA conditions</w:t>
            </w:r>
          </w:p>
        </w:tc>
        <w:tc>
          <w:tcPr>
            <w:tcW w:type="dxa" w:w="2736"/>
          </w:tcPr>
          <w:p>
            <w:pPr>
              <w:spacing w:after="20" w:before="20" w:line="240" w:lineRule="auto"/>
            </w:pPr>
            <w:r/>
            <w:r>
              <w:rPr>
                <w:rFonts w:ascii="Times New Roman" w:hAnsi="Times New Roman"/>
                <w:b w:val="0"/>
                <w:sz w:val="15"/>
              </w:rPr>
              <w:t>Most reliable environmental source; ASTM E1527-21. Expressly declines to verify unit locations relative to the Affected Area.</w:t>
            </w:r>
          </w:p>
        </w:tc>
      </w:tr>
      <w:tr>
        <w:trPr>
          <w:cantSplit w:val="true"/>
        </w:trPr>
        <w:tc>
          <w:tcPr>
            <w:tcW w:type="dxa" w:w="576"/>
          </w:tcPr>
          <w:p>
            <w:pPr>
              <w:spacing w:after="20" w:before="20" w:line="240" w:lineRule="auto"/>
            </w:pPr>
            <w:r/>
            <w:r>
              <w:rPr>
                <w:rFonts w:ascii="Times New Roman" w:hAnsi="Times New Roman"/>
                <w:b w:val="0"/>
                <w:sz w:val="15"/>
              </w:rPr>
              <w:t>S-6</w:t>
            </w:r>
          </w:p>
        </w:tc>
        <w:tc>
          <w:tcPr>
            <w:tcW w:type="dxa" w:w="2232"/>
          </w:tcPr>
          <w:p>
            <w:pPr>
              <w:spacing w:after="20" w:before="20" w:line="240" w:lineRule="auto"/>
            </w:pPr>
            <w:r/>
            <w:r>
              <w:rPr>
                <w:rFonts w:ascii="Times New Roman" w:hAnsi="Times New Roman"/>
                <w:b w:val="0"/>
                <w:sz w:val="15"/>
              </w:rPr>
              <w:t>Borrower Organizational Chart, Operating Agreement excerpts and certification</w:t>
            </w:r>
          </w:p>
        </w:tc>
        <w:tc>
          <w:tcPr>
            <w:tcW w:type="dxa" w:w="2160"/>
          </w:tcPr>
          <w:p>
            <w:pPr>
              <w:spacing w:after="20" w:before="20" w:line="240" w:lineRule="auto"/>
            </w:pPr>
            <w:r/>
            <w:r>
              <w:rPr>
                <w:rFonts w:ascii="Times New Roman" w:hAnsi="Times New Roman"/>
                <w:b w:val="0"/>
                <w:sz w:val="15"/>
              </w:rPr>
              <w:t>Prepared by Calloway &amp; Strauss PLLC; January 2025; Operating Agreement amended through December 1, 2024</w:t>
            </w:r>
          </w:p>
        </w:tc>
        <w:tc>
          <w:tcPr>
            <w:tcW w:type="dxa" w:w="1656"/>
          </w:tcPr>
          <w:p>
            <w:pPr>
              <w:spacing w:after="20" w:before="20" w:line="240" w:lineRule="auto"/>
            </w:pPr>
            <w:r/>
            <w:r>
              <w:rPr>
                <w:rFonts w:ascii="Times New Roman" w:hAnsi="Times New Roman"/>
                <w:b w:val="0"/>
                <w:sz w:val="15"/>
              </w:rPr>
              <w:t>Ownership, governance, capital contributions</w:t>
            </w:r>
          </w:p>
        </w:tc>
        <w:tc>
          <w:tcPr>
            <w:tcW w:type="dxa" w:w="2736"/>
          </w:tcPr>
          <w:p>
            <w:pPr>
              <w:spacing w:after="20" w:before="20" w:line="240" w:lineRule="auto"/>
            </w:pPr>
            <w:r/>
            <w:r>
              <w:rPr>
                <w:rFonts w:ascii="Times New Roman" w:hAnsi="Times New Roman"/>
                <w:b w:val="0"/>
                <w:sz w:val="15"/>
              </w:rPr>
              <w:t>Borrower-prepared and certified; internally inconsistent with S-4 and S-2 on the Land (Section 3.1) and states a $0 contribution by the 28% member.</w:t>
            </w:r>
          </w:p>
        </w:tc>
      </w:tr>
      <w:tr>
        <w:trPr>
          <w:cantSplit w:val="true"/>
        </w:trPr>
        <w:tc>
          <w:tcPr>
            <w:tcW w:type="dxa" w:w="576"/>
          </w:tcPr>
          <w:p>
            <w:pPr>
              <w:spacing w:after="20" w:before="20" w:line="240" w:lineRule="auto"/>
            </w:pPr>
            <w:r/>
            <w:r>
              <w:rPr>
                <w:rFonts w:ascii="Times New Roman" w:hAnsi="Times New Roman"/>
                <w:b w:val="0"/>
                <w:sz w:val="15"/>
              </w:rPr>
              <w:t>S-7</w:t>
            </w:r>
          </w:p>
        </w:tc>
        <w:tc>
          <w:tcPr>
            <w:tcW w:type="dxa" w:w="2232"/>
          </w:tcPr>
          <w:p>
            <w:pPr>
              <w:spacing w:after="20" w:before="20" w:line="240" w:lineRule="auto"/>
            </w:pPr>
            <w:r/>
            <w:r>
              <w:rPr>
                <w:rFonts w:ascii="Times New Roman" w:hAnsi="Times New Roman"/>
                <w:b w:val="0"/>
                <w:sz w:val="15"/>
              </w:rPr>
              <w:t>Construction Budget and Draw Schedule (workbook, three tabs)</w:t>
            </w:r>
          </w:p>
        </w:tc>
        <w:tc>
          <w:tcPr>
            <w:tcW w:type="dxa" w:w="2160"/>
          </w:tcPr>
          <w:p>
            <w:pPr>
              <w:spacing w:after="20" w:before="20" w:line="240" w:lineRule="auto"/>
            </w:pPr>
            <w:r/>
            <w:r>
              <w:rPr>
                <w:rFonts w:ascii="Times New Roman" w:hAnsi="Times New Roman"/>
                <w:b w:val="0"/>
                <w:sz w:val="15"/>
              </w:rPr>
              <w:t>Harborview Capital Partners LLC; January 8, 2025</w:t>
            </w:r>
          </w:p>
        </w:tc>
        <w:tc>
          <w:tcPr>
            <w:tcW w:type="dxa" w:w="1656"/>
          </w:tcPr>
          <w:p>
            <w:pPr>
              <w:spacing w:after="20" w:before="20" w:line="240" w:lineRule="auto"/>
            </w:pPr>
            <w:r/>
            <w:r>
              <w:rPr>
                <w:rFonts w:ascii="Times New Roman" w:hAnsi="Times New Roman"/>
                <w:b w:val="0"/>
                <w:sz w:val="15"/>
              </w:rPr>
              <w:t>Budget, draw schedule, interest reserve model</w:t>
            </w:r>
          </w:p>
        </w:tc>
        <w:tc>
          <w:tcPr>
            <w:tcW w:type="dxa" w:w="2736"/>
          </w:tcPr>
          <w:p>
            <w:pPr>
              <w:spacing w:after="20" w:before="20" w:line="240" w:lineRule="auto"/>
            </w:pPr>
            <w:r/>
            <w:r>
              <w:rPr>
                <w:rFonts w:ascii="Times New Roman" w:hAnsi="Times New Roman"/>
                <w:b w:val="0"/>
                <w:sz w:val="15"/>
              </w:rPr>
              <w:t>The only document with line-item cost detail. Draw 9 does not foot; model assumes a SOFR rate 85 bps below the current rate (Sections 3.4, 3.6).</w:t>
            </w:r>
          </w:p>
        </w:tc>
      </w:tr>
      <w:tr>
        <w:trPr>
          <w:cantSplit w:val="true"/>
        </w:trPr>
        <w:tc>
          <w:tcPr>
            <w:tcW w:type="dxa" w:w="576"/>
          </w:tcPr>
          <w:p>
            <w:pPr>
              <w:spacing w:after="20" w:before="20" w:line="240" w:lineRule="auto"/>
            </w:pPr>
            <w:r/>
            <w:r>
              <w:rPr>
                <w:rFonts w:ascii="Times New Roman" w:hAnsi="Times New Roman"/>
                <w:b w:val="0"/>
                <w:sz w:val="15"/>
              </w:rPr>
              <w:t>S-8</w:t>
            </w:r>
          </w:p>
        </w:tc>
        <w:tc>
          <w:tcPr>
            <w:tcW w:type="dxa" w:w="2232"/>
          </w:tcPr>
          <w:p>
            <w:pPr>
              <w:spacing w:after="20" w:before="20" w:line="240" w:lineRule="auto"/>
            </w:pPr>
            <w:r/>
            <w:r>
              <w:rPr>
                <w:rFonts w:ascii="Times New Roman" w:hAnsi="Times New Roman"/>
                <w:b w:val="0"/>
                <w:sz w:val="15"/>
              </w:rPr>
              <w:t>Draft Loan Agreement</w:t>
            </w:r>
          </w:p>
        </w:tc>
        <w:tc>
          <w:tcPr>
            <w:tcW w:type="dxa" w:w="2160"/>
          </w:tcPr>
          <w:p>
            <w:pPr>
              <w:spacing w:after="20" w:before="20" w:line="240" w:lineRule="auto"/>
            </w:pPr>
            <w:r/>
            <w:r>
              <w:rPr>
                <w:rFonts w:ascii="Times New Roman" w:hAnsi="Times New Roman"/>
                <w:b w:val="0"/>
                <w:sz w:val="15"/>
              </w:rPr>
              <w:t>February 3, 2025</w:t>
            </w:r>
          </w:p>
        </w:tc>
        <w:tc>
          <w:tcPr>
            <w:tcW w:type="dxa" w:w="1656"/>
          </w:tcPr>
          <w:p>
            <w:pPr>
              <w:spacing w:after="20" w:before="20" w:line="240" w:lineRule="auto"/>
            </w:pPr>
            <w:r/>
            <w:r>
              <w:rPr>
                <w:rFonts w:ascii="Times New Roman" w:hAnsi="Times New Roman"/>
                <w:b w:val="0"/>
                <w:sz w:val="15"/>
              </w:rPr>
              <w:t>Deliverable</w:t>
            </w:r>
          </w:p>
        </w:tc>
        <w:tc>
          <w:tcPr>
            <w:tcW w:type="dxa" w:w="2736"/>
          </w:tcPr>
          <w:p>
            <w:pPr>
              <w:spacing w:after="20" w:before="20" w:line="240" w:lineRule="auto"/>
            </w:pPr>
            <w:r/>
            <w:r>
              <w:rPr>
                <w:rFonts w:ascii="Times New Roman" w:hAnsi="Times New Roman"/>
                <w:b w:val="0"/>
                <w:sz w:val="15"/>
              </w:rPr>
              <w:t>Prepared by Lender’s counsel from S-1 and S-2 with the resolutions described in Sections 3–6.</w:t>
            </w:r>
          </w:p>
        </w:tc>
      </w:tr>
    </w:tbl>
    <w:p>
      <w:pPr>
        <w:spacing w:after="160" w:before="0" w:line="240" w:lineRule="auto"/>
      </w:pPr>
    </w:p>
    <w:p>
      <w:pPr>
        <w:keepNext/>
        <w:spacing w:after="160" w:before="280" w:line="259" w:lineRule="auto"/>
        <w:ind w:firstLine="0" w:left="0"/>
        <w:jc w:val="center"/>
      </w:pPr>
      <w:r>
        <w:rPr>
          <w:rFonts w:ascii="Times New Roman" w:hAnsi="Times New Roman"/>
          <w:b/>
          <w:i w:val="0"/>
          <w:caps/>
          <w:sz w:val="24"/>
        </w:rPr>
        <w:t>2.  Executive Summary and Top-Risk Register</w:t>
      </w:r>
    </w:p>
    <w:p>
      <w:pPr>
        <w:spacing w:after="120" w:line="259" w:lineRule="auto"/>
        <w:ind w:left="0" w:firstLine="720"/>
        <w:jc w:val="both"/>
      </w:pPr>
      <w:r>
        <w:rPr>
          <w:rFonts w:ascii="Times New Roman" w:hAnsi="Times New Roman"/>
          <w:b w:val="0"/>
          <w:i w:val="0"/>
          <w:sz w:val="22"/>
        </w:rPr>
        <w:t>The transaction is approvable, but it cannot close in its present documentary condition. Six issues are, in our view, closing-critical: the Land and the equity story cannot be reconciled across five documents; the loan as sized breaches both the loan-to-cost covenant and the as-completed loan-to-value covenant, and the condition of approval the Committee adopted does not cure the first; the $3.4 million prior deed of trust that must be released has no place in the budget or the sources and uses; the Deed Notice required by the environmental regulator 66 days ago is not evidenced, and the regulator’s land-use restriction is in direct tension with the residential program; and the interest availability under the mezzanine loan may already be spent.</w:t>
      </w:r>
    </w:p>
    <w:p>
      <w:pPr>
        <w:spacing w:after="120" w:line="259" w:lineRule="auto"/>
        <w:ind w:left="0" w:firstLine="720"/>
        <w:jc w:val="both"/>
      </w:pPr>
      <w:r>
        <w:rPr>
          <w:rFonts w:ascii="Times New Roman" w:hAnsi="Times New Roman"/>
          <w:b w:val="0"/>
          <w:i w:val="0"/>
          <w:sz w:val="22"/>
        </w:rPr>
        <w:t>The Draft Agreement addresses each of these issues with a defined-term mechanism rather than a recital, so that the resolution is self-executing on the Closing Date. Only one issue requires a commercial decision before the next draft: whether the Commitment Amount is reduced to $45,360,000 (our recommendation, which cures both the loan-to-cost and the loan-to-value breach) or Total Project Costs are increased by at least $2,675,000 and funded with additional verified equity.</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560"/>
        <w:gridCol w:w="1560"/>
        <w:gridCol w:w="1560"/>
        <w:gridCol w:w="1560"/>
        <w:gridCol w:w="1560"/>
        <w:gridCol w:w="1560"/>
      </w:tblGrid>
      <w:tr>
        <w:trPr>
          <w:tblHeader w:val="true"/>
          <w:cantSplit w:val="true"/>
        </w:trPr>
        <w:tc>
          <w:tcPr>
            <w:tcW w:type="dxa" w:w="432"/>
            <w:shd w:val="clear" w:color="auto" w:fill="D9D9D9"/>
          </w:tcPr>
          <w:p>
            <w:pPr>
              <w:spacing w:after="20" w:before="20" w:line="240" w:lineRule="auto"/>
              <w:jc w:val="center"/>
            </w:pPr>
            <w:r/>
            <w:r>
              <w:rPr>
                <w:rFonts w:ascii="Times New Roman" w:hAnsi="Times New Roman"/>
                <w:b/>
                <w:sz w:val="14"/>
              </w:rPr>
              <w:t>#</w:t>
            </w:r>
          </w:p>
        </w:tc>
        <w:tc>
          <w:tcPr>
            <w:tcW w:type="dxa" w:w="864"/>
            <w:shd w:val="clear" w:color="auto" w:fill="D9D9D9"/>
          </w:tcPr>
          <w:p>
            <w:pPr>
              <w:spacing w:after="20" w:before="20" w:line="240" w:lineRule="auto"/>
              <w:jc w:val="center"/>
            </w:pPr>
            <w:r/>
            <w:r>
              <w:rPr>
                <w:rFonts w:ascii="Times New Roman" w:hAnsi="Times New Roman"/>
                <w:b/>
                <w:sz w:val="14"/>
              </w:rPr>
              <w:t>Rating</w:t>
            </w:r>
          </w:p>
        </w:tc>
        <w:tc>
          <w:tcPr>
            <w:tcW w:type="dxa" w:w="2952"/>
            <w:shd w:val="clear" w:color="auto" w:fill="D9D9D9"/>
          </w:tcPr>
          <w:p>
            <w:pPr>
              <w:spacing w:after="20" w:before="20" w:line="240" w:lineRule="auto"/>
              <w:jc w:val="center"/>
            </w:pPr>
            <w:r/>
            <w:r>
              <w:rPr>
                <w:rFonts w:ascii="Times New Roman" w:hAnsi="Times New Roman"/>
                <w:b/>
                <w:sz w:val="14"/>
              </w:rPr>
              <w:t>Issue</w:t>
            </w:r>
          </w:p>
        </w:tc>
        <w:tc>
          <w:tcPr>
            <w:tcW w:type="dxa" w:w="2520"/>
            <w:shd w:val="clear" w:color="auto" w:fill="D9D9D9"/>
          </w:tcPr>
          <w:p>
            <w:pPr>
              <w:spacing w:after="20" w:before="20" w:line="240" w:lineRule="auto"/>
              <w:jc w:val="center"/>
            </w:pPr>
            <w:r/>
            <w:r>
              <w:rPr>
                <w:rFonts w:ascii="Times New Roman" w:hAnsi="Times New Roman"/>
                <w:b/>
                <w:sz w:val="14"/>
              </w:rPr>
              <w:t>Consequence if unresolved</w:t>
            </w:r>
          </w:p>
        </w:tc>
        <w:tc>
          <w:tcPr>
            <w:tcW w:type="dxa" w:w="1584"/>
            <w:shd w:val="clear" w:color="auto" w:fill="D9D9D9"/>
          </w:tcPr>
          <w:p>
            <w:pPr>
              <w:spacing w:after="20" w:before="20" w:line="240" w:lineRule="auto"/>
              <w:jc w:val="center"/>
            </w:pPr>
            <w:r/>
            <w:r>
              <w:rPr>
                <w:rFonts w:ascii="Times New Roman" w:hAnsi="Times New Roman"/>
                <w:b/>
                <w:sz w:val="14"/>
              </w:rPr>
              <w:t>Draft Agreement reference</w:t>
            </w:r>
          </w:p>
        </w:tc>
        <w:tc>
          <w:tcPr>
            <w:tcW w:type="dxa" w:w="648"/>
            <w:shd w:val="clear" w:color="auto" w:fill="D9D9D9"/>
          </w:tcPr>
          <w:p>
            <w:pPr>
              <w:spacing w:after="20" w:before="20" w:line="240" w:lineRule="auto"/>
              <w:jc w:val="center"/>
            </w:pPr>
            <w:r/>
            <w:r>
              <w:rPr>
                <w:rFonts w:ascii="Times New Roman" w:hAnsi="Times New Roman"/>
                <w:b/>
                <w:sz w:val="14"/>
              </w:rPr>
              <w:t>Memo §</w:t>
            </w:r>
          </w:p>
        </w:tc>
      </w:tr>
      <w:tr>
        <w:trPr>
          <w:cantSplit w:val="true"/>
        </w:trPr>
        <w:tc>
          <w:tcPr>
            <w:tcW w:type="dxa" w:w="432"/>
          </w:tcPr>
          <w:p>
            <w:pPr>
              <w:spacing w:after="20" w:before="20" w:line="240" w:lineRule="auto"/>
            </w:pPr>
            <w:r/>
            <w:r>
              <w:rPr>
                <w:rFonts w:ascii="Times New Roman" w:hAnsi="Times New Roman"/>
                <w:b w:val="0"/>
                <w:sz w:val="14"/>
              </w:rPr>
              <w:t>1</w:t>
            </w:r>
          </w:p>
        </w:tc>
        <w:tc>
          <w:tcPr>
            <w:tcW w:type="dxa" w:w="864"/>
          </w:tcPr>
          <w:p>
            <w:pPr>
              <w:spacing w:after="20" w:before="20" w:line="240" w:lineRule="auto"/>
            </w:pPr>
            <w:r/>
            <w:r>
              <w:rPr>
                <w:rFonts w:ascii="Times New Roman" w:hAnsi="Times New Roman"/>
                <w:b w:val="0"/>
                <w:sz w:val="14"/>
              </w:rPr>
              <w:t>Critical</w:t>
            </w:r>
          </w:p>
        </w:tc>
        <w:tc>
          <w:tcPr>
            <w:tcW w:type="dxa" w:w="2952"/>
          </w:tcPr>
          <w:p>
            <w:pPr>
              <w:spacing w:after="20" w:before="20" w:line="240" w:lineRule="auto"/>
            </w:pPr>
            <w:r/>
            <w:r>
              <w:rPr>
                <w:rFonts w:ascii="Times New Roman" w:hAnsi="Times New Roman"/>
                <w:b w:val="0"/>
                <w:sz w:val="14"/>
              </w:rPr>
              <w:t>The Land’s acquisition and funding are described five different ways, and the Borrower’s own budget says the Land was paid for with $8,200,000 of mezzanine proceeds</w:t>
            </w:r>
          </w:p>
        </w:tc>
        <w:tc>
          <w:tcPr>
            <w:tcW w:type="dxa" w:w="2520"/>
          </w:tcPr>
          <w:p>
            <w:pPr>
              <w:spacing w:after="20" w:before="20" w:line="240" w:lineRule="auto"/>
            </w:pPr>
            <w:r/>
            <w:r>
              <w:rPr>
                <w:rFonts w:ascii="Times New Roman" w:hAnsi="Times New Roman"/>
                <w:b w:val="0"/>
                <w:sz w:val="14"/>
              </w:rPr>
              <w:t>The “$0 cash equity / land as equity” analysis on which approval rests is unsupported; the mezzanine loan may have only $1,000,000 of undrawn availability; sources and uses do not balance to cash</w:t>
            </w:r>
          </w:p>
        </w:tc>
        <w:tc>
          <w:tcPr>
            <w:tcW w:type="dxa" w:w="1584"/>
          </w:tcPr>
          <w:p>
            <w:pPr>
              <w:spacing w:after="20" w:before="20" w:line="240" w:lineRule="auto"/>
            </w:pPr>
            <w:r/>
            <w:r>
              <w:rPr>
                <w:rFonts w:ascii="Times New Roman" w:hAnsi="Times New Roman"/>
                <w:b w:val="0"/>
                <w:sz w:val="14"/>
              </w:rPr>
              <w:t>§§ 1.1, 3.7(d), 3.16, 5.2; Sch. 1.1, 5.2; Ex. C</w:t>
            </w:r>
          </w:p>
        </w:tc>
        <w:tc>
          <w:tcPr>
            <w:tcW w:type="dxa" w:w="648"/>
          </w:tcPr>
          <w:p>
            <w:pPr>
              <w:spacing w:after="20" w:before="20" w:line="240" w:lineRule="auto"/>
            </w:pPr>
            <w:r/>
            <w:r>
              <w:rPr>
                <w:rFonts w:ascii="Times New Roman" w:hAnsi="Times New Roman"/>
                <w:b w:val="0"/>
                <w:sz w:val="14"/>
              </w:rPr>
              <w:t>3.1</w:t>
            </w:r>
          </w:p>
        </w:tc>
      </w:tr>
      <w:tr>
        <w:trPr>
          <w:cantSplit w:val="true"/>
        </w:trPr>
        <w:tc>
          <w:tcPr>
            <w:tcW w:type="dxa" w:w="432"/>
          </w:tcPr>
          <w:p>
            <w:pPr>
              <w:spacing w:after="20" w:before="20" w:line="240" w:lineRule="auto"/>
            </w:pPr>
            <w:r/>
            <w:r>
              <w:rPr>
                <w:rFonts w:ascii="Times New Roman" w:hAnsi="Times New Roman"/>
                <w:b w:val="0"/>
                <w:sz w:val="14"/>
              </w:rPr>
              <w:t>2</w:t>
            </w:r>
          </w:p>
        </w:tc>
        <w:tc>
          <w:tcPr>
            <w:tcW w:type="dxa" w:w="864"/>
          </w:tcPr>
          <w:p>
            <w:pPr>
              <w:spacing w:after="20" w:before="20" w:line="240" w:lineRule="auto"/>
            </w:pPr>
            <w:r/>
            <w:r>
              <w:rPr>
                <w:rFonts w:ascii="Times New Roman" w:hAnsi="Times New Roman"/>
                <w:b w:val="0"/>
                <w:sz w:val="14"/>
              </w:rPr>
              <w:t>Critical</w:t>
            </w:r>
          </w:p>
        </w:tc>
        <w:tc>
          <w:tcPr>
            <w:tcW w:type="dxa" w:w="2952"/>
          </w:tcPr>
          <w:p>
            <w:pPr>
              <w:spacing w:after="20" w:before="20" w:line="240" w:lineRule="auto"/>
            </w:pPr>
            <w:r/>
            <w:r>
              <w:rPr>
                <w:rFonts w:ascii="Times New Roman" w:hAnsi="Times New Roman"/>
                <w:b w:val="0"/>
                <w:sz w:val="14"/>
              </w:rPr>
              <w:t>83.77% loan-to-cost against an 80.00% covenant; 65.25% as-completed loan-to-value against a 65.00% covenant; the $2,140,000 escrow condition does not change loan-to-cost</w:t>
            </w:r>
          </w:p>
        </w:tc>
        <w:tc>
          <w:tcPr>
            <w:tcW w:type="dxa" w:w="2520"/>
          </w:tcPr>
          <w:p>
            <w:pPr>
              <w:spacing w:after="20" w:before="20" w:line="240" w:lineRule="auto"/>
            </w:pPr>
            <w:r/>
            <w:r>
              <w:rPr>
                <w:rFonts w:ascii="Times New Roman" w:hAnsi="Times New Roman"/>
                <w:b w:val="0"/>
                <w:sz w:val="14"/>
              </w:rPr>
              <w:t>Covenant breach at closing; no conforming draw schedule or fee calculation</w:t>
            </w:r>
          </w:p>
        </w:tc>
        <w:tc>
          <w:tcPr>
            <w:tcW w:type="dxa" w:w="1584"/>
          </w:tcPr>
          <w:p>
            <w:pPr>
              <w:spacing w:after="20" w:before="20" w:line="240" w:lineRule="auto"/>
            </w:pPr>
            <w:r/>
            <w:r>
              <w:rPr>
                <w:rFonts w:ascii="Times New Roman" w:hAnsi="Times New Roman"/>
                <w:b w:val="0"/>
                <w:sz w:val="14"/>
              </w:rPr>
              <w:t>§§ 2.2, 8.1, 8.2; Ex. C</w:t>
            </w:r>
          </w:p>
        </w:tc>
        <w:tc>
          <w:tcPr>
            <w:tcW w:type="dxa" w:w="648"/>
          </w:tcPr>
          <w:p>
            <w:pPr>
              <w:spacing w:after="20" w:before="20" w:line="240" w:lineRule="auto"/>
            </w:pPr>
            <w:r/>
            <w:r>
              <w:rPr>
                <w:rFonts w:ascii="Times New Roman" w:hAnsi="Times New Roman"/>
                <w:b w:val="0"/>
                <w:sz w:val="14"/>
              </w:rPr>
              <w:t>3.2</w:t>
            </w:r>
          </w:p>
        </w:tc>
      </w:tr>
      <w:tr>
        <w:trPr>
          <w:cantSplit w:val="true"/>
        </w:trPr>
        <w:tc>
          <w:tcPr>
            <w:tcW w:type="dxa" w:w="432"/>
          </w:tcPr>
          <w:p>
            <w:pPr>
              <w:spacing w:after="20" w:before="20" w:line="240" w:lineRule="auto"/>
            </w:pPr>
            <w:r/>
            <w:r>
              <w:rPr>
                <w:rFonts w:ascii="Times New Roman" w:hAnsi="Times New Roman"/>
                <w:b w:val="0"/>
                <w:sz w:val="14"/>
              </w:rPr>
              <w:t>3</w:t>
            </w:r>
          </w:p>
        </w:tc>
        <w:tc>
          <w:tcPr>
            <w:tcW w:type="dxa" w:w="864"/>
          </w:tcPr>
          <w:p>
            <w:pPr>
              <w:spacing w:after="20" w:before="20" w:line="240" w:lineRule="auto"/>
            </w:pPr>
            <w:r/>
            <w:r>
              <w:rPr>
                <w:rFonts w:ascii="Times New Roman" w:hAnsi="Times New Roman"/>
                <w:b w:val="0"/>
                <w:sz w:val="14"/>
              </w:rPr>
              <w:t>Critical</w:t>
            </w:r>
          </w:p>
        </w:tc>
        <w:tc>
          <w:tcPr>
            <w:tcW w:type="dxa" w:w="2952"/>
          </w:tcPr>
          <w:p>
            <w:pPr>
              <w:spacing w:after="20" w:before="20" w:line="240" w:lineRule="auto"/>
            </w:pPr>
            <w:r/>
            <w:r>
              <w:rPr>
                <w:rFonts w:ascii="Times New Roman" w:hAnsi="Times New Roman"/>
                <w:b w:val="0"/>
                <w:sz w:val="14"/>
              </w:rPr>
              <w:t>Payoff of the $3,400,000 Triangle Commercial Bank deed of trust is neither a use nor a source in the $56,700,000 budget</w:t>
            </w:r>
          </w:p>
        </w:tc>
        <w:tc>
          <w:tcPr>
            <w:tcW w:type="dxa" w:w="2520"/>
          </w:tcPr>
          <w:p>
            <w:pPr>
              <w:spacing w:after="20" w:before="20" w:line="240" w:lineRule="auto"/>
            </w:pPr>
            <w:r/>
            <w:r>
              <w:rPr>
                <w:rFonts w:ascii="Times New Roman" w:hAnsi="Times New Roman"/>
                <w:b w:val="0"/>
                <w:sz w:val="14"/>
              </w:rPr>
              <w:t>Shortfall of at least $3.4 million at closing; no first-priority lien without it</w:t>
            </w:r>
          </w:p>
        </w:tc>
        <w:tc>
          <w:tcPr>
            <w:tcW w:type="dxa" w:w="1584"/>
          </w:tcPr>
          <w:p>
            <w:pPr>
              <w:spacing w:after="20" w:before="20" w:line="240" w:lineRule="auto"/>
            </w:pPr>
            <w:r/>
            <w:r>
              <w:rPr>
                <w:rFonts w:ascii="Times New Roman" w:hAnsi="Times New Roman"/>
                <w:b w:val="0"/>
                <w:sz w:val="14"/>
              </w:rPr>
              <w:t>§ 3.8; Ex. C</w:t>
            </w:r>
          </w:p>
        </w:tc>
        <w:tc>
          <w:tcPr>
            <w:tcW w:type="dxa" w:w="648"/>
          </w:tcPr>
          <w:p>
            <w:pPr>
              <w:spacing w:after="20" w:before="20" w:line="240" w:lineRule="auto"/>
            </w:pPr>
            <w:r/>
            <w:r>
              <w:rPr>
                <w:rFonts w:ascii="Times New Roman" w:hAnsi="Times New Roman"/>
                <w:b w:val="0"/>
                <w:sz w:val="14"/>
              </w:rPr>
              <w:t>3.3</w:t>
            </w:r>
          </w:p>
        </w:tc>
      </w:tr>
      <w:tr>
        <w:trPr>
          <w:cantSplit w:val="true"/>
        </w:trPr>
        <w:tc>
          <w:tcPr>
            <w:tcW w:type="dxa" w:w="432"/>
          </w:tcPr>
          <w:p>
            <w:pPr>
              <w:spacing w:after="20" w:before="20" w:line="240" w:lineRule="auto"/>
            </w:pPr>
            <w:r/>
            <w:r>
              <w:rPr>
                <w:rFonts w:ascii="Times New Roman" w:hAnsi="Times New Roman"/>
                <w:b w:val="0"/>
                <w:sz w:val="14"/>
              </w:rPr>
              <w:t>4</w:t>
            </w:r>
          </w:p>
        </w:tc>
        <w:tc>
          <w:tcPr>
            <w:tcW w:type="dxa" w:w="864"/>
          </w:tcPr>
          <w:p>
            <w:pPr>
              <w:spacing w:after="20" w:before="20" w:line="240" w:lineRule="auto"/>
            </w:pPr>
            <w:r/>
            <w:r>
              <w:rPr>
                <w:rFonts w:ascii="Times New Roman" w:hAnsi="Times New Roman"/>
                <w:b w:val="0"/>
                <w:sz w:val="14"/>
              </w:rPr>
              <w:t>Critical</w:t>
            </w:r>
          </w:p>
        </w:tc>
        <w:tc>
          <w:tcPr>
            <w:tcW w:type="dxa" w:w="2952"/>
          </w:tcPr>
          <w:p>
            <w:pPr>
              <w:spacing w:after="20" w:before="20" w:line="240" w:lineRule="auto"/>
            </w:pPr>
            <w:r/>
            <w:r>
              <w:rPr>
                <w:rFonts w:ascii="Times New Roman" w:hAnsi="Times New Roman"/>
                <w:b w:val="0"/>
                <w:sz w:val="14"/>
              </w:rPr>
              <w:t>Deed Notice due November 29, 2024 is not evidenced; the NFA Letter restricts the Affected Area to non-residential use while 14 units are said to sit above it</w:t>
            </w:r>
          </w:p>
        </w:tc>
        <w:tc>
          <w:tcPr>
            <w:tcW w:type="dxa" w:w="2520"/>
          </w:tcPr>
          <w:p>
            <w:pPr>
              <w:spacing w:after="20" w:before="20" w:line="240" w:lineRule="auto"/>
            </w:pPr>
            <w:r/>
            <w:r>
              <w:rPr>
                <w:rFonts w:ascii="Times New Roman" w:hAnsi="Times New Roman"/>
                <w:b w:val="0"/>
                <w:sz w:val="14"/>
              </w:rPr>
              <w:t>NFA non-compliance and residential certificate-of-occupancy risk; loss of the 14 units drives DSCR to 1.21x and as-stabilized LTV to 67.56%</w:t>
            </w:r>
          </w:p>
        </w:tc>
        <w:tc>
          <w:tcPr>
            <w:tcW w:type="dxa" w:w="1584"/>
          </w:tcPr>
          <w:p>
            <w:pPr>
              <w:spacing w:after="20" w:before="20" w:line="240" w:lineRule="auto"/>
            </w:pPr>
            <w:r/>
            <w:r>
              <w:rPr>
                <w:rFonts w:ascii="Times New Roman" w:hAnsi="Times New Roman"/>
                <w:b w:val="0"/>
                <w:sz w:val="14"/>
              </w:rPr>
              <w:t>§§ 3.4(c), 3.4(f), 10.2, 10.3; Ex. F</w:t>
            </w:r>
          </w:p>
        </w:tc>
        <w:tc>
          <w:tcPr>
            <w:tcW w:type="dxa" w:w="648"/>
          </w:tcPr>
          <w:p>
            <w:pPr>
              <w:spacing w:after="20" w:before="20" w:line="240" w:lineRule="auto"/>
            </w:pPr>
            <w:r/>
            <w:r>
              <w:rPr>
                <w:rFonts w:ascii="Times New Roman" w:hAnsi="Times New Roman"/>
                <w:b w:val="0"/>
                <w:sz w:val="14"/>
              </w:rPr>
              <w:t>3.5</w:t>
            </w:r>
          </w:p>
        </w:tc>
      </w:tr>
      <w:tr>
        <w:trPr>
          <w:cantSplit w:val="true"/>
        </w:trPr>
        <w:tc>
          <w:tcPr>
            <w:tcW w:type="dxa" w:w="432"/>
          </w:tcPr>
          <w:p>
            <w:pPr>
              <w:spacing w:after="20" w:before="20" w:line="240" w:lineRule="auto"/>
            </w:pPr>
            <w:r/>
            <w:r>
              <w:rPr>
                <w:rFonts w:ascii="Times New Roman" w:hAnsi="Times New Roman"/>
                <w:b w:val="0"/>
                <w:sz w:val="14"/>
              </w:rPr>
              <w:t>5</w:t>
            </w:r>
          </w:p>
        </w:tc>
        <w:tc>
          <w:tcPr>
            <w:tcW w:type="dxa" w:w="864"/>
          </w:tcPr>
          <w:p>
            <w:pPr>
              <w:spacing w:after="20" w:before="20" w:line="240" w:lineRule="auto"/>
            </w:pPr>
            <w:r/>
            <w:r>
              <w:rPr>
                <w:rFonts w:ascii="Times New Roman" w:hAnsi="Times New Roman"/>
                <w:b w:val="0"/>
                <w:sz w:val="14"/>
              </w:rPr>
              <w:t>High</w:t>
            </w:r>
          </w:p>
        </w:tc>
        <w:tc>
          <w:tcPr>
            <w:tcW w:type="dxa" w:w="2952"/>
          </w:tcPr>
          <w:p>
            <w:pPr>
              <w:spacing w:after="20" w:before="20" w:line="240" w:lineRule="auto"/>
            </w:pPr>
            <w:r/>
            <w:r>
              <w:rPr>
                <w:rFonts w:ascii="Times New Roman" w:hAnsi="Times New Roman"/>
                <w:b w:val="0"/>
                <w:sz w:val="14"/>
              </w:rPr>
              <w:t>Interest reserve characterized as both adequate (+$221,325) and inadequate (−$365,830 / −$565,000) in the same record; no reserve for mini-perm interest during lease-up</w:t>
            </w:r>
          </w:p>
        </w:tc>
        <w:tc>
          <w:tcPr>
            <w:tcW w:type="dxa" w:w="2520"/>
          </w:tcPr>
          <w:p>
            <w:pPr>
              <w:spacing w:after="20" w:before="20" w:line="240" w:lineRule="auto"/>
            </w:pPr>
            <w:r/>
            <w:r>
              <w:rPr>
                <w:rFonts w:ascii="Times New Roman" w:hAnsi="Times New Roman"/>
                <w:b w:val="0"/>
                <w:sz w:val="14"/>
              </w:rPr>
              <w:t>Payment default during construction or lease-up; carry guaranty is the only backstop</w:t>
            </w:r>
          </w:p>
        </w:tc>
        <w:tc>
          <w:tcPr>
            <w:tcW w:type="dxa" w:w="1584"/>
          </w:tcPr>
          <w:p>
            <w:pPr>
              <w:spacing w:after="20" w:before="20" w:line="240" w:lineRule="auto"/>
            </w:pPr>
            <w:r/>
            <w:r>
              <w:rPr>
                <w:rFonts w:ascii="Times New Roman" w:hAnsi="Times New Roman"/>
                <w:b w:val="0"/>
                <w:sz w:val="14"/>
              </w:rPr>
              <w:t>§§ 2.7, 8.3, 8.8; Ex. E</w:t>
            </w:r>
          </w:p>
        </w:tc>
        <w:tc>
          <w:tcPr>
            <w:tcW w:type="dxa" w:w="648"/>
          </w:tcPr>
          <w:p>
            <w:pPr>
              <w:spacing w:after="20" w:before="20" w:line="240" w:lineRule="auto"/>
            </w:pPr>
            <w:r/>
            <w:r>
              <w:rPr>
                <w:rFonts w:ascii="Times New Roman" w:hAnsi="Times New Roman"/>
                <w:b w:val="0"/>
                <w:sz w:val="14"/>
              </w:rPr>
              <w:t>3.4</w:t>
            </w:r>
          </w:p>
        </w:tc>
      </w:tr>
      <w:tr>
        <w:trPr>
          <w:cantSplit w:val="true"/>
        </w:trPr>
        <w:tc>
          <w:tcPr>
            <w:tcW w:type="dxa" w:w="432"/>
          </w:tcPr>
          <w:p>
            <w:pPr>
              <w:spacing w:after="20" w:before="20" w:line="240" w:lineRule="auto"/>
            </w:pPr>
            <w:r/>
            <w:r>
              <w:rPr>
                <w:rFonts w:ascii="Times New Roman" w:hAnsi="Times New Roman"/>
                <w:b w:val="0"/>
                <w:sz w:val="14"/>
              </w:rPr>
              <w:t>6</w:t>
            </w:r>
          </w:p>
        </w:tc>
        <w:tc>
          <w:tcPr>
            <w:tcW w:type="dxa" w:w="864"/>
          </w:tcPr>
          <w:p>
            <w:pPr>
              <w:spacing w:after="20" w:before="20" w:line="240" w:lineRule="auto"/>
            </w:pPr>
            <w:r/>
            <w:r>
              <w:rPr>
                <w:rFonts w:ascii="Times New Roman" w:hAnsi="Times New Roman"/>
                <w:b w:val="0"/>
                <w:sz w:val="14"/>
              </w:rPr>
              <w:t>High</w:t>
            </w:r>
          </w:p>
        </w:tc>
        <w:tc>
          <w:tcPr>
            <w:tcW w:type="dxa" w:w="2952"/>
          </w:tcPr>
          <w:p>
            <w:pPr>
              <w:spacing w:after="20" w:before="20" w:line="240" w:lineRule="auto"/>
            </w:pPr>
            <w:r/>
            <w:r>
              <w:rPr>
                <w:rFonts w:ascii="Times New Roman" w:hAnsi="Times New Roman"/>
                <w:b w:val="0"/>
                <w:sz w:val="14"/>
              </w:rPr>
              <w:t>Draw schedule disburses 100% of the GMP in Draws 2–8 and then “releases” retainage never withheld; 10% retainage is $3,475,000, not $3,275,000; Draw 9 components footing error of $1,000,000</w:t>
            </w:r>
          </w:p>
        </w:tc>
        <w:tc>
          <w:tcPr>
            <w:tcW w:type="dxa" w:w="2520"/>
          </w:tcPr>
          <w:p>
            <w:pPr>
              <w:spacing w:after="20" w:before="20" w:line="240" w:lineRule="auto"/>
            </w:pPr>
            <w:r/>
            <w:r>
              <w:rPr>
                <w:rFonts w:ascii="Times New Roman" w:hAnsi="Times New Roman"/>
                <w:b w:val="0"/>
                <w:sz w:val="14"/>
              </w:rPr>
              <w:t>Draw 9 cannot be funded as written; over-advance of $1,000,000 against the Commitment</w:t>
            </w:r>
          </w:p>
        </w:tc>
        <w:tc>
          <w:tcPr>
            <w:tcW w:type="dxa" w:w="1584"/>
          </w:tcPr>
          <w:p>
            <w:pPr>
              <w:spacing w:after="20" w:before="20" w:line="240" w:lineRule="auto"/>
            </w:pPr>
            <w:r/>
            <w:r>
              <w:rPr>
                <w:rFonts w:ascii="Times New Roman" w:hAnsi="Times New Roman"/>
                <w:b w:val="0"/>
                <w:sz w:val="14"/>
              </w:rPr>
              <w:t>§§ 4.1, 4.4; Ex. D</w:t>
            </w:r>
          </w:p>
        </w:tc>
        <w:tc>
          <w:tcPr>
            <w:tcW w:type="dxa" w:w="648"/>
          </w:tcPr>
          <w:p>
            <w:pPr>
              <w:spacing w:after="20" w:before="20" w:line="240" w:lineRule="auto"/>
            </w:pPr>
            <w:r/>
            <w:r>
              <w:rPr>
                <w:rFonts w:ascii="Times New Roman" w:hAnsi="Times New Roman"/>
                <w:b w:val="0"/>
                <w:sz w:val="14"/>
              </w:rPr>
              <w:t>3.6</w:t>
            </w:r>
          </w:p>
        </w:tc>
      </w:tr>
      <w:tr>
        <w:trPr>
          <w:cantSplit w:val="true"/>
        </w:trPr>
        <w:tc>
          <w:tcPr>
            <w:tcW w:type="dxa" w:w="432"/>
          </w:tcPr>
          <w:p>
            <w:pPr>
              <w:spacing w:after="20" w:before="20" w:line="240" w:lineRule="auto"/>
            </w:pPr>
            <w:r/>
            <w:r>
              <w:rPr>
                <w:rFonts w:ascii="Times New Roman" w:hAnsi="Times New Roman"/>
                <w:b w:val="0"/>
                <w:sz w:val="14"/>
              </w:rPr>
              <w:t>7</w:t>
            </w:r>
          </w:p>
        </w:tc>
        <w:tc>
          <w:tcPr>
            <w:tcW w:type="dxa" w:w="864"/>
          </w:tcPr>
          <w:p>
            <w:pPr>
              <w:spacing w:after="20" w:before="20" w:line="240" w:lineRule="auto"/>
            </w:pPr>
            <w:r/>
            <w:r>
              <w:rPr>
                <w:rFonts w:ascii="Times New Roman" w:hAnsi="Times New Roman"/>
                <w:b w:val="0"/>
                <w:sz w:val="14"/>
              </w:rPr>
              <w:t>High</w:t>
            </w:r>
          </w:p>
        </w:tc>
        <w:tc>
          <w:tcPr>
            <w:tcW w:type="dxa" w:w="2952"/>
          </w:tcPr>
          <w:p>
            <w:pPr>
              <w:spacing w:after="20" w:before="20" w:line="240" w:lineRule="auto"/>
            </w:pPr>
            <w:r/>
            <w:r>
              <w:rPr>
                <w:rFonts w:ascii="Times New Roman" w:hAnsi="Times New Roman"/>
                <w:b w:val="0"/>
                <w:sz w:val="14"/>
              </w:rPr>
              <w:t>Both loans take a first-priority pledge of 100% of the membership interests; Intercreditor Agreement unexecuted</w:t>
            </w:r>
          </w:p>
        </w:tc>
        <w:tc>
          <w:tcPr>
            <w:tcW w:type="dxa" w:w="2520"/>
          </w:tcPr>
          <w:p>
            <w:pPr>
              <w:spacing w:after="20" w:before="20" w:line="240" w:lineRule="auto"/>
            </w:pPr>
            <w:r/>
            <w:r>
              <w:rPr>
                <w:rFonts w:ascii="Times New Roman" w:hAnsi="Times New Roman"/>
                <w:b w:val="0"/>
                <w:sz w:val="14"/>
              </w:rPr>
              <w:t>Contested priority in a default; mezzanine loan effectively unsecured; heightened consolidation and lender-liability exposure</w:t>
            </w:r>
          </w:p>
        </w:tc>
        <w:tc>
          <w:tcPr>
            <w:tcW w:type="dxa" w:w="1584"/>
          </w:tcPr>
          <w:p>
            <w:pPr>
              <w:spacing w:after="20" w:before="20" w:line="240" w:lineRule="auto"/>
            </w:pPr>
            <w:r/>
            <w:r>
              <w:rPr>
                <w:rFonts w:ascii="Times New Roman" w:hAnsi="Times New Roman"/>
                <w:b w:val="0"/>
                <w:sz w:val="14"/>
              </w:rPr>
              <w:t>§§ 3.5, 12.2, 12.3</w:t>
            </w:r>
          </w:p>
        </w:tc>
        <w:tc>
          <w:tcPr>
            <w:tcW w:type="dxa" w:w="648"/>
          </w:tcPr>
          <w:p>
            <w:pPr>
              <w:spacing w:after="20" w:before="20" w:line="240" w:lineRule="auto"/>
            </w:pPr>
            <w:r/>
            <w:r>
              <w:rPr>
                <w:rFonts w:ascii="Times New Roman" w:hAnsi="Times New Roman"/>
                <w:b w:val="0"/>
                <w:sz w:val="14"/>
              </w:rPr>
              <w:t>5.1</w:t>
            </w:r>
          </w:p>
        </w:tc>
      </w:tr>
      <w:tr>
        <w:trPr>
          <w:cantSplit w:val="true"/>
        </w:trPr>
        <w:tc>
          <w:tcPr>
            <w:tcW w:type="dxa" w:w="432"/>
          </w:tcPr>
          <w:p>
            <w:pPr>
              <w:spacing w:after="20" w:before="20" w:line="240" w:lineRule="auto"/>
            </w:pPr>
            <w:r/>
            <w:r>
              <w:rPr>
                <w:rFonts w:ascii="Times New Roman" w:hAnsi="Times New Roman"/>
                <w:b w:val="0"/>
                <w:sz w:val="14"/>
              </w:rPr>
              <w:t>8</w:t>
            </w:r>
          </w:p>
        </w:tc>
        <w:tc>
          <w:tcPr>
            <w:tcW w:type="dxa" w:w="864"/>
          </w:tcPr>
          <w:p>
            <w:pPr>
              <w:spacing w:after="20" w:before="20" w:line="240" w:lineRule="auto"/>
            </w:pPr>
            <w:r/>
            <w:r>
              <w:rPr>
                <w:rFonts w:ascii="Times New Roman" w:hAnsi="Times New Roman"/>
                <w:b w:val="0"/>
                <w:sz w:val="14"/>
              </w:rPr>
              <w:t>High</w:t>
            </w:r>
          </w:p>
        </w:tc>
        <w:tc>
          <w:tcPr>
            <w:tcW w:type="dxa" w:w="2952"/>
          </w:tcPr>
          <w:p>
            <w:pPr>
              <w:spacing w:after="20" w:before="20" w:line="240" w:lineRule="auto"/>
            </w:pPr>
            <w:r/>
            <w:r>
              <w:rPr>
                <w:rFonts w:ascii="Times New Roman" w:hAnsi="Times New Roman"/>
                <w:b w:val="0"/>
                <w:sz w:val="14"/>
              </w:rPr>
              <w:t>The 28% member (an affiliate of the Mezzanine Lender) holds an effective veto over any financing over $1,000,000, any bankruptcy filing and any amendment of the operating agreement; no independent manager, separateness covenants or non-consolidation opinion</w:t>
            </w:r>
          </w:p>
        </w:tc>
        <w:tc>
          <w:tcPr>
            <w:tcW w:type="dxa" w:w="2520"/>
          </w:tcPr>
          <w:p>
            <w:pPr>
              <w:spacing w:after="20" w:before="20" w:line="240" w:lineRule="auto"/>
            </w:pPr>
            <w:r/>
            <w:r>
              <w:rPr>
                <w:rFonts w:ascii="Times New Roman" w:hAnsi="Times New Roman"/>
                <w:b w:val="0"/>
                <w:sz w:val="14"/>
              </w:rPr>
              <w:t>The SPE protections cannot be implemented without the affiliate’s consent, and the affiliate can block the take-out refinancing</w:t>
            </w:r>
          </w:p>
        </w:tc>
        <w:tc>
          <w:tcPr>
            <w:tcW w:type="dxa" w:w="1584"/>
          </w:tcPr>
          <w:p>
            <w:pPr>
              <w:spacing w:after="20" w:before="20" w:line="240" w:lineRule="auto"/>
            </w:pPr>
            <w:r/>
            <w:r>
              <w:rPr>
                <w:rFonts w:ascii="Times New Roman" w:hAnsi="Times New Roman"/>
                <w:b w:val="0"/>
                <w:sz w:val="14"/>
              </w:rPr>
              <w:t>§§ 3.6, 7.4, 11.2, 11.3</w:t>
            </w:r>
          </w:p>
        </w:tc>
        <w:tc>
          <w:tcPr>
            <w:tcW w:type="dxa" w:w="648"/>
          </w:tcPr>
          <w:p>
            <w:pPr>
              <w:spacing w:after="20" w:before="20" w:line="240" w:lineRule="auto"/>
            </w:pPr>
            <w:r/>
            <w:r>
              <w:rPr>
                <w:rFonts w:ascii="Times New Roman" w:hAnsi="Times New Roman"/>
                <w:b w:val="0"/>
                <w:sz w:val="14"/>
              </w:rPr>
              <w:t>5.2, 5.3</w:t>
            </w:r>
          </w:p>
        </w:tc>
      </w:tr>
      <w:tr>
        <w:trPr>
          <w:cantSplit w:val="true"/>
        </w:trPr>
        <w:tc>
          <w:tcPr>
            <w:tcW w:type="dxa" w:w="432"/>
          </w:tcPr>
          <w:p>
            <w:pPr>
              <w:spacing w:after="20" w:before="20" w:line="240" w:lineRule="auto"/>
            </w:pPr>
            <w:r/>
            <w:r>
              <w:rPr>
                <w:rFonts w:ascii="Times New Roman" w:hAnsi="Times New Roman"/>
                <w:b w:val="0"/>
                <w:sz w:val="14"/>
              </w:rPr>
              <w:t>9</w:t>
            </w:r>
          </w:p>
        </w:tc>
        <w:tc>
          <w:tcPr>
            <w:tcW w:type="dxa" w:w="864"/>
          </w:tcPr>
          <w:p>
            <w:pPr>
              <w:spacing w:after="20" w:before="20" w:line="240" w:lineRule="auto"/>
            </w:pPr>
            <w:r/>
            <w:r>
              <w:rPr>
                <w:rFonts w:ascii="Times New Roman" w:hAnsi="Times New Roman"/>
                <w:b w:val="0"/>
                <w:sz w:val="14"/>
              </w:rPr>
              <w:t>High</w:t>
            </w:r>
          </w:p>
        </w:tc>
        <w:tc>
          <w:tcPr>
            <w:tcW w:type="dxa" w:w="2952"/>
          </w:tcPr>
          <w:p>
            <w:pPr>
              <w:spacing w:after="20" w:before="20" w:line="240" w:lineRule="auto"/>
            </w:pPr>
            <w:r/>
            <w:r>
              <w:rPr>
                <w:rFonts w:ascii="Times New Roman" w:hAnsi="Times New Roman"/>
                <w:b w:val="0"/>
                <w:sz w:val="14"/>
              </w:rPr>
              <w:t>DSCR is tested “at commencement of the Mini-Perm Period,” nine months before projected stabilization; extension condition requires 70% LTV against a 65% covenant</w:t>
            </w:r>
          </w:p>
        </w:tc>
        <w:tc>
          <w:tcPr>
            <w:tcW w:type="dxa" w:w="2520"/>
          </w:tcPr>
          <w:p>
            <w:pPr>
              <w:spacing w:after="20" w:before="20" w:line="240" w:lineRule="auto"/>
            </w:pPr>
            <w:r/>
            <w:r>
              <w:rPr>
                <w:rFonts w:ascii="Times New Roman" w:hAnsi="Times New Roman"/>
                <w:b w:val="0"/>
                <w:sz w:val="14"/>
              </w:rPr>
              <w:t>Covenant failure at inception of the mini-perm by design; internally inconsistent extension test</w:t>
            </w:r>
          </w:p>
        </w:tc>
        <w:tc>
          <w:tcPr>
            <w:tcW w:type="dxa" w:w="1584"/>
          </w:tcPr>
          <w:p>
            <w:pPr>
              <w:spacing w:after="20" w:before="20" w:line="240" w:lineRule="auto"/>
            </w:pPr>
            <w:r/>
            <w:r>
              <w:rPr>
                <w:rFonts w:ascii="Times New Roman" w:hAnsi="Times New Roman"/>
                <w:b w:val="0"/>
                <w:sz w:val="14"/>
              </w:rPr>
              <w:t>§§ 8.3, 2.13(c)(viii)</w:t>
            </w:r>
          </w:p>
        </w:tc>
        <w:tc>
          <w:tcPr>
            <w:tcW w:type="dxa" w:w="648"/>
          </w:tcPr>
          <w:p>
            <w:pPr>
              <w:spacing w:after="20" w:before="20" w:line="240" w:lineRule="auto"/>
            </w:pPr>
            <w:r/>
            <w:r>
              <w:rPr>
                <w:rFonts w:ascii="Times New Roman" w:hAnsi="Times New Roman"/>
                <w:b w:val="0"/>
                <w:sz w:val="14"/>
              </w:rPr>
              <w:t>3.8, 3.9</w:t>
            </w:r>
          </w:p>
        </w:tc>
      </w:tr>
      <w:tr>
        <w:trPr>
          <w:cantSplit w:val="true"/>
        </w:trPr>
        <w:tc>
          <w:tcPr>
            <w:tcW w:type="dxa" w:w="432"/>
          </w:tcPr>
          <w:p>
            <w:pPr>
              <w:spacing w:after="20" w:before="20" w:line="240" w:lineRule="auto"/>
            </w:pPr>
            <w:r/>
            <w:r>
              <w:rPr>
                <w:rFonts w:ascii="Times New Roman" w:hAnsi="Times New Roman"/>
                <w:b w:val="0"/>
                <w:sz w:val="14"/>
              </w:rPr>
              <w:t>10</w:t>
            </w:r>
          </w:p>
        </w:tc>
        <w:tc>
          <w:tcPr>
            <w:tcW w:type="dxa" w:w="864"/>
          </w:tcPr>
          <w:p>
            <w:pPr>
              <w:spacing w:after="20" w:before="20" w:line="240" w:lineRule="auto"/>
            </w:pPr>
            <w:r/>
            <w:r>
              <w:rPr>
                <w:rFonts w:ascii="Times New Roman" w:hAnsi="Times New Roman"/>
                <w:b w:val="0"/>
                <w:sz w:val="14"/>
              </w:rPr>
              <w:t>Medium</w:t>
            </w:r>
          </w:p>
        </w:tc>
        <w:tc>
          <w:tcPr>
            <w:tcW w:type="dxa" w:w="2952"/>
          </w:tcPr>
          <w:p>
            <w:pPr>
              <w:spacing w:after="20" w:before="20" w:line="240" w:lineRule="auto"/>
            </w:pPr>
            <w:r/>
            <w:r>
              <w:rPr>
                <w:rFonts w:ascii="Times New Roman" w:hAnsi="Times New Roman"/>
                <w:b w:val="0"/>
                <w:sz w:val="14"/>
              </w:rPr>
              <w:t>Parcel 1 and Parcel 2 do not close: a 305.41-foot line is described against a 297.63-foot line; parcel areas and orientation conflict among title, ESA and appraisal</w:t>
            </w:r>
          </w:p>
        </w:tc>
        <w:tc>
          <w:tcPr>
            <w:tcW w:type="dxa" w:w="2520"/>
          </w:tcPr>
          <w:p>
            <w:pPr>
              <w:spacing w:after="20" w:before="20" w:line="240" w:lineRule="auto"/>
            </w:pPr>
            <w:r/>
            <w:r>
              <w:rPr>
                <w:rFonts w:ascii="Times New Roman" w:hAnsi="Times New Roman"/>
                <w:b w:val="0"/>
                <w:sz w:val="14"/>
              </w:rPr>
              <w:t>Title cannot insure a unified site without a survey-based cure; the environmental overlay may be located on the wrong parcel corner</w:t>
            </w:r>
          </w:p>
        </w:tc>
        <w:tc>
          <w:tcPr>
            <w:tcW w:type="dxa" w:w="1584"/>
          </w:tcPr>
          <w:p>
            <w:pPr>
              <w:spacing w:after="20" w:before="20" w:line="240" w:lineRule="auto"/>
            </w:pPr>
            <w:r/>
            <w:r>
              <w:rPr>
                <w:rFonts w:ascii="Times New Roman" w:hAnsi="Times New Roman"/>
                <w:b w:val="0"/>
                <w:sz w:val="14"/>
              </w:rPr>
              <w:t>§§ 3.2, 5.3; Ex. A</w:t>
            </w:r>
          </w:p>
        </w:tc>
        <w:tc>
          <w:tcPr>
            <w:tcW w:type="dxa" w:w="648"/>
          </w:tcPr>
          <w:p>
            <w:pPr>
              <w:spacing w:after="20" w:before="20" w:line="240" w:lineRule="auto"/>
            </w:pPr>
            <w:r/>
            <w:r>
              <w:rPr>
                <w:rFonts w:ascii="Times New Roman" w:hAnsi="Times New Roman"/>
                <w:b w:val="0"/>
                <w:sz w:val="14"/>
              </w:rPr>
              <w:t>4.2, 4.3</w:t>
            </w:r>
          </w:p>
        </w:tc>
      </w:tr>
      <w:tr>
        <w:trPr>
          <w:cantSplit w:val="true"/>
        </w:trPr>
        <w:tc>
          <w:tcPr>
            <w:tcW w:type="dxa" w:w="432"/>
          </w:tcPr>
          <w:p>
            <w:pPr>
              <w:spacing w:after="20" w:before="20" w:line="240" w:lineRule="auto"/>
            </w:pPr>
            <w:r/>
            <w:r>
              <w:rPr>
                <w:rFonts w:ascii="Times New Roman" w:hAnsi="Times New Roman"/>
                <w:b w:val="0"/>
                <w:sz w:val="14"/>
              </w:rPr>
              <w:t>11</w:t>
            </w:r>
          </w:p>
        </w:tc>
        <w:tc>
          <w:tcPr>
            <w:tcW w:type="dxa" w:w="864"/>
          </w:tcPr>
          <w:p>
            <w:pPr>
              <w:spacing w:after="20" w:before="20" w:line="240" w:lineRule="auto"/>
            </w:pPr>
            <w:r/>
            <w:r>
              <w:rPr>
                <w:rFonts w:ascii="Times New Roman" w:hAnsi="Times New Roman"/>
                <w:b w:val="0"/>
                <w:sz w:val="14"/>
              </w:rPr>
              <w:t>Medium</w:t>
            </w:r>
          </w:p>
        </w:tc>
        <w:tc>
          <w:tcPr>
            <w:tcW w:type="dxa" w:w="2952"/>
          </w:tcPr>
          <w:p>
            <w:pPr>
              <w:spacing w:after="20" w:before="20" w:line="240" w:lineRule="auto"/>
            </w:pPr>
            <w:r/>
            <w:r>
              <w:rPr>
                <w:rFonts w:ascii="Times New Roman" w:hAnsi="Times New Roman"/>
                <w:b w:val="0"/>
                <w:sz w:val="14"/>
              </w:rPr>
              <w:t>Appraisal says the Historic District Association approved the design; title says no approval was furnished. Association assessment of $34,500 per annum is absent from operating expenses</w:t>
            </w:r>
          </w:p>
        </w:tc>
        <w:tc>
          <w:tcPr>
            <w:tcW w:type="dxa" w:w="2520"/>
          </w:tcPr>
          <w:p>
            <w:pPr>
              <w:spacing w:after="20" w:before="20" w:line="240" w:lineRule="auto"/>
            </w:pPr>
            <w:r/>
            <w:r>
              <w:rPr>
                <w:rFonts w:ascii="Times New Roman" w:hAnsi="Times New Roman"/>
                <w:b w:val="0"/>
                <w:sz w:val="14"/>
              </w:rPr>
              <w:t>Stop-work or injunction risk under the CC&amp;Rs; NOI overstated by $34,500 (DSCR 1.30x; value $75.66 million)</w:t>
            </w:r>
          </w:p>
        </w:tc>
        <w:tc>
          <w:tcPr>
            <w:tcW w:type="dxa" w:w="1584"/>
          </w:tcPr>
          <w:p>
            <w:pPr>
              <w:spacing w:after="20" w:before="20" w:line="240" w:lineRule="auto"/>
            </w:pPr>
            <w:r/>
            <w:r>
              <w:rPr>
                <w:rFonts w:ascii="Times New Roman" w:hAnsi="Times New Roman"/>
                <w:b w:val="0"/>
                <w:sz w:val="14"/>
              </w:rPr>
              <w:t>§§ 3.12(d), 6.5, 8.11</w:t>
            </w:r>
          </w:p>
        </w:tc>
        <w:tc>
          <w:tcPr>
            <w:tcW w:type="dxa" w:w="648"/>
          </w:tcPr>
          <w:p>
            <w:pPr>
              <w:spacing w:after="20" w:before="20" w:line="240" w:lineRule="auto"/>
            </w:pPr>
            <w:r/>
            <w:r>
              <w:rPr>
                <w:rFonts w:ascii="Times New Roman" w:hAnsi="Times New Roman"/>
                <w:b w:val="0"/>
                <w:sz w:val="14"/>
              </w:rPr>
              <w:t>4.4</w:t>
            </w:r>
          </w:p>
        </w:tc>
      </w:tr>
      <w:tr>
        <w:trPr>
          <w:cantSplit w:val="true"/>
        </w:trPr>
        <w:tc>
          <w:tcPr>
            <w:tcW w:type="dxa" w:w="432"/>
          </w:tcPr>
          <w:p>
            <w:pPr>
              <w:spacing w:after="20" w:before="20" w:line="240" w:lineRule="auto"/>
            </w:pPr>
            <w:r/>
            <w:r>
              <w:rPr>
                <w:rFonts w:ascii="Times New Roman" w:hAnsi="Times New Roman"/>
                <w:b w:val="0"/>
                <w:sz w:val="14"/>
              </w:rPr>
              <w:t>12</w:t>
            </w:r>
          </w:p>
        </w:tc>
        <w:tc>
          <w:tcPr>
            <w:tcW w:type="dxa" w:w="864"/>
          </w:tcPr>
          <w:p>
            <w:pPr>
              <w:spacing w:after="20" w:before="20" w:line="240" w:lineRule="auto"/>
            </w:pPr>
            <w:r/>
            <w:r>
              <w:rPr>
                <w:rFonts w:ascii="Times New Roman" w:hAnsi="Times New Roman"/>
                <w:b w:val="0"/>
                <w:sz w:val="14"/>
              </w:rPr>
              <w:t>Medium</w:t>
            </w:r>
          </w:p>
        </w:tc>
        <w:tc>
          <w:tcPr>
            <w:tcW w:type="dxa" w:w="2952"/>
          </w:tcPr>
          <w:p>
            <w:pPr>
              <w:spacing w:after="20" w:before="20" w:line="240" w:lineRule="auto"/>
            </w:pPr>
            <w:r/>
            <w:r>
              <w:rPr>
                <w:rFonts w:ascii="Times New Roman" w:hAnsi="Times New Roman"/>
                <w:b w:val="0"/>
                <w:sz w:val="14"/>
              </w:rPr>
              <w:t>Guaranty described both as $11,875,000 in the aggregate and $11,875,000 per guarantor; Mr. Osei’s exposure is 103.3% of net worth; the Term Sheet’s guarantor-net-worth Event of Default cross-references a Borrower covenant</w:t>
            </w:r>
          </w:p>
        </w:tc>
        <w:tc>
          <w:tcPr>
            <w:tcW w:type="dxa" w:w="2520"/>
          </w:tcPr>
          <w:p>
            <w:pPr>
              <w:spacing w:after="20" w:before="20" w:line="240" w:lineRule="auto"/>
            </w:pPr>
            <w:r/>
            <w:r>
              <w:rPr>
                <w:rFonts w:ascii="Times New Roman" w:hAnsi="Times New Roman"/>
                <w:b w:val="0"/>
                <w:sz w:val="14"/>
              </w:rPr>
              <w:t>Ambiguity in the Bank’s recourse; unenforceable or inoperative default provision</w:t>
            </w:r>
          </w:p>
        </w:tc>
        <w:tc>
          <w:tcPr>
            <w:tcW w:type="dxa" w:w="1584"/>
          </w:tcPr>
          <w:p>
            <w:pPr>
              <w:spacing w:after="20" w:before="20" w:line="240" w:lineRule="auto"/>
            </w:pPr>
            <w:r/>
            <w:r>
              <w:rPr>
                <w:rFonts w:ascii="Times New Roman" w:hAnsi="Times New Roman"/>
                <w:b w:val="0"/>
                <w:sz w:val="14"/>
              </w:rPr>
              <w:t>§§ 13.3, 14.1(n)–(o)</w:t>
            </w:r>
          </w:p>
        </w:tc>
        <w:tc>
          <w:tcPr>
            <w:tcW w:type="dxa" w:w="648"/>
          </w:tcPr>
          <w:p>
            <w:pPr>
              <w:spacing w:after="20" w:before="20" w:line="240" w:lineRule="auto"/>
            </w:pPr>
            <w:r/>
            <w:r>
              <w:rPr>
                <w:rFonts w:ascii="Times New Roman" w:hAnsi="Times New Roman"/>
                <w:b w:val="0"/>
                <w:sz w:val="14"/>
              </w:rPr>
              <w:t>6.1, 6.3</w:t>
            </w:r>
          </w:p>
        </w:tc>
      </w:tr>
    </w:tbl>
    <w:p>
      <w:pPr>
        <w:spacing w:after="160" w:before="0" w:line="240" w:lineRule="auto"/>
      </w:pPr>
    </w:p>
    <w:p>
      <w:pPr>
        <w:spacing w:after="200" w:before="0" w:line="259" w:lineRule="auto"/>
        <w:ind w:firstLine="0" w:left="0"/>
        <w:jc w:val="both"/>
      </w:pPr>
      <w:r>
        <w:rPr>
          <w:rFonts w:ascii="Times New Roman" w:hAnsi="Times New Roman"/>
          <w:b w:val="0"/>
          <w:i/>
          <w:sz w:val="16"/>
        </w:rPr>
        <w:t>Rating key: Critical — must be resolved before closing; High — should be resolved before closing and must be documented if deferred; Medium — resolve in the next draft or confirm on the diligence list.</w:t>
      </w:r>
    </w:p>
    <w:p>
      <w:pPr>
        <w:keepNext/>
        <w:spacing w:after="160" w:before="280" w:line="259" w:lineRule="auto"/>
        <w:ind w:firstLine="0" w:left="0"/>
        <w:jc w:val="center"/>
      </w:pPr>
      <w:r>
        <w:rPr>
          <w:rFonts w:ascii="Times New Roman" w:hAnsi="Times New Roman"/>
          <w:b/>
          <w:i w:val="0"/>
          <w:caps/>
          <w:sz w:val="24"/>
        </w:rPr>
        <w:t>3.  Capital Structure, Sizing and Debt Service</w:t>
      </w:r>
    </w:p>
    <w:p>
      <w:pPr>
        <w:keepNext/>
        <w:spacing w:before="200" w:after="120"/>
        <w:ind w:left="0"/>
      </w:pPr>
      <w:r>
        <w:rPr>
          <w:rFonts w:ascii="Times New Roman" w:hAnsi="Times New Roman"/>
          <w:b/>
          <w:sz w:val="21"/>
        </w:rPr>
        <w:t>3.1  The Land and Borrower’s Equity — Five Irreconcilable Accounts (Critical)</w:t>
      </w:r>
    </w:p>
    <w:p>
      <w:pPr>
        <w:spacing w:after="120" w:line="259" w:lineRule="auto"/>
        <w:ind w:left="0" w:firstLine="720"/>
        <w:jc w:val="both"/>
      </w:pPr>
      <w:r>
        <w:rPr>
          <w:rFonts w:ascii="Times New Roman" w:hAnsi="Times New Roman"/>
          <w:b w:val="0"/>
          <w:i w:val="0"/>
          <w:sz w:val="22"/>
        </w:rPr>
        <w:t>The single most consequential problem in the file is that the record cannot tell us who acquired the Land, when, for how much, or with whose money. Five documents give five answers: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680"/>
        <w:gridCol w:w="4680"/>
      </w:tblGrid>
      <w:tr>
        <w:trPr>
          <w:tblHeader w:val="true"/>
          <w:cantSplit w:val="true"/>
        </w:trPr>
        <w:tc>
          <w:tcPr>
            <w:tcW w:type="dxa" w:w="2808"/>
            <w:shd w:val="clear" w:color="auto" w:fill="D9D9D9"/>
          </w:tcPr>
          <w:p>
            <w:pPr>
              <w:spacing w:after="20" w:before="20" w:line="240" w:lineRule="auto"/>
              <w:jc w:val="center"/>
            </w:pPr>
            <w:r/>
            <w:r>
              <w:rPr>
                <w:rFonts w:ascii="Times New Roman" w:hAnsi="Times New Roman"/>
                <w:b/>
                <w:sz w:val="16"/>
              </w:rPr>
              <w:t>Source</w:t>
            </w:r>
          </w:p>
        </w:tc>
        <w:tc>
          <w:tcPr>
            <w:tcW w:type="dxa" w:w="6552"/>
            <w:shd w:val="clear" w:color="auto" w:fill="D9D9D9"/>
          </w:tcPr>
          <w:p>
            <w:pPr>
              <w:spacing w:after="20" w:before="20" w:line="240" w:lineRule="auto"/>
              <w:jc w:val="center"/>
            </w:pPr>
            <w:r/>
            <w:r>
              <w:rPr>
                <w:rFonts w:ascii="Times New Roman" w:hAnsi="Times New Roman"/>
                <w:b/>
                <w:sz w:val="16"/>
              </w:rPr>
              <w:t>Account given</w:t>
            </w:r>
          </w:p>
        </w:tc>
      </w:tr>
      <w:tr>
        <w:trPr>
          <w:cantSplit w:val="true"/>
        </w:trPr>
        <w:tc>
          <w:tcPr>
            <w:tcW w:type="dxa" w:w="2808"/>
          </w:tcPr>
          <w:p>
            <w:pPr>
              <w:spacing w:after="20" w:before="20" w:line="240" w:lineRule="auto"/>
            </w:pPr>
            <w:r/>
            <w:r>
              <w:rPr>
                <w:rFonts w:ascii="Times New Roman" w:hAnsi="Times New Roman"/>
                <w:b w:val="0"/>
                <w:sz w:val="16"/>
              </w:rPr>
              <w:t>Title Commitment, Sch. A ¶ 5 and Ex. A</w:t>
            </w:r>
          </w:p>
        </w:tc>
        <w:tc>
          <w:tcPr>
            <w:tcW w:type="dxa" w:w="6552"/>
          </w:tcPr>
          <w:p>
            <w:pPr>
              <w:spacing w:after="20" w:before="20" w:line="240" w:lineRule="auto"/>
            </w:pPr>
            <w:r/>
            <w:r>
              <w:rPr>
                <w:rFonts w:ascii="Times New Roman" w:hAnsi="Times New Roman"/>
                <w:b w:val="0"/>
                <w:sz w:val="16"/>
              </w:rPr>
              <w:t>Title vested in Borrower by Special Warranty Deed recorded June 12, 2023 (Book 7598, Pages 443 and 445) from Foster Street Properties LLC — an unrelated third party. No contribution from any member appears in the chain of title.</w:t>
            </w:r>
          </w:p>
        </w:tc>
      </w:tr>
      <w:tr>
        <w:trPr>
          <w:cantSplit w:val="true"/>
        </w:trPr>
        <w:tc>
          <w:tcPr>
            <w:tcW w:type="dxa" w:w="2808"/>
          </w:tcPr>
          <w:p>
            <w:pPr>
              <w:spacing w:after="20" w:before="20" w:line="240" w:lineRule="auto"/>
            </w:pPr>
            <w:r/>
            <w:r>
              <w:rPr>
                <w:rFonts w:ascii="Times New Roman" w:hAnsi="Times New Roman"/>
                <w:b w:val="0"/>
                <w:sz w:val="16"/>
              </w:rPr>
              <w:t>Organizational Chart § 1.3; Operating Agreement § 5.1(a)</w:t>
            </w:r>
          </w:p>
        </w:tc>
        <w:tc>
          <w:tcPr>
            <w:tcW w:type="dxa" w:w="6552"/>
          </w:tcPr>
          <w:p>
            <w:pPr>
              <w:spacing w:after="20" w:before="20" w:line="240" w:lineRule="auto"/>
            </w:pPr>
            <w:r/>
            <w:r>
              <w:rPr>
                <w:rFonts w:ascii="Times New Roman" w:hAnsi="Times New Roman"/>
                <w:b w:val="0"/>
                <w:sz w:val="16"/>
              </w:rPr>
              <w:t>The Land “was contributed to Harborview Capital Partners LLC by Elena Vasquez-Torres at a cost basis of $8,200,000,” originally acquired by her “from personal resources” and contributed “upon formation of the project entity” (March 14, 2019).</w:t>
            </w:r>
          </w:p>
        </w:tc>
      </w:tr>
      <w:tr>
        <w:trPr>
          <w:cantSplit w:val="true"/>
        </w:trPr>
        <w:tc>
          <w:tcPr>
            <w:tcW w:type="dxa" w:w="2808"/>
          </w:tcPr>
          <w:p>
            <w:pPr>
              <w:spacing w:after="20" w:before="20" w:line="240" w:lineRule="auto"/>
            </w:pPr>
            <w:r/>
            <w:r>
              <w:rPr>
                <w:rFonts w:ascii="Times New Roman" w:hAnsi="Times New Roman"/>
                <w:b w:val="0"/>
                <w:sz w:val="16"/>
              </w:rPr>
              <w:t>Credit Memorandum § 2.2</w:t>
            </w:r>
          </w:p>
        </w:tc>
        <w:tc>
          <w:tcPr>
            <w:tcW w:type="dxa" w:w="6552"/>
          </w:tcPr>
          <w:p>
            <w:pPr>
              <w:spacing w:after="20" w:before="20" w:line="240" w:lineRule="auto"/>
            </w:pPr>
            <w:r/>
            <w:r>
              <w:rPr>
                <w:rFonts w:ascii="Times New Roman" w:hAnsi="Times New Roman"/>
                <w:b w:val="0"/>
                <w:sz w:val="16"/>
              </w:rPr>
              <w:t>The Land was acquired by Ms. Vasquez-Torres “on behalf of the Borrower through capital calls from all three members, including Brightleaf Investors Group LLC.”</w:t>
            </w:r>
          </w:p>
        </w:tc>
      </w:tr>
      <w:tr>
        <w:trPr>
          <w:cantSplit w:val="true"/>
        </w:trPr>
        <w:tc>
          <w:tcPr>
            <w:tcW w:type="dxa" w:w="2808"/>
          </w:tcPr>
          <w:p>
            <w:pPr>
              <w:spacing w:after="20" w:before="20" w:line="240" w:lineRule="auto"/>
            </w:pPr>
            <w:r/>
            <w:r>
              <w:rPr>
                <w:rFonts w:ascii="Times New Roman" w:hAnsi="Times New Roman"/>
                <w:b w:val="0"/>
                <w:sz w:val="16"/>
              </w:rPr>
              <w:t>Phase I ESA §§ 1.2, 2.2</w:t>
            </w:r>
          </w:p>
        </w:tc>
        <w:tc>
          <w:tcPr>
            <w:tcW w:type="dxa" w:w="6552"/>
          </w:tcPr>
          <w:p>
            <w:pPr>
              <w:spacing w:after="20" w:before="20" w:line="240" w:lineRule="auto"/>
            </w:pPr>
            <w:r/>
            <w:r>
              <w:rPr>
                <w:rFonts w:ascii="Times New Roman" w:hAnsi="Times New Roman"/>
                <w:b w:val="0"/>
                <w:sz w:val="16"/>
              </w:rPr>
              <w:t>“Harborview Capital Partners LLC acquired the Subject Property in 2022 for the purpose of redevelopment.”</w:t>
            </w:r>
          </w:p>
        </w:tc>
      </w:tr>
      <w:tr>
        <w:trPr>
          <w:cantSplit w:val="true"/>
        </w:trPr>
        <w:tc>
          <w:tcPr>
            <w:tcW w:type="dxa" w:w="2808"/>
          </w:tcPr>
          <w:p>
            <w:pPr>
              <w:spacing w:after="20" w:before="20" w:line="240" w:lineRule="auto"/>
            </w:pPr>
            <w:r/>
            <w:r>
              <w:rPr>
                <w:rFonts w:ascii="Times New Roman" w:hAnsi="Times New Roman"/>
                <w:b w:val="0"/>
                <w:sz w:val="16"/>
              </w:rPr>
              <w:t>Appraisal § 6.1</w:t>
            </w:r>
          </w:p>
        </w:tc>
        <w:tc>
          <w:tcPr>
            <w:tcW w:type="dxa" w:w="6552"/>
          </w:tcPr>
          <w:p>
            <w:pPr>
              <w:spacing w:after="20" w:before="20" w:line="240" w:lineRule="auto"/>
            </w:pPr>
            <w:r/>
            <w:r>
              <w:rPr>
                <w:rFonts w:ascii="Times New Roman" w:hAnsi="Times New Roman"/>
                <w:b w:val="0"/>
                <w:sz w:val="16"/>
              </w:rPr>
              <w:t>The $8,200,000 is “the price paid by Harborview Capital Partners LLC in early 2024.”</w:t>
            </w:r>
          </w:p>
        </w:tc>
      </w:tr>
      <w:tr>
        <w:trPr>
          <w:cantSplit w:val="true"/>
        </w:trPr>
        <w:tc>
          <w:tcPr>
            <w:tcW w:type="dxa" w:w="2808"/>
          </w:tcPr>
          <w:p>
            <w:pPr>
              <w:spacing w:after="20" w:before="20" w:line="240" w:lineRule="auto"/>
            </w:pPr>
            <w:r/>
            <w:r>
              <w:rPr>
                <w:rFonts w:ascii="Times New Roman" w:hAnsi="Times New Roman"/>
                <w:b w:val="0"/>
                <w:sz w:val="16"/>
              </w:rPr>
              <w:t>Budget workbook, Detailed Budget line 1.01</w:t>
            </w:r>
          </w:p>
        </w:tc>
        <w:tc>
          <w:tcPr>
            <w:tcW w:type="dxa" w:w="6552"/>
          </w:tcPr>
          <w:p>
            <w:pPr>
              <w:spacing w:after="20" w:before="20" w:line="240" w:lineRule="auto"/>
            </w:pPr>
            <w:r/>
            <w:r>
              <w:rPr>
                <w:rFonts w:ascii="Times New Roman" w:hAnsi="Times New Roman"/>
                <w:b w:val="0"/>
                <w:sz w:val="16"/>
              </w:rPr>
              <w:t>Land Acquisition “funded by Mezzanine Loan $8,200,000”; note: “Previously closed; funded by mezzanine loan proceeds and member capital calls.”</w:t>
            </w:r>
          </w:p>
        </w:tc>
      </w:tr>
    </w:tbl>
    <w:p>
      <w:pPr>
        <w:spacing w:after="160" w:before="0" w:line="240" w:lineRule="auto"/>
      </w:pPr>
    </w:p>
    <w:p>
      <w:pPr>
        <w:spacing w:after="120" w:line="259" w:lineRule="auto"/>
        <w:ind w:left="0" w:firstLine="720"/>
        <w:jc w:val="both"/>
      </w:pPr>
      <w:r>
        <w:rPr>
          <w:rFonts w:ascii="Times New Roman" w:hAnsi="Times New Roman"/>
          <w:b w:val="0"/>
          <w:i w:val="0"/>
          <w:sz w:val="22"/>
        </w:rPr>
        <w:t>These accounts cannot all be true. The recorded deed controls the fact of conveyance: the Land was acquired by purchase from a third party in June 2023, not by contribution at formation in 2019, and the transferor was not a member. That in turn means that (a) the Operating Agreement’s capital-contribution provision does not describe what actually happened and may itself require amendment and member consent to be accurate; (b) the credit memorandum’s reliance on “capital calls from all three members” is unsupported and is contradicted by the Borrower’s own certified chart, which states that Brightleaf Investors Group LLC and Mr. Osei contributed $0; and (c) the Land was not “free and clear of liens” — the $3,400,000 Triangle Commercial Bank deed of trust recorded in 2018 against the transferor remains unreleased of record, so Borrower took title subject to it.</w:t>
      </w:r>
    </w:p>
    <w:p>
      <w:pPr>
        <w:spacing w:after="120" w:line="259" w:lineRule="auto"/>
        <w:ind w:left="0" w:firstLine="720"/>
        <w:jc w:val="both"/>
      </w:pPr>
      <w:r>
        <w:rPr>
          <w:rFonts w:ascii="Times New Roman" w:hAnsi="Times New Roman"/>
          <w:b w:val="0"/>
          <w:i w:val="0"/>
          <w:sz w:val="22"/>
        </w:rPr>
        <w:t>The budget line is the most serious of the six. If $8,200,000 of the $9,200,000 mezzanine commitment was advanced to fund the Land, then at closing only $1,000,000 of mezzanine availability remains, the sources and uses table in the Term Sheet (§ 5.1) and the credit memorandum (§ 5.1) overstate available mezzanine proceeds by $8,200,000, and — because the mezzanine carries payment-in-kind interest at 12.50% — the outstanding mezzanine balance is already larger than its stated principal amount. On a simple-interest basis, an $8,200,000 advance in or about June 2023 would have accreted to approximately $9,908,000 by February 2025, before any further advance. The Bank would then be closing a senior loan in which the subordinate lender has no remaining capacity, which is precisely the opposite of the “mezzanine fills the gap” premise of the approval.</w:t>
      </w:r>
    </w:p>
    <w:p>
      <w:pPr>
        <w:spacing w:after="120" w:line="259" w:lineRule="auto"/>
        <w:ind w:left="0" w:firstLine="720"/>
        <w:jc w:val="both"/>
      </w:pPr>
      <w:r>
        <w:rPr>
          <w:rFonts w:ascii="Times New Roman" w:hAnsi="Times New Roman"/>
          <w:b w:val="0"/>
          <w:i w:val="0"/>
          <w:sz w:val="22"/>
        </w:rPr>
        <w:t>We have drafted the Agreement to require verified facts rather than to repeat any of the five accounts. Section 3.7(d) requires the recorded deeds, the settlement statement, the source of funds, the capital accounts and a Managing Member certificate; Section 3.16 requires the Mezzanine Documents, a disbursement history and a balance certificate; Section 5.2 states the acquisition facts the recorded deed establishes and leaves the funding to the certificate; and Exhibit C is presented in two panels because the budget may have to be restated.</w:t>
      </w:r>
    </w:p>
    <w:p>
      <w:pPr>
        <w:spacing w:after="160" w:line="259" w:lineRule="auto"/>
        <w:ind w:left="0" w:firstLine="720"/>
        <w:jc w:val="both"/>
      </w:pPr>
      <w:r>
        <w:rPr>
          <w:rFonts w:ascii="Times New Roman" w:hAnsi="Times New Roman"/>
          <w:b/>
          <w:i w:val="0"/>
          <w:sz w:val="22"/>
        </w:rPr>
        <w:t>Recommended resolution.</w:t>
      </w:r>
      <w:r>
        <w:rPr>
          <w:rFonts w:ascii="Times New Roman" w:hAnsi="Times New Roman"/>
          <w:b w:val="0"/>
          <w:i w:val="0"/>
          <w:sz w:val="22"/>
        </w:rPr>
        <w:t xml:space="preserve">  (i) Obtain the deeds, the June 2023 settlement statement, Borrower’s capital accounts and all amendments to the Operating Agreement; (ii) obtain the mezzanine disbursement history and a current balance certificate, including capitalized interest; (iii) restate the sources and uses on the verified facts; (iv) if mezzanine availability is exhausted, require either an additional equity contribution or a reduction in Total Project Costs sufficient to close the gap, and amend the definition of Permitted Mezzanine Loan accordingly; and (v) obtain amendments to the Operating Agreement that accurately recite the capital contributions, with member consents at the 75% threshold. Do not close on the current representation set.</w:t>
      </w:r>
    </w:p>
    <w:p>
      <w:pPr>
        <w:keepNext/>
        <w:spacing w:before="200" w:after="120"/>
        <w:ind w:left="0"/>
      </w:pPr>
      <w:r>
        <w:rPr>
          <w:rFonts w:ascii="Times New Roman" w:hAnsi="Times New Roman"/>
          <w:b/>
          <w:sz w:val="21"/>
        </w:rPr>
        <w:t>3.2  Loan-to-Cost and Loan-to-Value — and Why the Equity Escrow Condition Does Not Work (Critical)</w:t>
      </w:r>
    </w:p>
    <w:p>
      <w:pPr>
        <w:spacing w:after="120" w:line="259" w:lineRule="auto"/>
        <w:ind w:left="0" w:firstLine="720"/>
        <w:jc w:val="both"/>
      </w:pPr>
      <w:r>
        <w:rPr>
          <w:rFonts w:ascii="Times New Roman" w:hAnsi="Times New Roman"/>
          <w:b w:val="0"/>
          <w:i w:val="0"/>
          <w:sz w:val="22"/>
        </w:rPr>
        <w:t>The arithmetic is simple and unforgiving. Total Project Costs are $56,700,000 and the Commitment Amount is $47,500,000, so the loan-to-cost ratio is 83.77% against the 80.00% covenant in Term Sheet § 6.1. The as-completed loan-to-value ratio is 65.25% ($47,500,000 ÷ $72,800,000) against the 65.00% covenant in Term Sheet §§ 4 and 6.2. The credit memorandum cites only the loan-to-cost breach and shows the loan-to-value tests as “Pass” by comparing them to the Bank’s 70% policy limit rather than to the 65% covenant the Bank actually negotiated. The as-completed loan-to-value covenant is breached at closing and the file does not disclose it.</w:t>
      </w:r>
    </w:p>
    <w:p>
      <w:pPr>
        <w:spacing w:after="120" w:line="259" w:lineRule="auto"/>
        <w:ind w:left="0" w:firstLine="720"/>
        <w:jc w:val="both"/>
      </w:pPr>
      <w:r>
        <w:rPr>
          <w:rFonts w:ascii="Times New Roman" w:hAnsi="Times New Roman"/>
          <w:b w:val="0"/>
          <w:i w:val="0"/>
          <w:sz w:val="22"/>
        </w:rPr>
        <w:t>The condition of approval adopted at Condition 10.1.2 — deposit $2,140,000 in cash into a Bank-controlled escrow “to bring the effective LTC into compliance” — does not achieve its stated purpose. The loan-to-cost ratio is loan divided by total project cost. Adding $2,140,000 of equity into an unchanged $56,700,000 budget while the Commitment Amount remains $47,500,000 leaves the ratio at exactly 83.77%. The escrow only works if the commitment is reduced by the same amount so that the equity funds costs the loan would otherwise have funded. The credit memorandum actually lists “(b) reduce the loan amount to $45,360,000” as an alternative to the escrow (Section 5.1), but the two are not alternatives: (b) is the mechanism by which (a) works.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2664"/>
            <w:shd w:val="clear" w:color="auto" w:fill="D9D9D9"/>
          </w:tcPr>
          <w:p>
            <w:pPr>
              <w:spacing w:after="20" w:before="20" w:line="240" w:lineRule="auto"/>
              <w:jc w:val="center"/>
            </w:pPr>
            <w:r/>
            <w:r>
              <w:rPr>
                <w:rFonts w:ascii="Times New Roman" w:hAnsi="Times New Roman"/>
                <w:b/>
                <w:sz w:val="15"/>
              </w:rPr>
              <w:t>Path</w:t>
            </w:r>
          </w:p>
        </w:tc>
        <w:tc>
          <w:tcPr>
            <w:tcW w:type="dxa" w:w="2376"/>
            <w:shd w:val="clear" w:color="auto" w:fill="D9D9D9"/>
          </w:tcPr>
          <w:p>
            <w:pPr>
              <w:spacing w:after="20" w:before="20" w:line="240" w:lineRule="auto"/>
              <w:jc w:val="center"/>
            </w:pPr>
            <w:r/>
            <w:r>
              <w:rPr>
                <w:rFonts w:ascii="Times New Roman" w:hAnsi="Times New Roman"/>
                <w:b/>
                <w:sz w:val="15"/>
              </w:rPr>
              <w:t>Sources</w:t>
            </w:r>
          </w:p>
        </w:tc>
        <w:tc>
          <w:tcPr>
            <w:tcW w:type="dxa" w:w="1368"/>
            <w:shd w:val="clear" w:color="auto" w:fill="D9D9D9"/>
          </w:tcPr>
          <w:p>
            <w:pPr>
              <w:spacing w:after="20" w:before="20" w:line="240" w:lineRule="auto"/>
              <w:jc w:val="center"/>
            </w:pPr>
            <w:r/>
            <w:r>
              <w:rPr>
                <w:rFonts w:ascii="Times New Roman" w:hAnsi="Times New Roman"/>
                <w:b/>
                <w:sz w:val="15"/>
              </w:rPr>
              <w:t>Loan-to-Cost</w:t>
            </w:r>
          </w:p>
        </w:tc>
        <w:tc>
          <w:tcPr>
            <w:tcW w:type="dxa" w:w="1296"/>
            <w:shd w:val="clear" w:color="auto" w:fill="D9D9D9"/>
          </w:tcPr>
          <w:p>
            <w:pPr>
              <w:spacing w:after="20" w:before="20" w:line="240" w:lineRule="auto"/>
              <w:jc w:val="center"/>
            </w:pPr>
            <w:r/>
            <w:r>
              <w:rPr>
                <w:rFonts w:ascii="Times New Roman" w:hAnsi="Times New Roman"/>
                <w:b/>
                <w:sz w:val="15"/>
              </w:rPr>
              <w:t>As-Completed LTV</w:t>
            </w:r>
          </w:p>
        </w:tc>
        <w:tc>
          <w:tcPr>
            <w:tcW w:type="dxa" w:w="1656"/>
            <w:shd w:val="clear" w:color="auto" w:fill="D9D9D9"/>
          </w:tcPr>
          <w:p>
            <w:pPr>
              <w:spacing w:after="20" w:before="20" w:line="240" w:lineRule="auto"/>
              <w:jc w:val="center"/>
            </w:pPr>
            <w:r/>
            <w:r>
              <w:rPr>
                <w:rFonts w:ascii="Times New Roman" w:hAnsi="Times New Roman"/>
                <w:b/>
                <w:sz w:val="15"/>
              </w:rPr>
              <w:t>Comment</w:t>
            </w:r>
          </w:p>
        </w:tc>
      </w:tr>
      <w:tr>
        <w:trPr>
          <w:cantSplit w:val="true"/>
        </w:trPr>
        <w:tc>
          <w:tcPr>
            <w:tcW w:type="dxa" w:w="2664"/>
          </w:tcPr>
          <w:p>
            <w:pPr>
              <w:spacing w:after="20" w:before="20" w:line="240" w:lineRule="auto"/>
            </w:pPr>
            <w:r/>
            <w:r>
              <w:rPr>
                <w:rFonts w:ascii="Times New Roman" w:hAnsi="Times New Roman"/>
                <w:b w:val="0"/>
                <w:sz w:val="15"/>
              </w:rPr>
              <w:t>As proposed: $47,500,000 loan, $2,140,000 escrow, unchanged budget</w:t>
            </w:r>
          </w:p>
        </w:tc>
        <w:tc>
          <w:tcPr>
            <w:tcW w:type="dxa" w:w="2376"/>
          </w:tcPr>
          <w:p>
            <w:pPr>
              <w:spacing w:after="20" w:before="20" w:line="240" w:lineRule="auto"/>
              <w:jc w:val="right"/>
            </w:pPr>
            <w:r/>
            <w:r>
              <w:rPr>
                <w:rFonts w:ascii="Times New Roman" w:hAnsi="Times New Roman"/>
                <w:b w:val="0"/>
                <w:sz w:val="15"/>
              </w:rPr>
              <w:t>$47.5M + $9.2M + $2.14M = $58.84M against $56.70M of uses</w:t>
            </w:r>
          </w:p>
        </w:tc>
        <w:tc>
          <w:tcPr>
            <w:tcW w:type="dxa" w:w="1368"/>
          </w:tcPr>
          <w:p>
            <w:pPr>
              <w:spacing w:after="20" w:before="20" w:line="240" w:lineRule="auto"/>
            </w:pPr>
            <w:r/>
            <w:r>
              <w:rPr>
                <w:rFonts w:ascii="Times New Roman" w:hAnsi="Times New Roman"/>
                <w:b w:val="0"/>
                <w:sz w:val="15"/>
              </w:rPr>
              <w:t>83.77% — breach</w:t>
            </w:r>
          </w:p>
        </w:tc>
        <w:tc>
          <w:tcPr>
            <w:tcW w:type="dxa" w:w="1296"/>
          </w:tcPr>
          <w:p>
            <w:pPr>
              <w:spacing w:after="20" w:before="20" w:line="240" w:lineRule="auto"/>
            </w:pPr>
            <w:r/>
            <w:r>
              <w:rPr>
                <w:rFonts w:ascii="Times New Roman" w:hAnsi="Times New Roman"/>
                <w:b w:val="0"/>
                <w:sz w:val="15"/>
              </w:rPr>
              <w:t>65.25% — breach</w:t>
            </w:r>
          </w:p>
        </w:tc>
        <w:tc>
          <w:tcPr>
            <w:tcW w:type="dxa" w:w="1656"/>
          </w:tcPr>
          <w:p>
            <w:pPr>
              <w:spacing w:after="20" w:before="20" w:line="240" w:lineRule="auto"/>
            </w:pPr>
            <w:r/>
            <w:r>
              <w:rPr>
                <w:rFonts w:ascii="Times New Roman" w:hAnsi="Times New Roman"/>
                <w:b w:val="0"/>
                <w:sz w:val="15"/>
              </w:rPr>
              <w:t>Escrow creates an unmatched source; ratio unchanged</w:t>
            </w:r>
          </w:p>
        </w:tc>
      </w:tr>
      <w:tr>
        <w:trPr>
          <w:cantSplit w:val="true"/>
        </w:trPr>
        <w:tc>
          <w:tcPr>
            <w:tcW w:type="dxa" w:w="2664"/>
          </w:tcPr>
          <w:p>
            <w:pPr>
              <w:spacing w:after="20" w:before="20" w:line="240" w:lineRule="auto"/>
            </w:pPr>
            <w:r/>
            <w:r>
              <w:rPr>
                <w:rFonts w:ascii="Times New Roman" w:hAnsi="Times New Roman"/>
                <w:b/>
                <w:sz w:val="15"/>
              </w:rPr>
              <w:t>Recommended:</w:t>
            </w:r>
            <w:r>
              <w:rPr>
                <w:rFonts w:ascii="Times New Roman" w:hAnsi="Times New Roman"/>
                <w:b w:val="0"/>
                <w:sz w:val="15"/>
              </w:rPr>
              <w:t xml:space="preserve"> reduce commitment to $45,360,000 and fund $2,140,000 of verified equity</w:t>
            </w:r>
          </w:p>
        </w:tc>
        <w:tc>
          <w:tcPr>
            <w:tcW w:type="dxa" w:w="2376"/>
          </w:tcPr>
          <w:p>
            <w:pPr>
              <w:spacing w:after="20" w:before="20" w:line="240" w:lineRule="auto"/>
            </w:pPr>
            <w:r/>
            <w:r>
              <w:rPr>
                <w:rFonts w:ascii="Times New Roman" w:hAnsi="Times New Roman"/>
                <w:b/>
                <w:sz w:val="15"/>
              </w:rPr>
              <w:t>$45.36M + $9.2M + $2.14M = $56.70M</w:t>
            </w:r>
          </w:p>
        </w:tc>
        <w:tc>
          <w:tcPr>
            <w:tcW w:type="dxa" w:w="1368"/>
          </w:tcPr>
          <w:p>
            <w:pPr>
              <w:spacing w:after="20" w:before="20" w:line="240" w:lineRule="auto"/>
            </w:pPr>
            <w:r/>
            <w:r>
              <w:rPr>
                <w:rFonts w:ascii="Times New Roman" w:hAnsi="Times New Roman"/>
                <w:b/>
                <w:sz w:val="15"/>
              </w:rPr>
              <w:t>80.00% — compliant</w:t>
            </w:r>
          </w:p>
        </w:tc>
        <w:tc>
          <w:tcPr>
            <w:tcW w:type="dxa" w:w="1296"/>
          </w:tcPr>
          <w:p>
            <w:pPr>
              <w:spacing w:after="20" w:before="20" w:line="240" w:lineRule="auto"/>
            </w:pPr>
            <w:r/>
            <w:r>
              <w:rPr>
                <w:rFonts w:ascii="Times New Roman" w:hAnsi="Times New Roman"/>
                <w:b/>
                <w:sz w:val="15"/>
              </w:rPr>
              <w:t>62.31% — compliant</w:t>
            </w:r>
          </w:p>
        </w:tc>
        <w:tc>
          <w:tcPr>
            <w:tcW w:type="dxa" w:w="1656"/>
          </w:tcPr>
          <w:p>
            <w:pPr>
              <w:spacing w:after="20" w:before="20" w:line="240" w:lineRule="auto"/>
            </w:pPr>
            <w:r/>
            <w:r>
              <w:rPr>
                <w:rFonts w:ascii="Times New Roman" w:hAnsi="Times New Roman"/>
                <w:b w:val="0"/>
                <w:sz w:val="15"/>
              </w:rPr>
              <w:t>Cures both breaches with one adjustment</w:t>
            </w:r>
          </w:p>
        </w:tc>
      </w:tr>
      <w:tr>
        <w:trPr>
          <w:cantSplit w:val="true"/>
        </w:trPr>
        <w:tc>
          <w:tcPr>
            <w:tcW w:type="dxa" w:w="2664"/>
          </w:tcPr>
          <w:p>
            <w:pPr>
              <w:spacing w:after="20" w:before="20" w:line="240" w:lineRule="auto"/>
            </w:pPr>
            <w:r/>
            <w:r>
              <w:rPr>
                <w:rFonts w:ascii="Times New Roman" w:hAnsi="Times New Roman"/>
                <w:b w:val="0"/>
                <w:sz w:val="15"/>
              </w:rPr>
              <w:t>Alternative: retain $47,500,000 and increase Total Project Costs</w:t>
            </w:r>
          </w:p>
        </w:tc>
        <w:tc>
          <w:tcPr>
            <w:tcW w:type="dxa" w:w="2376"/>
          </w:tcPr>
          <w:p>
            <w:pPr>
              <w:spacing w:after="20" w:before="20" w:line="240" w:lineRule="auto"/>
              <w:jc w:val="right"/>
            </w:pPr>
            <w:r/>
            <w:r>
              <w:rPr>
                <w:rFonts w:ascii="Times New Roman" w:hAnsi="Times New Roman"/>
                <w:b w:val="0"/>
                <w:sz w:val="15"/>
              </w:rPr>
              <w:t>$47.5M + $9.2M + $2.675M = $59.375M against $59.375M of uses</w:t>
            </w:r>
          </w:p>
        </w:tc>
        <w:tc>
          <w:tcPr>
            <w:tcW w:type="dxa" w:w="1368"/>
          </w:tcPr>
          <w:p>
            <w:pPr>
              <w:spacing w:after="20" w:before="20" w:line="240" w:lineRule="auto"/>
            </w:pPr>
            <w:r/>
            <w:r>
              <w:rPr>
                <w:rFonts w:ascii="Times New Roman" w:hAnsi="Times New Roman"/>
                <w:b w:val="0"/>
                <w:sz w:val="15"/>
              </w:rPr>
              <w:t>80.00% — compliant</w:t>
            </w:r>
          </w:p>
        </w:tc>
        <w:tc>
          <w:tcPr>
            <w:tcW w:type="dxa" w:w="1296"/>
          </w:tcPr>
          <w:p>
            <w:pPr>
              <w:spacing w:after="20" w:before="20" w:line="240" w:lineRule="auto"/>
            </w:pPr>
            <w:r/>
            <w:r>
              <w:rPr>
                <w:rFonts w:ascii="Times New Roman" w:hAnsi="Times New Roman"/>
                <w:b w:val="0"/>
                <w:sz w:val="15"/>
              </w:rPr>
              <w:t>65.25% — breach</w:t>
            </w:r>
          </w:p>
        </w:tc>
        <w:tc>
          <w:tcPr>
            <w:tcW w:type="dxa" w:w="1656"/>
          </w:tcPr>
          <w:p>
            <w:pPr>
              <w:spacing w:after="20" w:before="20" w:line="240" w:lineRule="auto"/>
            </w:pPr>
            <w:r/>
            <w:r>
              <w:rPr>
                <w:rFonts w:ascii="Times New Roman" w:hAnsi="Times New Roman"/>
                <w:b w:val="0"/>
                <w:sz w:val="15"/>
              </w:rPr>
              <w:t>Requires $2,675,000 of new, funded uses and equity; does not cure the LTV breach</w:t>
            </w:r>
          </w:p>
        </w:tc>
      </w:tr>
    </w:tbl>
    <w:p>
      <w:pPr>
        <w:spacing w:after="160" w:before="0" w:line="240" w:lineRule="auto"/>
      </w:pPr>
    </w:p>
    <w:p>
      <w:pPr>
        <w:spacing w:after="120" w:line="259" w:lineRule="auto"/>
        <w:ind w:left="0" w:firstLine="720"/>
        <w:jc w:val="both"/>
      </w:pPr>
      <w:r>
        <w:rPr>
          <w:rFonts w:ascii="Times New Roman" w:hAnsi="Times New Roman"/>
          <w:b w:val="0"/>
          <w:i w:val="0"/>
          <w:sz w:val="22"/>
        </w:rPr>
        <w:t>The reduction to $45,360,000 also improves the as-stabilized loan-to-value ratio to 59.53% and reduces the Bank’s exposure by $2,140,000 at no cost to the borrower group other than the equity it was already required to deposit. Conforming adjustments follow automatically in the Draft Agreement because the Origination Fee is defined as 1.00% of the Commitment Amount ($453,600) and the Partial Repayment Guaranty as 25% of the Commitment Amount ($11,340,000); the title policy amount and the draw schedule are conformed by Sections 3.2 and 4.1 and Exhibit D.</w:t>
      </w:r>
    </w:p>
    <w:p>
      <w:pPr>
        <w:spacing w:before="80" w:after="160"/>
        <w:ind w:left="720" w:right="360"/>
        <w:jc w:val="both"/>
      </w:pPr>
      <w:r>
        <w:rPr>
          <w:rFonts w:ascii="Times New Roman" w:hAnsi="Times New Roman"/>
          <w:i/>
          <w:color w:val="8B1A1A"/>
          <w:sz w:val="19"/>
        </w:rPr>
        <w:t>Action requested: confirm that the Committee elects the reduction path. This is the only open item in the Draft Agreement that changes the size of the facility.</w:t>
      </w:r>
    </w:p>
    <w:p>
      <w:pPr>
        <w:keepNext/>
        <w:spacing w:before="200" w:after="120"/>
        <w:ind w:left="0"/>
      </w:pPr>
      <w:r>
        <w:rPr>
          <w:rFonts w:ascii="Times New Roman" w:hAnsi="Times New Roman"/>
          <w:b/>
          <w:sz w:val="21"/>
        </w:rPr>
        <w:t>3.3  The Unfunded Payoff of the Existing Mortgage (Critical)</w:t>
      </w:r>
    </w:p>
    <w:p>
      <w:pPr>
        <w:spacing w:after="120" w:line="259" w:lineRule="auto"/>
        <w:ind w:left="0" w:firstLine="720"/>
        <w:jc w:val="both"/>
      </w:pPr>
      <w:r>
        <w:rPr>
          <w:rFonts w:ascii="Times New Roman" w:hAnsi="Times New Roman"/>
          <w:b w:val="0"/>
          <w:i w:val="0"/>
          <w:sz w:val="22"/>
        </w:rPr>
        <w:t>Title Commitment Schedule B, Part I, Requirement 4 and Part II, item 10 disclose a deed of trust recorded in Book 6215, Page 892, dated September 14, 2018, from Foster Street Properties LLC (Borrower’s predecessor in title) to Triangle Commercial Bank, securing an original indebtedness of $3,400,000, against which no release has been recorded. The Title Officer notes that Borrower’s counsel advised by letter dated November 22, 2024 that the debt “has been partially repaid” and will be satisfied at closing “from the Borrower’s own funds or from closing proceeds.”</w:t>
      </w:r>
    </w:p>
    <w:p>
      <w:pPr>
        <w:spacing w:after="120" w:line="259" w:lineRule="auto"/>
        <w:ind w:left="0" w:firstLine="720"/>
        <w:jc w:val="both"/>
      </w:pPr>
      <w:r>
        <w:rPr>
          <w:rFonts w:ascii="Times New Roman" w:hAnsi="Times New Roman"/>
          <w:b w:val="0"/>
          <w:i w:val="0"/>
          <w:sz w:val="22"/>
        </w:rPr>
        <w:t>No line item in the $56,700,000 uses of funds provides for that payoff, and no source of funds is identified for it. The Term Sheet (§ 5.2) does not mention it; the credit memorandum (§ 9.7) treats it as a closing condition without costing it. Because the Senior Deed of Trust cannot be insured as a first-priority lien until the prior deed of trust is released, the payoff is a mandatory cash use at closing, in an amount that is presently unknown because no payoff letter has been obtained.</w:t>
      </w:r>
    </w:p>
    <w:p>
      <w:pPr>
        <w:spacing w:after="120" w:line="259" w:lineRule="auto"/>
        <w:ind w:left="0" w:firstLine="720"/>
        <w:jc w:val="both"/>
      </w:pPr>
      <w:r>
        <w:rPr>
          <w:rFonts w:ascii="Times New Roman" w:hAnsi="Times New Roman"/>
          <w:b w:val="0"/>
          <w:i w:val="0"/>
          <w:sz w:val="22"/>
        </w:rPr>
        <w:t>Note also that funding the payoff with additional senior proceeds does not improve the loan-to-cost ratio: if the payoff is added to uses and funded by an equal increase in the loan, the ratio is unchanged at approximately 83.8%. A conforming closing therefore requires both a new use line and a new equity source. Section 3.8 of the Draft Agreement conditions closing on a payoff letter dated within thirty days, deposits with the title company, a recorded cancellation under N.C.G.S. § 45-37, and a conformed sources and uses statement.</w:t>
      </w:r>
    </w:p>
    <w:p>
      <w:pPr>
        <w:spacing w:before="80" w:after="160"/>
        <w:ind w:left="720" w:right="360"/>
        <w:jc w:val="both"/>
      </w:pPr>
      <w:r>
        <w:rPr>
          <w:rFonts w:ascii="Times New Roman" w:hAnsi="Times New Roman"/>
          <w:i/>
          <w:color w:val="8B1A1A"/>
          <w:sz w:val="19"/>
        </w:rPr>
        <w:t>Action requested: direct Borrower to obtain the payoff letter now. Until the payoff amount is known, neither the closing statement nor the conformed budget can be completed, and the loan-to-cost test cannot be finalized.</w:t>
      </w:r>
    </w:p>
    <w:p>
      <w:pPr>
        <w:keepNext/>
        <w:spacing w:before="200" w:after="120"/>
        <w:ind w:left="0"/>
      </w:pPr>
      <w:r>
        <w:rPr>
          <w:rFonts w:ascii="Times New Roman" w:hAnsi="Times New Roman"/>
          <w:b/>
          <w:sz w:val="21"/>
        </w:rPr>
        <w:t>3.4  Interest Reserve: Three Conclusions From the Same Facts (High)</w:t>
      </w:r>
    </w:p>
    <w:p>
      <w:pPr>
        <w:spacing w:after="120" w:line="259" w:lineRule="auto"/>
        <w:ind w:left="0" w:firstLine="720"/>
        <w:jc w:val="both"/>
      </w:pPr>
      <w:r>
        <w:rPr>
          <w:rFonts w:ascii="Times New Roman" w:hAnsi="Times New Roman"/>
          <w:b w:val="0"/>
          <w:i w:val="0"/>
          <w:sz w:val="22"/>
        </w:rPr>
        <w:t>The record reaches three different conclusions about whether $4,850,000 is sufficient, and the difference is not analytical judgment but an assumption error: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2736"/>
            <w:shd w:val="clear" w:color="auto" w:fill="D9D9D9"/>
          </w:tcPr>
          <w:p>
            <w:pPr>
              <w:spacing w:after="20" w:before="20" w:line="240" w:lineRule="auto"/>
              <w:jc w:val="center"/>
            </w:pPr>
            <w:r/>
            <w:r>
              <w:rPr>
                <w:rFonts w:ascii="Times New Roman" w:hAnsi="Times New Roman"/>
                <w:b/>
                <w:sz w:val="16"/>
              </w:rPr>
              <w:t>Source</w:t>
            </w:r>
          </w:p>
        </w:tc>
        <w:tc>
          <w:tcPr>
            <w:tcW w:type="dxa" w:w="1512"/>
            <w:shd w:val="clear" w:color="auto" w:fill="D9D9D9"/>
          </w:tcPr>
          <w:p>
            <w:pPr>
              <w:spacing w:after="20" w:before="20" w:line="240" w:lineRule="auto"/>
              <w:jc w:val="center"/>
            </w:pPr>
            <w:r/>
            <w:r>
              <w:rPr>
                <w:rFonts w:ascii="Times New Roman" w:hAnsi="Times New Roman"/>
                <w:b/>
                <w:sz w:val="16"/>
              </w:rPr>
              <w:t>SOFR assumption</w:t>
            </w:r>
          </w:p>
        </w:tc>
        <w:tc>
          <w:tcPr>
            <w:tcW w:type="dxa" w:w="2304"/>
            <w:shd w:val="clear" w:color="auto" w:fill="D9D9D9"/>
          </w:tcPr>
          <w:p>
            <w:pPr>
              <w:spacing w:after="20" w:before="20" w:line="240" w:lineRule="auto"/>
              <w:jc w:val="center"/>
            </w:pPr>
            <w:r/>
            <w:r>
              <w:rPr>
                <w:rFonts w:ascii="Times New Roman" w:hAnsi="Times New Roman"/>
                <w:b/>
                <w:sz w:val="16"/>
              </w:rPr>
              <w:t>Average balance assumption</w:t>
            </w:r>
          </w:p>
        </w:tc>
        <w:tc>
          <w:tcPr>
            <w:tcW w:type="dxa" w:w="1296"/>
            <w:shd w:val="clear" w:color="auto" w:fill="D9D9D9"/>
          </w:tcPr>
          <w:p>
            <w:pPr>
              <w:spacing w:after="20" w:before="20" w:line="240" w:lineRule="auto"/>
              <w:jc w:val="center"/>
            </w:pPr>
            <w:r/>
            <w:r>
              <w:rPr>
                <w:rFonts w:ascii="Times New Roman" w:hAnsi="Times New Roman"/>
                <w:b/>
                <w:sz w:val="16"/>
              </w:rPr>
              <w:t>Total interest</w:t>
            </w:r>
          </w:p>
        </w:tc>
        <w:tc>
          <w:tcPr>
            <w:tcW w:type="dxa" w:w="1512"/>
            <w:shd w:val="clear" w:color="auto" w:fill="D9D9D9"/>
          </w:tcPr>
          <w:p>
            <w:pPr>
              <w:spacing w:after="20" w:before="20" w:line="240" w:lineRule="auto"/>
              <w:jc w:val="center"/>
            </w:pPr>
            <w:r/>
            <w:r>
              <w:rPr>
                <w:rFonts w:ascii="Times New Roman" w:hAnsi="Times New Roman"/>
                <w:b/>
                <w:sz w:val="16"/>
              </w:rPr>
              <w:t>Surplus / (shortfall)</w:t>
            </w:r>
          </w:p>
        </w:tc>
      </w:tr>
      <w:tr>
        <w:trPr>
          <w:cantSplit w:val="true"/>
        </w:trPr>
        <w:tc>
          <w:tcPr>
            <w:tcW w:type="dxa" w:w="2736"/>
          </w:tcPr>
          <w:p>
            <w:pPr>
              <w:spacing w:after="20" w:before="20" w:line="240" w:lineRule="auto"/>
            </w:pPr>
            <w:r/>
            <w:r>
              <w:rPr>
                <w:rFonts w:ascii="Times New Roman" w:hAnsi="Times New Roman"/>
                <w:b w:val="0"/>
                <w:sz w:val="16"/>
              </w:rPr>
              <w:t>Budget workbook, “Interest Reserve Analysis” tab</w:t>
            </w:r>
          </w:p>
        </w:tc>
        <w:tc>
          <w:tcPr>
            <w:tcW w:type="dxa" w:w="1512"/>
          </w:tcPr>
          <w:p>
            <w:pPr>
              <w:spacing w:after="20" w:before="20" w:line="240" w:lineRule="auto"/>
            </w:pPr>
            <w:r/>
            <w:r>
              <w:rPr>
                <w:rFonts w:ascii="Times New Roman" w:hAnsi="Times New Roman"/>
                <w:b w:val="0"/>
                <w:sz w:val="16"/>
              </w:rPr>
              <w:t>3.50% (all-in 6.75%)</w:t>
            </w:r>
          </w:p>
        </w:tc>
        <w:tc>
          <w:tcPr>
            <w:tcW w:type="dxa" w:w="2304"/>
          </w:tcPr>
          <w:p>
            <w:pPr>
              <w:spacing w:after="20" w:before="20" w:line="240" w:lineRule="auto"/>
            </w:pPr>
            <w:r/>
            <w:r>
              <w:rPr>
                <w:rFonts w:ascii="Times New Roman" w:hAnsi="Times New Roman"/>
                <w:b w:val="0"/>
                <w:sz w:val="16"/>
              </w:rPr>
              <w:t>Derived from the draw schedule (≈$27,429,000)</w:t>
            </w:r>
          </w:p>
        </w:tc>
        <w:tc>
          <w:tcPr>
            <w:tcW w:type="dxa" w:w="1296"/>
          </w:tcPr>
          <w:p>
            <w:pPr>
              <w:spacing w:after="20" w:before="20" w:line="240" w:lineRule="auto"/>
              <w:jc w:val="right"/>
            </w:pPr>
            <w:r/>
            <w:r>
              <w:rPr>
                <w:rFonts w:ascii="Times New Roman" w:hAnsi="Times New Roman"/>
                <w:b w:val="0"/>
                <w:sz w:val="16"/>
              </w:rPr>
              <w:t>$4,628,675</w:t>
            </w:r>
          </w:p>
        </w:tc>
        <w:tc>
          <w:tcPr>
            <w:tcW w:type="dxa" w:w="1512"/>
          </w:tcPr>
          <w:p>
            <w:pPr>
              <w:spacing w:after="20" w:before="20" w:line="240" w:lineRule="auto"/>
              <w:jc w:val="right"/>
            </w:pPr>
            <w:r/>
            <w:r>
              <w:rPr>
                <w:rFonts w:ascii="Times New Roman" w:hAnsi="Times New Roman"/>
                <w:b w:val="0"/>
                <w:sz w:val="16"/>
              </w:rPr>
              <w:t>$221,325 — “APPEARS ADEQUATE”</w:t>
            </w:r>
          </w:p>
        </w:tc>
      </w:tr>
      <w:tr>
        <w:trPr>
          <w:cantSplit w:val="true"/>
        </w:trPr>
        <w:tc>
          <w:tcPr>
            <w:tcW w:type="dxa" w:w="2736"/>
          </w:tcPr>
          <w:p>
            <w:pPr>
              <w:spacing w:after="20" w:before="20" w:line="240" w:lineRule="auto"/>
            </w:pPr>
            <w:r/>
            <w:r>
              <w:rPr>
                <w:rFonts w:ascii="Times New Roman" w:hAnsi="Times New Roman"/>
                <w:b w:val="0"/>
                <w:sz w:val="16"/>
              </w:rPr>
              <w:t>Budget workbook, sensitivity table</w:t>
            </w:r>
          </w:p>
        </w:tc>
        <w:tc>
          <w:tcPr>
            <w:tcW w:type="dxa" w:w="1512"/>
          </w:tcPr>
          <w:p>
            <w:pPr>
              <w:spacing w:after="20" w:before="20" w:line="240" w:lineRule="auto"/>
            </w:pPr>
            <w:r/>
            <w:r>
              <w:rPr>
                <w:rFonts w:ascii="Times New Roman" w:hAnsi="Times New Roman"/>
                <w:b w:val="0"/>
                <w:sz w:val="16"/>
              </w:rPr>
              <w:t>4.35% (all-in 7.60%)</w:t>
            </w:r>
          </w:p>
        </w:tc>
        <w:tc>
          <w:tcPr>
            <w:tcW w:type="dxa" w:w="2304"/>
          </w:tcPr>
          <w:p>
            <w:pPr>
              <w:spacing w:after="20" w:before="20" w:line="240" w:lineRule="auto"/>
            </w:pPr>
            <w:r/>
            <w:r>
              <w:rPr>
                <w:rFonts w:ascii="Times New Roman" w:hAnsi="Times New Roman"/>
                <w:b w:val="0"/>
                <w:sz w:val="16"/>
              </w:rPr>
              <w:t>Same</w:t>
            </w:r>
          </w:p>
        </w:tc>
        <w:tc>
          <w:tcPr>
            <w:tcW w:type="dxa" w:w="1296"/>
          </w:tcPr>
          <w:p>
            <w:pPr>
              <w:spacing w:after="20" w:before="20" w:line="240" w:lineRule="auto"/>
              <w:jc w:val="right"/>
            </w:pPr>
            <w:r/>
            <w:r>
              <w:rPr>
                <w:rFonts w:ascii="Times New Roman" w:hAnsi="Times New Roman"/>
                <w:b w:val="0"/>
                <w:sz w:val="16"/>
              </w:rPr>
              <w:t>$5,215,830</w:t>
            </w:r>
          </w:p>
        </w:tc>
        <w:tc>
          <w:tcPr>
            <w:tcW w:type="dxa" w:w="1512"/>
          </w:tcPr>
          <w:p>
            <w:pPr>
              <w:spacing w:after="20" w:before="20" w:line="240" w:lineRule="auto"/>
            </w:pPr>
            <w:r/>
            <w:r>
              <w:rPr>
                <w:rFonts w:ascii="Times New Roman" w:hAnsi="Times New Roman"/>
                <w:b w:val="0"/>
                <w:sz w:val="16"/>
              </w:rPr>
              <w:t>($365,830)</w:t>
            </w:r>
          </w:p>
        </w:tc>
      </w:tr>
      <w:tr>
        <w:trPr>
          <w:cantSplit w:val="true"/>
        </w:trPr>
        <w:tc>
          <w:tcPr>
            <w:tcW w:type="dxa" w:w="2736"/>
          </w:tcPr>
          <w:p>
            <w:pPr>
              <w:spacing w:after="20" w:before="20" w:line="240" w:lineRule="auto"/>
            </w:pPr>
            <w:r/>
            <w:r>
              <w:rPr>
                <w:rFonts w:ascii="Times New Roman" w:hAnsi="Times New Roman"/>
                <w:b w:val="0"/>
                <w:sz w:val="16"/>
              </w:rPr>
              <w:t>Credit Memorandum § 6.2</w:t>
            </w:r>
          </w:p>
        </w:tc>
        <w:tc>
          <w:tcPr>
            <w:tcW w:type="dxa" w:w="1512"/>
          </w:tcPr>
          <w:p>
            <w:pPr>
              <w:spacing w:after="20" w:before="20" w:line="240" w:lineRule="auto"/>
            </w:pPr>
            <w:r/>
            <w:r>
              <w:rPr>
                <w:rFonts w:ascii="Times New Roman" w:hAnsi="Times New Roman"/>
                <w:b w:val="0"/>
                <w:sz w:val="16"/>
              </w:rPr>
              <w:t>4.35% (all-in 7.60%)</w:t>
            </w:r>
          </w:p>
        </w:tc>
        <w:tc>
          <w:tcPr>
            <w:tcW w:type="dxa" w:w="2304"/>
          </w:tcPr>
          <w:p>
            <w:pPr>
              <w:spacing w:after="20" w:before="20" w:line="240" w:lineRule="auto"/>
            </w:pPr>
            <w:r/>
            <w:r>
              <w:rPr>
                <w:rFonts w:ascii="Times New Roman" w:hAnsi="Times New Roman"/>
                <w:b w:val="0"/>
                <w:sz w:val="16"/>
              </w:rPr>
              <w:t>Assumed $28,500,000</w:t>
            </w:r>
          </w:p>
        </w:tc>
        <w:tc>
          <w:tcPr>
            <w:tcW w:type="dxa" w:w="1296"/>
          </w:tcPr>
          <w:p>
            <w:pPr>
              <w:spacing w:after="20" w:before="20" w:line="240" w:lineRule="auto"/>
              <w:jc w:val="right"/>
            </w:pPr>
            <w:r/>
            <w:r>
              <w:rPr>
                <w:rFonts w:ascii="Times New Roman" w:hAnsi="Times New Roman"/>
                <w:b w:val="0"/>
                <w:sz w:val="16"/>
              </w:rPr>
              <w:t>$5,415,000</w:t>
            </w:r>
          </w:p>
        </w:tc>
        <w:tc>
          <w:tcPr>
            <w:tcW w:type="dxa" w:w="1512"/>
          </w:tcPr>
          <w:p>
            <w:pPr>
              <w:spacing w:after="20" w:before="20" w:line="240" w:lineRule="auto"/>
            </w:pPr>
            <w:r/>
            <w:r>
              <w:rPr>
                <w:rFonts w:ascii="Times New Roman" w:hAnsi="Times New Roman"/>
                <w:b w:val="0"/>
                <w:sz w:val="16"/>
              </w:rPr>
              <w:t>($565,000)</w:t>
            </w:r>
          </w:p>
        </w:tc>
      </w:tr>
    </w:tbl>
    <w:p>
      <w:pPr>
        <w:spacing w:after="160" w:before="0" w:line="240" w:lineRule="auto"/>
      </w:pPr>
    </w:p>
    <w:p>
      <w:pPr>
        <w:spacing w:after="120" w:line="259" w:lineRule="auto"/>
        <w:ind w:left="0" w:firstLine="720"/>
        <w:jc w:val="both"/>
      </w:pPr>
      <w:r>
        <w:rPr>
          <w:rFonts w:ascii="Times New Roman" w:hAnsi="Times New Roman"/>
          <w:b w:val="0"/>
          <w:i w:val="0"/>
          <w:sz w:val="22"/>
        </w:rPr>
        <w:t>The Borrower’s model therefore reports the reserve as adequate only because it assumes a SOFR rate of 3.50%, which is approximately 85 basis points below the 4.35% rate the credit memorandum itself uses as current. On the Borrower’s own sensitivity table, the reserve is short at every rate at or above 4.00%. The credit memorandum’s $565,000 figure and the model’s $365,830 figure differ solely because of the average-balance assumption; both conclude the reserve is short. The approval language in Section 6.2 (“approves the interest reserve of $4,850,000 as adequate based on current rate assumptions”) is inconsistent with the analysis immediately preceding it.</w:t>
      </w:r>
    </w:p>
    <w:p>
      <w:pPr>
        <w:spacing w:after="120" w:line="259" w:lineRule="auto"/>
        <w:ind w:left="0" w:firstLine="720"/>
        <w:jc w:val="both"/>
      </w:pPr>
      <w:r>
        <w:rPr>
          <w:rFonts w:ascii="Times New Roman" w:hAnsi="Times New Roman"/>
          <w:b w:val="0"/>
          <w:i w:val="0"/>
          <w:sz w:val="22"/>
        </w:rPr>
        <w:t>Two further gaps compound the problem. First, the model stops at month 30 and therefore excludes interest on the $44.2 million to $47.5 million outstanding during the mini-perm period, yet the property is not projected to reach stabilization until approximately May 2028 — nine months into the mini-perm period. Borrower’s only source for roughly $2.8 million of interest over that stretch is its own funds, and the credit memorandum records that Borrower is contributing $0 of cash equity. The Carry Guaranty is the sole backstop. Second, the draw dates on the draw schedule tab (Draw 8 in August 2027, Draw 9 in October 2027) are month 31 and month 33 of a 30-month construction period, so the interest model and the draw schedule do not describe the same loan.</w:t>
      </w:r>
    </w:p>
    <w:p>
      <w:pPr>
        <w:spacing w:after="160" w:line="259" w:lineRule="auto"/>
        <w:ind w:left="0" w:firstLine="720"/>
        <w:jc w:val="both"/>
      </w:pPr>
      <w:r>
        <w:rPr>
          <w:rFonts w:ascii="Times New Roman" w:hAnsi="Times New Roman"/>
          <w:b/>
          <w:i w:val="0"/>
          <w:sz w:val="22"/>
        </w:rPr>
        <w:t>Recommended resolution.</w:t>
      </w:r>
      <w:r>
        <w:rPr>
          <w:rFonts w:ascii="Times New Roman" w:hAnsi="Times New Roman"/>
          <w:b w:val="0"/>
          <w:i w:val="0"/>
          <w:sz w:val="22"/>
        </w:rPr>
        <w:t xml:space="preserve">  Section 2.7(c) of the Draft Agreement fixes the adequacy floor at the greater of the then-current rate and 4.35% SOFR; Section 2.7(e) adds a $500,000 borrower-funded Interest Reserve Contingency Escrow available first for interest shortfalls; Section 8.3(b) provides a lease-up accommodation for the Debt Service Coverage Ratio; and Section 2.13(c)(vi) requires an interest rate cap as a condition of extension. We recommend also requiring a twelve-month mini-perm interest reserve or a cap struck at or below 6.35% for the period from the Construction Maturity Date through stabilization.</w:t>
      </w:r>
    </w:p>
    <w:p>
      <w:pPr>
        <w:keepNext/>
        <w:spacing w:before="280" w:after="120"/>
        <w:ind w:left="0"/>
      </w:pPr>
      <w:r>
        <w:rPr>
          <w:rFonts w:ascii="Times New Roman" w:hAnsi="Times New Roman"/>
          <w:b/>
          <w:sz w:val="21"/>
        </w:rPr>
        <w:t>3.5  Environmental: The Deed Notice and the Use Restriction (Critical)</w:t>
      </w:r>
    </w:p>
    <w:p>
      <w:pPr>
        <w:spacing w:after="120" w:line="259" w:lineRule="auto"/>
        <w:ind w:left="0" w:firstLine="720"/>
        <w:jc w:val="both"/>
      </w:pPr>
      <w:r>
        <w:rPr>
          <w:rFonts w:ascii="Times New Roman" w:hAnsi="Times New Roman"/>
          <w:b w:val="0"/>
          <w:i w:val="0"/>
          <w:sz w:val="22"/>
        </w:rPr>
        <w:t>The Phase I ESA describes a conditional No Further Action determination with four conditions, two of which are unmet on the face of the record:</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1800"/>
            <w:shd w:val="clear" w:color="auto" w:fill="D9D9D9"/>
          </w:tcPr>
          <w:p>
            <w:pPr>
              <w:spacing w:after="20" w:before="20" w:line="240" w:lineRule="auto"/>
              <w:jc w:val="center"/>
            </w:pPr>
            <w:r/>
            <w:r>
              <w:rPr>
                <w:rFonts w:ascii="Times New Roman" w:hAnsi="Times New Roman"/>
                <w:b/>
                <w:sz w:val="15"/>
              </w:rPr>
              <w:t>NFA condition</w:t>
            </w:r>
          </w:p>
        </w:tc>
        <w:tc>
          <w:tcPr>
            <w:tcW w:type="dxa" w:w="2880"/>
            <w:shd w:val="clear" w:color="auto" w:fill="D9D9D9"/>
          </w:tcPr>
          <w:p>
            <w:pPr>
              <w:spacing w:after="20" w:before="20" w:line="240" w:lineRule="auto"/>
              <w:jc w:val="center"/>
            </w:pPr>
            <w:r/>
            <w:r>
              <w:rPr>
                <w:rFonts w:ascii="Times New Roman" w:hAnsi="Times New Roman"/>
                <w:b/>
                <w:sz w:val="15"/>
              </w:rPr>
              <w:t>Requirement and deadline</w:t>
            </w:r>
          </w:p>
        </w:tc>
        <w:tc>
          <w:tcPr>
            <w:tcW w:type="dxa" w:w="2808"/>
            <w:shd w:val="clear" w:color="auto" w:fill="D9D9D9"/>
          </w:tcPr>
          <w:p>
            <w:pPr>
              <w:spacing w:after="20" w:before="20" w:line="240" w:lineRule="auto"/>
              <w:jc w:val="center"/>
            </w:pPr>
            <w:r/>
            <w:r>
              <w:rPr>
                <w:rFonts w:ascii="Times New Roman" w:hAnsi="Times New Roman"/>
                <w:b/>
                <w:sz w:val="15"/>
              </w:rPr>
              <w:t>Status in the record</w:t>
            </w:r>
          </w:p>
        </w:tc>
        <w:tc>
          <w:tcPr>
            <w:tcW w:type="dxa" w:w="1872"/>
            <w:shd w:val="clear" w:color="auto" w:fill="D9D9D9"/>
          </w:tcPr>
          <w:p>
            <w:pPr>
              <w:spacing w:after="20" w:before="20" w:line="240" w:lineRule="auto"/>
              <w:jc w:val="center"/>
            </w:pPr>
            <w:r/>
            <w:r>
              <w:rPr>
                <w:rFonts w:ascii="Times New Roman" w:hAnsi="Times New Roman"/>
                <w:b/>
                <w:sz w:val="15"/>
              </w:rPr>
              <w:t>Consequence</w:t>
            </w:r>
          </w:p>
        </w:tc>
      </w:tr>
      <w:tr>
        <w:trPr>
          <w:cantSplit w:val="true"/>
        </w:trPr>
        <w:tc>
          <w:tcPr>
            <w:tcW w:type="dxa" w:w="1800"/>
          </w:tcPr>
          <w:p>
            <w:pPr>
              <w:spacing w:after="20" w:before="20" w:line="240" w:lineRule="auto"/>
            </w:pPr>
            <w:r/>
            <w:r>
              <w:rPr>
                <w:rFonts w:ascii="Times New Roman" w:hAnsi="Times New Roman"/>
                <w:b w:val="0"/>
                <w:sz w:val="15"/>
              </w:rPr>
              <w:t>Condition 1 — Vapor Mitigation System</w:t>
            </w:r>
          </w:p>
        </w:tc>
        <w:tc>
          <w:tcPr>
            <w:tcW w:type="dxa" w:w="2880"/>
          </w:tcPr>
          <w:p>
            <w:pPr>
              <w:spacing w:after="20" w:before="20" w:line="240" w:lineRule="auto"/>
            </w:pPr>
            <w:r/>
            <w:r>
              <w:rPr>
                <w:rFonts w:ascii="Times New Roman" w:hAnsi="Times New Roman"/>
                <w:b w:val="0"/>
                <w:sz w:val="15"/>
              </w:rPr>
              <w:t>Passive sub-slab depressurization, convertible to active, beneath any enclosed structure over the 0.38-acre Affected Area; as-built drawings and performance verification to NCDEQ within 90 days of foundation completion.</w:t>
            </w:r>
          </w:p>
        </w:tc>
        <w:tc>
          <w:tcPr>
            <w:tcW w:type="dxa" w:w="2808"/>
          </w:tcPr>
          <w:p>
            <w:pPr>
              <w:spacing w:after="20" w:before="20" w:line="240" w:lineRule="auto"/>
            </w:pPr>
            <w:r/>
            <w:r>
              <w:rPr>
                <w:rFonts w:ascii="Times New Roman" w:hAnsi="Times New Roman"/>
                <w:b w:val="0"/>
                <w:sz w:val="15"/>
              </w:rPr>
              <w:t>Design referenced as “incorporated into the construction plans” (Phase I ESA § 8; appraisal § 8) and included in the GMP (budget line 2.08). No engineer’s design, NCDEQ approval or verification protocol is in the file.</w:t>
            </w:r>
          </w:p>
        </w:tc>
        <w:tc>
          <w:tcPr>
            <w:tcW w:type="dxa" w:w="1872"/>
          </w:tcPr>
          <w:p>
            <w:pPr>
              <w:spacing w:after="20" w:before="20" w:line="240" w:lineRule="auto"/>
            </w:pPr>
            <w:r/>
            <w:r>
              <w:rPr>
                <w:rFonts w:ascii="Times New Roman" w:hAnsi="Times New Roman"/>
                <w:b w:val="0"/>
                <w:sz w:val="15"/>
              </w:rPr>
              <w:t>Construction-stage default; inability to obtain certificate of occupancy for space over the Affected Area.</w:t>
            </w:r>
          </w:p>
        </w:tc>
      </w:tr>
      <w:tr>
        <w:trPr>
          <w:cantSplit w:val="true"/>
        </w:trPr>
        <w:tc>
          <w:tcPr>
            <w:tcW w:type="dxa" w:w="1800"/>
          </w:tcPr>
          <w:p>
            <w:pPr>
              <w:spacing w:after="20" w:before="20" w:line="240" w:lineRule="auto"/>
            </w:pPr>
            <w:r/>
            <w:r>
              <w:rPr>
                <w:rFonts w:ascii="Times New Roman" w:hAnsi="Times New Roman"/>
                <w:b w:val="0"/>
                <w:sz w:val="15"/>
              </w:rPr>
              <w:t>Condition 2 — Non-residential land use restriction</w:t>
            </w:r>
          </w:p>
        </w:tc>
        <w:tc>
          <w:tcPr>
            <w:tcW w:type="dxa" w:w="2880"/>
          </w:tcPr>
          <w:p>
            <w:pPr>
              <w:spacing w:after="20" w:before="20" w:line="240" w:lineRule="auto"/>
            </w:pPr>
            <w:r/>
            <w:r>
              <w:rPr>
                <w:rFonts w:ascii="Times New Roman" w:hAnsi="Times New Roman"/>
                <w:b w:val="0"/>
                <w:sz w:val="15"/>
              </w:rPr>
              <w:t>Future use of the Affected Area restricted to non-residential purposes; residential or other sensitive use requires additional investigation and a modification of the NFA determination.</w:t>
            </w:r>
          </w:p>
        </w:tc>
        <w:tc>
          <w:tcPr>
            <w:tcW w:type="dxa" w:w="2808"/>
          </w:tcPr>
          <w:p>
            <w:pPr>
              <w:spacing w:after="20" w:before="20" w:line="240" w:lineRule="auto"/>
            </w:pPr>
            <w:r/>
            <w:r>
              <w:rPr>
                <w:rFonts w:ascii="Times New Roman" w:hAnsi="Times New Roman"/>
                <w:b w:val="0"/>
                <w:sz w:val="15"/>
              </w:rPr>
              <w:t>Credit Memorandum § 9.5 states that 14 residential units are positioned above the Affected Area. The Phase I ESA (§ 8.5) expressly declines to verify that, and the appraisal (§ 8) expresses no opinion on permissibility.</w:t>
            </w:r>
          </w:p>
        </w:tc>
        <w:tc>
          <w:tcPr>
            <w:tcW w:type="dxa" w:w="1872"/>
          </w:tcPr>
          <w:p>
            <w:pPr>
              <w:spacing w:after="20" w:before="20" w:line="240" w:lineRule="auto"/>
            </w:pPr>
            <w:r/>
            <w:r>
              <w:rPr>
                <w:rFonts w:ascii="Times New Roman" w:hAnsi="Times New Roman"/>
                <w:b w:val="0"/>
                <w:sz w:val="15"/>
              </w:rPr>
              <w:t>Up to 14 units may be unoccupiable: NOI falls to $4,499,640, DSCR to 1.21x, as-stabilized value to ≈$70,306,875 and as-stabilized LTV to 67.56% — a breach of the 65% covenant.</w:t>
            </w:r>
          </w:p>
        </w:tc>
      </w:tr>
      <w:tr>
        <w:trPr>
          <w:cantSplit w:val="true"/>
        </w:trPr>
        <w:tc>
          <w:tcPr>
            <w:tcW w:type="dxa" w:w="1800"/>
          </w:tcPr>
          <w:p>
            <w:pPr>
              <w:spacing w:after="20" w:before="20" w:line="240" w:lineRule="auto"/>
            </w:pPr>
            <w:r/>
            <w:r>
              <w:rPr>
                <w:rFonts w:ascii="Times New Roman" w:hAnsi="Times New Roman"/>
                <w:b w:val="0"/>
                <w:sz w:val="15"/>
              </w:rPr>
              <w:t>Condition 3 — Soil Management Plan</w:t>
            </w:r>
          </w:p>
        </w:tc>
        <w:tc>
          <w:tcPr>
            <w:tcW w:type="dxa" w:w="2880"/>
          </w:tcPr>
          <w:p>
            <w:pPr>
              <w:spacing w:after="20" w:before="20" w:line="240" w:lineRule="auto"/>
            </w:pPr>
            <w:r/>
            <w:r>
              <w:rPr>
                <w:rFonts w:ascii="Times New Roman" w:hAnsi="Times New Roman"/>
                <w:b w:val="0"/>
                <w:sz w:val="15"/>
              </w:rPr>
              <w:t>NCDEQ-approved plan required before any excavation, grading or subsurface disturbance in the Affected Area.</w:t>
            </w:r>
          </w:p>
        </w:tc>
        <w:tc>
          <w:tcPr>
            <w:tcW w:type="dxa" w:w="2808"/>
          </w:tcPr>
          <w:p>
            <w:pPr>
              <w:spacing w:after="20" w:before="20" w:line="240" w:lineRule="auto"/>
            </w:pPr>
            <w:r/>
            <w:r>
              <w:rPr>
                <w:rFonts w:ascii="Times New Roman" w:hAnsi="Times New Roman"/>
                <w:b w:val="0"/>
                <w:sz w:val="15"/>
              </w:rPr>
              <w:t>Not in the file. The GMP includes site work and foundations in the Affected Area.</w:t>
            </w:r>
          </w:p>
        </w:tc>
        <w:tc>
          <w:tcPr>
            <w:tcW w:type="dxa" w:w="1872"/>
          </w:tcPr>
          <w:p>
            <w:pPr>
              <w:spacing w:after="20" w:before="20" w:line="240" w:lineRule="auto"/>
            </w:pPr>
            <w:r/>
            <w:r>
              <w:rPr>
                <w:rFonts w:ascii="Times New Roman" w:hAnsi="Times New Roman"/>
                <w:b w:val="0"/>
                <w:sz w:val="15"/>
              </w:rPr>
              <w:t>Work cannot lawfully begin in the Affected Area; a stop-work order would also breach the construction schedule and trigger Section 14.1(f).</w:t>
            </w:r>
          </w:p>
        </w:tc>
      </w:tr>
      <w:tr>
        <w:trPr>
          <w:cantSplit w:val="true"/>
        </w:trPr>
        <w:tc>
          <w:tcPr>
            <w:tcW w:type="dxa" w:w="1800"/>
          </w:tcPr>
          <w:p>
            <w:pPr>
              <w:spacing w:after="20" w:before="20" w:line="240" w:lineRule="auto"/>
            </w:pPr>
            <w:r/>
            <w:r>
              <w:rPr>
                <w:rFonts w:ascii="Times New Roman" w:hAnsi="Times New Roman"/>
                <w:b w:val="0"/>
                <w:sz w:val="15"/>
              </w:rPr>
              <w:t>Condition 4 — Deed Notice</w:t>
            </w:r>
          </w:p>
        </w:tc>
        <w:tc>
          <w:tcPr>
            <w:tcW w:type="dxa" w:w="2880"/>
          </w:tcPr>
          <w:p>
            <w:pPr>
              <w:spacing w:after="20" w:before="20" w:line="240" w:lineRule="auto"/>
            </w:pPr>
            <w:r/>
            <w:r>
              <w:rPr>
                <w:rFonts w:ascii="Times New Roman" w:hAnsi="Times New Roman"/>
                <w:b w:val="0"/>
                <w:sz w:val="15"/>
              </w:rPr>
              <w:t>Notice of residual contamination and the land use restriction recorded in the Durham County Registry by November 29, 2024 (60 days after the NFA Letter).</w:t>
            </w:r>
          </w:p>
        </w:tc>
        <w:tc>
          <w:tcPr>
            <w:tcW w:type="dxa" w:w="2808"/>
          </w:tcPr>
          <w:p>
            <w:pPr>
              <w:spacing w:after="20" w:before="20" w:line="240" w:lineRule="auto"/>
            </w:pPr>
            <w:r/>
            <w:r>
              <w:rPr>
                <w:rFonts w:ascii="Times New Roman" w:hAnsi="Times New Roman"/>
                <w:b w:val="0"/>
                <w:sz w:val="15"/>
              </w:rPr>
              <w:t>The Phase I ESA (October 28, 2024) states the notice had not been recorded. The title commitment effective December 5, 2024 does not list any recorded environmental land use restriction among its Schedule B-II exceptions, and disclaims environmental matters at Note 5.</w:t>
            </w:r>
          </w:p>
        </w:tc>
        <w:tc>
          <w:tcPr>
            <w:tcW w:type="dxa" w:w="1872"/>
          </w:tcPr>
          <w:p>
            <w:pPr>
              <w:spacing w:after="20" w:before="20" w:line="240" w:lineRule="auto"/>
            </w:pPr>
            <w:r/>
            <w:r>
              <w:rPr>
                <w:rFonts w:ascii="Times New Roman" w:hAnsi="Times New Roman"/>
                <w:b w:val="0"/>
                <w:sz w:val="15"/>
              </w:rPr>
              <w:t>Either the notice was never recorded — apparent non-compliance with the NFA Letter — or it was recorded and omitted from the title commitment, in which case the title commitment is incomplete and the exception must be added.</w:t>
            </w:r>
          </w:p>
        </w:tc>
      </w:tr>
    </w:tbl>
    <w:p>
      <w:pPr>
        <w:spacing w:after="160" w:before="0" w:line="240" w:lineRule="auto"/>
      </w:pPr>
    </w:p>
    <w:p>
      <w:pPr>
        <w:spacing w:after="120" w:line="259" w:lineRule="auto"/>
        <w:ind w:left="0" w:firstLine="720"/>
        <w:jc w:val="both"/>
      </w:pPr>
      <w:r>
        <w:rPr>
          <w:rFonts w:ascii="Times New Roman" w:hAnsi="Times New Roman"/>
          <w:b w:val="0"/>
          <w:i w:val="0"/>
          <w:sz w:val="22"/>
        </w:rPr>
        <w:t>The Term Sheet does not help. Section 2 describes remediation as “completed … in accordance with the applicable directives of NCDEQ,” and Section 17 describes the NFA letter as authorizing “commercial use of the affected area … conditioned on the installation and maintenance of a soil vapor mitigation system in the parking garage structure.” Neither characterization discloses the non-residential land use restriction, the Soil Management Plan requirement or the Deed Notice. The vapor system scope in the Term Sheet (“in the parking garage structure”) is also narrower than the NFA requirement (“beneath any enclosed structure,” which includes ground-floor retail and any residential space above).</w:t>
      </w:r>
    </w:p>
    <w:p>
      <w:pPr>
        <w:spacing w:after="160" w:line="259" w:lineRule="auto"/>
        <w:ind w:left="0" w:firstLine="720"/>
        <w:jc w:val="both"/>
      </w:pPr>
      <w:r>
        <w:rPr>
          <w:rFonts w:ascii="Times New Roman" w:hAnsi="Times New Roman"/>
          <w:b/>
          <w:i w:val="0"/>
          <w:sz w:val="22"/>
        </w:rPr>
        <w:t>Recommended resolution.</w:t>
      </w:r>
      <w:r>
        <w:rPr>
          <w:rFonts w:ascii="Times New Roman" w:hAnsi="Times New Roman"/>
          <w:b w:val="0"/>
          <w:i w:val="0"/>
          <w:sz w:val="22"/>
        </w:rPr>
        <w:t xml:space="preserve">  (i) Produce the recorded Deed Notice immediately; if it was not timely recorded, obtain and produce NCDEQ’s written acknowledgment that late recordation does not affect the NFA status, and conform the closing date calculation accordingly. (ii) Obtain the architect’s overlay of the building plans against Figure 3 of the Phase I ESA; the credit memorandum’s assertion about the 14 units is presently unverified. (iii) If the overlay confirms the conflict, select one of the three resolutions in Section 3.4(f) of the Draft Agreement — an NFA modification, written NCDEQ confirmation that residential occupancy above the grade-level affected area is permissible with engineering controls, or redesign — and re-underwrite if the redesign option is chosen. (iv) Require NCDEQ approval of the Soil Management Plan before any Advance for subsurface work in the Affected Area. (v) Obtain a pollution legal liability quotation, as the Phase I ESA recommends (Recommendation 6).</w:t>
      </w:r>
    </w:p>
    <w:p>
      <w:pPr>
        <w:keepNext/>
        <w:spacing w:before="280" w:after="120"/>
        <w:ind w:left="0"/>
      </w:pPr>
      <w:r>
        <w:rPr>
          <w:rFonts w:ascii="Times New Roman" w:hAnsi="Times New Roman"/>
          <w:b/>
          <w:sz w:val="21"/>
        </w:rPr>
        <w:t>3.6  The Draw Schedule Does Not Foot (High)</w:t>
      </w:r>
    </w:p>
    <w:p>
      <w:pPr>
        <w:spacing w:after="120" w:line="259" w:lineRule="auto"/>
        <w:ind w:left="0" w:firstLine="720"/>
        <w:jc w:val="both"/>
      </w:pPr>
      <w:r>
        <w:rPr>
          <w:rFonts w:ascii="Times New Roman" w:hAnsi="Times New Roman"/>
          <w:b w:val="0"/>
          <w:i w:val="0"/>
          <w:sz w:val="22"/>
        </w:rPr>
        <w:t>Three arithmetic defects run through the draw schedule as it appears in Term Sheet § 9.2, credit memorandum § 7.1 and the Borrower’s workbook:</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2016"/>
            <w:shd w:val="clear" w:color="auto" w:fill="D9D9D9"/>
          </w:tcPr>
          <w:p>
            <w:pPr>
              <w:spacing w:after="20" w:before="20" w:line="240" w:lineRule="auto"/>
              <w:jc w:val="center"/>
            </w:pPr>
            <w:r/>
            <w:r>
              <w:rPr>
                <w:rFonts w:ascii="Times New Roman" w:hAnsi="Times New Roman"/>
                <w:b/>
                <w:sz w:val="16"/>
              </w:rPr>
              <w:t>Defect</w:t>
            </w:r>
          </w:p>
        </w:tc>
        <w:tc>
          <w:tcPr>
            <w:tcW w:type="dxa" w:w="5184"/>
            <w:shd w:val="clear" w:color="auto" w:fill="D9D9D9"/>
          </w:tcPr>
          <w:p>
            <w:pPr>
              <w:spacing w:after="20" w:before="20" w:line="240" w:lineRule="auto"/>
              <w:jc w:val="center"/>
            </w:pPr>
            <w:r/>
            <w:r>
              <w:rPr>
                <w:rFonts w:ascii="Times New Roman" w:hAnsi="Times New Roman"/>
                <w:b/>
                <w:sz w:val="16"/>
              </w:rPr>
              <w:t>Detail</w:t>
            </w:r>
          </w:p>
        </w:tc>
        <w:tc>
          <w:tcPr>
            <w:tcW w:type="dxa" w:w="2160"/>
            <w:shd w:val="clear" w:color="auto" w:fill="D9D9D9"/>
          </w:tcPr>
          <w:p>
            <w:pPr>
              <w:spacing w:after="20" w:before="20" w:line="240" w:lineRule="auto"/>
              <w:jc w:val="center"/>
            </w:pPr>
            <w:r/>
            <w:r>
              <w:rPr>
                <w:rFonts w:ascii="Times New Roman" w:hAnsi="Times New Roman"/>
                <w:b/>
                <w:sz w:val="16"/>
              </w:rPr>
              <w:t>Correction in Exhibit D</w:t>
            </w:r>
          </w:p>
        </w:tc>
      </w:tr>
      <w:tr>
        <w:trPr>
          <w:cantSplit w:val="true"/>
        </w:trPr>
        <w:tc>
          <w:tcPr>
            <w:tcW w:type="dxa" w:w="2016"/>
          </w:tcPr>
          <w:p>
            <w:pPr>
              <w:spacing w:after="20" w:before="20" w:line="240" w:lineRule="auto"/>
            </w:pPr>
            <w:r/>
            <w:r>
              <w:rPr>
                <w:rFonts w:ascii="Times New Roman" w:hAnsi="Times New Roman"/>
                <w:b w:val="0"/>
                <w:sz w:val="16"/>
              </w:rPr>
              <w:t>Retainage never withheld</w:t>
            </w:r>
          </w:p>
        </w:tc>
        <w:tc>
          <w:tcPr>
            <w:tcW w:type="dxa" w:w="5184"/>
          </w:tcPr>
          <w:p>
            <w:pPr>
              <w:spacing w:after="20" w:before="20" w:line="240" w:lineRule="auto"/>
            </w:pPr>
            <w:r/>
            <w:r>
              <w:rPr>
                <w:rFonts w:ascii="Times New Roman" w:hAnsi="Times New Roman"/>
                <w:b w:val="0"/>
                <w:sz w:val="16"/>
              </w:rPr>
              <w:t>Draws 2 through 8 total exactly $34,750,000 — 100% of the guaranteed maximum price — so no amount is retained. Draw 9 then “releases” $3,275,000 of retainage. A 10% holdback on $34,750,000 is $3,475,000, not $3,275,000 (which is 9.42%).</w:t>
            </w:r>
          </w:p>
        </w:tc>
        <w:tc>
          <w:tcPr>
            <w:tcW w:type="dxa" w:w="2160"/>
          </w:tcPr>
          <w:p>
            <w:pPr>
              <w:spacing w:after="20" w:before="20" w:line="240" w:lineRule="auto"/>
            </w:pPr>
            <w:r/>
            <w:r>
              <w:rPr>
                <w:rFonts w:ascii="Times New Roman" w:hAnsi="Times New Roman"/>
                <w:b w:val="0"/>
                <w:sz w:val="16"/>
              </w:rPr>
              <w:t>Draws 2 through 8 net of 10% retainage total $31,275,000; Draw 9 releases $3,475,000.</w:t>
            </w:r>
          </w:p>
        </w:tc>
      </w:tr>
      <w:tr>
        <w:trPr>
          <w:cantSplit w:val="true"/>
        </w:trPr>
        <w:tc>
          <w:tcPr>
            <w:tcW w:type="dxa" w:w="2016"/>
          </w:tcPr>
          <w:p>
            <w:pPr>
              <w:spacing w:after="20" w:before="20" w:line="240" w:lineRule="auto"/>
            </w:pPr>
            <w:r/>
            <w:r>
              <w:rPr>
                <w:rFonts w:ascii="Times New Roman" w:hAnsi="Times New Roman"/>
                <w:b w:val="0"/>
                <w:sz w:val="16"/>
              </w:rPr>
              <w:t>Developer fee funded twice</w:t>
            </w:r>
          </w:p>
        </w:tc>
        <w:tc>
          <w:tcPr>
            <w:tcW w:type="dxa" w:w="5184"/>
          </w:tcPr>
          <w:p>
            <w:pPr>
              <w:spacing w:after="20" w:before="20" w:line="240" w:lineRule="auto"/>
            </w:pPr>
            <w:r/>
            <w:r>
              <w:rPr>
                <w:rFonts w:ascii="Times New Roman" w:hAnsi="Times New Roman"/>
                <w:b w:val="0"/>
                <w:sz w:val="16"/>
              </w:rPr>
              <w:t>The budget allocates the $2,835,000 developer fee as $1,835,000 senior and $1,000,000 mezzanine (Detailed Budget line 5.01), but the draw schedule allocates the entire $2,835,000 to senior draws. In the workbook, the components of Draw 9 sum to $4,275,000 against a stated draw of $3,275,000 — a $1,000,000 footing error, equal to the mezzanine share.</w:t>
            </w:r>
          </w:p>
        </w:tc>
        <w:tc>
          <w:tcPr>
            <w:tcW w:type="dxa" w:w="2160"/>
          </w:tcPr>
          <w:p>
            <w:pPr>
              <w:spacing w:after="20" w:before="20" w:line="240" w:lineRule="auto"/>
            </w:pPr>
            <w:r/>
            <w:r>
              <w:rPr>
                <w:rFonts w:ascii="Times New Roman" w:hAnsi="Times New Roman"/>
                <w:b w:val="0"/>
                <w:sz w:val="16"/>
              </w:rPr>
              <w:t>Only $1,835,000 of developer fee is drawn from the senior loan; Draw 9 foots at $3,475,000.</w:t>
            </w:r>
          </w:p>
        </w:tc>
      </w:tr>
      <w:tr>
        <w:trPr>
          <w:cantSplit w:val="true"/>
        </w:trPr>
        <w:tc>
          <w:tcPr>
            <w:tcW w:type="dxa" w:w="2016"/>
          </w:tcPr>
          <w:p>
            <w:pPr>
              <w:spacing w:after="20" w:before="20" w:line="240" w:lineRule="auto"/>
            </w:pPr>
            <w:r/>
            <w:r>
              <w:rPr>
                <w:rFonts w:ascii="Times New Roman" w:hAnsi="Times New Roman"/>
                <w:b w:val="0"/>
                <w:sz w:val="16"/>
              </w:rPr>
              <w:t>Draws after maturity</w:t>
            </w:r>
          </w:p>
        </w:tc>
        <w:tc>
          <w:tcPr>
            <w:tcW w:type="dxa" w:w="5184"/>
          </w:tcPr>
          <w:p>
            <w:pPr>
              <w:spacing w:after="20" w:before="20" w:line="240" w:lineRule="auto"/>
            </w:pPr>
            <w:r/>
            <w:r>
              <w:rPr>
                <w:rFonts w:ascii="Times New Roman" w:hAnsi="Times New Roman"/>
                <w:b w:val="0"/>
                <w:sz w:val="16"/>
              </w:rPr>
              <w:t>Draw 8 (substantial completion) is dated August 2027, which is month 31 of a 30-month construction period ending August 28, 2027; Draw 9 (retainage release) is dated October 2027 — two months after maturity and within the mini-perm period.</w:t>
            </w:r>
          </w:p>
        </w:tc>
        <w:tc>
          <w:tcPr>
            <w:tcW w:type="dxa" w:w="2160"/>
          </w:tcPr>
          <w:p>
            <w:pPr>
              <w:spacing w:after="20" w:before="20" w:line="240" w:lineRule="auto"/>
            </w:pPr>
            <w:r/>
            <w:r>
              <w:rPr>
                <w:rFonts w:ascii="Times New Roman" w:hAnsi="Times New Roman"/>
                <w:b w:val="0"/>
                <w:sz w:val="16"/>
              </w:rPr>
              <w:t>Section 4.4 permits the retainage release after the Construction Maturity Date only on stated conditions and with Lender’s documented consent.</w:t>
            </w:r>
          </w:p>
        </w:tc>
      </w:tr>
    </w:tbl>
    <w:p>
      <w:pPr>
        <w:spacing w:after="160" w:before="0" w:line="240" w:lineRule="auto"/>
      </w:pPr>
    </w:p>
    <w:p>
      <w:pPr>
        <w:spacing w:after="160" w:line="259" w:lineRule="auto"/>
        <w:ind w:left="0" w:firstLine="720"/>
        <w:jc w:val="both"/>
      </w:pPr>
      <w:r>
        <w:rPr>
          <w:rFonts w:ascii="Times New Roman" w:hAnsi="Times New Roman"/>
          <w:b w:val="0"/>
          <w:i w:val="0"/>
          <w:sz w:val="22"/>
        </w:rPr>
        <w:t>Exhibit D to the Draft Agreement is a conformed schedule that foots to $47,500,000 and includes a reconciliation table showing each difference from the Term Sheet schedule. The Committee should also note the practical consequence: because the retainage release is the last $3.475 million of the facility and falls due after maturity, a Borrower that is otherwise performing will need Lender’s consent to a post-maturity advance, or a short extension, in order to be paid in full. That should be resolved in the closing documents rather than at the maturity date.</w:t>
      </w:r>
    </w:p>
    <w:p>
      <w:pPr>
        <w:keepNext/>
        <w:spacing w:before="280" w:after="120"/>
        <w:ind w:left="0"/>
      </w:pPr>
      <w:r>
        <w:rPr>
          <w:rFonts w:ascii="Times New Roman" w:hAnsi="Times New Roman"/>
          <w:b/>
          <w:sz w:val="21"/>
        </w:rPr>
        <w:t>3.7  Unfunded Costs Outside the Approved Budget (High)</w:t>
      </w:r>
    </w:p>
    <w:p>
      <w:pPr>
        <w:spacing w:after="120" w:line="259" w:lineRule="auto"/>
        <w:ind w:left="0" w:firstLine="720"/>
        <w:jc w:val="both"/>
      </w:pPr>
      <w:r>
        <w:rPr>
          <w:rFonts w:ascii="Times New Roman" w:hAnsi="Times New Roman"/>
          <w:b w:val="0"/>
          <w:i w:val="0"/>
          <w:sz w:val="22"/>
        </w:rPr>
        <w:t>The $56,700,000 budget is internally additive — we verified that the seven line items sum exactly — but it is not complete. The following costs are either incurred, contractual or inevitable, and none is funded:</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2232"/>
            <w:shd w:val="clear" w:color="auto" w:fill="D9D9D9"/>
          </w:tcPr>
          <w:p>
            <w:pPr>
              <w:spacing w:after="20" w:before="20" w:line="240" w:lineRule="auto"/>
              <w:jc w:val="center"/>
            </w:pPr>
            <w:r/>
            <w:r>
              <w:rPr>
                <w:rFonts w:ascii="Times New Roman" w:hAnsi="Times New Roman"/>
                <w:b/>
                <w:sz w:val="15"/>
              </w:rPr>
              <w:t>Item</w:t>
            </w:r>
          </w:p>
        </w:tc>
        <w:tc>
          <w:tcPr>
            <w:tcW w:type="dxa" w:w="2376"/>
            <w:shd w:val="clear" w:color="auto" w:fill="D9D9D9"/>
          </w:tcPr>
          <w:p>
            <w:pPr>
              <w:spacing w:after="20" w:before="20" w:line="240" w:lineRule="auto"/>
              <w:jc w:val="center"/>
            </w:pPr>
            <w:r/>
            <w:r>
              <w:rPr>
                <w:rFonts w:ascii="Times New Roman" w:hAnsi="Times New Roman"/>
                <w:b/>
                <w:sz w:val="15"/>
              </w:rPr>
              <w:t>Estimated amount</w:t>
            </w:r>
          </w:p>
        </w:tc>
        <w:tc>
          <w:tcPr>
            <w:tcW w:type="dxa" w:w="2520"/>
            <w:shd w:val="clear" w:color="auto" w:fill="D9D9D9"/>
          </w:tcPr>
          <w:p>
            <w:pPr>
              <w:spacing w:after="20" w:before="20" w:line="240" w:lineRule="auto"/>
              <w:jc w:val="center"/>
            </w:pPr>
            <w:r/>
            <w:r>
              <w:rPr>
                <w:rFonts w:ascii="Times New Roman" w:hAnsi="Times New Roman"/>
                <w:b/>
                <w:sz w:val="15"/>
              </w:rPr>
              <w:t>Basis</w:t>
            </w:r>
          </w:p>
        </w:tc>
        <w:tc>
          <w:tcPr>
            <w:tcW w:type="dxa" w:w="2232"/>
            <w:shd w:val="clear" w:color="auto" w:fill="D9D9D9"/>
          </w:tcPr>
          <w:p>
            <w:pPr>
              <w:spacing w:after="20" w:before="20" w:line="240" w:lineRule="auto"/>
              <w:jc w:val="center"/>
            </w:pPr>
            <w:r/>
            <w:r>
              <w:rPr>
                <w:rFonts w:ascii="Times New Roman" w:hAnsi="Times New Roman"/>
                <w:b/>
                <w:sz w:val="15"/>
              </w:rPr>
              <w:t>Treatment</w:t>
            </w:r>
          </w:p>
        </w:tc>
      </w:tr>
      <w:tr>
        <w:trPr>
          <w:cantSplit w:val="true"/>
        </w:trPr>
        <w:tc>
          <w:tcPr>
            <w:tcW w:type="dxa" w:w="2232"/>
          </w:tcPr>
          <w:p>
            <w:pPr>
              <w:spacing w:after="20" w:before="20" w:line="240" w:lineRule="auto"/>
            </w:pPr>
            <w:r/>
            <w:r>
              <w:rPr>
                <w:rFonts w:ascii="Times New Roman" w:hAnsi="Times New Roman"/>
                <w:b w:val="0"/>
                <w:sz w:val="15"/>
              </w:rPr>
              <w:t>Payoff of the Existing Mortgage</w:t>
            </w:r>
          </w:p>
        </w:tc>
        <w:tc>
          <w:tcPr>
            <w:tcW w:type="dxa" w:w="2376"/>
          </w:tcPr>
          <w:p>
            <w:pPr>
              <w:spacing w:after="20" w:before="20" w:line="240" w:lineRule="auto"/>
              <w:jc w:val="right"/>
            </w:pPr>
            <w:r/>
            <w:r>
              <w:rPr>
                <w:rFonts w:ascii="Times New Roman" w:hAnsi="Times New Roman"/>
                <w:b w:val="0"/>
                <w:sz w:val="15"/>
              </w:rPr>
              <w:t>$3,400,000 original principal; balance unknown</w:t>
            </w:r>
          </w:p>
        </w:tc>
        <w:tc>
          <w:tcPr>
            <w:tcW w:type="dxa" w:w="2520"/>
          </w:tcPr>
          <w:p>
            <w:pPr>
              <w:spacing w:after="20" w:before="20" w:line="240" w:lineRule="auto"/>
            </w:pPr>
            <w:r/>
            <w:r>
              <w:rPr>
                <w:rFonts w:ascii="Times New Roman" w:hAnsi="Times New Roman"/>
                <w:b w:val="0"/>
                <w:sz w:val="15"/>
              </w:rPr>
              <w:t>Title Commitment Sch. B-I ¶ 4 and Sch. B-II ¶ 10</w:t>
            </w:r>
          </w:p>
        </w:tc>
        <w:tc>
          <w:tcPr>
            <w:tcW w:type="dxa" w:w="2232"/>
          </w:tcPr>
          <w:p>
            <w:pPr>
              <w:spacing w:after="20" w:before="20" w:line="240" w:lineRule="auto"/>
            </w:pPr>
            <w:r/>
            <w:r>
              <w:rPr>
                <w:rFonts w:ascii="Times New Roman" w:hAnsi="Times New Roman"/>
                <w:b w:val="0"/>
                <w:sz w:val="15"/>
              </w:rPr>
              <w:t>Add as a use; add matching equity source (Section 3.3)</w:t>
            </w:r>
          </w:p>
        </w:tc>
      </w:tr>
      <w:tr>
        <w:trPr>
          <w:cantSplit w:val="true"/>
        </w:trPr>
        <w:tc>
          <w:tcPr>
            <w:tcW w:type="dxa" w:w="2232"/>
          </w:tcPr>
          <w:p>
            <w:pPr>
              <w:spacing w:after="20" w:before="20" w:line="240" w:lineRule="auto"/>
            </w:pPr>
            <w:r/>
            <w:r>
              <w:rPr>
                <w:rFonts w:ascii="Times New Roman" w:hAnsi="Times New Roman"/>
                <w:b w:val="0"/>
                <w:sz w:val="15"/>
              </w:rPr>
              <w:t>Mezzanine interest at 12.50% (payment-in-kind)</w:t>
            </w:r>
          </w:p>
        </w:tc>
        <w:tc>
          <w:tcPr>
            <w:tcW w:type="dxa" w:w="2376"/>
          </w:tcPr>
          <w:p>
            <w:pPr>
              <w:spacing w:after="20" w:before="20" w:line="240" w:lineRule="auto"/>
            </w:pPr>
            <w:r/>
            <w:r>
              <w:rPr>
                <w:rFonts w:ascii="Times New Roman" w:hAnsi="Times New Roman"/>
                <w:b w:val="0"/>
                <w:sz w:val="15"/>
              </w:rPr>
              <w:t>≈$2,875,000 over 30 months on $9,200,000; ≈$1,708,000 already accrued if funded in June 2023</w:t>
            </w:r>
          </w:p>
        </w:tc>
        <w:tc>
          <w:tcPr>
            <w:tcW w:type="dxa" w:w="2520"/>
          </w:tcPr>
          <w:p>
            <w:pPr>
              <w:spacing w:after="20" w:before="20" w:line="240" w:lineRule="auto"/>
            </w:pPr>
            <w:r/>
            <w:r>
              <w:rPr>
                <w:rFonts w:ascii="Times New Roman" w:hAnsi="Times New Roman"/>
                <w:b w:val="0"/>
                <w:sz w:val="15"/>
              </w:rPr>
              <w:t>Term Sheet § 1.4; Credit Memorandum § 4.4; Budget line 1.01</w:t>
            </w:r>
          </w:p>
        </w:tc>
        <w:tc>
          <w:tcPr>
            <w:tcW w:type="dxa" w:w="2232"/>
          </w:tcPr>
          <w:p>
            <w:pPr>
              <w:spacing w:after="20" w:before="20" w:line="240" w:lineRule="auto"/>
            </w:pPr>
            <w:r/>
            <w:r>
              <w:rPr>
                <w:rFonts w:ascii="Times New Roman" w:hAnsi="Times New Roman"/>
                <w:b w:val="0"/>
                <w:sz w:val="15"/>
              </w:rPr>
              <w:t>Quantify from the Mezzanine Documents; confirm it is payable from refinancing proceeds and not from the Bank’s collateral</w:t>
            </w:r>
          </w:p>
        </w:tc>
      </w:tr>
      <w:tr>
        <w:trPr>
          <w:cantSplit w:val="true"/>
        </w:trPr>
        <w:tc>
          <w:tcPr>
            <w:tcW w:type="dxa" w:w="2232"/>
          </w:tcPr>
          <w:p>
            <w:pPr>
              <w:spacing w:after="20" w:before="20" w:line="240" w:lineRule="auto"/>
            </w:pPr>
            <w:r/>
            <w:r>
              <w:rPr>
                <w:rFonts w:ascii="Times New Roman" w:hAnsi="Times New Roman"/>
                <w:b w:val="0"/>
                <w:sz w:val="15"/>
              </w:rPr>
              <w:t>Unused line fee at 0.25%</w:t>
            </w:r>
          </w:p>
        </w:tc>
        <w:tc>
          <w:tcPr>
            <w:tcW w:type="dxa" w:w="2376"/>
          </w:tcPr>
          <w:p>
            <w:pPr>
              <w:spacing w:after="20" w:before="20" w:line="240" w:lineRule="auto"/>
            </w:pPr>
            <w:r/>
            <w:r>
              <w:rPr>
                <w:rFonts w:ascii="Times New Roman" w:hAnsi="Times New Roman"/>
                <w:b w:val="0"/>
                <w:sz w:val="15"/>
              </w:rPr>
              <w:t>≈$125,000 over the construction period</w:t>
            </w:r>
          </w:p>
        </w:tc>
        <w:tc>
          <w:tcPr>
            <w:tcW w:type="dxa" w:w="2520"/>
          </w:tcPr>
          <w:p>
            <w:pPr>
              <w:spacing w:after="20" w:before="20" w:line="240" w:lineRule="auto"/>
            </w:pPr>
            <w:r/>
            <w:r>
              <w:rPr>
                <w:rFonts w:ascii="Times New Roman" w:hAnsi="Times New Roman"/>
                <w:b w:val="0"/>
                <w:sz w:val="15"/>
              </w:rPr>
              <w:t>Term Sheet § 3.4; average undrawn balance ≈$20.1 million</w:t>
            </w:r>
          </w:p>
        </w:tc>
        <w:tc>
          <w:tcPr>
            <w:tcW w:type="dxa" w:w="2232"/>
          </w:tcPr>
          <w:p>
            <w:pPr>
              <w:spacing w:after="20" w:before="20" w:line="240" w:lineRule="auto"/>
            </w:pPr>
            <w:r/>
            <w:r>
              <w:rPr>
                <w:rFonts w:ascii="Times New Roman" w:hAnsi="Times New Roman"/>
                <w:b w:val="0"/>
                <w:sz w:val="15"/>
              </w:rPr>
              <w:t>Add to the budget or fund from equity</w:t>
            </w:r>
          </w:p>
        </w:tc>
      </w:tr>
      <w:tr>
        <w:trPr>
          <w:cantSplit w:val="true"/>
        </w:trPr>
        <w:tc>
          <w:tcPr>
            <w:tcW w:type="dxa" w:w="2232"/>
          </w:tcPr>
          <w:p>
            <w:pPr>
              <w:spacing w:after="20" w:before="20" w:line="240" w:lineRule="auto"/>
            </w:pPr>
            <w:r/>
            <w:r>
              <w:rPr>
                <w:rFonts w:ascii="Times New Roman" w:hAnsi="Times New Roman"/>
                <w:b w:val="0"/>
                <w:sz w:val="15"/>
              </w:rPr>
              <w:t>Exit fee</w:t>
            </w:r>
          </w:p>
        </w:tc>
        <w:tc>
          <w:tcPr>
            <w:tcW w:type="dxa" w:w="2376"/>
          </w:tcPr>
          <w:p>
            <w:pPr>
              <w:spacing w:after="20" w:before="20" w:line="240" w:lineRule="auto"/>
            </w:pPr>
            <w:r/>
            <w:r>
              <w:rPr>
                <w:rFonts w:ascii="Times New Roman" w:hAnsi="Times New Roman"/>
                <w:b w:val="0"/>
                <w:sz w:val="15"/>
              </w:rPr>
              <w:t>Up to $237,500 (0.50% during construction); $118,750 (0.25% in the first six mini-perm months)</w:t>
            </w:r>
          </w:p>
        </w:tc>
        <w:tc>
          <w:tcPr>
            <w:tcW w:type="dxa" w:w="2520"/>
          </w:tcPr>
          <w:p>
            <w:pPr>
              <w:spacing w:after="20" w:before="20" w:line="240" w:lineRule="auto"/>
            </w:pPr>
            <w:r/>
            <w:r>
              <w:rPr>
                <w:rFonts w:ascii="Times New Roman" w:hAnsi="Times New Roman"/>
                <w:b w:val="0"/>
                <w:sz w:val="15"/>
              </w:rPr>
              <w:t>Term Sheet § 3.4</w:t>
            </w:r>
          </w:p>
        </w:tc>
        <w:tc>
          <w:tcPr>
            <w:tcW w:type="dxa" w:w="2232"/>
          </w:tcPr>
          <w:p>
            <w:pPr>
              <w:spacing w:after="20" w:before="20" w:line="240" w:lineRule="auto"/>
            </w:pPr>
            <w:r/>
            <w:r>
              <w:rPr>
                <w:rFonts w:ascii="Times New Roman" w:hAnsi="Times New Roman"/>
                <w:b w:val="0"/>
                <w:sz w:val="15"/>
              </w:rPr>
              <w:t>Add to the budget or fund from equity</w:t>
            </w:r>
          </w:p>
        </w:tc>
      </w:tr>
      <w:tr>
        <w:trPr>
          <w:cantSplit w:val="true"/>
        </w:trPr>
        <w:tc>
          <w:tcPr>
            <w:tcW w:type="dxa" w:w="2232"/>
          </w:tcPr>
          <w:p>
            <w:pPr>
              <w:spacing w:after="20" w:before="20" w:line="240" w:lineRule="auto"/>
            </w:pPr>
            <w:r/>
            <w:r>
              <w:rPr>
                <w:rFonts w:ascii="Times New Roman" w:hAnsi="Times New Roman"/>
                <w:b w:val="0"/>
                <w:sz w:val="15"/>
              </w:rPr>
              <w:t>Extension fee</w:t>
            </w:r>
          </w:p>
        </w:tc>
        <w:tc>
          <w:tcPr>
            <w:tcW w:type="dxa" w:w="2376"/>
          </w:tcPr>
          <w:p>
            <w:pPr>
              <w:spacing w:after="20" w:before="20" w:line="240" w:lineRule="auto"/>
              <w:jc w:val="right"/>
            </w:pPr>
            <w:r/>
            <w:r>
              <w:rPr>
                <w:rFonts w:ascii="Times New Roman" w:hAnsi="Times New Roman"/>
                <w:b w:val="0"/>
                <w:sz w:val="15"/>
              </w:rPr>
              <w:t>$118,750 if the Extension Option is exercised</w:t>
            </w:r>
          </w:p>
        </w:tc>
        <w:tc>
          <w:tcPr>
            <w:tcW w:type="dxa" w:w="2520"/>
          </w:tcPr>
          <w:p>
            <w:pPr>
              <w:spacing w:after="20" w:before="20" w:line="240" w:lineRule="auto"/>
            </w:pPr>
            <w:r/>
            <w:r>
              <w:rPr>
                <w:rFonts w:ascii="Times New Roman" w:hAnsi="Times New Roman"/>
                <w:b w:val="0"/>
                <w:sz w:val="15"/>
              </w:rPr>
              <w:t>Credit Memorandum § 11(e)</w:t>
            </w:r>
          </w:p>
        </w:tc>
        <w:tc>
          <w:tcPr>
            <w:tcW w:type="dxa" w:w="2232"/>
          </w:tcPr>
          <w:p>
            <w:pPr>
              <w:spacing w:after="20" w:before="20" w:line="240" w:lineRule="auto"/>
            </w:pPr>
            <w:r/>
            <w:r>
              <w:rPr>
                <w:rFonts w:ascii="Times New Roman" w:hAnsi="Times New Roman"/>
                <w:b w:val="0"/>
                <w:sz w:val="15"/>
              </w:rPr>
              <w:t>Fund at the time of exercise</w:t>
            </w:r>
          </w:p>
        </w:tc>
      </w:tr>
      <w:tr>
        <w:trPr>
          <w:cantSplit w:val="true"/>
        </w:trPr>
        <w:tc>
          <w:tcPr>
            <w:tcW w:type="dxa" w:w="2232"/>
          </w:tcPr>
          <w:p>
            <w:pPr>
              <w:spacing w:after="20" w:before="20" w:line="240" w:lineRule="auto"/>
            </w:pPr>
            <w:r/>
            <w:r>
              <w:rPr>
                <w:rFonts w:ascii="Times New Roman" w:hAnsi="Times New Roman"/>
                <w:b w:val="0"/>
                <w:sz w:val="15"/>
              </w:rPr>
              <w:t>Association assessments under the Declaration</w:t>
            </w:r>
          </w:p>
        </w:tc>
        <w:tc>
          <w:tcPr>
            <w:tcW w:type="dxa" w:w="2376"/>
          </w:tcPr>
          <w:p>
            <w:pPr>
              <w:spacing w:after="20" w:before="20" w:line="240" w:lineRule="auto"/>
              <w:jc w:val="right"/>
            </w:pPr>
            <w:r/>
            <w:r>
              <w:rPr>
                <w:rFonts w:ascii="Times New Roman" w:hAnsi="Times New Roman"/>
                <w:b w:val="0"/>
                <w:sz w:val="15"/>
              </w:rPr>
              <w:t>$34,500 per annum ($0.12 × 287,500 gross building area)</w:t>
            </w:r>
          </w:p>
        </w:tc>
        <w:tc>
          <w:tcPr>
            <w:tcW w:type="dxa" w:w="2520"/>
          </w:tcPr>
          <w:p>
            <w:pPr>
              <w:spacing w:after="20" w:before="20" w:line="240" w:lineRule="auto"/>
            </w:pPr>
            <w:r/>
            <w:r>
              <w:rPr>
                <w:rFonts w:ascii="Times New Roman" w:hAnsi="Times New Roman"/>
                <w:b w:val="0"/>
                <w:sz w:val="15"/>
              </w:rPr>
              <w:t>Title Commitment Sch. B-II ¶ 11(b)</w:t>
            </w:r>
          </w:p>
        </w:tc>
        <w:tc>
          <w:tcPr>
            <w:tcW w:type="dxa" w:w="2232"/>
          </w:tcPr>
          <w:p>
            <w:pPr>
              <w:spacing w:after="20" w:before="20" w:line="240" w:lineRule="auto"/>
            </w:pPr>
            <w:r/>
            <w:r>
              <w:rPr>
                <w:rFonts w:ascii="Times New Roman" w:hAnsi="Times New Roman"/>
                <w:b w:val="0"/>
                <w:sz w:val="15"/>
              </w:rPr>
              <w:t>Add to operating expenses; see Section 4.4</w:t>
            </w:r>
          </w:p>
        </w:tc>
      </w:tr>
      <w:tr>
        <w:trPr>
          <w:cantSplit w:val="true"/>
        </w:trPr>
        <w:tc>
          <w:tcPr>
            <w:tcW w:type="dxa" w:w="2232"/>
          </w:tcPr>
          <w:p>
            <w:pPr>
              <w:spacing w:after="20" w:before="20" w:line="240" w:lineRule="auto"/>
            </w:pPr>
            <w:r/>
            <w:r>
              <w:rPr>
                <w:rFonts w:ascii="Times New Roman" w:hAnsi="Times New Roman"/>
                <w:b w:val="0"/>
                <w:sz w:val="15"/>
              </w:rPr>
              <w:t>Public art requirement</w:t>
            </w:r>
          </w:p>
        </w:tc>
        <w:tc>
          <w:tcPr>
            <w:tcW w:type="dxa" w:w="2376"/>
          </w:tcPr>
          <w:p>
            <w:pPr>
              <w:spacing w:after="20" w:before="20" w:line="240" w:lineRule="auto"/>
            </w:pPr>
            <w:r/>
            <w:r>
              <w:rPr>
                <w:rFonts w:ascii="Times New Roman" w:hAnsi="Times New Roman"/>
                <w:b w:val="0"/>
                <w:sz w:val="15"/>
              </w:rPr>
              <w:t>Unknown</w:t>
            </w:r>
          </w:p>
        </w:tc>
        <w:tc>
          <w:tcPr>
            <w:tcW w:type="dxa" w:w="2520"/>
          </w:tcPr>
          <w:p>
            <w:pPr>
              <w:spacing w:after="20" w:before="20" w:line="240" w:lineRule="auto"/>
            </w:pPr>
            <w:r/>
            <w:r>
              <w:rPr>
                <w:rFonts w:ascii="Times New Roman" w:hAnsi="Times New Roman"/>
                <w:b w:val="0"/>
                <w:sz w:val="15"/>
              </w:rPr>
              <w:t>Title Commitment Sch. B-II ¶ 12</w:t>
            </w:r>
          </w:p>
        </w:tc>
        <w:tc>
          <w:tcPr>
            <w:tcW w:type="dxa" w:w="2232"/>
          </w:tcPr>
          <w:p>
            <w:pPr>
              <w:spacing w:after="20" w:before="20" w:line="240" w:lineRule="auto"/>
            </w:pPr>
            <w:r/>
            <w:r>
              <w:rPr>
                <w:rFonts w:ascii="Times New Roman" w:hAnsi="Times New Roman"/>
                <w:b w:val="0"/>
                <w:sz w:val="15"/>
              </w:rPr>
              <w:t>Confirm with the City; add to the budget if applicable</w:t>
            </w:r>
          </w:p>
        </w:tc>
      </w:tr>
      <w:tr>
        <w:trPr>
          <w:cantSplit w:val="true"/>
        </w:trPr>
        <w:tc>
          <w:tcPr>
            <w:tcW w:type="dxa" w:w="2232"/>
          </w:tcPr>
          <w:p>
            <w:pPr>
              <w:spacing w:after="20" w:before="20" w:line="240" w:lineRule="auto"/>
            </w:pPr>
            <w:r/>
            <w:r>
              <w:rPr>
                <w:rFonts w:ascii="Times New Roman" w:hAnsi="Times New Roman"/>
                <w:b w:val="0"/>
                <w:sz w:val="15"/>
              </w:rPr>
              <w:t>Lease-up costs</w:t>
            </w:r>
          </w:p>
        </w:tc>
        <w:tc>
          <w:tcPr>
            <w:tcW w:type="dxa" w:w="2376"/>
          </w:tcPr>
          <w:p>
            <w:pPr>
              <w:spacing w:after="20" w:before="20" w:line="240" w:lineRule="auto"/>
            </w:pPr>
            <w:r/>
            <w:r>
              <w:rPr>
                <w:rFonts w:ascii="Times New Roman" w:hAnsi="Times New Roman"/>
                <w:b w:val="0"/>
                <w:sz w:val="15"/>
              </w:rPr>
              <w:t>≈$680,000 per the appraisal; $250,000 budgeted</w:t>
            </w:r>
          </w:p>
        </w:tc>
        <w:tc>
          <w:tcPr>
            <w:tcW w:type="dxa" w:w="2520"/>
          </w:tcPr>
          <w:p>
            <w:pPr>
              <w:spacing w:after="20" w:before="20" w:line="240" w:lineRule="auto"/>
            </w:pPr>
            <w:r/>
            <w:r>
              <w:rPr>
                <w:rFonts w:ascii="Times New Roman" w:hAnsi="Times New Roman"/>
                <w:b w:val="0"/>
                <w:sz w:val="15"/>
              </w:rPr>
              <w:t>Appraisal § 6.2; Budget line 3.10</w:t>
            </w:r>
          </w:p>
        </w:tc>
        <w:tc>
          <w:tcPr>
            <w:tcW w:type="dxa" w:w="2232"/>
          </w:tcPr>
          <w:p>
            <w:pPr>
              <w:spacing w:after="20" w:before="20" w:line="240" w:lineRule="auto"/>
            </w:pPr>
            <w:r/>
            <w:r>
              <w:rPr>
                <w:rFonts w:ascii="Times New Roman" w:hAnsi="Times New Roman"/>
                <w:b w:val="0"/>
                <w:sz w:val="15"/>
              </w:rPr>
              <w:t>Fund the difference from equity or from the contingency</w:t>
            </w:r>
          </w:p>
        </w:tc>
      </w:tr>
      <w:tr>
        <w:trPr>
          <w:cantSplit w:val="true"/>
        </w:trPr>
        <w:tc>
          <w:tcPr>
            <w:tcW w:type="dxa" w:w="2232"/>
          </w:tcPr>
          <w:p>
            <w:pPr>
              <w:spacing w:after="20" w:before="20" w:line="240" w:lineRule="auto"/>
            </w:pPr>
            <w:r/>
            <w:r>
              <w:rPr>
                <w:rFonts w:ascii="Times New Roman" w:hAnsi="Times New Roman"/>
                <w:b w:val="0"/>
                <w:sz w:val="15"/>
              </w:rPr>
              <w:t>Environmental remediation already incurred</w:t>
            </w:r>
          </w:p>
        </w:tc>
        <w:tc>
          <w:tcPr>
            <w:tcW w:type="dxa" w:w="2376"/>
          </w:tcPr>
          <w:p>
            <w:pPr>
              <w:spacing w:after="20" w:before="20" w:line="240" w:lineRule="auto"/>
              <w:jc w:val="right"/>
            </w:pPr>
            <w:r/>
            <w:r>
              <w:rPr>
                <w:rFonts w:ascii="Times New Roman" w:hAnsi="Times New Roman"/>
                <w:b w:val="0"/>
                <w:sz w:val="15"/>
              </w:rPr>
              <w:t>$485,000 (plus demolition)</w:t>
            </w:r>
          </w:p>
        </w:tc>
        <w:tc>
          <w:tcPr>
            <w:tcW w:type="dxa" w:w="2520"/>
          </w:tcPr>
          <w:p>
            <w:pPr>
              <w:spacing w:after="20" w:before="20" w:line="240" w:lineRule="auto"/>
            </w:pPr>
            <w:r/>
            <w:r>
              <w:rPr>
                <w:rFonts w:ascii="Times New Roman" w:hAnsi="Times New Roman"/>
                <w:b w:val="0"/>
                <w:sz w:val="15"/>
              </w:rPr>
              <w:t>Phase I ESA § 6.3</w:t>
            </w:r>
          </w:p>
        </w:tc>
        <w:tc>
          <w:tcPr>
            <w:tcW w:type="dxa" w:w="2232"/>
          </w:tcPr>
          <w:p>
            <w:pPr>
              <w:spacing w:after="20" w:before="20" w:line="240" w:lineRule="auto"/>
            </w:pPr>
            <w:r/>
            <w:r>
              <w:rPr>
                <w:rFonts w:ascii="Times New Roman" w:hAnsi="Times New Roman"/>
                <w:b w:val="0"/>
                <w:sz w:val="15"/>
              </w:rPr>
              <w:t>Confirm it was funded by the member, not reimbursed from loan proceeds</w:t>
            </w:r>
          </w:p>
        </w:tc>
      </w:tr>
    </w:tbl>
    <w:p>
      <w:pPr>
        <w:spacing w:after="160" w:before="0" w:line="240" w:lineRule="auto"/>
      </w:pPr>
    </w:p>
    <w:p>
      <w:pPr>
        <w:spacing w:after="120" w:line="259" w:lineRule="auto"/>
        <w:ind w:left="0" w:firstLine="720"/>
        <w:jc w:val="both"/>
      </w:pPr>
      <w:r>
        <w:rPr>
          <w:rFonts w:ascii="Times New Roman" w:hAnsi="Times New Roman"/>
          <w:b w:val="0"/>
          <w:i w:val="0"/>
          <w:sz w:val="22"/>
        </w:rPr>
        <w:t>None of these is unusual in amount; the problem is that the underwriting treats a budget with a 3.28% hard-cost contingency ($1,140,000 against $34,750,000) and a $300,000 soft-cost contingency as complete, when at least $3.4 million of mandatory closing uses sit outside it. We recommend that the credit memorandum be revised to state Total Project Costs on a fully funded basis and that the additional sources be identified before the file returns to Committee.</w:t>
      </w:r>
    </w:p>
    <w:p>
      <w:pPr>
        <w:spacing w:before="80" w:after="160"/>
        <w:ind w:left="720" w:right="360"/>
        <w:jc w:val="both"/>
      </w:pPr>
      <w:r>
        <w:rPr>
          <w:rFonts w:ascii="Times New Roman" w:hAnsi="Times New Roman"/>
          <w:i/>
          <w:color w:val="8B1A1A"/>
          <w:sz w:val="19"/>
        </w:rPr>
        <w:t>The credit memorandum describes the contingency as “$1,440,000 … approximately 4.1% of hard construction costs.” That figure divides total contingency by hard costs; the hard-cost contingency is separately stated in the Borrower’s budget at $1,140,000, or 3.28% of hard costs, which is at the low end of the Bank’s 3%–5% guidance given a guaranteed maximum price that includes all site work.</w:t>
      </w:r>
    </w:p>
    <w:p>
      <w:pPr>
        <w:keepNext/>
        <w:spacing w:before="280" w:after="120"/>
        <w:ind w:left="0"/>
      </w:pPr>
      <w:r>
        <w:rPr>
          <w:rFonts w:ascii="Times New Roman" w:hAnsi="Times New Roman"/>
          <w:b/>
          <w:sz w:val="21"/>
        </w:rPr>
        <w:t>3.8  Financial Covenant Design (High)</w:t>
      </w:r>
    </w:p>
    <w:p>
      <w:pPr>
        <w:spacing w:after="120" w:line="259" w:lineRule="auto"/>
        <w:ind w:left="0" w:firstLine="720"/>
        <w:jc w:val="both"/>
      </w:pPr>
      <w:r>
        <w:rPr>
          <w:rFonts w:ascii="Times New Roman" w:hAnsi="Times New Roman"/>
          <w:b w:val="0"/>
          <w:i w:val="0"/>
          <w:sz w:val="22"/>
        </w:rPr>
        <w:t>Three design problems in the Term Sheet’s financial covenants would produce a default that no borrower could avoid:</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1728"/>
            <w:shd w:val="clear" w:color="auto" w:fill="D9D9D9"/>
          </w:tcPr>
          <w:p>
            <w:pPr>
              <w:spacing w:after="20" w:before="20" w:line="240" w:lineRule="auto"/>
              <w:jc w:val="center"/>
            </w:pPr>
            <w:r/>
            <w:r>
              <w:rPr>
                <w:rFonts w:ascii="Times New Roman" w:hAnsi="Times New Roman"/>
                <w:b/>
                <w:sz w:val="15"/>
              </w:rPr>
              <w:t>Covenant</w:t>
            </w:r>
          </w:p>
        </w:tc>
        <w:tc>
          <w:tcPr>
            <w:tcW w:type="dxa" w:w="2736"/>
            <w:shd w:val="clear" w:color="auto" w:fill="D9D9D9"/>
          </w:tcPr>
          <w:p>
            <w:pPr>
              <w:spacing w:after="20" w:before="20" w:line="240" w:lineRule="auto"/>
              <w:jc w:val="center"/>
            </w:pPr>
            <w:r/>
            <w:r>
              <w:rPr>
                <w:rFonts w:ascii="Times New Roman" w:hAnsi="Times New Roman"/>
                <w:b/>
                <w:sz w:val="15"/>
              </w:rPr>
              <w:t>Term Sheet drafting</w:t>
            </w:r>
          </w:p>
        </w:tc>
        <w:tc>
          <w:tcPr>
            <w:tcW w:type="dxa" w:w="3168"/>
            <w:shd w:val="clear" w:color="auto" w:fill="D9D9D9"/>
          </w:tcPr>
          <w:p>
            <w:pPr>
              <w:spacing w:after="20" w:before="20" w:line="240" w:lineRule="auto"/>
              <w:jc w:val="center"/>
            </w:pPr>
            <w:r/>
            <w:r>
              <w:rPr>
                <w:rFonts w:ascii="Times New Roman" w:hAnsi="Times New Roman"/>
                <w:b/>
                <w:sz w:val="15"/>
              </w:rPr>
              <w:t>Problem</w:t>
            </w:r>
          </w:p>
        </w:tc>
        <w:tc>
          <w:tcPr>
            <w:tcW w:type="dxa" w:w="1728"/>
            <w:shd w:val="clear" w:color="auto" w:fill="D9D9D9"/>
          </w:tcPr>
          <w:p>
            <w:pPr>
              <w:spacing w:after="20" w:before="20" w:line="240" w:lineRule="auto"/>
              <w:jc w:val="center"/>
            </w:pPr>
            <w:r/>
            <w:r>
              <w:rPr>
                <w:rFonts w:ascii="Times New Roman" w:hAnsi="Times New Roman"/>
                <w:b/>
                <w:sz w:val="15"/>
              </w:rPr>
              <w:t>Draft Agreement</w:t>
            </w:r>
          </w:p>
        </w:tc>
      </w:tr>
      <w:tr>
        <w:trPr>
          <w:cantSplit w:val="true"/>
        </w:trPr>
        <w:tc>
          <w:tcPr>
            <w:tcW w:type="dxa" w:w="1728"/>
          </w:tcPr>
          <w:p>
            <w:pPr>
              <w:spacing w:after="20" w:before="20" w:line="240" w:lineRule="auto"/>
            </w:pPr>
            <w:r/>
            <w:r>
              <w:rPr>
                <w:rFonts w:ascii="Times New Roman" w:hAnsi="Times New Roman"/>
                <w:b w:val="0"/>
                <w:sz w:val="15"/>
              </w:rPr>
              <w:t>Debt Service Coverage Ratio</w:t>
            </w:r>
          </w:p>
        </w:tc>
        <w:tc>
          <w:tcPr>
            <w:tcW w:type="dxa" w:w="2736"/>
          </w:tcPr>
          <w:p>
            <w:pPr>
              <w:spacing w:after="20" w:before="20" w:line="240" w:lineRule="auto"/>
            </w:pPr>
            <w:r/>
            <w:r>
              <w:rPr>
                <w:rFonts w:ascii="Times New Roman" w:hAnsi="Times New Roman"/>
                <w:b w:val="0"/>
                <w:sz w:val="15"/>
              </w:rPr>
              <w:t>“Tested at the commencement of the Mini-Perm Period and annually thereafter based on actual trailing twelve-month net operating income” (§ 6.3)</w:t>
            </w:r>
          </w:p>
        </w:tc>
        <w:tc>
          <w:tcPr>
            <w:tcW w:type="dxa" w:w="3168"/>
          </w:tcPr>
          <w:p>
            <w:pPr>
              <w:spacing w:after="20" w:before="20" w:line="240" w:lineRule="auto"/>
            </w:pPr>
            <w:r/>
            <w:r>
              <w:rPr>
                <w:rFonts w:ascii="Times New Roman" w:hAnsi="Times New Roman"/>
                <w:b w:val="0"/>
                <w:sz w:val="15"/>
              </w:rPr>
              <w:t>The mini-perm begins August 28, 2027. Trailing twelve-month NOI at that date is effectively nil, and the appraiser projects stabilization only in approximately May 2028 (Appraisal § 6.3). The first test fails by construction and would immediately require a principal curtailment or a cash collateral deposit.</w:t>
            </w:r>
          </w:p>
        </w:tc>
        <w:tc>
          <w:tcPr>
            <w:tcW w:type="dxa" w:w="1728"/>
          </w:tcPr>
          <w:p>
            <w:pPr>
              <w:spacing w:after="20" w:before="20" w:line="240" w:lineRule="auto"/>
            </w:pPr>
            <w:r/>
            <w:r>
              <w:rPr>
                <w:rFonts w:ascii="Times New Roman" w:hAnsi="Times New Roman"/>
                <w:b w:val="0"/>
                <w:sz w:val="15"/>
              </w:rPr>
              <w:t>§ 8.3(b): 1.15x on annualized in-place income until twelve months after Substantial Completion; 1.25x thereafter.</w:t>
            </w:r>
          </w:p>
        </w:tc>
      </w:tr>
      <w:tr>
        <w:trPr>
          <w:cantSplit w:val="true"/>
        </w:trPr>
        <w:tc>
          <w:tcPr>
            <w:tcW w:type="dxa" w:w="1728"/>
          </w:tcPr>
          <w:p>
            <w:pPr>
              <w:spacing w:after="20" w:before="20" w:line="240" w:lineRule="auto"/>
            </w:pPr>
            <w:r/>
            <w:r>
              <w:rPr>
                <w:rFonts w:ascii="Times New Roman" w:hAnsi="Times New Roman"/>
                <w:b w:val="0"/>
                <w:sz w:val="15"/>
              </w:rPr>
              <w:t>Loan-to-Value</w:t>
            </w:r>
          </w:p>
        </w:tc>
        <w:tc>
          <w:tcPr>
            <w:tcW w:type="dxa" w:w="2736"/>
          </w:tcPr>
          <w:p>
            <w:pPr>
              <w:spacing w:after="20" w:before="20" w:line="240" w:lineRule="auto"/>
            </w:pPr>
            <w:r/>
            <w:r>
              <w:rPr>
                <w:rFonts w:ascii="Times New Roman" w:hAnsi="Times New Roman"/>
                <w:b w:val="0"/>
                <w:sz w:val="15"/>
              </w:rPr>
              <w:t>65% as-completed and as-stabilized (§ 6.2) but the extension condition in the credit memorandum requires ≤70% (§ 11(h))</w:t>
            </w:r>
          </w:p>
        </w:tc>
        <w:tc>
          <w:tcPr>
            <w:tcW w:type="dxa" w:w="3168"/>
          </w:tcPr>
          <w:p>
            <w:pPr>
              <w:spacing w:after="20" w:before="20" w:line="240" w:lineRule="auto"/>
            </w:pPr>
            <w:r/>
            <w:r>
              <w:rPr>
                <w:rFonts w:ascii="Times New Roman" w:hAnsi="Times New Roman"/>
                <w:b w:val="0"/>
                <w:sz w:val="15"/>
              </w:rPr>
              <w:t>Inconsistent thresholds: an extension could be granted while the Loan is in breach of § 8.2.</w:t>
            </w:r>
          </w:p>
        </w:tc>
        <w:tc>
          <w:tcPr>
            <w:tcW w:type="dxa" w:w="1728"/>
          </w:tcPr>
          <w:p>
            <w:pPr>
              <w:spacing w:after="20" w:before="20" w:line="240" w:lineRule="auto"/>
            </w:pPr>
            <w:r/>
            <w:r>
              <w:rPr>
                <w:rFonts w:ascii="Times New Roman" w:hAnsi="Times New Roman"/>
                <w:b w:val="0"/>
                <w:sz w:val="15"/>
              </w:rPr>
              <w:t>§ 2.13(c)(viii) conformed to 65.00%.</w:t>
            </w:r>
          </w:p>
        </w:tc>
      </w:tr>
      <w:tr>
        <w:trPr>
          <w:cantSplit w:val="true"/>
        </w:trPr>
        <w:tc>
          <w:tcPr>
            <w:tcW w:type="dxa" w:w="1728"/>
          </w:tcPr>
          <w:p>
            <w:pPr>
              <w:spacing w:after="20" w:before="20" w:line="240" w:lineRule="auto"/>
            </w:pPr>
            <w:r/>
            <w:r>
              <w:rPr>
                <w:rFonts w:ascii="Times New Roman" w:hAnsi="Times New Roman"/>
                <w:b w:val="0"/>
                <w:sz w:val="15"/>
              </w:rPr>
              <w:t>Guarantor net worth</w:t>
            </w:r>
          </w:p>
        </w:tc>
        <w:tc>
          <w:tcPr>
            <w:tcW w:type="dxa" w:w="2736"/>
          </w:tcPr>
          <w:p>
            <w:pPr>
              <w:spacing w:after="20" w:before="20" w:line="240" w:lineRule="auto"/>
            </w:pPr>
            <w:r/>
            <w:r>
              <w:rPr>
                <w:rFonts w:ascii="Times New Roman" w:hAnsi="Times New Roman"/>
                <w:b w:val="0"/>
                <w:sz w:val="15"/>
              </w:rPr>
              <w:t>Event of Default if “any Guarantor’s net worth falls below the minimum threshold set forth in Section 6.4” (§ 15)</w:t>
            </w:r>
          </w:p>
        </w:tc>
        <w:tc>
          <w:tcPr>
            <w:tcW w:type="dxa" w:w="3168"/>
          </w:tcPr>
          <w:p>
            <w:pPr>
              <w:spacing w:after="20" w:before="20" w:line="240" w:lineRule="auto"/>
            </w:pPr>
            <w:r/>
            <w:r>
              <w:rPr>
                <w:rFonts w:ascii="Times New Roman" w:hAnsi="Times New Roman"/>
                <w:b w:val="0"/>
                <w:sz w:val="15"/>
              </w:rPr>
              <w:t>Section 6.4 is the Borrower net worth covenant. There is no guarantor net worth covenant in the Term Sheet, so the default provision has no referent and is inoperative.</w:t>
            </w:r>
          </w:p>
        </w:tc>
        <w:tc>
          <w:tcPr>
            <w:tcW w:type="dxa" w:w="1728"/>
          </w:tcPr>
          <w:p>
            <w:pPr>
              <w:spacing w:after="20" w:before="20" w:line="240" w:lineRule="auto"/>
            </w:pPr>
            <w:r/>
            <w:r>
              <w:rPr>
                <w:rFonts w:ascii="Times New Roman" w:hAnsi="Times New Roman"/>
                <w:b w:val="0"/>
                <w:sz w:val="15"/>
              </w:rPr>
              <w:t>§ 14.1(n)–(o): revocation of a Guaranty and failure to meet the § 8.5 liquidity covenant, with a cure period.</w:t>
            </w:r>
          </w:p>
        </w:tc>
      </w:tr>
    </w:tbl>
    <w:p>
      <w:pPr>
        <w:spacing w:after="160" w:before="0" w:line="240" w:lineRule="auto"/>
      </w:pPr>
    </w:p>
    <w:p>
      <w:pPr>
        <w:spacing w:after="160" w:line="259" w:lineRule="auto"/>
        <w:ind w:left="0" w:firstLine="720"/>
        <w:jc w:val="both"/>
      </w:pPr>
      <w:r>
        <w:rPr>
          <w:rFonts w:ascii="Times New Roman" w:hAnsi="Times New Roman"/>
          <w:b w:val="0"/>
          <w:i w:val="0"/>
          <w:sz w:val="22"/>
        </w:rPr>
        <w:t>The exposure created by the loan-to-value covenant deserves emphasis. Because the as-stabilized value depends on 212 units, a loss of the 14 units over the Affected Area reduces the as-stabilized value to approximately $70,306,875 and drives the as-stabilized loan-to-value ratio to 67.56%, in breach of the 65% covenant even at the conformed commitment of $45,360,000 (which would be 64.52% on the reduced value). The environmental issue in Section 3.5 and the loan-to-value covenant are therefore the same credit issue viewed from two directions, and the lender should not accept a covenant cure mechanism that permits the Bank to be paid down rather than requiring the use restriction to be resolved.</w:t>
      </w:r>
    </w:p>
    <w:p>
      <w:pPr>
        <w:keepNext/>
        <w:spacing w:before="280" w:after="120"/>
        <w:ind w:left="0"/>
      </w:pPr>
      <w:r>
        <w:rPr>
          <w:rFonts w:ascii="Times New Roman" w:hAnsi="Times New Roman"/>
          <w:b/>
          <w:sz w:val="21"/>
        </w:rPr>
        <w:t>3.9  Extension Option and Lease-Up Timing (Medium)</w:t>
      </w:r>
    </w:p>
    <w:p>
      <w:pPr>
        <w:spacing w:after="120" w:line="259" w:lineRule="auto"/>
        <w:ind w:left="0" w:firstLine="720"/>
        <w:jc w:val="both"/>
      </w:pPr>
      <w:r>
        <w:rPr>
          <w:rFonts w:ascii="Times New Roman" w:hAnsi="Times New Roman"/>
          <w:b w:val="0"/>
          <w:i w:val="0"/>
          <w:sz w:val="22"/>
        </w:rPr>
        <w:t>The appraisal projects substantial completion on August 31, 2027, stabilization (95% occupancy) in approximately May 2028, and an absorption rate of 22 to 25 units per month (Appraisal §§ 4, 6.3). The construction maturity date is August 28, 2027 — three days before the projected substantial completion date — and the mini-perm matures August 28, 2028. The extension notice must be given sixty days before that, by June 28, 2028, at which point the property would be roughly one month past the appraiser’s own stabilization estimate. The 75% occupancy condition may be achievable in that window, but not by a wide margin, and a two-month absorption slip would defeat the extension.</w:t>
      </w:r>
    </w:p>
    <w:p>
      <w:pPr>
        <w:spacing w:after="120" w:line="259" w:lineRule="auto"/>
        <w:ind w:left="0" w:firstLine="720"/>
        <w:jc w:val="both"/>
      </w:pPr>
      <w:r>
        <w:rPr>
          <w:rFonts w:ascii="Times New Roman" w:hAnsi="Times New Roman"/>
          <w:b w:val="0"/>
          <w:i w:val="0"/>
          <w:sz w:val="22"/>
        </w:rPr>
        <w:t>Relatedly, the Completion Guaranty in Term Sheet § 7.1 requires completion “on or before the Construction Maturity Date of August 28, 2027,” while the Project schedule and the appraisal both provide for substantial completion on August 31, 2027. The Guarantors would be in breach of the completion covenant three days before the contractor is contractually required to finish. Section 13.1 of the Draft Agreement sets the Completion Date at October 31, 2027 (sixty days after the Construction Maturity Date, consistent with the schedule) while preserving the separate obligation under Section 6.2 to achieve Substantial Completion by August 31, 2027. The Committee may prefer the opposite allocation; the point is that the two dates must be reconciled.</w:t>
      </w:r>
    </w:p>
    <w:p>
      <w:pPr>
        <w:spacing w:before="80" w:after="160"/>
        <w:ind w:left="720" w:right="360"/>
        <w:jc w:val="both"/>
      </w:pPr>
      <w:r>
        <w:rPr>
          <w:rFonts w:ascii="Times New Roman" w:hAnsi="Times New Roman"/>
          <w:i/>
          <w:color w:val="8B1A1A"/>
          <w:sz w:val="19"/>
        </w:rPr>
        <w:t>Action requested: confirm the Completion Date allocation (October 31, 2027 versus August 28, 2027) and whether the extension occupancy threshold should be reduced from 75% to 65% with a corresponding increase in the principal curtailment requirement.</w:t>
      </w:r>
    </w:p>
    <w:p>
      <w:pPr>
        <w:keepNext/>
        <w:spacing w:after="160" w:before="320" w:line="259" w:lineRule="auto"/>
        <w:ind w:firstLine="0" w:left="0"/>
        <w:jc w:val="center"/>
      </w:pPr>
      <w:r>
        <w:rPr>
          <w:rFonts w:ascii="Times New Roman" w:hAnsi="Times New Roman"/>
          <w:b/>
          <w:i w:val="0"/>
          <w:caps/>
          <w:sz w:val="24"/>
        </w:rPr>
        <w:t>4.  Collateral, Title and Survey</w:t>
      </w:r>
    </w:p>
    <w:p>
      <w:pPr>
        <w:keepNext/>
        <w:spacing w:before="200" w:after="120"/>
        <w:ind w:left="0"/>
      </w:pPr>
      <w:r>
        <w:rPr>
          <w:rFonts w:ascii="Times New Roman" w:hAnsi="Times New Roman"/>
          <w:b/>
          <w:sz w:val="21"/>
        </w:rPr>
        <w:t>4.1  The Permitted Exceptions Provision Cannot Be Performed as Written (Medium)</w:t>
      </w:r>
    </w:p>
    <w:p>
      <w:pPr>
        <w:spacing w:after="120" w:line="259" w:lineRule="auto"/>
        <w:ind w:left="0" w:firstLine="720"/>
        <w:jc w:val="both"/>
      </w:pPr>
      <w:r>
        <w:rPr>
          <w:rFonts w:ascii="Times New Roman" w:hAnsi="Times New Roman"/>
          <w:b w:val="0"/>
          <w:i w:val="0"/>
          <w:sz w:val="22"/>
        </w:rPr>
        <w:t>Term Sheet § 18 lists four Permitted Exceptions and then requires that “all other exceptions shown on Schedule B-II … including but not limited to any prior deeds of trust, shall be removed, released, or otherwise satisfied.” Schedule B-II contains items that cannot be removed: item 12 is the City of Durham Unified Development Ordinance and MU-D zoning district, which is a matter of law; and item 13 is facts ascertainable by inspection, which can only be modified by an affidavit of possession and a survey. The result is a closing condition that is literally impossible to satisfy, which invites a waiver at the closing table and leaves the insured exceptions undetermined.</w:t>
      </w:r>
    </w:p>
    <w:p>
      <w:pPr>
        <w:spacing w:after="120" w:line="259" w:lineRule="auto"/>
        <w:ind w:left="0" w:firstLine="720"/>
        <w:jc w:val="both"/>
      </w:pPr>
      <w:r>
        <w:rPr>
          <w:rFonts w:ascii="Times New Roman" w:hAnsi="Times New Roman"/>
          <w:b w:val="0"/>
          <w:i w:val="0"/>
          <w:sz w:val="22"/>
        </w:rPr>
        <w:t>Exhibit B to the Draft Agreement restates the schedule as the eight matters Title Company can actually insure (the seven remaining exceptions plus the Deed Notice, if recorded) and specifies the treatment of each: standard exceptions 1, 2, 3, 5 and 6 to be deleted on the basis of the survey, the owner’s affidavit and standard endorsements; the mechanics’ lien exception to be modified to exclude pre-recording work; items 12 and 13 permitted as modified; and the Triangle Commercial Bank deed of trust expressly not permitted.</w:t>
      </w:r>
    </w:p>
    <w:p>
      <w:pPr>
        <w:keepNext/>
        <w:spacing w:before="200" w:after="120"/>
        <w:ind w:left="0"/>
      </w:pPr>
      <w:r>
        <w:rPr>
          <w:rFonts w:ascii="Times New Roman" w:hAnsi="Times New Roman"/>
          <w:b/>
          <w:sz w:val="21"/>
        </w:rPr>
        <w:t>4.2  The Two Parcels Do Not Close — A 7.78-Foot Discrepancy (Medium)</w:t>
      </w:r>
    </w:p>
    <w:p>
      <w:pPr>
        <w:spacing w:after="120" w:line="259" w:lineRule="auto"/>
        <w:ind w:left="0" w:firstLine="720"/>
        <w:jc w:val="both"/>
      </w:pPr>
      <w:r>
        <w:rPr>
          <w:rFonts w:ascii="Times New Roman" w:hAnsi="Times New Roman"/>
          <w:b w:val="0"/>
          <w:i w:val="0"/>
          <w:sz w:val="22"/>
        </w:rPr>
        <w:t>Reproducing the metes and bounds from Schedule A of the title commitment and running the courses produces a closed rectangle for each parcel in isolation, but the two descriptions cannot both be right:</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680"/>
        <w:gridCol w:w="4680"/>
      </w:tblGrid>
      <w:tr>
        <w:trPr>
          <w:tblHeader w:val="true"/>
          <w:cantSplit w:val="true"/>
        </w:trPr>
        <w:tc>
          <w:tcPr>
            <w:tcW w:type="dxa" w:w="1440"/>
            <w:shd w:val="clear" w:color="auto" w:fill="D9D9D9"/>
          </w:tcPr>
          <w:p>
            <w:pPr>
              <w:spacing w:after="20" w:before="20" w:line="240" w:lineRule="auto"/>
              <w:jc w:val="center"/>
            </w:pPr>
            <w:r/>
            <w:r>
              <w:rPr>
                <w:rFonts w:ascii="Times New Roman" w:hAnsi="Times New Roman"/>
                <w:b/>
                <w:sz w:val="16"/>
              </w:rPr>
              <w:t>Parcel 1</w:t>
            </w:r>
          </w:p>
        </w:tc>
        <w:tc>
          <w:tcPr>
            <w:tcW w:type="dxa" w:w="7920"/>
            <w:shd w:val="clear" w:color="auto" w:fill="D9D9D9"/>
          </w:tcPr>
          <w:p>
            <w:pPr>
              <w:spacing w:after="20" w:before="20" w:line="240" w:lineRule="auto"/>
              <w:jc w:val="center"/>
            </w:pPr>
            <w:r/>
            <w:r>
              <w:rPr>
                <w:rFonts w:ascii="Times New Roman" w:hAnsi="Times New Roman"/>
                <w:b/>
                <w:sz w:val="16"/>
              </w:rPr>
              <w:t>S 02°14′33″ W 298.62′ along Foster Street; S 87°45′27″ E 305.41′; N 02°14′33″ E 298.62′; N 87°45′27″ W 305.41′ to the point of beginning. Computes to 91,202 square feet = 2.094 acres (stated: 2.09 acres).</w:t>
            </w:r>
          </w:p>
        </w:tc>
      </w:tr>
      <w:tr>
        <w:trPr>
          <w:cantSplit w:val="true"/>
        </w:trPr>
        <w:tc>
          <w:tcPr>
            <w:tcW w:type="dxa" w:w="1440"/>
          </w:tcPr>
          <w:p>
            <w:pPr>
              <w:spacing w:after="20" w:before="20" w:line="240" w:lineRule="auto"/>
            </w:pPr>
            <w:r/>
            <w:r>
              <w:rPr>
                <w:rFonts w:ascii="Times New Roman" w:hAnsi="Times New Roman"/>
                <w:b w:val="0"/>
                <w:sz w:val="16"/>
              </w:rPr>
              <w:t>Parcel 2</w:t>
            </w:r>
          </w:p>
        </w:tc>
        <w:tc>
          <w:tcPr>
            <w:tcW w:type="dxa" w:w="7920"/>
          </w:tcPr>
          <w:p>
            <w:pPr>
              <w:spacing w:after="20" w:before="20" w:line="240" w:lineRule="auto"/>
            </w:pPr>
            <w:r/>
            <w:r>
              <w:rPr>
                <w:rFonts w:ascii="Times New Roman" w:hAnsi="Times New Roman"/>
                <w:b w:val="0"/>
                <w:sz w:val="16"/>
              </w:rPr>
              <w:t>Begins at the southwestern corner of Parcel 1; S 02°14′33″ W 201.88′ along Foster Street; S 87°45′27″ E 297.63′; N 02°14′33″ E 201.88′ to the “southeastern corner of Parcel 1”; thence along the southern boundary of Parcel 1, N 87°45′27″ W 297.63′ to the point of beginning. Computes to 60,086 square feet = 1.379 acres (stated: 1.38 acres).</w:t>
            </w:r>
          </w:p>
        </w:tc>
      </w:tr>
      <w:tr>
        <w:trPr>
          <w:cantSplit w:val="true"/>
        </w:trPr>
        <w:tc>
          <w:tcPr>
            <w:tcW w:type="dxa" w:w="1440"/>
          </w:tcPr>
          <w:p>
            <w:pPr>
              <w:spacing w:after="20" w:before="20" w:line="240" w:lineRule="auto"/>
            </w:pPr>
            <w:r/>
            <w:r>
              <w:rPr>
                <w:rFonts w:ascii="Times New Roman" w:hAnsi="Times New Roman"/>
                <w:b w:val="0"/>
                <w:sz w:val="16"/>
              </w:rPr>
              <w:t>Conflict</w:t>
            </w:r>
          </w:p>
        </w:tc>
        <w:tc>
          <w:tcPr>
            <w:tcW w:type="dxa" w:w="7920"/>
          </w:tcPr>
          <w:p>
            <w:pPr>
              <w:spacing w:after="20" w:before="20" w:line="240" w:lineRule="auto"/>
            </w:pPr>
            <w:r/>
            <w:r>
              <w:rPr>
                <w:rFonts w:ascii="Times New Roman" w:hAnsi="Times New Roman"/>
                <w:b w:val="0"/>
                <w:sz w:val="16"/>
              </w:rPr>
              <w:t>Parcel 1’s southern boundary is 305.41 feet. Parcel 2’s return course along that same boundary is 297.63 feet. The difference is 7.78 feet, so the descriptions leave either a 7.78-foot gap or a 7.78-foot overlap along the common line, and the “southeastern corner of Parcel 1” is not where Parcel 2 says it is.</w:t>
            </w:r>
          </w:p>
        </w:tc>
      </w:tr>
      <w:tr>
        <w:trPr>
          <w:cantSplit w:val="true"/>
        </w:trPr>
        <w:tc>
          <w:tcPr>
            <w:tcW w:type="dxa" w:w="1440"/>
          </w:tcPr>
          <w:p>
            <w:pPr>
              <w:spacing w:after="20" w:before="20" w:line="240" w:lineRule="auto"/>
            </w:pPr>
            <w:r/>
            <w:r>
              <w:rPr>
                <w:rFonts w:ascii="Times New Roman" w:hAnsi="Times New Roman"/>
                <w:b w:val="0"/>
                <w:sz w:val="16"/>
              </w:rPr>
              <w:t>Why it matters</w:t>
            </w:r>
          </w:p>
        </w:tc>
        <w:tc>
          <w:tcPr>
            <w:tcW w:type="dxa" w:w="7920"/>
          </w:tcPr>
          <w:p>
            <w:pPr>
              <w:spacing w:after="20" w:before="20" w:line="240" w:lineRule="auto"/>
            </w:pPr>
            <w:r/>
            <w:r>
              <w:rPr>
                <w:rFonts w:ascii="Times New Roman" w:hAnsi="Times New Roman"/>
                <w:b w:val="0"/>
                <w:sz w:val="16"/>
              </w:rPr>
              <w:t>The Deed of Trust encumbers both parcels as a single integrated site; the appraisal values 3.47 acres as one site; the environmental delineation and the stormwater and utility easements are located by reference to parcel boundaries. A survey exception that cannot be deleted, or a boundary dispute with an adjoining owner, impairs both the lien and the development program.</w:t>
            </w:r>
          </w:p>
        </w:tc>
      </w:tr>
    </w:tbl>
    <w:p>
      <w:pPr>
        <w:spacing w:after="160" w:before="0" w:line="240" w:lineRule="auto"/>
      </w:pPr>
    </w:p>
    <w:p>
      <w:pPr>
        <w:spacing w:after="120" w:line="259" w:lineRule="auto"/>
        <w:ind w:left="0" w:firstLine="720"/>
        <w:jc w:val="both"/>
      </w:pPr>
      <w:r>
        <w:rPr>
          <w:rFonts w:ascii="Times New Roman" w:hAnsi="Times New Roman"/>
          <w:b w:val="0"/>
          <w:i w:val="0"/>
          <w:sz w:val="22"/>
        </w:rPr>
        <w:t>Section 3.2(c)–(e) of the Draft Agreement requires a single-sheet ALTA/NSPS survey of both parcels certified to Lender, Borrower and Title Company, a boundary line agreement, quitclaim deed or corrected legal description sufficient to permit deletion of the survey exception and insurance of the Property as a single contiguous site, and a conformed Exhibit A. We also recommend that the Bank require the survey to carry Table A items 1, 2, 3, 4, 6(b), 7(a), 7(b)(1), 8, 9, 10, 11, 13, 14, 15 and 16.</w:t>
      </w:r>
    </w:p>
    <w:p>
      <w:pPr>
        <w:keepNext/>
        <w:spacing w:before="200" w:after="120"/>
        <w:ind w:left="0"/>
      </w:pPr>
      <w:r>
        <w:rPr>
          <w:rFonts w:ascii="Times New Roman" w:hAnsi="Times New Roman"/>
          <w:b/>
          <w:sz w:val="21"/>
        </w:rPr>
        <w:t>4.3  Parcel Area, Orientation and Frontage Conflicts (Medium)</w:t>
      </w:r>
    </w:p>
    <w:p>
      <w:pPr>
        <w:spacing w:after="120" w:line="259" w:lineRule="auto"/>
        <w:ind w:left="0" w:firstLine="720"/>
        <w:jc w:val="both"/>
      </w:pPr>
      <w:r>
        <w:rPr>
          <w:rFonts w:ascii="Times New Roman" w:hAnsi="Times New Roman"/>
          <w:b w:val="0"/>
          <w:i w:val="0"/>
          <w:sz w:val="22"/>
        </w:rPr>
        <w:t>Three of the source documents describe the site geometry differently, and the difference is not academic because the environmental restriction is located by reference to the “northeast corner of Parcel 0821-04-72-4102”:</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1368"/>
            <w:shd w:val="clear" w:color="auto" w:fill="D9D9D9"/>
          </w:tcPr>
          <w:p>
            <w:pPr>
              <w:spacing w:after="20" w:before="20" w:line="240" w:lineRule="auto"/>
              <w:jc w:val="center"/>
            </w:pPr>
            <w:r/>
            <w:r>
              <w:rPr>
                <w:rFonts w:ascii="Times New Roman" w:hAnsi="Times New Roman"/>
                <w:b/>
                <w:sz w:val="15"/>
              </w:rPr>
              <w:t>Attribute</w:t>
            </w:r>
          </w:p>
        </w:tc>
        <w:tc>
          <w:tcPr>
            <w:tcW w:type="dxa" w:w="2304"/>
            <w:shd w:val="clear" w:color="auto" w:fill="D9D9D9"/>
          </w:tcPr>
          <w:p>
            <w:pPr>
              <w:spacing w:after="20" w:before="20" w:line="240" w:lineRule="auto"/>
              <w:jc w:val="center"/>
            </w:pPr>
            <w:r/>
            <w:r>
              <w:rPr>
                <w:rFonts w:ascii="Times New Roman" w:hAnsi="Times New Roman"/>
                <w:b/>
                <w:sz w:val="15"/>
              </w:rPr>
              <w:t>Title commitment</w:t>
            </w:r>
          </w:p>
        </w:tc>
        <w:tc>
          <w:tcPr>
            <w:tcW w:type="dxa" w:w="2304"/>
            <w:shd w:val="clear" w:color="auto" w:fill="D9D9D9"/>
          </w:tcPr>
          <w:p>
            <w:pPr>
              <w:spacing w:after="20" w:before="20" w:line="240" w:lineRule="auto"/>
              <w:jc w:val="center"/>
            </w:pPr>
            <w:r/>
            <w:r>
              <w:rPr>
                <w:rFonts w:ascii="Times New Roman" w:hAnsi="Times New Roman"/>
                <w:b/>
                <w:sz w:val="15"/>
              </w:rPr>
              <w:t>Phase I ESA</w:t>
            </w:r>
          </w:p>
        </w:tc>
        <w:tc>
          <w:tcPr>
            <w:tcW w:type="dxa" w:w="2016"/>
            <w:shd w:val="clear" w:color="auto" w:fill="D9D9D9"/>
          </w:tcPr>
          <w:p>
            <w:pPr>
              <w:spacing w:after="20" w:before="20" w:line="240" w:lineRule="auto"/>
              <w:jc w:val="center"/>
            </w:pPr>
            <w:r/>
            <w:r>
              <w:rPr>
                <w:rFonts w:ascii="Times New Roman" w:hAnsi="Times New Roman"/>
                <w:b/>
                <w:sz w:val="15"/>
              </w:rPr>
              <w:t>Appraisal</w:t>
            </w:r>
          </w:p>
        </w:tc>
        <w:tc>
          <w:tcPr>
            <w:tcW w:type="dxa" w:w="1368"/>
            <w:shd w:val="clear" w:color="auto" w:fill="D9D9D9"/>
          </w:tcPr>
          <w:p>
            <w:pPr>
              <w:spacing w:after="20" w:before="20" w:line="240" w:lineRule="auto"/>
              <w:jc w:val="center"/>
            </w:pPr>
            <w:r/>
            <w:r>
              <w:rPr>
                <w:rFonts w:ascii="Times New Roman" w:hAnsi="Times New Roman"/>
                <w:b/>
                <w:sz w:val="15"/>
              </w:rPr>
              <w:t>Comment</w:t>
            </w:r>
          </w:p>
        </w:tc>
      </w:tr>
      <w:tr>
        <w:trPr>
          <w:cantSplit w:val="true"/>
        </w:trPr>
        <w:tc>
          <w:tcPr>
            <w:tcW w:type="dxa" w:w="1368"/>
          </w:tcPr>
          <w:p>
            <w:pPr>
              <w:spacing w:after="20" w:before="20" w:line="240" w:lineRule="auto"/>
            </w:pPr>
            <w:r/>
            <w:r>
              <w:rPr>
                <w:rFonts w:ascii="Times New Roman" w:hAnsi="Times New Roman"/>
                <w:b w:val="0"/>
                <w:sz w:val="15"/>
              </w:rPr>
              <w:t>Parcel 1 area</w:t>
            </w:r>
          </w:p>
        </w:tc>
        <w:tc>
          <w:tcPr>
            <w:tcW w:type="dxa" w:w="2304"/>
          </w:tcPr>
          <w:p>
            <w:pPr>
              <w:spacing w:after="20" w:before="20" w:line="240" w:lineRule="auto"/>
            </w:pPr>
            <w:r/>
            <w:r>
              <w:rPr>
                <w:rFonts w:ascii="Times New Roman" w:hAnsi="Times New Roman"/>
                <w:b w:val="0"/>
                <w:sz w:val="15"/>
              </w:rPr>
              <w:t>2.09 acres</w:t>
            </w:r>
          </w:p>
        </w:tc>
        <w:tc>
          <w:tcPr>
            <w:tcW w:type="dxa" w:w="2304"/>
          </w:tcPr>
          <w:p>
            <w:pPr>
              <w:spacing w:after="20" w:before="20" w:line="240" w:lineRule="auto"/>
            </w:pPr>
            <w:r/>
            <w:r>
              <w:rPr>
                <w:rFonts w:ascii="Times New Roman" w:hAnsi="Times New Roman"/>
                <w:b w:val="0"/>
                <w:sz w:val="15"/>
              </w:rPr>
              <w:t>1.89 acres</w:t>
            </w:r>
          </w:p>
        </w:tc>
        <w:tc>
          <w:tcPr>
            <w:tcW w:type="dxa" w:w="2016"/>
          </w:tcPr>
          <w:p>
            <w:pPr>
              <w:spacing w:after="20" w:before="20" w:line="240" w:lineRule="auto"/>
            </w:pPr>
            <w:r/>
            <w:r>
              <w:rPr>
                <w:rFonts w:ascii="Times New Roman" w:hAnsi="Times New Roman"/>
                <w:b w:val="0"/>
                <w:sz w:val="15"/>
              </w:rPr>
              <w:t>3.47 acres combined</w:t>
            </w:r>
          </w:p>
        </w:tc>
        <w:tc>
          <w:tcPr>
            <w:tcW w:type="dxa" w:w="1368"/>
          </w:tcPr>
          <w:p>
            <w:pPr>
              <w:spacing w:after="20" w:before="20" w:line="240" w:lineRule="auto"/>
            </w:pPr>
            <w:r/>
            <w:r>
              <w:rPr>
                <w:rFonts w:ascii="Times New Roman" w:hAnsi="Times New Roman"/>
                <w:b w:val="0"/>
                <w:sz w:val="15"/>
              </w:rPr>
              <w:t>Areas differ by 0.20 acre each way; the survey will resolve</w:t>
            </w:r>
          </w:p>
        </w:tc>
      </w:tr>
      <w:tr>
        <w:trPr>
          <w:cantSplit w:val="true"/>
        </w:trPr>
        <w:tc>
          <w:tcPr>
            <w:tcW w:type="dxa" w:w="1368"/>
          </w:tcPr>
          <w:p>
            <w:pPr>
              <w:spacing w:after="20" w:before="20" w:line="240" w:lineRule="auto"/>
            </w:pPr>
            <w:r/>
            <w:r>
              <w:rPr>
                <w:rFonts w:ascii="Times New Roman" w:hAnsi="Times New Roman"/>
                <w:b w:val="0"/>
                <w:sz w:val="15"/>
              </w:rPr>
              <w:t>Parcel 2 area</w:t>
            </w:r>
          </w:p>
        </w:tc>
        <w:tc>
          <w:tcPr>
            <w:tcW w:type="dxa" w:w="2304"/>
          </w:tcPr>
          <w:p>
            <w:pPr>
              <w:spacing w:after="20" w:before="20" w:line="240" w:lineRule="auto"/>
            </w:pPr>
            <w:r/>
            <w:r>
              <w:rPr>
                <w:rFonts w:ascii="Times New Roman" w:hAnsi="Times New Roman"/>
                <w:b w:val="0"/>
                <w:sz w:val="15"/>
              </w:rPr>
              <w:t>1.38 acres</w:t>
            </w:r>
          </w:p>
        </w:tc>
        <w:tc>
          <w:tcPr>
            <w:tcW w:type="dxa" w:w="2304"/>
          </w:tcPr>
          <w:p>
            <w:pPr>
              <w:spacing w:after="20" w:before="20" w:line="240" w:lineRule="auto"/>
            </w:pPr>
            <w:r/>
            <w:r>
              <w:rPr>
                <w:rFonts w:ascii="Times New Roman" w:hAnsi="Times New Roman"/>
                <w:b w:val="0"/>
                <w:sz w:val="15"/>
              </w:rPr>
              <w:t>1.58 acres</w:t>
            </w:r>
          </w:p>
        </w:tc>
        <w:tc>
          <w:tcPr>
            <w:tcW w:type="dxa" w:w="2016"/>
          </w:tcPr>
          <w:p>
            <w:pPr>
              <w:spacing w:after="20" w:before="20" w:line="240" w:lineRule="auto"/>
            </w:pPr>
            <w:r/>
            <w:r>
              <w:rPr>
                <w:rFonts w:ascii="Times New Roman" w:hAnsi="Times New Roman"/>
                <w:b w:val="0"/>
                <w:sz w:val="15"/>
              </w:rPr>
              <w:t>3.47 acres combined</w:t>
            </w:r>
          </w:p>
        </w:tc>
        <w:tc>
          <w:tcPr>
            <w:tcW w:type="dxa" w:w="1368"/>
          </w:tcPr>
          <w:p>
            <w:pPr>
              <w:spacing w:after="20" w:before="20" w:line="240" w:lineRule="auto"/>
            </w:pPr>
            <w:r/>
            <w:r>
              <w:rPr>
                <w:rFonts w:ascii="Times New Roman" w:hAnsi="Times New Roman"/>
                <w:b w:val="0"/>
                <w:sz w:val="15"/>
              </w:rPr>
              <w:t>Same</w:t>
            </w:r>
          </w:p>
        </w:tc>
      </w:tr>
      <w:tr>
        <w:trPr>
          <w:cantSplit w:val="true"/>
        </w:trPr>
        <w:tc>
          <w:tcPr>
            <w:tcW w:type="dxa" w:w="1368"/>
          </w:tcPr>
          <w:p>
            <w:pPr>
              <w:spacing w:after="20" w:before="20" w:line="240" w:lineRule="auto"/>
            </w:pPr>
            <w:r/>
            <w:r>
              <w:rPr>
                <w:rFonts w:ascii="Times New Roman" w:hAnsi="Times New Roman"/>
                <w:b w:val="0"/>
                <w:sz w:val="15"/>
              </w:rPr>
              <w:t>Relative position</w:t>
            </w:r>
          </w:p>
        </w:tc>
        <w:tc>
          <w:tcPr>
            <w:tcW w:type="dxa" w:w="2304"/>
          </w:tcPr>
          <w:p>
            <w:pPr>
              <w:spacing w:after="20" w:before="20" w:line="240" w:lineRule="auto"/>
            </w:pPr>
            <w:r/>
            <w:r>
              <w:rPr>
                <w:rFonts w:ascii="Times New Roman" w:hAnsi="Times New Roman"/>
                <w:b w:val="0"/>
                <w:sz w:val="15"/>
              </w:rPr>
              <w:t>Parcel 2 lies south of Parcel 1 (it begins at Parcel 1’s southwestern corner)</w:t>
            </w:r>
          </w:p>
        </w:tc>
        <w:tc>
          <w:tcPr>
            <w:tcW w:type="dxa" w:w="2304"/>
          </w:tcPr>
          <w:p>
            <w:pPr>
              <w:spacing w:after="20" w:before="20" w:line="240" w:lineRule="auto"/>
            </w:pPr>
            <w:r/>
            <w:r>
              <w:rPr>
                <w:rFonts w:ascii="Times New Roman" w:hAnsi="Times New Roman"/>
                <w:b w:val="0"/>
                <w:sz w:val="15"/>
              </w:rPr>
              <w:t>Parcel 1 is the “western parcel”; Parcel 2 is the “eastern parcel”</w:t>
            </w:r>
          </w:p>
        </w:tc>
        <w:tc>
          <w:tcPr>
            <w:tcW w:type="dxa" w:w="2016"/>
          </w:tcPr>
          <w:p>
            <w:pPr>
              <w:spacing w:after="20" w:before="20" w:line="240" w:lineRule="auto"/>
            </w:pPr>
            <w:r/>
            <w:r>
              <w:rPr>
                <w:rFonts w:ascii="Times New Roman" w:hAnsi="Times New Roman"/>
                <w:b w:val="0"/>
                <w:sz w:val="15"/>
              </w:rPr>
              <w:t>Not stated</w:t>
            </w:r>
          </w:p>
        </w:tc>
        <w:tc>
          <w:tcPr>
            <w:tcW w:type="dxa" w:w="1368"/>
          </w:tcPr>
          <w:p>
            <w:pPr>
              <w:spacing w:after="20" w:before="20" w:line="240" w:lineRule="auto"/>
            </w:pPr>
            <w:r/>
            <w:r>
              <w:rPr>
                <w:rFonts w:ascii="Times New Roman" w:hAnsi="Times New Roman"/>
                <w:b w:val="0"/>
                <w:sz w:val="15"/>
              </w:rPr>
              <w:t>Direct conflict; affects where the Affected Area sits relative to the building footprint</w:t>
            </w:r>
          </w:p>
        </w:tc>
      </w:tr>
      <w:tr>
        <w:trPr>
          <w:cantSplit w:val="true"/>
        </w:trPr>
        <w:tc>
          <w:tcPr>
            <w:tcW w:type="dxa" w:w="1368"/>
          </w:tcPr>
          <w:p>
            <w:pPr>
              <w:spacing w:after="20" w:before="20" w:line="240" w:lineRule="auto"/>
            </w:pPr>
            <w:r/>
            <w:r>
              <w:rPr>
                <w:rFonts w:ascii="Times New Roman" w:hAnsi="Times New Roman"/>
                <w:b w:val="0"/>
                <w:sz w:val="15"/>
              </w:rPr>
              <w:t>Street frontage</w:t>
            </w:r>
          </w:p>
        </w:tc>
        <w:tc>
          <w:tcPr>
            <w:tcW w:type="dxa" w:w="2304"/>
          </w:tcPr>
          <w:p>
            <w:pPr>
              <w:spacing w:after="20" w:before="20" w:line="240" w:lineRule="auto"/>
            </w:pPr>
            <w:r/>
            <w:r>
              <w:rPr>
                <w:rFonts w:ascii="Times New Roman" w:hAnsi="Times New Roman"/>
                <w:b w:val="0"/>
                <w:sz w:val="15"/>
              </w:rPr>
              <w:t>Foster Street bounds both parcels on the west (298.62′ + 201.88′ = 500.50′)</w:t>
            </w:r>
          </w:p>
        </w:tc>
        <w:tc>
          <w:tcPr>
            <w:tcW w:type="dxa" w:w="2304"/>
          </w:tcPr>
          <w:p>
            <w:pPr>
              <w:spacing w:after="20" w:before="20" w:line="240" w:lineRule="auto"/>
            </w:pPr>
            <w:r/>
            <w:r>
              <w:rPr>
                <w:rFonts w:ascii="Times New Roman" w:hAnsi="Times New Roman"/>
                <w:b w:val="0"/>
                <w:sz w:val="15"/>
              </w:rPr>
              <w:t>Foster Street is “to the north” (Fig. 3: “along the northern boundary”)</w:t>
            </w:r>
          </w:p>
        </w:tc>
        <w:tc>
          <w:tcPr>
            <w:tcW w:type="dxa" w:w="2016"/>
          </w:tcPr>
          <w:p>
            <w:pPr>
              <w:spacing w:after="20" w:before="20" w:line="240" w:lineRule="auto"/>
            </w:pPr>
            <w:r/>
            <w:r>
              <w:rPr>
                <w:rFonts w:ascii="Times New Roman" w:hAnsi="Times New Roman"/>
                <w:b w:val="0"/>
                <w:sz w:val="15"/>
              </w:rPr>
              <w:t>420 feet of frontage along Foster Street on the western boundary; 20-foot public alley on the eastern boundary</w:t>
            </w:r>
          </w:p>
        </w:tc>
        <w:tc>
          <w:tcPr>
            <w:tcW w:type="dxa" w:w="1368"/>
          </w:tcPr>
          <w:p>
            <w:pPr>
              <w:spacing w:after="20" w:before="20" w:line="240" w:lineRule="auto"/>
            </w:pPr>
            <w:r/>
            <w:r>
              <w:rPr>
                <w:rFonts w:ascii="Times New Roman" w:hAnsi="Times New Roman"/>
                <w:b w:val="0"/>
                <w:sz w:val="15"/>
              </w:rPr>
              <w:t>Frontage varies by 80 feet; the “public alley” does not appear in the title commitment</w:t>
            </w:r>
          </w:p>
        </w:tc>
      </w:tr>
      <w:tr>
        <w:trPr>
          <w:cantSplit w:val="true"/>
        </w:trPr>
        <w:tc>
          <w:tcPr>
            <w:tcW w:type="dxa" w:w="1368"/>
          </w:tcPr>
          <w:p>
            <w:pPr>
              <w:spacing w:after="20" w:before="20" w:line="240" w:lineRule="auto"/>
            </w:pPr>
            <w:r/>
            <w:r>
              <w:rPr>
                <w:rFonts w:ascii="Times New Roman" w:hAnsi="Times New Roman"/>
                <w:b w:val="0"/>
                <w:sz w:val="15"/>
              </w:rPr>
              <w:t>Topography</w:t>
            </w:r>
          </w:p>
        </w:tc>
        <w:tc>
          <w:tcPr>
            <w:tcW w:type="dxa" w:w="2304"/>
          </w:tcPr>
          <w:p>
            <w:pPr>
              <w:spacing w:after="20" w:before="20" w:line="240" w:lineRule="auto"/>
            </w:pPr>
            <w:r/>
            <w:r>
              <w:rPr>
                <w:rFonts w:ascii="Times New Roman" w:hAnsi="Times New Roman"/>
                <w:b w:val="0"/>
                <w:sz w:val="15"/>
              </w:rPr>
              <w:t>Not stated</w:t>
            </w:r>
          </w:p>
        </w:tc>
        <w:tc>
          <w:tcPr>
            <w:tcW w:type="dxa" w:w="2304"/>
          </w:tcPr>
          <w:p>
            <w:pPr>
              <w:spacing w:after="20" w:before="20" w:line="240" w:lineRule="auto"/>
            </w:pPr>
            <w:r/>
            <w:r>
              <w:rPr>
                <w:rFonts w:ascii="Times New Roman" w:hAnsi="Times New Roman"/>
                <w:b w:val="0"/>
                <w:sz w:val="15"/>
              </w:rPr>
              <w:t>Slope of approximately 2% from northwest to southeast; elevations 395–401 feet</w:t>
            </w:r>
          </w:p>
        </w:tc>
        <w:tc>
          <w:tcPr>
            <w:tcW w:type="dxa" w:w="2016"/>
          </w:tcPr>
          <w:p>
            <w:pPr>
              <w:spacing w:after="20" w:before="20" w:line="240" w:lineRule="auto"/>
            </w:pPr>
            <w:r/>
            <w:r>
              <w:rPr>
                <w:rFonts w:ascii="Times New Roman" w:hAnsi="Times New Roman"/>
                <w:b w:val="0"/>
                <w:sz w:val="15"/>
              </w:rPr>
              <w:t>Grade change of approximately four feet from north to south</w:t>
            </w:r>
          </w:p>
        </w:tc>
        <w:tc>
          <w:tcPr>
            <w:tcW w:type="dxa" w:w="1368"/>
          </w:tcPr>
          <w:p>
            <w:pPr>
              <w:spacing w:after="20" w:before="20" w:line="240" w:lineRule="auto"/>
            </w:pPr>
            <w:r/>
            <w:r>
              <w:rPr>
                <w:rFonts w:ascii="Times New Roman" w:hAnsi="Times New Roman"/>
                <w:b w:val="0"/>
                <w:sz w:val="15"/>
              </w:rPr>
              <w:t>Minor</w:t>
            </w:r>
          </w:p>
        </w:tc>
      </w:tr>
    </w:tbl>
    <w:p>
      <w:pPr>
        <w:spacing w:after="160" w:before="0" w:line="240" w:lineRule="auto"/>
      </w:pPr>
    </w:p>
    <w:p>
      <w:pPr>
        <w:spacing w:after="120" w:line="259" w:lineRule="auto"/>
        <w:ind w:left="0" w:firstLine="720"/>
        <w:jc w:val="both"/>
      </w:pPr>
      <w:r>
        <w:rPr>
          <w:rFonts w:ascii="Times New Roman" w:hAnsi="Times New Roman"/>
          <w:b w:val="0"/>
          <w:i w:val="0"/>
          <w:sz w:val="22"/>
        </w:rPr>
        <w:t>We recommend that the survey also be used to confirm (a) that no Improvement encroaches on the 20-foot Duke Energy easement or the 0.22-acre stormwater easement, (b) that the stormwater detention function required by the recorded easement survives the proposed site plan, and (c) that the parking structure’s 276 spaces comply with any maximum parking limitation in the MU-D district. Schedule B-II item 12 expressly refers to “parking minimums and maximums,” while the Term Sheet, appraisal and credit memorandum all conclude only that minimum parking requirements are satisfied. If the MU-D district imposes a maximum, the “permitted as of right” conclusion in Term Sheet § 2 is inaccurate as to parking.</w:t>
      </w:r>
    </w:p>
    <w:p>
      <w:pPr>
        <w:keepNext/>
        <w:spacing w:before="200" w:after="120"/>
        <w:ind w:left="0"/>
      </w:pPr>
      <w:r>
        <w:rPr>
          <w:rFonts w:ascii="Times New Roman" w:hAnsi="Times New Roman"/>
          <w:b/>
          <w:sz w:val="21"/>
        </w:rPr>
        <w:t>4.4  Declaration of Covenants: Approval Status and Unbudgeted Assessments (Medium)</w:t>
      </w:r>
    </w:p>
    <w:p>
      <w:pPr>
        <w:spacing w:after="120" w:line="259" w:lineRule="auto"/>
        <w:ind w:left="0" w:firstLine="720"/>
        <w:jc w:val="both"/>
      </w:pPr>
      <w:r>
        <w:rPr>
          <w:rFonts w:ascii="Times New Roman" w:hAnsi="Times New Roman"/>
          <w:b w:val="0"/>
          <w:i w:val="0"/>
          <w:sz w:val="22"/>
        </w:rPr>
        <w:t>The appraisal states that “the architectural design has been reviewed and approved by the Brightleaf Historic District Association in accordance with the CC&amp;Rs” (Appraisal § 2, item (c)). The title officer states the opposite: “The Company has not received evidence that the current project plans … have been submitted to or approved by the Brightleaf Historic District Association Architectural Review Committee” (Title Commitment, Schedule B-II ¶ 11, Note). The Declaration requires submission at least ninety days before construction and permits a building permit only after written approval or the lapse of a sixty-day deemed-approval period, and it gives the Association a right to seek injunctive relief to halt unapproved construction. The credit memorandum correctly treats approval as an open item (Condition 10.1.14) but does not note that the appraisal says it is already obtained.</w:t>
      </w:r>
    </w:p>
    <w:p>
      <w:pPr>
        <w:spacing w:after="120" w:line="259" w:lineRule="auto"/>
        <w:ind w:left="0" w:firstLine="720"/>
        <w:jc w:val="both"/>
      </w:pPr>
      <w:r>
        <w:rPr>
          <w:rFonts w:ascii="Times New Roman" w:hAnsi="Times New Roman"/>
          <w:b w:val="0"/>
          <w:i w:val="0"/>
          <w:sz w:val="22"/>
        </w:rPr>
        <w:t>Separately, Schedule B-II ¶ 11(b) discloses assessments of $0.12 per square foot of gross building area per annum. Applied to 287,500 square feet, that is $34,500 per year, and it is not among the operating expenses in the appraiser’s stabilized analysis (Appraisal § 7). Deducting it reduces stabilized NOI to $4,842,300, the Debt Service Coverage Ratio to 1.30x and the as-stabilized value at a 6.40% capitalization rate to $75,660,938 — the covenant still passes, but the omission should be corrected before the operating expense ratio of 20.6% is relied upon.</w:t>
      </w:r>
    </w:p>
    <w:p>
      <w:pPr>
        <w:keepNext/>
        <w:spacing w:before="200" w:after="120"/>
        <w:ind w:left="0"/>
      </w:pPr>
      <w:r>
        <w:rPr>
          <w:rFonts w:ascii="Times New Roman" w:hAnsi="Times New Roman"/>
          <w:b/>
          <w:sz w:val="21"/>
        </w:rPr>
        <w:t>4.5  Mechanic’s Lien Relation-Back and Pre-Closing Work (High)</w:t>
      </w:r>
    </w:p>
    <w:p>
      <w:pPr>
        <w:spacing w:after="120" w:line="259" w:lineRule="auto"/>
        <w:ind w:left="0" w:firstLine="720"/>
        <w:jc w:val="both"/>
      </w:pPr>
      <w:r>
        <w:rPr>
          <w:rFonts w:ascii="Times New Roman" w:hAnsi="Times New Roman"/>
          <w:b w:val="0"/>
          <w:i w:val="0"/>
          <w:sz w:val="22"/>
        </w:rPr>
        <w:t>Title Commitment Note 4 correctly recites that under N.C.G.S. § 44A-10 a claim of lien for labor or materials relates back to the time of first furnishing at the site. Demolition was completed in August 2024 and environmental remediation in September 2024; the site has been rough-graded; and budget line 2.01 allocates $3,180,000 of guaranteed maximum price value to “Site Work — Demolition, grading, utilities, paving.” Work has therefore been performed at the site before the Deed of Trust will be recorded, and the Bank’s lien will be subordinate to any related claim of lien unless the exposure is closed out.</w:t>
      </w:r>
    </w:p>
    <w:p>
      <w:pPr>
        <w:spacing w:after="120" w:line="259" w:lineRule="auto"/>
        <w:ind w:left="0" w:firstLine="720"/>
        <w:jc w:val="both"/>
      </w:pPr>
      <w:r>
        <w:rPr>
          <w:rFonts w:ascii="Times New Roman" w:hAnsi="Times New Roman"/>
          <w:b w:val="0"/>
          <w:i w:val="0"/>
          <w:sz w:val="22"/>
        </w:rPr>
        <w:t>Section 3.2(e) and Section 4.12 of the Draft Agreement require an owner’s affidavit and a contractor’s affidavit as to all work performed and materials furnished before closing, conditional lien waivers for that work, and, from each subsequent draw, statutory partial waivers from the general contractor and every subcontractor and materialman. We also recommend that the Bank require a performance and payment bond notwithstanding the 10% retainage, which the Term Sheet does not require (Section 3.9(c) of the Draft Agreement treats the bond as required unless expressly waived).</w:t>
      </w:r>
    </w:p>
    <w:p>
      <w:pPr>
        <w:keepNext/>
        <w:spacing w:before="200" w:after="120"/>
        <w:ind w:left="0"/>
      </w:pPr>
      <w:r>
        <w:rPr>
          <w:rFonts w:ascii="Times New Roman" w:hAnsi="Times New Roman"/>
          <w:b/>
          <w:sz w:val="21"/>
        </w:rPr>
        <w:t>4.6  Flood Determination Conflict (Low)</w:t>
      </w:r>
    </w:p>
    <w:p>
      <w:pPr>
        <w:spacing w:after="120" w:line="259" w:lineRule="auto"/>
        <w:ind w:left="0" w:firstLine="720"/>
        <w:jc w:val="both"/>
      </w:pPr>
      <w:r>
        <w:rPr>
          <w:rFonts w:ascii="Times New Roman" w:hAnsi="Times New Roman"/>
          <w:b w:val="0"/>
          <w:i w:val="0"/>
          <w:sz w:val="22"/>
        </w:rPr>
        <w:t>The appraisal cites FEMA panel 3710406400J effective May 2, 2019; the Phase I ESA cites panel 3720098700J effective March 2, 2009. Both conclude Zone X (minimal hazard), so the conclusion is consistent even though the source data are not. The Bank is required to obtain a Standard Flood Hazard Determination for the life of the loan in any event; Section 3.10 of the Draft Agreement requires it, and Section 9.1(f) requires flood insurance only if the determination places any part of the Property in a Special Flood Hazard Area.</w:t>
      </w:r>
    </w:p>
    <w:p>
      <w:pPr>
        <w:keepNext/>
        <w:spacing w:after="160" w:before="320" w:line="259" w:lineRule="auto"/>
        <w:ind w:firstLine="0" w:left="0"/>
        <w:jc w:val="center"/>
      </w:pPr>
      <w:r>
        <w:rPr>
          <w:rFonts w:ascii="Times New Roman" w:hAnsi="Times New Roman"/>
          <w:b/>
          <w:i w:val="0"/>
          <w:caps/>
          <w:sz w:val="24"/>
        </w:rPr>
        <w:t>5.  Structure, Affiliate and Single-Purpose Entity Issues</w:t>
      </w:r>
    </w:p>
    <w:p>
      <w:pPr>
        <w:keepNext/>
        <w:spacing w:before="200" w:after="120"/>
        <w:ind w:left="0"/>
      </w:pPr>
      <w:r>
        <w:rPr>
          <w:rFonts w:ascii="Times New Roman" w:hAnsi="Times New Roman"/>
          <w:b/>
          <w:sz w:val="21"/>
        </w:rPr>
        <w:t>5.1  Competing Pledges of 100% of the Membership Interests (High)</w:t>
      </w:r>
    </w:p>
    <w:p>
      <w:pPr>
        <w:spacing w:after="120" w:line="259" w:lineRule="auto"/>
        <w:ind w:left="0" w:firstLine="720"/>
        <w:jc w:val="both"/>
      </w:pPr>
      <w:r>
        <w:rPr>
          <w:rFonts w:ascii="Times New Roman" w:hAnsi="Times New Roman"/>
          <w:b w:val="0"/>
          <w:i w:val="0"/>
          <w:sz w:val="22"/>
        </w:rPr>
        <w:t>Term Sheet § 8 gives the Bank a “first priority” pledge of 100% of the membership interests, and Term Sheet § 1.4 and the Organizational Chart both state that the mezzanine loan is secured by “a pledge of 100% of the membership interests.” Only one lender can hold a first-priority security interest in the same collateral. The credit memorandum (§ 4.2) identifies the conflict and recommends that the Bank take first priority and the mezzanine lender second, with the priority resolved in the Intercreditor Agreement. That Intercreditor Agreement has been “negotiated but is not yet executed” (Organizational Chart § 1.2; Credit Memorandum § 4.4).</w:t>
      </w:r>
    </w:p>
    <w:p>
      <w:pPr>
        <w:spacing w:after="120" w:line="259" w:lineRule="auto"/>
        <w:ind w:left="0" w:firstLine="720"/>
        <w:jc w:val="both"/>
      </w:pPr>
      <w:r>
        <w:rPr>
          <w:rFonts w:ascii="Times New Roman" w:hAnsi="Times New Roman"/>
          <w:b w:val="0"/>
          <w:i w:val="0"/>
          <w:sz w:val="22"/>
        </w:rPr>
        <w:t>We have drafted to the approved credit decision, but we recommend that the Committee reconsider the allocation before the intercreditor negotiation concludes, for four reasons:</w:t>
      </w:r>
    </w:p>
    <w:p>
      <w:pPr>
        <w:tabs>
          <w:tab w:pos="1224" w:val="left"/>
        </w:tabs>
        <w:spacing w:after="100" w:line="252" w:lineRule="auto"/>
        <w:ind w:left="1224" w:hanging="504"/>
        <w:jc w:val="both"/>
      </w:pPr>
      <w:r>
        <w:rPr>
          <w:rFonts w:ascii="Times New Roman" w:hAnsi="Times New Roman"/>
          <w:sz w:val="20"/>
        </w:rPr>
        <w:t>(a)</w:t>
        <w:tab/>
      </w:r>
      <w:r>
        <w:rPr>
          <w:rFonts w:ascii="Times New Roman" w:hAnsi="Times New Roman"/>
          <w:sz w:val="20"/>
        </w:rPr>
        <w:t>The pledge of 100% of the equity is the mezzanine lender’s only collateral. Subordinating it to the Bank’s pledge leaves a $9.2 million loan secured by an interest that is worthless on a senior foreclosure — a structure that invites a recharacterization argument, an equitable subordination claim or a lender-liability claim against the Bank if the mezzanine lender later fails.</w:t>
      </w:r>
    </w:p>
    <w:p>
      <w:pPr>
        <w:tabs>
          <w:tab w:pos="1224" w:val="left"/>
        </w:tabs>
        <w:spacing w:after="100" w:line="252" w:lineRule="auto"/>
        <w:ind w:left="1224" w:hanging="504"/>
        <w:jc w:val="both"/>
      </w:pPr>
      <w:r>
        <w:rPr>
          <w:rFonts w:ascii="Times New Roman" w:hAnsi="Times New Roman"/>
          <w:sz w:val="20"/>
        </w:rPr>
        <w:t>(b)</w:t>
        <w:tab/>
      </w:r>
      <w:r>
        <w:rPr>
          <w:rFonts w:ascii="Times New Roman" w:hAnsi="Times New Roman"/>
          <w:sz w:val="20"/>
        </w:rPr>
        <w:t>A first-priority pledge in favor of the Bank means that on foreclosure the Bank acquires the Borrower itself, together with the Borrower’s environmental liabilities, rather than the real property. Given the residual contamination and the conditional NFA, that is an unattractive acquisition.</w:t>
      </w:r>
    </w:p>
    <w:p>
      <w:pPr>
        <w:tabs>
          <w:tab w:pos="1224" w:val="left"/>
        </w:tabs>
        <w:spacing w:after="100" w:line="252" w:lineRule="auto"/>
        <w:ind w:left="1224" w:hanging="504"/>
        <w:jc w:val="both"/>
      </w:pPr>
      <w:r>
        <w:rPr>
          <w:rFonts w:ascii="Times New Roman" w:hAnsi="Times New Roman"/>
          <w:sz w:val="20"/>
        </w:rPr>
        <w:t>(c)</w:t>
        <w:tab/>
      </w:r>
      <w:r>
        <w:rPr>
          <w:rFonts w:ascii="Times New Roman" w:hAnsi="Times New Roman"/>
          <w:sz w:val="20"/>
        </w:rPr>
        <w:t>The pledge is not needed for the Bank’s credit support. The Bank already holds a first deed of trust, an assignment of rents, a security interest in all personal property and intangibles, collateral assignments of the construction and architectural contracts, a completion guaranty, a carry guaranty, a 25% payment guaranty and an unlimited environmental indemnity, at a 62.31% as-completed loan-to-value ratio. The credit memorandum makes the same point when it describes the real-property collateral as sufficient (Section 9.4, Alternative).</w:t>
      </w:r>
    </w:p>
    <w:p>
      <w:pPr>
        <w:tabs>
          <w:tab w:pos="1224" w:val="left"/>
        </w:tabs>
        <w:spacing w:after="100" w:line="252" w:lineRule="auto"/>
        <w:ind w:left="1224" w:hanging="504"/>
        <w:jc w:val="both"/>
      </w:pPr>
      <w:r>
        <w:rPr>
          <w:rFonts w:ascii="Times New Roman" w:hAnsi="Times New Roman"/>
          <w:sz w:val="20"/>
        </w:rPr>
        <w:t>(d)</w:t>
        <w:tab/>
      </w:r>
      <w:r>
        <w:rPr>
          <w:rFonts w:ascii="Times New Roman" w:hAnsi="Times New Roman"/>
          <w:sz w:val="20"/>
        </w:rPr>
        <w:t>A first-priority pledge by the mortgage lender of the equity of a borrower whose member is an affiliate of the mezzanine lender is precisely the fact pattern that heightens substantive consolidation risk, which Section 9.3 of the credit memorandum identifies as a principal concern.</w:t>
      </w:r>
    </w:p>
    <w:p>
      <w:pPr>
        <w:spacing w:after="120" w:line="259" w:lineRule="auto"/>
        <w:ind w:left="0" w:firstLine="720"/>
        <w:jc w:val="both"/>
      </w:pPr>
      <w:r>
        <w:rPr>
          <w:rFonts w:ascii="Times New Roman" w:hAnsi="Times New Roman"/>
          <w:b w:val="0"/>
          <w:i w:val="0"/>
          <w:sz w:val="22"/>
        </w:rPr>
        <w:t>We recommend a first-priority pledge in favor of the mezzanine lender with the Bank holding a springing, second-priority pledge, step-in rights upon an Event of Default, and a ninety-day standstill on the mezzanine lender’s remedies, all as set out in Section 12.3 of the Draft Agreement. If the Committee retains the approved allocation, Section 12.2 and the Intercreditor Agreement should say so expressly, and the Bank should require a mezzanine lender consent to the Bank’s ownership of the equity on foreclosure and a release of the mezzanine lender’s claims against the equity in that event.</w:t>
      </w:r>
    </w:p>
    <w:p>
      <w:pPr>
        <w:keepNext/>
        <w:spacing w:before="200" w:after="120"/>
        <w:ind w:left="0"/>
      </w:pPr>
      <w:r>
        <w:rPr>
          <w:rFonts w:ascii="Times New Roman" w:hAnsi="Times New Roman"/>
          <w:b/>
          <w:sz w:val="21"/>
        </w:rPr>
        <w:t>5.2  The 28% Member Is the Mezzanine Lender’s Affiliate — and Holds a Veto (High)</w:t>
      </w:r>
    </w:p>
    <w:p>
      <w:pPr>
        <w:spacing w:after="120" w:line="259" w:lineRule="auto"/>
        <w:ind w:left="0" w:firstLine="720"/>
        <w:jc w:val="both"/>
      </w:pPr>
      <w:r>
        <w:rPr>
          <w:rFonts w:ascii="Times New Roman" w:hAnsi="Times New Roman"/>
          <w:b w:val="0"/>
          <w:i w:val="0"/>
          <w:sz w:val="22"/>
        </w:rPr>
        <w:t>Three features of the capital structure, taken together, are more significant than the credit memorandum’s “affiliate relationship” heading suggests:</w:t>
      </w:r>
    </w:p>
    <w:p>
      <w:pPr>
        <w:spacing w:after="120" w:line="259" w:lineRule="auto"/>
        <w:ind w:left="0" w:firstLine="720"/>
        <w:jc w:val="both"/>
      </w:pPr>
      <w:r>
        <w:rPr>
          <w:rFonts w:ascii="Times New Roman" w:hAnsi="Times New Roman"/>
          <w:b w:val="0"/>
          <w:i w:val="0"/>
          <w:sz w:val="22"/>
        </w:rPr>
        <w:t>First, Brightleaf Investors Group LLC contributed $0 and received 28% “in consideration of its commitment to arrange third-party mezzanine financing for the Project” (Operating Agreement § 5.1(b); Organizational Chart § 1.3). The financing was arranged with Brightleaf Mezzanine Capital LLC, an entity under the common control of Thomas R. Chen. On the face of the operating agreement, therefore, the mezzanine lender holds an indirect 28% equity interest in its own borrower, acquired for no cash. That is not simply an affiliate relationship; it is an equity-for-debt-arrangement exchange that a bankruptcy court or a subsequent purchaser could treat as evidence that the mezzanine loan is equity. The credit memorandum’s statement that the Land was funded “through capital calls from all three members, including Brightleaf Investors Group LLC” (Section 2.2) is directly contradicted by the operating agreement excerpt and by the Borrower’s certified chart.</w:t>
      </w:r>
    </w:p>
    <w:p>
      <w:pPr>
        <w:spacing w:after="120" w:line="259" w:lineRule="auto"/>
        <w:ind w:left="0" w:firstLine="720"/>
        <w:jc w:val="both"/>
      </w:pPr>
      <w:r>
        <w:rPr>
          <w:rFonts w:ascii="Times New Roman" w:hAnsi="Times New Roman"/>
          <w:b w:val="0"/>
          <w:i w:val="0"/>
          <w:sz w:val="22"/>
        </w:rPr>
        <w:t>Second, the operating agreement requires the approval of members holding at least 75% of the membership interests for any financing or refinancing over $1,000,000, any sale or encumbrance of substantially all assets, any amendment of the operating agreement, and any voluntary bankruptcy filing (Operating Agreement § 3.2). Ms. Vasquez-Torres holds 62% and Mr. Osei 10%; together they hold 72% and cannot reach 75%. Brightleaf Investors Group LLC therefore holds an effective veto over (i) the permanent take-out refinancing that is the Bank’s exit, (ii) the Bankruptcy Code filing that the independent manager provision is designed to control, and (iii) the amendments to the operating agreement that the Bank is requiring as a condition of closing. The same 75% threshold governs the member consents required to authorize this loan (Section 3.2(b)), so the Bank’s closing condition cannot be satisfied without the affiliate’s signature.</w:t>
      </w:r>
    </w:p>
    <w:p>
      <w:pPr>
        <w:spacing w:after="120" w:line="259" w:lineRule="auto"/>
        <w:ind w:left="0" w:firstLine="720"/>
        <w:jc w:val="both"/>
      </w:pPr>
      <w:r>
        <w:rPr>
          <w:rFonts w:ascii="Times New Roman" w:hAnsi="Times New Roman"/>
          <w:b w:val="0"/>
          <w:i w:val="0"/>
          <w:sz w:val="22"/>
        </w:rPr>
        <w:t>Third, Section 5.3 of the operating agreement permits capital calls with a two-for-one dilution penalty for non-funding members. An involuntary dilution of that kind would be a transfer of a membership interest without the Bank’s consent, in breach of the negative covenant against transfers; the Draft Agreement addresses it directly at Section 7.10. The negative covenant in Term Sheet § 14 and the operating agreement mechanism cannot both operate as written.</w:t>
      </w:r>
    </w:p>
    <w:p>
      <w:pPr>
        <w:spacing w:after="120" w:line="259" w:lineRule="auto"/>
        <w:ind w:left="0" w:firstLine="720"/>
        <w:jc w:val="both"/>
      </w:pPr>
      <w:r>
        <w:rPr>
          <w:rFonts w:ascii="Times New Roman" w:hAnsi="Times New Roman"/>
          <w:b w:val="0"/>
          <w:i w:val="0"/>
          <w:sz w:val="22"/>
        </w:rPr>
        <w:t>We also note a diligence gap: the credit memorandum certifies that Know Your Customer and Customer Due Diligence were completed on Brightleaf Investors Group LLC and Thomas R. Chen (Section 12), while the Organizational Chart states that the identities of the other members of Brightleaf Investors Group are “available upon request under separate confidentiality agreement” (Section 1.2). The Bank should obtain the beneficial ownership certification for the entity member before closing, as Section 5.16 of the Draft Agreement represents.</w:t>
      </w:r>
    </w:p>
    <w:p>
      <w:pPr>
        <w:spacing w:after="160" w:line="259" w:lineRule="auto"/>
        <w:ind w:left="0" w:firstLine="720"/>
        <w:jc w:val="both"/>
      </w:pPr>
      <w:r>
        <w:rPr>
          <w:rFonts w:ascii="Times New Roman" w:hAnsi="Times New Roman"/>
          <w:b/>
          <w:i w:val="0"/>
          <w:sz w:val="22"/>
        </w:rPr>
        <w:t>Recommended resolution.</w:t>
      </w:r>
      <w:r>
        <w:rPr>
          <w:rFonts w:ascii="Times New Roman" w:hAnsi="Times New Roman"/>
          <w:b w:val="0"/>
          <w:i w:val="0"/>
          <w:sz w:val="22"/>
        </w:rPr>
        <w:t xml:space="preserve">  Require (i) an amended and restated operating agreement that (A) contains the separateness and independent manager provisions, (B) removes the 75% consent requirement for any refinancing, sale or other action approved by Lender under the Loan Documents, and (C) eliminates or subjects to Lender consent the dilution mechanism in Section 5.3; (ii) member consents executed by all three members, including Brightleaf Investors Group LLC, authorizing the loan, the pledges and the amendments; (iii) the non-consolidation opinion from Borrower’s counsel; and (iv) beneficial ownership certifications for the entity member. Sections 3.6, 7.4, 7.10, 11.2, 11.3 and 11.5 of the Draft Agreement implement these requirements.</w:t>
      </w:r>
    </w:p>
    <w:p>
      <w:pPr>
        <w:keepNext/>
        <w:spacing w:before="200" w:after="120"/>
        <w:ind w:left="0"/>
      </w:pPr>
      <w:r>
        <w:rPr>
          <w:rFonts w:ascii="Times New Roman" w:hAnsi="Times New Roman"/>
          <w:b/>
          <w:sz w:val="21"/>
        </w:rPr>
        <w:t>5.3  Single-Purpose Entity Status Is Currently Unsupported (High)</w:t>
      </w:r>
    </w:p>
    <w:p>
      <w:pPr>
        <w:spacing w:after="120" w:line="259" w:lineRule="auto"/>
        <w:ind w:left="0" w:firstLine="720"/>
        <w:jc w:val="both"/>
      </w:pPr>
      <w:r>
        <w:rPr>
          <w:rFonts w:ascii="Times New Roman" w:hAnsi="Times New Roman"/>
          <w:b w:val="0"/>
          <w:i w:val="0"/>
          <w:sz w:val="22"/>
        </w:rPr>
        <w:t>The Borrower’s certified chart states plainly that the operating agreement “does not currently include provisions for an independent director or independent manager, nor does it contain separateness covenants customarily associated with single-purpose entity structures,” and that there are “no separateness covenants requiring the Company to maintain its own books, records, and bank accounts separate from those of its members or their affiliates, no prohibition on commingling of funds with affiliates, and no requirement that the Company obtain a non-consolidation opinion.” The Term Sheet nevertheless requires the Borrower to represent that it is a single-purpose entity (Section 12) and to maintain that status (Sections 13, 20), and the credit memorandum’s recommendation rests in part on SPE covenants. The representation would be inaccurate on the date it is made. Sections 3.6 and 11.1 through 11.5 of the Draft Agreement convert the requirement into a pre-closing deliverable rather than a present representation.</w:t>
      </w:r>
    </w:p>
    <w:p>
      <w:pPr>
        <w:keepNext/>
        <w:spacing w:after="160" w:before="320" w:line="259" w:lineRule="auto"/>
        <w:ind w:firstLine="0" w:left="0"/>
        <w:jc w:val="center"/>
      </w:pPr>
      <w:r>
        <w:rPr>
          <w:rFonts w:ascii="Times New Roman" w:hAnsi="Times New Roman"/>
          <w:b/>
          <w:i w:val="0"/>
          <w:caps/>
          <w:sz w:val="24"/>
        </w:rPr>
        <w:t>6.  Guaranties and Guarantor Capacity</w:t>
      </w:r>
    </w:p>
    <w:p>
      <w:pPr>
        <w:keepNext/>
        <w:spacing w:before="200" w:after="120"/>
        <w:ind w:left="0"/>
      </w:pPr>
      <w:r>
        <w:rPr>
          <w:rFonts w:ascii="Times New Roman" w:hAnsi="Times New Roman"/>
          <w:b/>
          <w:sz w:val="21"/>
        </w:rPr>
        <w:t>6.1  The Partial Repayment Guaranty Is Ambiguously Sized (Medium)</w:t>
      </w:r>
    </w:p>
    <w:p>
      <w:pPr>
        <w:spacing w:after="120" w:line="259" w:lineRule="auto"/>
        <w:ind w:left="0" w:firstLine="720"/>
        <w:jc w:val="both"/>
      </w:pPr>
      <w:r>
        <w:rPr>
          <w:rFonts w:ascii="Times New Roman" w:hAnsi="Times New Roman"/>
          <w:b w:val="0"/>
          <w:i w:val="0"/>
          <w:sz w:val="22"/>
        </w:rPr>
        <w:t>Term Sheet § 7.3 provides for a guaranty “in the amount of 25% of the Loan Amount (25% × $47,500,000 = $11,875,000)” that is “joint and several, meaning that each Guarantor shall be individually liable for the full guaranteed amount.” The credit memorandum then measures “each guarantor’s partial repayment guaranty of $11,875,000” against each guarantor’s individual net worth (Section 2.3.3), which reads as $23,750,000 of aggregate exposure. The two characterizations produce very different recourse. Section 13.3 of the Draft Agreement fixes a single aggregate Guaranteed Amount of $11,875,000 ($11,340,000 at the conformed commitment) collectible once, while preserving each Guarantor’s joint and several liability up to that amount. The Committee should confirm this is what was approved.</w:t>
      </w:r>
    </w:p>
    <w:p>
      <w:pPr>
        <w:keepNext/>
        <w:spacing w:before="200" w:after="120"/>
        <w:ind w:left="0"/>
      </w:pPr>
      <w:r>
        <w:rPr>
          <w:rFonts w:ascii="Times New Roman" w:hAnsi="Times New Roman"/>
          <w:b/>
          <w:sz w:val="21"/>
        </w:rPr>
        <w:t>6.2  Guarantor Capacity (Medium)</w:t>
      </w:r>
    </w:p>
    <w:p>
      <w:pPr>
        <w:spacing w:after="120" w:line="259" w:lineRule="auto"/>
        <w:ind w:left="0" w:firstLine="720"/>
        <w:jc w:val="both"/>
      </w:pPr>
      <w:r>
        <w:rPr>
          <w:rFonts w:ascii="Times New Roman" w:hAnsi="Times New Roman"/>
          <w:b w:val="0"/>
          <w:i w:val="0"/>
          <w:sz w:val="22"/>
        </w:rPr>
        <w:t>Applying the stated net worth figures, the $11,875,000 guaranty represents approximately 39.8% of Ms. Vasquez-Torres’s net worth and approximately 103.3% of Mr. Osei’s. The credit memorandum acknowledges the point (Section 2.3.3) and observes that both guarantors’ net worth is concentrated in illiquid real estate (approximately 65% and 59%, respectively). A payment guaranty that exceeds a guarantor’s net worth is not meaningful recourse. We recommend either (a) a separate, lower cap for Mr. Osei, (b) additional collateral or a letter of credit from Mr. Osei, or (c) a requirement that he maintain a specified minimum net worth during the term. Note that no guarantor net worth covenant exists in the Term Sheet (see Section 3.8 above).</w:t>
      </w:r>
    </w:p>
    <w:p>
      <w:pPr>
        <w:keepNext/>
        <w:spacing w:before="200" w:after="120"/>
        <w:ind w:left="0"/>
      </w:pPr>
      <w:r>
        <w:rPr>
          <w:rFonts w:ascii="Times New Roman" w:hAnsi="Times New Roman"/>
          <w:b/>
          <w:sz w:val="21"/>
        </w:rPr>
        <w:t>6.3  Documentary Inconsistencies in the Guaranty Package (Low)</w:t>
      </w:r>
    </w:p>
    <w:p>
      <w:pPr>
        <w:spacing w:after="120" w:line="259" w:lineRule="auto"/>
        <w:ind w:left="0" w:firstLine="720"/>
        <w:jc w:val="both"/>
      </w:pPr>
      <w:r>
        <w:rPr>
          <w:rFonts w:ascii="Times New Roman" w:hAnsi="Times New Roman"/>
          <w:b w:val="0"/>
          <w:i w:val="0"/>
          <w:sz w:val="22"/>
        </w:rPr>
        <w:t>Term Sheet § 7.4 requires the Environmental Indemnity from the Guarantors only, while the credit memorandum requires it from “both the Borrower and the Guarantors” (Section 8.2) and Condition 10.1.11 refers only to the completion, carry and partial repayment guaranties. Section 13.4 of the Draft Agreement requires the Environmental Indemnity from Borrower and each Guarantor, which is the stronger and correct formulation. Term Sheet § 19 does not require the architect’s professional liability insurance that credit memorandum § 8.1 requires at $2,000,000; Section 9.1(e) of the Draft Agreement requires it, together with $1,000,000 for the engineer designing the vapor mitigation system.</w:t>
      </w:r>
    </w:p>
    <w:p>
      <w:pPr>
        <w:keepNext/>
        <w:spacing w:after="160" w:before="320" w:line="259" w:lineRule="auto"/>
        <w:ind w:firstLine="0" w:left="0"/>
        <w:jc w:val="center"/>
      </w:pPr>
      <w:r>
        <w:rPr>
          <w:rFonts w:ascii="Times New Roman" w:hAnsi="Times New Roman"/>
          <w:b/>
          <w:i w:val="0"/>
          <w:caps/>
          <w:sz w:val="24"/>
        </w:rPr>
        <w:t>7.  Regulatory, Diligence Currency and Insurance</w:t>
      </w:r>
    </w:p>
    <w:p>
      <w:pPr>
        <w:keepNext/>
        <w:spacing w:before="200" w:after="120"/>
        <w:ind w:left="0"/>
      </w:pPr>
      <w:r>
        <w:rPr>
          <w:rFonts w:ascii="Times New Roman" w:hAnsi="Times New Roman"/>
          <w:b/>
          <w:sz w:val="21"/>
        </w:rPr>
        <w:t>7.1  HVCRE Classification Turns on an Accounting Judgment (Low, but confirm)</w:t>
      </w:r>
    </w:p>
    <w:p>
      <w:pPr>
        <w:spacing w:after="120" w:line="259" w:lineRule="auto"/>
        <w:ind w:left="0" w:firstLine="720"/>
        <w:jc w:val="both"/>
      </w:pPr>
      <w:r>
        <w:rPr>
          <w:rFonts w:ascii="Times New Roman" w:hAnsi="Times New Roman"/>
          <w:b w:val="0"/>
          <w:i w:val="0"/>
          <w:sz w:val="22"/>
        </w:rPr>
        <w:t>The credit memorandum concludes that the loan will be a high volatility commercial real estate exposure because contributed capital of $10,340,000 ($8,200,000 of Land at cost plus the $2,140,000 equity deposit) is 14.2% of the $72,800,000 as-completed appraised value, below the 15% threshold ($10,920,000). The conclusion depends on the value assigned to contributed real property. If the Land is counted at its $8,900,000 appraised value rather than its $8,200,000 cost, contributed capital is $11,040,000, or 15.16%, and the exposure may not be high volatility commercial real estate. The difference is a 150% risk weight and has a real capital consequence. We recommend that the Bank’s regulatory reporting group confirm the convention applied, and that the conclusion be re-run after the Land facts in Section 3.1 are verified.</w:t>
      </w:r>
    </w:p>
    <w:p>
      <w:pPr>
        <w:keepNext/>
        <w:spacing w:before="200" w:after="120"/>
        <w:ind w:left="0"/>
      </w:pPr>
      <w:r>
        <w:rPr>
          <w:rFonts w:ascii="Times New Roman" w:hAnsi="Times New Roman"/>
          <w:b/>
          <w:sz w:val="21"/>
        </w:rPr>
        <w:t>7.2  Diligence Currency (Medium — calendar risk)</w:t>
      </w:r>
    </w:p>
    <w:p>
      <w:pPr>
        <w:spacing w:after="120" w:line="259" w:lineRule="auto"/>
        <w:ind w:left="0" w:firstLine="720"/>
        <w:jc w:val="both"/>
      </w:pPr>
      <w:r>
        <w:rPr>
          <w:rFonts w:ascii="Times New Roman" w:hAnsi="Times New Roman"/>
          <w:b w:val="0"/>
          <w:i w:val="0"/>
          <w:sz w:val="22"/>
        </w:rPr>
        <w:t>Three expiration dates bear on the closing calendar: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2448"/>
            <w:shd w:val="clear" w:color="auto" w:fill="D9D9D9"/>
          </w:tcPr>
          <w:p>
            <w:pPr>
              <w:spacing w:after="20" w:before="20" w:line="240" w:lineRule="auto"/>
              <w:jc w:val="center"/>
            </w:pPr>
            <w:r/>
            <w:r>
              <w:rPr>
                <w:rFonts w:ascii="Times New Roman" w:hAnsi="Times New Roman"/>
                <w:b/>
                <w:sz w:val="16"/>
              </w:rPr>
              <w:t>Item</w:t>
            </w:r>
          </w:p>
        </w:tc>
        <w:tc>
          <w:tcPr>
            <w:tcW w:type="dxa" w:w="1728"/>
            <w:shd w:val="clear" w:color="auto" w:fill="D9D9D9"/>
          </w:tcPr>
          <w:p>
            <w:pPr>
              <w:spacing w:after="20" w:before="20" w:line="240" w:lineRule="auto"/>
              <w:jc w:val="center"/>
            </w:pPr>
            <w:r/>
            <w:r>
              <w:rPr>
                <w:rFonts w:ascii="Times New Roman" w:hAnsi="Times New Roman"/>
                <w:b/>
                <w:sz w:val="16"/>
              </w:rPr>
              <w:t>Date</w:t>
            </w:r>
          </w:p>
        </w:tc>
        <w:tc>
          <w:tcPr>
            <w:tcW w:type="dxa" w:w="1872"/>
            <w:shd w:val="clear" w:color="auto" w:fill="D9D9D9"/>
          </w:tcPr>
          <w:p>
            <w:pPr>
              <w:spacing w:after="20" w:before="20" w:line="240" w:lineRule="auto"/>
              <w:jc w:val="center"/>
            </w:pPr>
            <w:r/>
            <w:r>
              <w:rPr>
                <w:rFonts w:ascii="Times New Roman" w:hAnsi="Times New Roman"/>
                <w:b/>
                <w:sz w:val="16"/>
              </w:rPr>
              <w:t>Expires / milestone</w:t>
            </w:r>
          </w:p>
        </w:tc>
        <w:tc>
          <w:tcPr>
            <w:tcW w:type="dxa" w:w="3312"/>
            <w:shd w:val="clear" w:color="auto" w:fill="D9D9D9"/>
          </w:tcPr>
          <w:p>
            <w:pPr>
              <w:spacing w:after="20" w:before="20" w:line="240" w:lineRule="auto"/>
              <w:jc w:val="center"/>
            </w:pPr>
            <w:r/>
            <w:r>
              <w:rPr>
                <w:rFonts w:ascii="Times New Roman" w:hAnsi="Times New Roman"/>
                <w:b/>
                <w:sz w:val="16"/>
              </w:rPr>
              <w:t>Requirement if closing slips</w:t>
            </w:r>
          </w:p>
        </w:tc>
      </w:tr>
      <w:tr>
        <w:trPr>
          <w:cantSplit w:val="true"/>
        </w:trPr>
        <w:tc>
          <w:tcPr>
            <w:tcW w:type="dxa" w:w="2448"/>
          </w:tcPr>
          <w:p>
            <w:pPr>
              <w:spacing w:after="20" w:before="20" w:line="240" w:lineRule="auto"/>
            </w:pPr>
            <w:r/>
            <w:r>
              <w:rPr>
                <w:rFonts w:ascii="Times New Roman" w:hAnsi="Times New Roman"/>
                <w:b w:val="0"/>
                <w:sz w:val="16"/>
              </w:rPr>
              <w:t>Phase I ESA — AAI shelf life (40 C.F.R. § 312.20(c))</w:t>
            </w:r>
          </w:p>
        </w:tc>
        <w:tc>
          <w:tcPr>
            <w:tcW w:type="dxa" w:w="1728"/>
          </w:tcPr>
          <w:p>
            <w:pPr>
              <w:spacing w:after="20" w:before="20" w:line="240" w:lineRule="auto"/>
            </w:pPr>
            <w:r/>
            <w:r>
              <w:rPr>
                <w:rFonts w:ascii="Times New Roman" w:hAnsi="Times New Roman"/>
                <w:b w:val="0"/>
                <w:sz w:val="16"/>
              </w:rPr>
              <w:t>October 28, 2024</w:t>
            </w:r>
          </w:p>
        </w:tc>
        <w:tc>
          <w:tcPr>
            <w:tcW w:type="dxa" w:w="1872"/>
          </w:tcPr>
          <w:p>
            <w:pPr>
              <w:spacing w:after="20" w:before="20" w:line="240" w:lineRule="auto"/>
            </w:pPr>
            <w:r/>
            <w:r>
              <w:rPr>
                <w:rFonts w:ascii="Times New Roman" w:hAnsi="Times New Roman"/>
                <w:b w:val="0"/>
                <w:sz w:val="16"/>
              </w:rPr>
              <w:t>April 26, 2025 (180 days)</w:t>
            </w:r>
          </w:p>
        </w:tc>
        <w:tc>
          <w:tcPr>
            <w:tcW w:type="dxa" w:w="3312"/>
          </w:tcPr>
          <w:p>
            <w:pPr>
              <w:spacing w:after="20" w:before="20" w:line="240" w:lineRule="auto"/>
            </w:pPr>
            <w:r/>
            <w:r>
              <w:rPr>
                <w:rFonts w:ascii="Times New Roman" w:hAnsi="Times New Roman"/>
                <w:b w:val="0"/>
                <w:sz w:val="16"/>
              </w:rPr>
              <w:t>Update the assessment and obtain a new reliance letter (Draft Agreement § 3.4(g))</w:t>
            </w:r>
          </w:p>
        </w:tc>
      </w:tr>
      <w:tr>
        <w:trPr>
          <w:cantSplit w:val="true"/>
        </w:trPr>
        <w:tc>
          <w:tcPr>
            <w:tcW w:type="dxa" w:w="2448"/>
          </w:tcPr>
          <w:p>
            <w:pPr>
              <w:spacing w:after="20" w:before="20" w:line="240" w:lineRule="auto"/>
            </w:pPr>
            <w:r/>
            <w:r>
              <w:rPr>
                <w:rFonts w:ascii="Times New Roman" w:hAnsi="Times New Roman"/>
                <w:b w:val="0"/>
                <w:sz w:val="16"/>
              </w:rPr>
              <w:t>Title commitment NC-2024-88712</w:t>
            </w:r>
          </w:p>
        </w:tc>
        <w:tc>
          <w:tcPr>
            <w:tcW w:type="dxa" w:w="1728"/>
          </w:tcPr>
          <w:p>
            <w:pPr>
              <w:spacing w:after="20" w:before="20" w:line="240" w:lineRule="auto"/>
            </w:pPr>
            <w:r/>
            <w:r>
              <w:rPr>
                <w:rFonts w:ascii="Times New Roman" w:hAnsi="Times New Roman"/>
                <w:b w:val="0"/>
                <w:sz w:val="16"/>
              </w:rPr>
              <w:t>Effective December 5, 2024</w:t>
            </w:r>
          </w:p>
        </w:tc>
        <w:tc>
          <w:tcPr>
            <w:tcW w:type="dxa" w:w="1872"/>
          </w:tcPr>
          <w:p>
            <w:pPr>
              <w:spacing w:after="20" w:before="20" w:line="240" w:lineRule="auto"/>
            </w:pPr>
            <w:r/>
            <w:r>
              <w:rPr>
                <w:rFonts w:ascii="Times New Roman" w:hAnsi="Times New Roman"/>
                <w:b w:val="0"/>
                <w:sz w:val="16"/>
              </w:rPr>
              <w:t>June 5, 2025 (six months)</w:t>
            </w:r>
          </w:p>
        </w:tc>
        <w:tc>
          <w:tcPr>
            <w:tcW w:type="dxa" w:w="3312"/>
          </w:tcPr>
          <w:p>
            <w:pPr>
              <w:spacing w:after="20" w:before="20" w:line="240" w:lineRule="auto"/>
            </w:pPr>
            <w:r/>
            <w:r>
              <w:rPr>
                <w:rFonts w:ascii="Times New Roman" w:hAnsi="Times New Roman"/>
                <w:b w:val="0"/>
                <w:sz w:val="16"/>
              </w:rPr>
              <w:t>Written extension or re-issuance plus a date-down endorsement (§ 3.17)</w:t>
            </w:r>
          </w:p>
        </w:tc>
      </w:tr>
      <w:tr>
        <w:trPr>
          <w:cantSplit w:val="true"/>
        </w:trPr>
        <w:tc>
          <w:tcPr>
            <w:tcW w:type="dxa" w:w="2448"/>
          </w:tcPr>
          <w:p>
            <w:pPr>
              <w:spacing w:after="20" w:before="20" w:line="240" w:lineRule="auto"/>
            </w:pPr>
            <w:r/>
            <w:r>
              <w:rPr>
                <w:rFonts w:ascii="Times New Roman" w:hAnsi="Times New Roman"/>
                <w:b w:val="0"/>
                <w:sz w:val="16"/>
              </w:rPr>
              <w:t>Appraisal (FIRREA 12-month rule)</w:t>
            </w:r>
          </w:p>
        </w:tc>
        <w:tc>
          <w:tcPr>
            <w:tcW w:type="dxa" w:w="1728"/>
          </w:tcPr>
          <w:p>
            <w:pPr>
              <w:spacing w:after="20" w:before="20" w:line="240" w:lineRule="auto"/>
            </w:pPr>
            <w:r/>
            <w:r>
              <w:rPr>
                <w:rFonts w:ascii="Times New Roman" w:hAnsi="Times New Roman"/>
                <w:b w:val="0"/>
                <w:sz w:val="16"/>
              </w:rPr>
              <w:t>November 15, 2024</w:t>
            </w:r>
          </w:p>
        </w:tc>
        <w:tc>
          <w:tcPr>
            <w:tcW w:type="dxa" w:w="1872"/>
          </w:tcPr>
          <w:p>
            <w:pPr>
              <w:spacing w:after="20" w:before="20" w:line="240" w:lineRule="auto"/>
            </w:pPr>
            <w:r/>
            <w:r>
              <w:rPr>
                <w:rFonts w:ascii="Times New Roman" w:hAnsi="Times New Roman"/>
                <w:b w:val="0"/>
                <w:sz w:val="16"/>
              </w:rPr>
              <w:t>November 15, 2025</w:t>
            </w:r>
          </w:p>
        </w:tc>
        <w:tc>
          <w:tcPr>
            <w:tcW w:type="dxa" w:w="3312"/>
          </w:tcPr>
          <w:p>
            <w:pPr>
              <w:spacing w:after="20" w:before="20" w:line="240" w:lineRule="auto"/>
            </w:pPr>
            <w:r/>
            <w:r>
              <w:rPr>
                <w:rFonts w:ascii="Times New Roman" w:hAnsi="Times New Roman"/>
                <w:b w:val="0"/>
                <w:sz w:val="16"/>
              </w:rPr>
              <w:t>No action required for a February 28, 2025 closing; reappraisal at the Borrower’s expense if the Bank requires</w:t>
            </w:r>
          </w:p>
        </w:tc>
      </w:tr>
      <w:tr>
        <w:trPr>
          <w:cantSplit w:val="true"/>
        </w:trPr>
        <w:tc>
          <w:tcPr>
            <w:tcW w:type="dxa" w:w="2448"/>
          </w:tcPr>
          <w:p>
            <w:pPr>
              <w:spacing w:after="20" w:before="20" w:line="240" w:lineRule="auto"/>
            </w:pPr>
            <w:r/>
            <w:r>
              <w:rPr>
                <w:rFonts w:ascii="Times New Roman" w:hAnsi="Times New Roman"/>
                <w:b w:val="0"/>
                <w:sz w:val="16"/>
              </w:rPr>
              <w:t>Environmental remediation report / NFA Letter</w:t>
            </w:r>
          </w:p>
        </w:tc>
        <w:tc>
          <w:tcPr>
            <w:tcW w:type="dxa" w:w="1728"/>
          </w:tcPr>
          <w:p>
            <w:pPr>
              <w:spacing w:after="20" w:before="20" w:line="240" w:lineRule="auto"/>
            </w:pPr>
            <w:r/>
            <w:r>
              <w:rPr>
                <w:rFonts w:ascii="Times New Roman" w:hAnsi="Times New Roman"/>
                <w:b w:val="0"/>
                <w:sz w:val="16"/>
              </w:rPr>
              <w:t>September 2024 / September 30, 2024</w:t>
            </w:r>
          </w:p>
        </w:tc>
        <w:tc>
          <w:tcPr>
            <w:tcW w:type="dxa" w:w="1872"/>
          </w:tcPr>
          <w:p>
            <w:pPr>
              <w:spacing w:after="20" w:before="20" w:line="240" w:lineRule="auto"/>
            </w:pPr>
            <w:r/>
            <w:r>
              <w:rPr>
                <w:rFonts w:ascii="Times New Roman" w:hAnsi="Times New Roman"/>
                <w:b w:val="0"/>
                <w:sz w:val="16"/>
              </w:rPr>
              <w:t>Deed Notice due November 29, 2024</w:t>
            </w:r>
          </w:p>
        </w:tc>
        <w:tc>
          <w:tcPr>
            <w:tcW w:type="dxa" w:w="3312"/>
          </w:tcPr>
          <w:p>
            <w:pPr>
              <w:spacing w:after="20" w:before="20" w:line="240" w:lineRule="auto"/>
            </w:pPr>
            <w:r/>
            <w:r>
              <w:rPr>
                <w:rFonts w:ascii="Times New Roman" w:hAnsi="Times New Roman"/>
                <w:b w:val="0"/>
                <w:sz w:val="16"/>
              </w:rPr>
              <w:t>Immediate cure (Section 3.5)</w:t>
            </w:r>
          </w:p>
        </w:tc>
      </w:tr>
    </w:tbl>
    <w:p>
      <w:pPr>
        <w:spacing w:after="160" w:before="0" w:line="240" w:lineRule="auto"/>
      </w:pPr>
    </w:p>
    <w:p>
      <w:pPr>
        <w:spacing w:after="120" w:line="259" w:lineRule="auto"/>
        <w:ind w:left="0" w:firstLine="720"/>
        <w:jc w:val="both"/>
      </w:pPr>
      <w:r>
        <w:rPr>
          <w:rFonts w:ascii="Times New Roman" w:hAnsi="Times New Roman"/>
          <w:b w:val="0"/>
          <w:i w:val="0"/>
          <w:sz w:val="22"/>
        </w:rPr>
        <w:t>Because the ground-up construction period runs thirty months from closing, any delay in closing shortens the time available to reach substantial completion before the August 28, 2027 construction maturity date, which is already three days earlier than the projected substantial completion date. If closing moves beyond early March 2025, the Bank should consider making the Construction Maturity Date a fixed date rather than thirty months from closing, or requiring the general contractor to confirm that the guaranteed maximum price and the schedule survive the delay.</w:t>
      </w:r>
    </w:p>
    <w:p>
      <w:pPr>
        <w:keepNext/>
        <w:spacing w:before="200" w:after="120"/>
        <w:ind w:left="0"/>
      </w:pPr>
      <w:r>
        <w:rPr>
          <w:rFonts w:ascii="Times New Roman" w:hAnsi="Times New Roman"/>
          <w:b/>
          <w:sz w:val="21"/>
        </w:rPr>
        <w:t>7.3  Insurance Limits (Medium)</w:t>
      </w:r>
    </w:p>
    <w:p>
      <w:pPr>
        <w:spacing w:after="120" w:line="259" w:lineRule="auto"/>
        <w:ind w:left="0" w:firstLine="720"/>
        <w:jc w:val="both"/>
      </w:pPr>
      <w:r>
        <w:rPr>
          <w:rFonts w:ascii="Times New Roman" w:hAnsi="Times New Roman"/>
          <w:b w:val="0"/>
          <w:i w:val="0"/>
          <w:sz w:val="22"/>
        </w:rPr>
        <w:t>Term Sheet § 19 requires builder’s risk insurance “in an amount not less than the total hard construction costs ($34,750,000).” Builder’s risk is ordinarily written for the completed replacement cost of the improvements, not for the contractor’s price, and the as-completed appraised value is $72,800,000 ($253 per square foot of gross building area). A $34,750,000 limit would leave the Bank’s loss payee interest substantially underinsured in a total loss, particularly because soft costs, the developer fee and the interest reserve are all funded through the loan. Section 9.1(a) of the Draft Agreement requires full replacement cost with an agreed-value endorsement and soft cost and delayed-opening coverage.</w:t>
      </w:r>
    </w:p>
    <w:p>
      <w:pPr>
        <w:keepNext/>
        <w:spacing w:after="160" w:before="320" w:line="259" w:lineRule="auto"/>
        <w:ind w:firstLine="0" w:left="0"/>
        <w:jc w:val="center"/>
      </w:pPr>
      <w:r>
        <w:rPr>
          <w:rFonts w:ascii="Times New Roman" w:hAnsi="Times New Roman"/>
          <w:b/>
          <w:i w:val="0"/>
          <w:caps/>
          <w:sz w:val="24"/>
        </w:rPr>
        <w:t>8.  Reconciliation Schedule — Every Figure Recomputed</w:t>
      </w:r>
    </w:p>
    <w:p>
      <w:pPr>
        <w:spacing w:after="120" w:line="259" w:lineRule="auto"/>
        <w:ind w:left="0" w:firstLine="720"/>
        <w:jc w:val="both"/>
      </w:pPr>
      <w:r>
        <w:rPr>
          <w:rFonts w:ascii="Times New Roman" w:hAnsi="Times New Roman"/>
          <w:b w:val="0"/>
          <w:i w:val="0"/>
          <w:sz w:val="22"/>
        </w:rPr>
        <w:t>The following table records our independent recomputation of each figure in the record. “Verified” means the figure was reproduced from its stated inputs. “Verified — not reported” means the figure is correct but does not appear in the record and bears on compliance. “Does not reconcile” means the stated figure cannot be reproduced.</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432"/>
            <w:shd w:val="clear" w:color="auto" w:fill="D9D9D9"/>
          </w:tcPr>
          <w:p>
            <w:pPr>
              <w:spacing w:after="20" w:before="20" w:line="240" w:lineRule="auto"/>
              <w:jc w:val="center"/>
            </w:pPr>
            <w:r/>
            <w:r>
              <w:rPr>
                <w:rFonts w:ascii="Times New Roman" w:hAnsi="Times New Roman"/>
                <w:b/>
                <w:sz w:val="14"/>
              </w:rPr>
              <w:t>#</w:t>
            </w:r>
          </w:p>
        </w:tc>
        <w:tc>
          <w:tcPr>
            <w:tcW w:type="dxa" w:w="2088"/>
            <w:shd w:val="clear" w:color="auto" w:fill="D9D9D9"/>
          </w:tcPr>
          <w:p>
            <w:pPr>
              <w:spacing w:after="20" w:before="20" w:line="240" w:lineRule="auto"/>
              <w:jc w:val="center"/>
            </w:pPr>
            <w:r/>
            <w:r>
              <w:rPr>
                <w:rFonts w:ascii="Times New Roman" w:hAnsi="Times New Roman"/>
                <w:b/>
                <w:sz w:val="14"/>
              </w:rPr>
              <w:t>Item</w:t>
            </w:r>
          </w:p>
        </w:tc>
        <w:tc>
          <w:tcPr>
            <w:tcW w:type="dxa" w:w="1944"/>
            <w:shd w:val="clear" w:color="auto" w:fill="D9D9D9"/>
          </w:tcPr>
          <w:p>
            <w:pPr>
              <w:spacing w:after="20" w:before="20" w:line="240" w:lineRule="auto"/>
              <w:jc w:val="center"/>
            </w:pPr>
            <w:r/>
            <w:r>
              <w:rPr>
                <w:rFonts w:ascii="Times New Roman" w:hAnsi="Times New Roman"/>
                <w:b/>
                <w:sz w:val="14"/>
              </w:rPr>
              <w:t>Stated</w:t>
            </w:r>
          </w:p>
        </w:tc>
        <w:tc>
          <w:tcPr>
            <w:tcW w:type="dxa" w:w="3096"/>
            <w:shd w:val="clear" w:color="auto" w:fill="D9D9D9"/>
          </w:tcPr>
          <w:p>
            <w:pPr>
              <w:spacing w:after="20" w:before="20" w:line="240" w:lineRule="auto"/>
              <w:jc w:val="center"/>
            </w:pPr>
            <w:r/>
            <w:r>
              <w:rPr>
                <w:rFonts w:ascii="Times New Roman" w:hAnsi="Times New Roman"/>
                <w:b/>
                <w:sz w:val="14"/>
              </w:rPr>
              <w:t>Our computation</w:t>
            </w:r>
          </w:p>
        </w:tc>
        <w:tc>
          <w:tcPr>
            <w:tcW w:type="dxa" w:w="1800"/>
            <w:shd w:val="clear" w:color="auto" w:fill="D9D9D9"/>
          </w:tcPr>
          <w:p>
            <w:pPr>
              <w:spacing w:after="20" w:before="20" w:line="240" w:lineRule="auto"/>
              <w:jc w:val="center"/>
            </w:pPr>
            <w:r/>
            <w:r>
              <w:rPr>
                <w:rFonts w:ascii="Times New Roman" w:hAnsi="Times New Roman"/>
                <w:b/>
                <w:sz w:val="14"/>
              </w:rPr>
              <w:t>Result</w:t>
            </w:r>
          </w:p>
        </w:tc>
      </w:tr>
      <w:tr>
        <w:trPr>
          <w:cantSplit w:val="true"/>
        </w:trPr>
        <w:tc>
          <w:tcPr>
            <w:tcW w:type="dxa" w:w="432"/>
          </w:tcPr>
          <w:p>
            <w:pPr>
              <w:spacing w:after="20" w:before="20" w:line="240" w:lineRule="auto"/>
            </w:pPr>
            <w:r/>
            <w:r>
              <w:rPr>
                <w:rFonts w:ascii="Times New Roman" w:hAnsi="Times New Roman"/>
                <w:b w:val="0"/>
                <w:sz w:val="14"/>
              </w:rPr>
              <w:t>1</w:t>
            </w:r>
          </w:p>
        </w:tc>
        <w:tc>
          <w:tcPr>
            <w:tcW w:type="dxa" w:w="2088"/>
          </w:tcPr>
          <w:p>
            <w:pPr>
              <w:spacing w:after="20" w:before="20" w:line="240" w:lineRule="auto"/>
            </w:pPr>
            <w:r/>
            <w:r>
              <w:rPr>
                <w:rFonts w:ascii="Times New Roman" w:hAnsi="Times New Roman"/>
                <w:b w:val="0"/>
                <w:sz w:val="14"/>
              </w:rPr>
              <w:t>Loan-to-cost ratio</w:t>
            </w:r>
          </w:p>
        </w:tc>
        <w:tc>
          <w:tcPr>
            <w:tcW w:type="dxa" w:w="1944"/>
          </w:tcPr>
          <w:p>
            <w:pPr>
              <w:spacing w:after="20" w:before="20" w:line="240" w:lineRule="auto"/>
            </w:pPr>
            <w:r/>
            <w:r>
              <w:rPr>
                <w:rFonts w:ascii="Times New Roman" w:hAnsi="Times New Roman"/>
                <w:b w:val="0"/>
                <w:sz w:val="14"/>
              </w:rPr>
              <w:t>83.77%</w:t>
            </w:r>
          </w:p>
        </w:tc>
        <w:tc>
          <w:tcPr>
            <w:tcW w:type="dxa" w:w="3096"/>
          </w:tcPr>
          <w:p>
            <w:pPr>
              <w:spacing w:after="20" w:before="20" w:line="240" w:lineRule="auto"/>
              <w:jc w:val="right"/>
            </w:pPr>
            <w:r/>
            <w:r>
              <w:rPr>
                <w:rFonts w:ascii="Times New Roman" w:hAnsi="Times New Roman"/>
                <w:b w:val="0"/>
                <w:sz w:val="14"/>
              </w:rPr>
              <w:t>$47,500,000 ÷ $56,700,000 = 83.7743%</w:t>
            </w:r>
          </w:p>
        </w:tc>
        <w:tc>
          <w:tcPr>
            <w:tcW w:type="dxa" w:w="1800"/>
          </w:tcPr>
          <w:p>
            <w:pPr>
              <w:spacing w:after="20" w:before="20" w:line="240" w:lineRule="auto"/>
            </w:pPr>
            <w:r/>
            <w:r>
              <w:rPr>
                <w:rFonts w:ascii="Times New Roman" w:hAnsi="Times New Roman"/>
                <w:b w:val="0"/>
                <w:sz w:val="14"/>
              </w:rPr>
              <w:t>Verified — exceeds the 80.00% covenant</w:t>
            </w:r>
          </w:p>
        </w:tc>
      </w:tr>
      <w:tr>
        <w:trPr>
          <w:cantSplit w:val="true"/>
        </w:trPr>
        <w:tc>
          <w:tcPr>
            <w:tcW w:type="dxa" w:w="432"/>
          </w:tcPr>
          <w:p>
            <w:pPr>
              <w:spacing w:after="20" w:before="20" w:line="240" w:lineRule="auto"/>
            </w:pPr>
            <w:r/>
            <w:r>
              <w:rPr>
                <w:rFonts w:ascii="Times New Roman" w:hAnsi="Times New Roman"/>
                <w:b w:val="0"/>
                <w:sz w:val="14"/>
              </w:rPr>
              <w:t>2</w:t>
            </w:r>
          </w:p>
        </w:tc>
        <w:tc>
          <w:tcPr>
            <w:tcW w:type="dxa" w:w="2088"/>
          </w:tcPr>
          <w:p>
            <w:pPr>
              <w:spacing w:after="20" w:before="20" w:line="240" w:lineRule="auto"/>
            </w:pPr>
            <w:r/>
            <w:r>
              <w:rPr>
                <w:rFonts w:ascii="Times New Roman" w:hAnsi="Times New Roman"/>
                <w:b w:val="0"/>
                <w:sz w:val="14"/>
              </w:rPr>
              <w:t>Maximum loan at 80% loan-to-cost</w:t>
            </w:r>
          </w:p>
        </w:tc>
        <w:tc>
          <w:tcPr>
            <w:tcW w:type="dxa" w:w="1944"/>
          </w:tcPr>
          <w:p>
            <w:pPr>
              <w:spacing w:after="20" w:before="20" w:line="240" w:lineRule="auto"/>
              <w:jc w:val="right"/>
            </w:pPr>
            <w:r/>
            <w:r>
              <w:rPr>
                <w:rFonts w:ascii="Times New Roman" w:hAnsi="Times New Roman"/>
                <w:b w:val="0"/>
                <w:sz w:val="14"/>
              </w:rPr>
              <w:t>$45,360,000</w:t>
            </w:r>
          </w:p>
        </w:tc>
        <w:tc>
          <w:tcPr>
            <w:tcW w:type="dxa" w:w="3096"/>
          </w:tcPr>
          <w:p>
            <w:pPr>
              <w:spacing w:after="20" w:before="20" w:line="240" w:lineRule="auto"/>
              <w:jc w:val="right"/>
            </w:pPr>
            <w:r/>
            <w:r>
              <w:rPr>
                <w:rFonts w:ascii="Times New Roman" w:hAnsi="Times New Roman"/>
                <w:b w:val="0"/>
                <w:sz w:val="14"/>
              </w:rPr>
              <w:t>$56,700,000 × 0.80 = $45,360,000</w:t>
            </w:r>
          </w:p>
        </w:tc>
        <w:tc>
          <w:tcPr>
            <w:tcW w:type="dxa" w:w="1800"/>
          </w:tcPr>
          <w:p>
            <w:pPr>
              <w:spacing w:after="20" w:before="20" w:line="240" w:lineRule="auto"/>
            </w:pPr>
            <w:r/>
            <w:r>
              <w:rPr>
                <w:rFonts w:ascii="Times New Roman" w:hAnsi="Times New Roman"/>
                <w:b w:val="0"/>
                <w:sz w:val="14"/>
              </w:rPr>
              <w:t>Verified — excess of $2,140,000</w:t>
            </w:r>
          </w:p>
        </w:tc>
      </w:tr>
      <w:tr>
        <w:trPr>
          <w:cantSplit w:val="true"/>
        </w:trPr>
        <w:tc>
          <w:tcPr>
            <w:tcW w:type="dxa" w:w="432"/>
          </w:tcPr>
          <w:p>
            <w:pPr>
              <w:spacing w:after="20" w:before="20" w:line="240" w:lineRule="auto"/>
            </w:pPr>
            <w:r/>
            <w:r>
              <w:rPr>
                <w:rFonts w:ascii="Times New Roman" w:hAnsi="Times New Roman"/>
                <w:b w:val="0"/>
                <w:sz w:val="14"/>
              </w:rPr>
              <w:t>3</w:t>
            </w:r>
          </w:p>
        </w:tc>
        <w:tc>
          <w:tcPr>
            <w:tcW w:type="dxa" w:w="2088"/>
          </w:tcPr>
          <w:p>
            <w:pPr>
              <w:spacing w:after="20" w:before="20" w:line="240" w:lineRule="auto"/>
            </w:pPr>
            <w:r/>
            <w:r>
              <w:rPr>
                <w:rFonts w:ascii="Times New Roman" w:hAnsi="Times New Roman"/>
                <w:b w:val="0"/>
                <w:sz w:val="14"/>
              </w:rPr>
              <w:t>As-completed loan-to-value ratio</w:t>
            </w:r>
          </w:p>
        </w:tc>
        <w:tc>
          <w:tcPr>
            <w:tcW w:type="dxa" w:w="1944"/>
          </w:tcPr>
          <w:p>
            <w:pPr>
              <w:spacing w:after="20" w:before="20" w:line="240" w:lineRule="auto"/>
            </w:pPr>
            <w:r/>
            <w:r>
              <w:rPr>
                <w:rFonts w:ascii="Times New Roman" w:hAnsi="Times New Roman"/>
                <w:b w:val="0"/>
                <w:sz w:val="14"/>
              </w:rPr>
              <w:t>65.25%</w:t>
            </w:r>
          </w:p>
        </w:tc>
        <w:tc>
          <w:tcPr>
            <w:tcW w:type="dxa" w:w="3096"/>
          </w:tcPr>
          <w:p>
            <w:pPr>
              <w:spacing w:after="20" w:before="20" w:line="240" w:lineRule="auto"/>
              <w:jc w:val="right"/>
            </w:pPr>
            <w:r/>
            <w:r>
              <w:rPr>
                <w:rFonts w:ascii="Times New Roman" w:hAnsi="Times New Roman"/>
                <w:b w:val="0"/>
                <w:sz w:val="14"/>
              </w:rPr>
              <w:t>$47,500,000 ÷ $72,800,000 = 65.2473%</w:t>
            </w:r>
          </w:p>
        </w:tc>
        <w:tc>
          <w:tcPr>
            <w:tcW w:type="dxa" w:w="1800"/>
          </w:tcPr>
          <w:p>
            <w:pPr>
              <w:spacing w:after="20" w:before="20" w:line="240" w:lineRule="auto"/>
            </w:pPr>
            <w:r/>
            <w:r>
              <w:rPr>
                <w:rFonts w:ascii="Times New Roman" w:hAnsi="Times New Roman"/>
                <w:b w:val="0"/>
                <w:sz w:val="14"/>
              </w:rPr>
              <w:t>Verified — exceeds the 65.00% covenant</w:t>
            </w:r>
          </w:p>
        </w:tc>
      </w:tr>
      <w:tr>
        <w:trPr>
          <w:cantSplit w:val="true"/>
        </w:trPr>
        <w:tc>
          <w:tcPr>
            <w:tcW w:type="dxa" w:w="432"/>
          </w:tcPr>
          <w:p>
            <w:pPr>
              <w:spacing w:after="20" w:before="20" w:line="240" w:lineRule="auto"/>
            </w:pPr>
            <w:r/>
            <w:r>
              <w:rPr>
                <w:rFonts w:ascii="Times New Roman" w:hAnsi="Times New Roman"/>
                <w:b w:val="0"/>
                <w:sz w:val="14"/>
              </w:rPr>
              <w:t>4</w:t>
            </w:r>
          </w:p>
        </w:tc>
        <w:tc>
          <w:tcPr>
            <w:tcW w:type="dxa" w:w="2088"/>
          </w:tcPr>
          <w:p>
            <w:pPr>
              <w:spacing w:after="20" w:before="20" w:line="240" w:lineRule="auto"/>
            </w:pPr>
            <w:r/>
            <w:r>
              <w:rPr>
                <w:rFonts w:ascii="Times New Roman" w:hAnsi="Times New Roman"/>
                <w:b w:val="0"/>
                <w:sz w:val="14"/>
              </w:rPr>
              <w:t>Maximum loan at 65% as-completed loan-to-value</w:t>
            </w:r>
          </w:p>
        </w:tc>
        <w:tc>
          <w:tcPr>
            <w:tcW w:type="dxa" w:w="1944"/>
          </w:tcPr>
          <w:p>
            <w:pPr>
              <w:spacing w:after="20" w:before="20" w:line="240" w:lineRule="auto"/>
            </w:pPr>
            <w:r/>
            <w:r>
              <w:rPr>
                <w:rFonts w:ascii="Times New Roman" w:hAnsi="Times New Roman"/>
                <w:b w:val="0"/>
                <w:sz w:val="14"/>
              </w:rPr>
              <w:t>not stated</w:t>
            </w:r>
          </w:p>
        </w:tc>
        <w:tc>
          <w:tcPr>
            <w:tcW w:type="dxa" w:w="3096"/>
          </w:tcPr>
          <w:p>
            <w:pPr>
              <w:spacing w:after="20" w:before="20" w:line="240" w:lineRule="auto"/>
              <w:jc w:val="right"/>
            </w:pPr>
            <w:r/>
            <w:r>
              <w:rPr>
                <w:rFonts w:ascii="Times New Roman" w:hAnsi="Times New Roman"/>
                <w:b w:val="0"/>
                <w:sz w:val="14"/>
              </w:rPr>
              <w:t>$72,800,000 × 0.65 = $47,320,000</w:t>
            </w:r>
          </w:p>
        </w:tc>
        <w:tc>
          <w:tcPr>
            <w:tcW w:type="dxa" w:w="1800"/>
          </w:tcPr>
          <w:p>
            <w:pPr>
              <w:spacing w:after="20" w:before="20" w:line="240" w:lineRule="auto"/>
            </w:pPr>
            <w:r/>
            <w:r>
              <w:rPr>
                <w:rFonts w:ascii="Times New Roman" w:hAnsi="Times New Roman"/>
                <w:b w:val="0"/>
                <w:sz w:val="14"/>
              </w:rPr>
              <w:t>Verified — not reported; excess of $180,000</w:t>
            </w:r>
          </w:p>
        </w:tc>
      </w:tr>
      <w:tr>
        <w:trPr>
          <w:cantSplit w:val="true"/>
        </w:trPr>
        <w:tc>
          <w:tcPr>
            <w:tcW w:type="dxa" w:w="432"/>
          </w:tcPr>
          <w:p>
            <w:pPr>
              <w:spacing w:after="20" w:before="20" w:line="240" w:lineRule="auto"/>
            </w:pPr>
            <w:r/>
            <w:r>
              <w:rPr>
                <w:rFonts w:ascii="Times New Roman" w:hAnsi="Times New Roman"/>
                <w:b w:val="0"/>
                <w:sz w:val="14"/>
              </w:rPr>
              <w:t>5</w:t>
            </w:r>
          </w:p>
        </w:tc>
        <w:tc>
          <w:tcPr>
            <w:tcW w:type="dxa" w:w="2088"/>
          </w:tcPr>
          <w:p>
            <w:pPr>
              <w:spacing w:after="20" w:before="20" w:line="240" w:lineRule="auto"/>
            </w:pPr>
            <w:r/>
            <w:r>
              <w:rPr>
                <w:rFonts w:ascii="Times New Roman" w:hAnsi="Times New Roman"/>
                <w:b w:val="0"/>
                <w:sz w:val="14"/>
              </w:rPr>
              <w:t>As-stabilized loan-to-value ratio</w:t>
            </w:r>
          </w:p>
        </w:tc>
        <w:tc>
          <w:tcPr>
            <w:tcW w:type="dxa" w:w="1944"/>
          </w:tcPr>
          <w:p>
            <w:pPr>
              <w:spacing w:after="20" w:before="20" w:line="240" w:lineRule="auto"/>
            </w:pPr>
            <w:r/>
            <w:r>
              <w:rPr>
                <w:rFonts w:ascii="Times New Roman" w:hAnsi="Times New Roman"/>
                <w:b w:val="0"/>
                <w:sz w:val="14"/>
              </w:rPr>
              <w:t>62.34%</w:t>
            </w:r>
          </w:p>
        </w:tc>
        <w:tc>
          <w:tcPr>
            <w:tcW w:type="dxa" w:w="3096"/>
          </w:tcPr>
          <w:p>
            <w:pPr>
              <w:spacing w:after="20" w:before="20" w:line="240" w:lineRule="auto"/>
              <w:jc w:val="right"/>
            </w:pPr>
            <w:r/>
            <w:r>
              <w:rPr>
                <w:rFonts w:ascii="Times New Roman" w:hAnsi="Times New Roman"/>
                <w:b w:val="0"/>
                <w:sz w:val="14"/>
              </w:rPr>
              <w:t>$47,500,000 ÷ $76,200,000 = 62.3360%</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6</w:t>
            </w:r>
          </w:p>
        </w:tc>
        <w:tc>
          <w:tcPr>
            <w:tcW w:type="dxa" w:w="2088"/>
          </w:tcPr>
          <w:p>
            <w:pPr>
              <w:spacing w:after="20" w:before="20" w:line="240" w:lineRule="auto"/>
            </w:pPr>
            <w:r/>
            <w:r>
              <w:rPr>
                <w:rFonts w:ascii="Times New Roman" w:hAnsi="Times New Roman"/>
                <w:b w:val="0"/>
                <w:sz w:val="14"/>
              </w:rPr>
              <w:t>Total Project Costs</w:t>
            </w:r>
          </w:p>
        </w:tc>
        <w:tc>
          <w:tcPr>
            <w:tcW w:type="dxa" w:w="1944"/>
          </w:tcPr>
          <w:p>
            <w:pPr>
              <w:spacing w:after="20" w:before="20" w:line="240" w:lineRule="auto"/>
              <w:jc w:val="right"/>
            </w:pPr>
            <w:r/>
            <w:r>
              <w:rPr>
                <w:rFonts w:ascii="Times New Roman" w:hAnsi="Times New Roman"/>
                <w:b w:val="0"/>
                <w:sz w:val="14"/>
              </w:rPr>
              <w:t>$56,700,000</w:t>
            </w:r>
          </w:p>
        </w:tc>
        <w:tc>
          <w:tcPr>
            <w:tcW w:type="dxa" w:w="3096"/>
          </w:tcPr>
          <w:p>
            <w:pPr>
              <w:spacing w:after="20" w:before="20" w:line="240" w:lineRule="auto"/>
              <w:jc w:val="right"/>
            </w:pPr>
            <w:r/>
            <w:r>
              <w:rPr>
                <w:rFonts w:ascii="Times New Roman" w:hAnsi="Times New Roman"/>
                <w:b w:val="0"/>
                <w:sz w:val="14"/>
              </w:rPr>
              <w:t>$8,200,000 + $34,750,000 + $4,150,000 + $4,850,000 + $475,000 + $2,835,000 + $1,440,000 = $56,700,000</w:t>
            </w:r>
          </w:p>
        </w:tc>
        <w:tc>
          <w:tcPr>
            <w:tcW w:type="dxa" w:w="1800"/>
          </w:tcPr>
          <w:p>
            <w:pPr>
              <w:spacing w:after="20" w:before="20" w:line="240" w:lineRule="auto"/>
            </w:pPr>
            <w:r/>
            <w:r>
              <w:rPr>
                <w:rFonts w:ascii="Times New Roman" w:hAnsi="Times New Roman"/>
                <w:b w:val="0"/>
                <w:sz w:val="14"/>
              </w:rPr>
              <w:t>Verified — but incomplete (Section 3.7)</w:t>
            </w:r>
          </w:p>
        </w:tc>
      </w:tr>
      <w:tr>
        <w:trPr>
          <w:cantSplit w:val="true"/>
        </w:trPr>
        <w:tc>
          <w:tcPr>
            <w:tcW w:type="dxa" w:w="432"/>
          </w:tcPr>
          <w:p>
            <w:pPr>
              <w:spacing w:after="20" w:before="20" w:line="240" w:lineRule="auto"/>
            </w:pPr>
            <w:r/>
            <w:r>
              <w:rPr>
                <w:rFonts w:ascii="Times New Roman" w:hAnsi="Times New Roman"/>
                <w:b w:val="0"/>
                <w:sz w:val="14"/>
              </w:rPr>
              <w:t>7</w:t>
            </w:r>
          </w:p>
        </w:tc>
        <w:tc>
          <w:tcPr>
            <w:tcW w:type="dxa" w:w="2088"/>
          </w:tcPr>
          <w:p>
            <w:pPr>
              <w:spacing w:after="20" w:before="20" w:line="240" w:lineRule="auto"/>
            </w:pPr>
            <w:r/>
            <w:r>
              <w:rPr>
                <w:rFonts w:ascii="Times New Roman" w:hAnsi="Times New Roman"/>
                <w:b w:val="0"/>
                <w:sz w:val="14"/>
              </w:rPr>
              <w:t>Sources of funds</w:t>
            </w:r>
          </w:p>
        </w:tc>
        <w:tc>
          <w:tcPr>
            <w:tcW w:type="dxa" w:w="1944"/>
          </w:tcPr>
          <w:p>
            <w:pPr>
              <w:spacing w:after="20" w:before="20" w:line="240" w:lineRule="auto"/>
              <w:jc w:val="right"/>
            </w:pPr>
            <w:r/>
            <w:r>
              <w:rPr>
                <w:rFonts w:ascii="Times New Roman" w:hAnsi="Times New Roman"/>
                <w:b w:val="0"/>
                <w:sz w:val="14"/>
              </w:rPr>
              <w:t>$56,700,000</w:t>
            </w:r>
          </w:p>
        </w:tc>
        <w:tc>
          <w:tcPr>
            <w:tcW w:type="dxa" w:w="3096"/>
          </w:tcPr>
          <w:p>
            <w:pPr>
              <w:spacing w:after="20" w:before="20" w:line="240" w:lineRule="auto"/>
              <w:jc w:val="right"/>
            </w:pPr>
            <w:r/>
            <w:r>
              <w:rPr>
                <w:rFonts w:ascii="Times New Roman" w:hAnsi="Times New Roman"/>
                <w:b w:val="0"/>
                <w:sz w:val="14"/>
              </w:rPr>
              <w:t>$47,500,000 + $9,200,000 + $0 = $56,700,000</w:t>
            </w:r>
          </w:p>
        </w:tc>
        <w:tc>
          <w:tcPr>
            <w:tcW w:type="dxa" w:w="1800"/>
          </w:tcPr>
          <w:p>
            <w:pPr>
              <w:spacing w:after="20" w:before="20" w:line="240" w:lineRule="auto"/>
            </w:pPr>
            <w:r/>
            <w:r>
              <w:rPr>
                <w:rFonts w:ascii="Times New Roman" w:hAnsi="Times New Roman"/>
                <w:b w:val="0"/>
                <w:sz w:val="14"/>
              </w:rPr>
              <w:t>Verified arithmetically; land appears as a use with no corresponding source (Section 3.1)</w:t>
            </w:r>
          </w:p>
        </w:tc>
      </w:tr>
      <w:tr>
        <w:trPr>
          <w:cantSplit w:val="true"/>
        </w:trPr>
        <w:tc>
          <w:tcPr>
            <w:tcW w:type="dxa" w:w="432"/>
          </w:tcPr>
          <w:p>
            <w:pPr>
              <w:spacing w:after="20" w:before="20" w:line="240" w:lineRule="auto"/>
            </w:pPr>
            <w:r/>
            <w:r>
              <w:rPr>
                <w:rFonts w:ascii="Times New Roman" w:hAnsi="Times New Roman"/>
                <w:b w:val="0"/>
                <w:sz w:val="14"/>
              </w:rPr>
              <w:t>8</w:t>
            </w:r>
          </w:p>
        </w:tc>
        <w:tc>
          <w:tcPr>
            <w:tcW w:type="dxa" w:w="2088"/>
          </w:tcPr>
          <w:p>
            <w:pPr>
              <w:spacing w:after="20" w:before="20" w:line="240" w:lineRule="auto"/>
            </w:pPr>
            <w:r/>
            <w:r>
              <w:rPr>
                <w:rFonts w:ascii="Times New Roman" w:hAnsi="Times New Roman"/>
                <w:b w:val="0"/>
                <w:sz w:val="14"/>
              </w:rPr>
              <w:t>Gross potential income</w:t>
            </w:r>
          </w:p>
        </w:tc>
        <w:tc>
          <w:tcPr>
            <w:tcW w:type="dxa" w:w="1944"/>
          </w:tcPr>
          <w:p>
            <w:pPr>
              <w:spacing w:after="20" w:before="20" w:line="240" w:lineRule="auto"/>
              <w:jc w:val="right"/>
            </w:pPr>
            <w:r/>
            <w:r>
              <w:rPr>
                <w:rFonts w:ascii="Times New Roman" w:hAnsi="Times New Roman"/>
                <w:b w:val="0"/>
                <w:sz w:val="14"/>
              </w:rPr>
              <w:t>$6,462,000</w:t>
            </w:r>
          </w:p>
        </w:tc>
        <w:tc>
          <w:tcPr>
            <w:tcW w:type="dxa" w:w="3096"/>
          </w:tcPr>
          <w:p>
            <w:pPr>
              <w:spacing w:after="20" w:before="20" w:line="240" w:lineRule="auto"/>
              <w:jc w:val="right"/>
            </w:pPr>
            <w:r/>
            <w:r>
              <w:rPr>
                <w:rFonts w:ascii="Times New Roman" w:hAnsi="Times New Roman"/>
                <w:b w:val="0"/>
                <w:sz w:val="14"/>
              </w:rPr>
              <w:t>$5,712,000 + $552,000 + $198,000 = $6,462,000</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9</w:t>
            </w:r>
          </w:p>
        </w:tc>
        <w:tc>
          <w:tcPr>
            <w:tcW w:type="dxa" w:w="2088"/>
          </w:tcPr>
          <w:p>
            <w:pPr>
              <w:spacing w:after="20" w:before="20" w:line="240" w:lineRule="auto"/>
            </w:pPr>
            <w:r/>
            <w:r>
              <w:rPr>
                <w:rFonts w:ascii="Times New Roman" w:hAnsi="Times New Roman"/>
                <w:b w:val="0"/>
                <w:sz w:val="14"/>
              </w:rPr>
              <w:t>Residential rental income</w:t>
            </w:r>
          </w:p>
        </w:tc>
        <w:tc>
          <w:tcPr>
            <w:tcW w:type="dxa" w:w="1944"/>
          </w:tcPr>
          <w:p>
            <w:pPr>
              <w:spacing w:after="20" w:before="20" w:line="240" w:lineRule="auto"/>
              <w:jc w:val="right"/>
            </w:pPr>
            <w:r/>
            <w:r>
              <w:rPr>
                <w:rFonts w:ascii="Times New Roman" w:hAnsi="Times New Roman"/>
                <w:b w:val="0"/>
                <w:sz w:val="14"/>
              </w:rPr>
              <w:t>$5,712,000 (stated as 212 × $2,245 × 12)</w:t>
            </w:r>
          </w:p>
        </w:tc>
        <w:tc>
          <w:tcPr>
            <w:tcW w:type="dxa" w:w="3096"/>
          </w:tcPr>
          <w:p>
            <w:pPr>
              <w:spacing w:after="20" w:before="20" w:line="240" w:lineRule="auto"/>
            </w:pPr>
            <w:r/>
            <w:r>
              <w:rPr>
                <w:rFonts w:ascii="Times New Roman" w:hAnsi="Times New Roman"/>
                <w:b w:val="0"/>
                <w:sz w:val="14"/>
              </w:rPr>
              <w:t>212 × $2,245 × 12 = $5,711,280</w:t>
            </w:r>
          </w:p>
        </w:tc>
        <w:tc>
          <w:tcPr>
            <w:tcW w:type="dxa" w:w="1800"/>
          </w:tcPr>
          <w:p>
            <w:pPr>
              <w:spacing w:after="20" w:before="20" w:line="240" w:lineRule="auto"/>
            </w:pPr>
            <w:r/>
            <w:r>
              <w:rPr>
                <w:rFonts w:ascii="Times New Roman" w:hAnsi="Times New Roman"/>
                <w:b w:val="0"/>
                <w:sz w:val="14"/>
              </w:rPr>
              <w:t>Does not reconcile as stated; the figure is a normalized amount derived from face rents of $5,932,200 less $220,200 of concessions (Appraisal § 7)</w:t>
            </w:r>
          </w:p>
        </w:tc>
      </w:tr>
      <w:tr>
        <w:trPr>
          <w:cantSplit w:val="true"/>
        </w:trPr>
        <w:tc>
          <w:tcPr>
            <w:tcW w:type="dxa" w:w="432"/>
          </w:tcPr>
          <w:p>
            <w:pPr>
              <w:spacing w:after="20" w:before="20" w:line="240" w:lineRule="auto"/>
            </w:pPr>
            <w:r/>
            <w:r>
              <w:rPr>
                <w:rFonts w:ascii="Times New Roman" w:hAnsi="Times New Roman"/>
                <w:b w:val="0"/>
                <w:sz w:val="14"/>
              </w:rPr>
              <w:t>10</w:t>
            </w:r>
          </w:p>
        </w:tc>
        <w:tc>
          <w:tcPr>
            <w:tcW w:type="dxa" w:w="2088"/>
          </w:tcPr>
          <w:p>
            <w:pPr>
              <w:spacing w:after="20" w:before="20" w:line="240" w:lineRule="auto"/>
            </w:pPr>
            <w:r/>
            <w:r>
              <w:rPr>
                <w:rFonts w:ascii="Times New Roman" w:hAnsi="Times New Roman"/>
                <w:b w:val="0"/>
                <w:sz w:val="14"/>
              </w:rPr>
              <w:t>Vacancy and credit loss; EGI; NOI</w:t>
            </w:r>
          </w:p>
        </w:tc>
        <w:tc>
          <w:tcPr>
            <w:tcW w:type="dxa" w:w="1944"/>
          </w:tcPr>
          <w:p>
            <w:pPr>
              <w:spacing w:after="20" w:before="20" w:line="240" w:lineRule="auto"/>
              <w:jc w:val="right"/>
            </w:pPr>
            <w:r/>
            <w:r>
              <w:rPr>
                <w:rFonts w:ascii="Times New Roman" w:hAnsi="Times New Roman"/>
                <w:b w:val="0"/>
                <w:sz w:val="14"/>
              </w:rPr>
              <w:t>$323,100; $6,138,900; $4,876,800</w:t>
            </w:r>
          </w:p>
        </w:tc>
        <w:tc>
          <w:tcPr>
            <w:tcW w:type="dxa" w:w="3096"/>
          </w:tcPr>
          <w:p>
            <w:pPr>
              <w:spacing w:after="20" w:before="20" w:line="240" w:lineRule="auto"/>
            </w:pPr>
            <w:r/>
            <w:r>
              <w:rPr>
                <w:rFonts w:ascii="Times New Roman" w:hAnsi="Times New Roman"/>
                <w:b w:val="0"/>
                <w:sz w:val="14"/>
              </w:rPr>
              <w:t>5.0% × $6,462,000 = $323,100; $6,462,000 − $323,100 = $6,138,900; less $1,262,100 = $4,876,800</w:t>
            </w:r>
          </w:p>
        </w:tc>
        <w:tc>
          <w:tcPr>
            <w:tcW w:type="dxa" w:w="1800"/>
          </w:tcPr>
          <w:p>
            <w:pPr>
              <w:spacing w:after="20" w:before="20" w:line="240" w:lineRule="auto"/>
            </w:pPr>
            <w:r/>
            <w:r>
              <w:rPr>
                <w:rFonts w:ascii="Times New Roman" w:hAnsi="Times New Roman"/>
                <w:b w:val="0"/>
                <w:sz w:val="14"/>
              </w:rPr>
              <w:t>Verified — the nine operating expense line items sum exactly to $1,262,100</w:t>
            </w:r>
          </w:p>
        </w:tc>
      </w:tr>
      <w:tr>
        <w:trPr>
          <w:cantSplit w:val="true"/>
        </w:trPr>
        <w:tc>
          <w:tcPr>
            <w:tcW w:type="dxa" w:w="432"/>
          </w:tcPr>
          <w:p>
            <w:pPr>
              <w:spacing w:after="20" w:before="20" w:line="240" w:lineRule="auto"/>
            </w:pPr>
            <w:r/>
            <w:r>
              <w:rPr>
                <w:rFonts w:ascii="Times New Roman" w:hAnsi="Times New Roman"/>
                <w:b w:val="0"/>
                <w:sz w:val="14"/>
              </w:rPr>
              <w:t>11</w:t>
            </w:r>
          </w:p>
        </w:tc>
        <w:tc>
          <w:tcPr>
            <w:tcW w:type="dxa" w:w="2088"/>
          </w:tcPr>
          <w:p>
            <w:pPr>
              <w:spacing w:after="20" w:before="20" w:line="240" w:lineRule="auto"/>
            </w:pPr>
            <w:r/>
            <w:r>
              <w:rPr>
                <w:rFonts w:ascii="Times New Roman" w:hAnsi="Times New Roman"/>
                <w:b w:val="0"/>
                <w:sz w:val="14"/>
              </w:rPr>
              <w:t>Operating expense ratio</w:t>
            </w:r>
          </w:p>
        </w:tc>
        <w:tc>
          <w:tcPr>
            <w:tcW w:type="dxa" w:w="1944"/>
          </w:tcPr>
          <w:p>
            <w:pPr>
              <w:spacing w:after="20" w:before="20" w:line="240" w:lineRule="auto"/>
            </w:pPr>
            <w:r/>
            <w:r>
              <w:rPr>
                <w:rFonts w:ascii="Times New Roman" w:hAnsi="Times New Roman"/>
                <w:b w:val="0"/>
                <w:sz w:val="14"/>
              </w:rPr>
              <w:t>20.6%</w:t>
            </w:r>
          </w:p>
        </w:tc>
        <w:tc>
          <w:tcPr>
            <w:tcW w:type="dxa" w:w="3096"/>
          </w:tcPr>
          <w:p>
            <w:pPr>
              <w:spacing w:after="20" w:before="20" w:line="240" w:lineRule="auto"/>
              <w:jc w:val="right"/>
            </w:pPr>
            <w:r/>
            <w:r>
              <w:rPr>
                <w:rFonts w:ascii="Times New Roman" w:hAnsi="Times New Roman"/>
                <w:b w:val="0"/>
                <w:sz w:val="14"/>
              </w:rPr>
              <w:t>$1,262,100 ÷ $6,138,900 = 20.56%</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12</w:t>
            </w:r>
          </w:p>
        </w:tc>
        <w:tc>
          <w:tcPr>
            <w:tcW w:type="dxa" w:w="2088"/>
          </w:tcPr>
          <w:p>
            <w:pPr>
              <w:spacing w:after="20" w:before="20" w:line="240" w:lineRule="auto"/>
            </w:pPr>
            <w:r/>
            <w:r>
              <w:rPr>
                <w:rFonts w:ascii="Times New Roman" w:hAnsi="Times New Roman"/>
                <w:b w:val="0"/>
                <w:sz w:val="14"/>
              </w:rPr>
              <w:t>Capitalization rate; as-stabilized value</w:t>
            </w:r>
          </w:p>
        </w:tc>
        <w:tc>
          <w:tcPr>
            <w:tcW w:type="dxa" w:w="1944"/>
          </w:tcPr>
          <w:p>
            <w:pPr>
              <w:spacing w:after="20" w:before="20" w:line="240" w:lineRule="auto"/>
            </w:pPr>
            <w:r/>
            <w:r>
              <w:rPr>
                <w:rFonts w:ascii="Times New Roman" w:hAnsi="Times New Roman"/>
                <w:b w:val="0"/>
                <w:sz w:val="14"/>
              </w:rPr>
              <w:t>6.40%; $76,200,000</w:t>
            </w:r>
          </w:p>
        </w:tc>
        <w:tc>
          <w:tcPr>
            <w:tcW w:type="dxa" w:w="3096"/>
          </w:tcPr>
          <w:p>
            <w:pPr>
              <w:spacing w:after="20" w:before="20" w:line="240" w:lineRule="auto"/>
              <w:jc w:val="right"/>
            </w:pPr>
            <w:r/>
            <w:r>
              <w:rPr>
                <w:rFonts w:ascii="Times New Roman" w:hAnsi="Times New Roman"/>
                <w:b w:val="0"/>
                <w:sz w:val="14"/>
              </w:rPr>
              <w:t>$4,876,800 ÷ $76,200,000 = 6.4000%; $4,876,800 ÷ 0.0640 = $76,200,000</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13</w:t>
            </w:r>
          </w:p>
        </w:tc>
        <w:tc>
          <w:tcPr>
            <w:tcW w:type="dxa" w:w="2088"/>
          </w:tcPr>
          <w:p>
            <w:pPr>
              <w:spacing w:after="20" w:before="20" w:line="240" w:lineRule="auto"/>
            </w:pPr>
            <w:r/>
            <w:r>
              <w:rPr>
                <w:rFonts w:ascii="Times New Roman" w:hAnsi="Times New Roman"/>
                <w:b w:val="0"/>
                <w:sz w:val="14"/>
              </w:rPr>
              <w:t>As-completed value</w:t>
            </w:r>
          </w:p>
        </w:tc>
        <w:tc>
          <w:tcPr>
            <w:tcW w:type="dxa" w:w="1944"/>
          </w:tcPr>
          <w:p>
            <w:pPr>
              <w:spacing w:after="20" w:before="20" w:line="240" w:lineRule="auto"/>
              <w:jc w:val="right"/>
            </w:pPr>
            <w:r/>
            <w:r>
              <w:rPr>
                <w:rFonts w:ascii="Times New Roman" w:hAnsi="Times New Roman"/>
                <w:b w:val="0"/>
                <w:sz w:val="14"/>
              </w:rPr>
              <w:t>$72,800,000</w:t>
            </w:r>
          </w:p>
        </w:tc>
        <w:tc>
          <w:tcPr>
            <w:tcW w:type="dxa" w:w="3096"/>
          </w:tcPr>
          <w:p>
            <w:pPr>
              <w:spacing w:after="20" w:before="20" w:line="240" w:lineRule="auto"/>
              <w:jc w:val="right"/>
            </w:pPr>
            <w:r/>
            <w:r>
              <w:rPr>
                <w:rFonts w:ascii="Times New Roman" w:hAnsi="Times New Roman"/>
                <w:b w:val="0"/>
                <w:sz w:val="14"/>
              </w:rPr>
              <w:t>$76,200,000 − ($3,130,000 + $270,000) = $72,800,000</w:t>
            </w:r>
          </w:p>
        </w:tc>
        <w:tc>
          <w:tcPr>
            <w:tcW w:type="dxa" w:w="1800"/>
          </w:tcPr>
          <w:p>
            <w:pPr>
              <w:spacing w:after="20" w:before="20" w:line="240" w:lineRule="auto"/>
            </w:pPr>
            <w:r/>
            <w:r>
              <w:rPr>
                <w:rFonts w:ascii="Times New Roman" w:hAnsi="Times New Roman"/>
                <w:b w:val="0"/>
                <w:sz w:val="14"/>
              </w:rPr>
              <w:t>Verified (lease-up deduction $2,450,000 rent + $680,000 costs + $270,000 risk)</w:t>
            </w:r>
          </w:p>
        </w:tc>
      </w:tr>
      <w:tr>
        <w:trPr>
          <w:cantSplit w:val="true"/>
        </w:trPr>
        <w:tc>
          <w:tcPr>
            <w:tcW w:type="dxa" w:w="432"/>
          </w:tcPr>
          <w:p>
            <w:pPr>
              <w:spacing w:after="20" w:before="20" w:line="240" w:lineRule="auto"/>
            </w:pPr>
            <w:r/>
            <w:r>
              <w:rPr>
                <w:rFonts w:ascii="Times New Roman" w:hAnsi="Times New Roman"/>
                <w:b w:val="0"/>
                <w:sz w:val="14"/>
              </w:rPr>
              <w:t>14</w:t>
            </w:r>
          </w:p>
        </w:tc>
        <w:tc>
          <w:tcPr>
            <w:tcW w:type="dxa" w:w="2088"/>
          </w:tcPr>
          <w:p>
            <w:pPr>
              <w:spacing w:after="20" w:before="20" w:line="240" w:lineRule="auto"/>
            </w:pPr>
            <w:r/>
            <w:r>
              <w:rPr>
                <w:rFonts w:ascii="Times New Roman" w:hAnsi="Times New Roman"/>
                <w:b w:val="0"/>
                <w:sz w:val="14"/>
              </w:rPr>
              <w:t>Debt service coverage ratio</w:t>
            </w:r>
          </w:p>
        </w:tc>
        <w:tc>
          <w:tcPr>
            <w:tcW w:type="dxa" w:w="1944"/>
          </w:tcPr>
          <w:p>
            <w:pPr>
              <w:spacing w:after="20" w:before="20" w:line="240" w:lineRule="auto"/>
            </w:pPr>
            <w:r/>
            <w:r>
              <w:rPr>
                <w:rFonts w:ascii="Times New Roman" w:hAnsi="Times New Roman"/>
                <w:b w:val="0"/>
                <w:sz w:val="14"/>
              </w:rPr>
              <w:t>1.31x</w:t>
            </w:r>
          </w:p>
        </w:tc>
        <w:tc>
          <w:tcPr>
            <w:tcW w:type="dxa" w:w="3096"/>
          </w:tcPr>
          <w:p>
            <w:pPr>
              <w:spacing w:after="20" w:before="20" w:line="240" w:lineRule="auto"/>
              <w:jc w:val="right"/>
            </w:pPr>
            <w:r/>
            <w:r>
              <w:rPr>
                <w:rFonts w:ascii="Times New Roman" w:hAnsi="Times New Roman"/>
                <w:b w:val="0"/>
                <w:sz w:val="14"/>
              </w:rPr>
              <w:t>$47,500,000 × 7.85% = $3,728,750; $4,876,800 ÷ $3,728,750 = 1.3079x</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15</w:t>
            </w:r>
          </w:p>
        </w:tc>
        <w:tc>
          <w:tcPr>
            <w:tcW w:type="dxa" w:w="2088"/>
          </w:tcPr>
          <w:p>
            <w:pPr>
              <w:spacing w:after="20" w:before="20" w:line="240" w:lineRule="auto"/>
            </w:pPr>
            <w:r/>
            <w:r>
              <w:rPr>
                <w:rFonts w:ascii="Times New Roman" w:hAnsi="Times New Roman"/>
                <w:b w:val="0"/>
                <w:sz w:val="14"/>
              </w:rPr>
              <w:t>Stress-tested debt service coverage ratio (+200 bps)</w:t>
            </w:r>
          </w:p>
        </w:tc>
        <w:tc>
          <w:tcPr>
            <w:tcW w:type="dxa" w:w="1944"/>
          </w:tcPr>
          <w:p>
            <w:pPr>
              <w:spacing w:after="20" w:before="20" w:line="240" w:lineRule="auto"/>
            </w:pPr>
            <w:r/>
            <w:r>
              <w:rPr>
                <w:rFonts w:ascii="Times New Roman" w:hAnsi="Times New Roman"/>
                <w:b w:val="0"/>
                <w:sz w:val="14"/>
              </w:rPr>
              <w:t>1.04x</w:t>
            </w:r>
          </w:p>
        </w:tc>
        <w:tc>
          <w:tcPr>
            <w:tcW w:type="dxa" w:w="3096"/>
          </w:tcPr>
          <w:p>
            <w:pPr>
              <w:spacing w:after="20" w:before="20" w:line="240" w:lineRule="auto"/>
              <w:jc w:val="right"/>
            </w:pPr>
            <w:r/>
            <w:r>
              <w:rPr>
                <w:rFonts w:ascii="Times New Roman" w:hAnsi="Times New Roman"/>
                <w:b w:val="0"/>
                <w:sz w:val="14"/>
              </w:rPr>
              <w:t>$47,500,000 × 9.85% = $4,678,750; $4,876,800 ÷ $4,678,750 = 1.0423x</w:t>
            </w:r>
          </w:p>
        </w:tc>
        <w:tc>
          <w:tcPr>
            <w:tcW w:type="dxa" w:w="1800"/>
          </w:tcPr>
          <w:p>
            <w:pPr>
              <w:spacing w:after="20" w:before="20" w:line="240" w:lineRule="auto"/>
            </w:pPr>
            <w:r/>
            <w:r>
              <w:rPr>
                <w:rFonts w:ascii="Times New Roman" w:hAnsi="Times New Roman"/>
                <w:b w:val="0"/>
                <w:sz w:val="14"/>
              </w:rPr>
              <w:t>Verified — fails the 1.25x minimum</w:t>
            </w:r>
          </w:p>
        </w:tc>
      </w:tr>
      <w:tr>
        <w:trPr>
          <w:cantSplit w:val="true"/>
        </w:trPr>
        <w:tc>
          <w:tcPr>
            <w:tcW w:type="dxa" w:w="432"/>
          </w:tcPr>
          <w:p>
            <w:pPr>
              <w:spacing w:after="20" w:before="20" w:line="240" w:lineRule="auto"/>
            </w:pPr>
            <w:r/>
            <w:r>
              <w:rPr>
                <w:rFonts w:ascii="Times New Roman" w:hAnsi="Times New Roman"/>
                <w:b w:val="0"/>
                <w:sz w:val="14"/>
              </w:rPr>
              <w:t>16</w:t>
            </w:r>
          </w:p>
        </w:tc>
        <w:tc>
          <w:tcPr>
            <w:tcW w:type="dxa" w:w="2088"/>
          </w:tcPr>
          <w:p>
            <w:pPr>
              <w:spacing w:after="20" w:before="20" w:line="240" w:lineRule="auto"/>
            </w:pPr>
            <w:r/>
            <w:r>
              <w:rPr>
                <w:rFonts w:ascii="Times New Roman" w:hAnsi="Times New Roman"/>
                <w:b w:val="0"/>
                <w:sz w:val="14"/>
              </w:rPr>
              <w:t>Debt service coverage ratio after Association assessments</w:t>
            </w:r>
          </w:p>
        </w:tc>
        <w:tc>
          <w:tcPr>
            <w:tcW w:type="dxa" w:w="1944"/>
          </w:tcPr>
          <w:p>
            <w:pPr>
              <w:spacing w:after="20" w:before="20" w:line="240" w:lineRule="auto"/>
            </w:pPr>
            <w:r/>
            <w:r>
              <w:rPr>
                <w:rFonts w:ascii="Times New Roman" w:hAnsi="Times New Roman"/>
                <w:b w:val="0"/>
                <w:sz w:val="14"/>
              </w:rPr>
              <w:t>not stated</w:t>
            </w:r>
          </w:p>
        </w:tc>
        <w:tc>
          <w:tcPr>
            <w:tcW w:type="dxa" w:w="3096"/>
          </w:tcPr>
          <w:p>
            <w:pPr>
              <w:spacing w:after="20" w:before="20" w:line="240" w:lineRule="auto"/>
              <w:jc w:val="right"/>
            </w:pPr>
            <w:r/>
            <w:r>
              <w:rPr>
                <w:rFonts w:ascii="Times New Roman" w:hAnsi="Times New Roman"/>
                <w:b w:val="0"/>
                <w:sz w:val="14"/>
              </w:rPr>
              <w:t>$4,876,800 − $34,500 = $4,842,300; ÷ $3,728,750 = 1.2986x</w:t>
            </w:r>
          </w:p>
        </w:tc>
        <w:tc>
          <w:tcPr>
            <w:tcW w:type="dxa" w:w="1800"/>
          </w:tcPr>
          <w:p>
            <w:pPr>
              <w:spacing w:after="20" w:before="20" w:line="240" w:lineRule="auto"/>
            </w:pPr>
            <w:r/>
            <w:r>
              <w:rPr>
                <w:rFonts w:ascii="Times New Roman" w:hAnsi="Times New Roman"/>
                <w:b w:val="0"/>
                <w:sz w:val="14"/>
              </w:rPr>
              <w:t>Verified — not reported; passes, but NOI and value are overstated</w:t>
            </w:r>
          </w:p>
        </w:tc>
      </w:tr>
      <w:tr>
        <w:trPr>
          <w:cantSplit w:val="true"/>
        </w:trPr>
        <w:tc>
          <w:tcPr>
            <w:tcW w:type="dxa" w:w="432"/>
          </w:tcPr>
          <w:p>
            <w:pPr>
              <w:spacing w:after="20" w:before="20" w:line="240" w:lineRule="auto"/>
            </w:pPr>
            <w:r/>
            <w:r>
              <w:rPr>
                <w:rFonts w:ascii="Times New Roman" w:hAnsi="Times New Roman"/>
                <w:b w:val="0"/>
                <w:sz w:val="14"/>
              </w:rPr>
              <w:t>17</w:t>
            </w:r>
          </w:p>
        </w:tc>
        <w:tc>
          <w:tcPr>
            <w:tcW w:type="dxa" w:w="2088"/>
          </w:tcPr>
          <w:p>
            <w:pPr>
              <w:spacing w:after="20" w:before="20" w:line="240" w:lineRule="auto"/>
            </w:pPr>
            <w:r/>
            <w:r>
              <w:rPr>
                <w:rFonts w:ascii="Times New Roman" w:hAnsi="Times New Roman"/>
                <w:b w:val="0"/>
                <w:sz w:val="14"/>
              </w:rPr>
              <w:t>Value and leverage if the 14 units are lost</w:t>
            </w:r>
          </w:p>
        </w:tc>
        <w:tc>
          <w:tcPr>
            <w:tcW w:type="dxa" w:w="1944"/>
          </w:tcPr>
          <w:p>
            <w:pPr>
              <w:spacing w:after="20" w:before="20" w:line="240" w:lineRule="auto"/>
            </w:pPr>
            <w:r/>
            <w:r>
              <w:rPr>
                <w:rFonts w:ascii="Times New Roman" w:hAnsi="Times New Roman"/>
                <w:b w:val="0"/>
                <w:sz w:val="14"/>
              </w:rPr>
              <w:t>not stated</w:t>
            </w:r>
          </w:p>
        </w:tc>
        <w:tc>
          <w:tcPr>
            <w:tcW w:type="dxa" w:w="3096"/>
          </w:tcPr>
          <w:p>
            <w:pPr>
              <w:spacing w:after="20" w:before="20" w:line="240" w:lineRule="auto"/>
              <w:jc w:val="right"/>
            </w:pPr>
            <w:r/>
            <w:r>
              <w:rPr>
                <w:rFonts w:ascii="Times New Roman" w:hAnsi="Times New Roman"/>
                <w:b w:val="0"/>
                <w:sz w:val="14"/>
              </w:rPr>
              <w:t>$4,876,800 − $377,160 = $4,499,640; DSCR 1.2067x; value at 6.40% = $70,306,875; as-stabilized LTV = 67.56%</w:t>
            </w:r>
          </w:p>
        </w:tc>
        <w:tc>
          <w:tcPr>
            <w:tcW w:type="dxa" w:w="1800"/>
          </w:tcPr>
          <w:p>
            <w:pPr>
              <w:spacing w:after="20" w:before="20" w:line="240" w:lineRule="auto"/>
            </w:pPr>
            <w:r/>
            <w:r>
              <w:rPr>
                <w:rFonts w:ascii="Times New Roman" w:hAnsi="Times New Roman"/>
                <w:b w:val="0"/>
                <w:sz w:val="14"/>
              </w:rPr>
              <w:t>Verified — not reported; breaches both the DSCR and LTV covenants</w:t>
            </w:r>
          </w:p>
        </w:tc>
      </w:tr>
      <w:tr>
        <w:trPr>
          <w:cantSplit w:val="true"/>
        </w:trPr>
        <w:tc>
          <w:tcPr>
            <w:tcW w:type="dxa" w:w="432"/>
          </w:tcPr>
          <w:p>
            <w:pPr>
              <w:spacing w:after="20" w:before="20" w:line="240" w:lineRule="auto"/>
            </w:pPr>
            <w:r/>
            <w:r>
              <w:rPr>
                <w:rFonts w:ascii="Times New Roman" w:hAnsi="Times New Roman"/>
                <w:b w:val="0"/>
                <w:sz w:val="14"/>
              </w:rPr>
              <w:t>18</w:t>
            </w:r>
          </w:p>
        </w:tc>
        <w:tc>
          <w:tcPr>
            <w:tcW w:type="dxa" w:w="2088"/>
          </w:tcPr>
          <w:p>
            <w:pPr>
              <w:spacing w:after="20" w:before="20" w:line="240" w:lineRule="auto"/>
            </w:pPr>
            <w:r/>
            <w:r>
              <w:rPr>
                <w:rFonts w:ascii="Times New Roman" w:hAnsi="Times New Roman"/>
                <w:b w:val="0"/>
                <w:sz w:val="14"/>
              </w:rPr>
              <w:t>Draw schedule total</w:t>
            </w:r>
          </w:p>
        </w:tc>
        <w:tc>
          <w:tcPr>
            <w:tcW w:type="dxa" w:w="1944"/>
          </w:tcPr>
          <w:p>
            <w:pPr>
              <w:spacing w:after="20" w:before="20" w:line="240" w:lineRule="auto"/>
              <w:jc w:val="right"/>
            </w:pPr>
            <w:r/>
            <w:r>
              <w:rPr>
                <w:rFonts w:ascii="Times New Roman" w:hAnsi="Times New Roman"/>
                <w:b w:val="0"/>
                <w:sz w:val="14"/>
              </w:rPr>
              <w:t>$47,500,000</w:t>
            </w:r>
          </w:p>
        </w:tc>
        <w:tc>
          <w:tcPr>
            <w:tcW w:type="dxa" w:w="3096"/>
          </w:tcPr>
          <w:p>
            <w:pPr>
              <w:spacing w:after="20" w:before="20" w:line="240" w:lineRule="auto"/>
              <w:jc w:val="right"/>
            </w:pPr>
            <w:r/>
            <w:r>
              <w:rPr>
                <w:rFonts w:ascii="Times New Roman" w:hAnsi="Times New Roman"/>
                <w:b w:val="0"/>
                <w:sz w:val="14"/>
              </w:rPr>
              <w:t>$9,475,000 + $5,212,500 + $6,950,000 + $6,950,000 + $5,212,500 + $3,475,000 + $3,475,000 + $3,475,000 + $3,275,000 = $47,500,000</w:t>
            </w:r>
          </w:p>
        </w:tc>
        <w:tc>
          <w:tcPr>
            <w:tcW w:type="dxa" w:w="1800"/>
          </w:tcPr>
          <w:p>
            <w:pPr>
              <w:spacing w:after="20" w:before="20" w:line="240" w:lineRule="auto"/>
            </w:pPr>
            <w:r/>
            <w:r>
              <w:rPr>
                <w:rFonts w:ascii="Times New Roman" w:hAnsi="Times New Roman"/>
                <w:b w:val="0"/>
                <w:sz w:val="14"/>
              </w:rPr>
              <w:t>Verified as stated — but the components total $51,775,000 (Section 3.6)</w:t>
            </w:r>
          </w:p>
        </w:tc>
      </w:tr>
      <w:tr>
        <w:trPr>
          <w:cantSplit w:val="true"/>
        </w:trPr>
        <w:tc>
          <w:tcPr>
            <w:tcW w:type="dxa" w:w="432"/>
          </w:tcPr>
          <w:p>
            <w:pPr>
              <w:spacing w:after="20" w:before="20" w:line="240" w:lineRule="auto"/>
            </w:pPr>
            <w:r/>
            <w:r>
              <w:rPr>
                <w:rFonts w:ascii="Times New Roman" w:hAnsi="Times New Roman"/>
                <w:b w:val="0"/>
                <w:sz w:val="14"/>
              </w:rPr>
              <w:t>19</w:t>
            </w:r>
          </w:p>
        </w:tc>
        <w:tc>
          <w:tcPr>
            <w:tcW w:type="dxa" w:w="2088"/>
          </w:tcPr>
          <w:p>
            <w:pPr>
              <w:spacing w:after="20" w:before="20" w:line="240" w:lineRule="auto"/>
            </w:pPr>
            <w:r/>
            <w:r>
              <w:rPr>
                <w:rFonts w:ascii="Times New Roman" w:hAnsi="Times New Roman"/>
                <w:b w:val="0"/>
                <w:sz w:val="14"/>
              </w:rPr>
              <w:t>Retainage at 10% of guaranteed maximum price</w:t>
            </w:r>
          </w:p>
        </w:tc>
        <w:tc>
          <w:tcPr>
            <w:tcW w:type="dxa" w:w="1944"/>
          </w:tcPr>
          <w:p>
            <w:pPr>
              <w:spacing w:after="20" w:before="20" w:line="240" w:lineRule="auto"/>
              <w:jc w:val="right"/>
            </w:pPr>
            <w:r/>
            <w:r>
              <w:rPr>
                <w:rFonts w:ascii="Times New Roman" w:hAnsi="Times New Roman"/>
                <w:b w:val="0"/>
                <w:sz w:val="14"/>
              </w:rPr>
              <w:t>$3,275,000 (Draw 9)</w:t>
            </w:r>
          </w:p>
        </w:tc>
        <w:tc>
          <w:tcPr>
            <w:tcW w:type="dxa" w:w="3096"/>
          </w:tcPr>
          <w:p>
            <w:pPr>
              <w:spacing w:after="20" w:before="20" w:line="240" w:lineRule="auto"/>
              <w:jc w:val="right"/>
            </w:pPr>
            <w:r/>
            <w:r>
              <w:rPr>
                <w:rFonts w:ascii="Times New Roman" w:hAnsi="Times New Roman"/>
                <w:b w:val="0"/>
                <w:sz w:val="14"/>
              </w:rPr>
              <w:t>$34,750,000 × 0.10 = $3,475,000</w:t>
            </w:r>
          </w:p>
        </w:tc>
        <w:tc>
          <w:tcPr>
            <w:tcW w:type="dxa" w:w="1800"/>
          </w:tcPr>
          <w:p>
            <w:pPr>
              <w:spacing w:after="20" w:before="20" w:line="240" w:lineRule="auto"/>
            </w:pPr>
            <w:r/>
            <w:r>
              <w:rPr>
                <w:rFonts w:ascii="Times New Roman" w:hAnsi="Times New Roman"/>
                <w:b w:val="0"/>
                <w:sz w:val="14"/>
              </w:rPr>
              <w:t>Does not reconcile — $200,000 understated (9.42% rather than 10.00%)</w:t>
            </w:r>
          </w:p>
        </w:tc>
      </w:tr>
      <w:tr>
        <w:trPr>
          <w:cantSplit w:val="true"/>
        </w:trPr>
        <w:tc>
          <w:tcPr>
            <w:tcW w:type="dxa" w:w="432"/>
          </w:tcPr>
          <w:p>
            <w:pPr>
              <w:spacing w:after="20" w:before="20" w:line="240" w:lineRule="auto"/>
            </w:pPr>
            <w:r/>
            <w:r>
              <w:rPr>
                <w:rFonts w:ascii="Times New Roman" w:hAnsi="Times New Roman"/>
                <w:b w:val="0"/>
                <w:sz w:val="14"/>
              </w:rPr>
              <w:t>20</w:t>
            </w:r>
          </w:p>
        </w:tc>
        <w:tc>
          <w:tcPr>
            <w:tcW w:type="dxa" w:w="2088"/>
          </w:tcPr>
          <w:p>
            <w:pPr>
              <w:spacing w:after="20" w:before="20" w:line="240" w:lineRule="auto"/>
            </w:pPr>
            <w:r/>
            <w:r>
              <w:rPr>
                <w:rFonts w:ascii="Times New Roman" w:hAnsi="Times New Roman"/>
                <w:b w:val="0"/>
                <w:sz w:val="14"/>
              </w:rPr>
              <w:t>Draws 2–8 against the guaranteed maximum price</w:t>
            </w:r>
          </w:p>
        </w:tc>
        <w:tc>
          <w:tcPr>
            <w:tcW w:type="dxa" w:w="1944"/>
          </w:tcPr>
          <w:p>
            <w:pPr>
              <w:spacing w:after="20" w:before="20" w:line="240" w:lineRule="auto"/>
              <w:jc w:val="right"/>
            </w:pPr>
            <w:r/>
            <w:r>
              <w:rPr>
                <w:rFonts w:ascii="Times New Roman" w:hAnsi="Times New Roman"/>
                <w:b w:val="0"/>
                <w:sz w:val="14"/>
              </w:rPr>
              <w:t>$34,750,000</w:t>
            </w:r>
          </w:p>
        </w:tc>
        <w:tc>
          <w:tcPr>
            <w:tcW w:type="dxa" w:w="3096"/>
          </w:tcPr>
          <w:p>
            <w:pPr>
              <w:spacing w:after="20" w:before="20" w:line="240" w:lineRule="auto"/>
              <w:jc w:val="right"/>
            </w:pPr>
            <w:r/>
            <w:r>
              <w:rPr>
                <w:rFonts w:ascii="Times New Roman" w:hAnsi="Times New Roman"/>
                <w:b w:val="0"/>
                <w:sz w:val="14"/>
              </w:rPr>
              <w:t>$34,750,000 = 100% of the GMP</w:t>
            </w:r>
          </w:p>
        </w:tc>
        <w:tc>
          <w:tcPr>
            <w:tcW w:type="dxa" w:w="1800"/>
          </w:tcPr>
          <w:p>
            <w:pPr>
              <w:spacing w:after="20" w:before="20" w:line="240" w:lineRule="auto"/>
            </w:pPr>
            <w:r/>
            <w:r>
              <w:rPr>
                <w:rFonts w:ascii="Times New Roman" w:hAnsi="Times New Roman"/>
                <w:b w:val="0"/>
                <w:sz w:val="14"/>
              </w:rPr>
              <w:t>Verified — confirms that no retainage is withheld in Draws 2–8</w:t>
            </w:r>
          </w:p>
        </w:tc>
      </w:tr>
      <w:tr>
        <w:trPr>
          <w:cantSplit w:val="true"/>
        </w:trPr>
        <w:tc>
          <w:tcPr>
            <w:tcW w:type="dxa" w:w="432"/>
          </w:tcPr>
          <w:p>
            <w:pPr>
              <w:spacing w:after="20" w:before="20" w:line="240" w:lineRule="auto"/>
            </w:pPr>
            <w:r/>
            <w:r>
              <w:rPr>
                <w:rFonts w:ascii="Times New Roman" w:hAnsi="Times New Roman"/>
                <w:b w:val="0"/>
                <w:sz w:val="14"/>
              </w:rPr>
              <w:t>21</w:t>
            </w:r>
          </w:p>
        </w:tc>
        <w:tc>
          <w:tcPr>
            <w:tcW w:type="dxa" w:w="2088"/>
          </w:tcPr>
          <w:p>
            <w:pPr>
              <w:spacing w:after="20" w:before="20" w:line="240" w:lineRule="auto"/>
            </w:pPr>
            <w:r/>
            <w:r>
              <w:rPr>
                <w:rFonts w:ascii="Times New Roman" w:hAnsi="Times New Roman"/>
                <w:b w:val="0"/>
                <w:sz w:val="14"/>
              </w:rPr>
              <w:t>Interest reserve — total interest at 3.50% SOFR</w:t>
            </w:r>
          </w:p>
        </w:tc>
        <w:tc>
          <w:tcPr>
            <w:tcW w:type="dxa" w:w="1944"/>
          </w:tcPr>
          <w:p>
            <w:pPr>
              <w:spacing w:after="20" w:before="20" w:line="240" w:lineRule="auto"/>
              <w:jc w:val="right"/>
            </w:pPr>
            <w:r/>
            <w:r>
              <w:rPr>
                <w:rFonts w:ascii="Times New Roman" w:hAnsi="Times New Roman"/>
                <w:b w:val="0"/>
                <w:sz w:val="14"/>
              </w:rPr>
              <w:t>$4,628,675 (surplus $221,325)</w:t>
            </w:r>
          </w:p>
        </w:tc>
        <w:tc>
          <w:tcPr>
            <w:tcW w:type="dxa" w:w="3096"/>
          </w:tcPr>
          <w:p>
            <w:pPr>
              <w:spacing w:after="20" w:before="20" w:line="240" w:lineRule="auto"/>
            </w:pPr>
            <w:r/>
            <w:r>
              <w:rPr>
                <w:rFonts w:ascii="Times New Roman" w:hAnsi="Times New Roman"/>
                <w:b w:val="0"/>
                <w:sz w:val="14"/>
              </w:rPr>
              <w:t>Reproduced from the draw-schedule model; implied average balance $27,429,185</w:t>
            </w:r>
          </w:p>
        </w:tc>
        <w:tc>
          <w:tcPr>
            <w:tcW w:type="dxa" w:w="1800"/>
          </w:tcPr>
          <w:p>
            <w:pPr>
              <w:spacing w:after="20" w:before="20" w:line="240" w:lineRule="auto"/>
            </w:pPr>
            <w:r/>
            <w:r>
              <w:rPr>
                <w:rFonts w:ascii="Times New Roman" w:hAnsi="Times New Roman"/>
                <w:b w:val="0"/>
                <w:sz w:val="14"/>
              </w:rPr>
              <w:t>Verified on its own assumption — the assumption is 85 bps below the current rate</w:t>
            </w:r>
          </w:p>
        </w:tc>
      </w:tr>
      <w:tr>
        <w:trPr>
          <w:cantSplit w:val="true"/>
        </w:trPr>
        <w:tc>
          <w:tcPr>
            <w:tcW w:type="dxa" w:w="432"/>
          </w:tcPr>
          <w:p>
            <w:pPr>
              <w:spacing w:after="20" w:before="20" w:line="240" w:lineRule="auto"/>
            </w:pPr>
            <w:r/>
            <w:r>
              <w:rPr>
                <w:rFonts w:ascii="Times New Roman" w:hAnsi="Times New Roman"/>
                <w:b w:val="0"/>
                <w:sz w:val="14"/>
              </w:rPr>
              <w:t>22</w:t>
            </w:r>
          </w:p>
        </w:tc>
        <w:tc>
          <w:tcPr>
            <w:tcW w:type="dxa" w:w="2088"/>
          </w:tcPr>
          <w:p>
            <w:pPr>
              <w:spacing w:after="20" w:before="20" w:line="240" w:lineRule="auto"/>
            </w:pPr>
            <w:r/>
            <w:r>
              <w:rPr>
                <w:rFonts w:ascii="Times New Roman" w:hAnsi="Times New Roman"/>
                <w:b w:val="0"/>
                <w:sz w:val="14"/>
              </w:rPr>
              <w:t>Interest reserve — total interest at 4.35% SOFR</w:t>
            </w:r>
          </w:p>
        </w:tc>
        <w:tc>
          <w:tcPr>
            <w:tcW w:type="dxa" w:w="1944"/>
          </w:tcPr>
          <w:p>
            <w:pPr>
              <w:spacing w:after="20" w:before="20" w:line="240" w:lineRule="auto"/>
              <w:jc w:val="right"/>
            </w:pPr>
            <w:r/>
            <w:r>
              <w:rPr>
                <w:rFonts w:ascii="Times New Roman" w:hAnsi="Times New Roman"/>
                <w:b w:val="0"/>
                <w:sz w:val="14"/>
              </w:rPr>
              <w:t>$5,215,830 (shortfall $365,830); $5,415,000 (shortfall $565,000) per the Credit Memorandum</w:t>
            </w:r>
          </w:p>
        </w:tc>
        <w:tc>
          <w:tcPr>
            <w:tcW w:type="dxa" w:w="3096"/>
          </w:tcPr>
          <w:p>
            <w:pPr>
              <w:spacing w:after="20" w:before="20" w:line="240" w:lineRule="auto"/>
              <w:jc w:val="right"/>
            </w:pPr>
            <w:r/>
            <w:r>
              <w:rPr>
                <w:rFonts w:ascii="Times New Roman" w:hAnsi="Times New Roman"/>
                <w:b w:val="0"/>
                <w:sz w:val="14"/>
              </w:rPr>
              <w:t>$27,429,185 × 7.60% × 2.5 = $5,215,830; $28,500,000 × 7.60% × 2.5 = $5,415,000</w:t>
            </w:r>
          </w:p>
        </w:tc>
        <w:tc>
          <w:tcPr>
            <w:tcW w:type="dxa" w:w="1800"/>
          </w:tcPr>
          <w:p>
            <w:pPr>
              <w:spacing w:after="20" w:before="20" w:line="240" w:lineRule="auto"/>
            </w:pPr>
            <w:r/>
            <w:r>
              <w:rPr>
                <w:rFonts w:ascii="Times New Roman" w:hAnsi="Times New Roman"/>
                <w:b w:val="0"/>
                <w:sz w:val="14"/>
              </w:rPr>
              <w:t>Both verified; the $199,170 difference is entirely the average-balance assumption</w:t>
            </w:r>
          </w:p>
        </w:tc>
      </w:tr>
      <w:tr>
        <w:trPr>
          <w:cantSplit w:val="true"/>
        </w:trPr>
        <w:tc>
          <w:tcPr>
            <w:tcW w:type="dxa" w:w="432"/>
          </w:tcPr>
          <w:p>
            <w:pPr>
              <w:spacing w:after="20" w:before="20" w:line="240" w:lineRule="auto"/>
            </w:pPr>
            <w:r/>
            <w:r>
              <w:rPr>
                <w:rFonts w:ascii="Times New Roman" w:hAnsi="Times New Roman"/>
                <w:b w:val="0"/>
                <w:sz w:val="14"/>
              </w:rPr>
              <w:t>23</w:t>
            </w:r>
          </w:p>
        </w:tc>
        <w:tc>
          <w:tcPr>
            <w:tcW w:type="dxa" w:w="2088"/>
          </w:tcPr>
          <w:p>
            <w:pPr>
              <w:spacing w:after="20" w:before="20" w:line="240" w:lineRule="auto"/>
            </w:pPr>
            <w:r/>
            <w:r>
              <w:rPr>
                <w:rFonts w:ascii="Times New Roman" w:hAnsi="Times New Roman"/>
                <w:b w:val="0"/>
                <w:sz w:val="14"/>
              </w:rPr>
              <w:t>Contingency percentages</w:t>
            </w:r>
          </w:p>
        </w:tc>
        <w:tc>
          <w:tcPr>
            <w:tcW w:type="dxa" w:w="1944"/>
          </w:tcPr>
          <w:p>
            <w:pPr>
              <w:spacing w:after="20" w:before="20" w:line="240" w:lineRule="auto"/>
            </w:pPr>
            <w:r/>
            <w:r>
              <w:rPr>
                <w:rFonts w:ascii="Times New Roman" w:hAnsi="Times New Roman"/>
                <w:b w:val="0"/>
                <w:sz w:val="14"/>
              </w:rPr>
              <w:t>“$1,440,000 = approximately 4.1% of hard construction costs”</w:t>
            </w:r>
          </w:p>
        </w:tc>
        <w:tc>
          <w:tcPr>
            <w:tcW w:type="dxa" w:w="3096"/>
          </w:tcPr>
          <w:p>
            <w:pPr>
              <w:spacing w:after="20" w:before="20" w:line="240" w:lineRule="auto"/>
            </w:pPr>
            <w:r/>
            <w:r>
              <w:rPr>
                <w:rFonts w:ascii="Times New Roman" w:hAnsi="Times New Roman"/>
                <w:b w:val="0"/>
                <w:sz w:val="14"/>
              </w:rPr>
              <w:t>Hard cost contingency $1,140,000 ÷ $34,750,000 = 3.28%; soft cost $300,000 ÷ $4,150,000 = 7.23%; total ÷ hard = 4.14%</w:t>
            </w:r>
          </w:p>
        </w:tc>
        <w:tc>
          <w:tcPr>
            <w:tcW w:type="dxa" w:w="1800"/>
          </w:tcPr>
          <w:p>
            <w:pPr>
              <w:spacing w:after="20" w:before="20" w:line="240" w:lineRule="auto"/>
            </w:pPr>
            <w:r/>
            <w:r>
              <w:rPr>
                <w:rFonts w:ascii="Times New Roman" w:hAnsi="Times New Roman"/>
                <w:b w:val="0"/>
                <w:sz w:val="14"/>
              </w:rPr>
              <w:t>Does not reconcile as characterized — the hard-cost contingency is 3.28%</w:t>
            </w:r>
          </w:p>
        </w:tc>
      </w:tr>
      <w:tr>
        <w:trPr>
          <w:cantSplit w:val="true"/>
        </w:trPr>
        <w:tc>
          <w:tcPr>
            <w:tcW w:type="dxa" w:w="432"/>
          </w:tcPr>
          <w:p>
            <w:pPr>
              <w:spacing w:after="20" w:before="20" w:line="240" w:lineRule="auto"/>
            </w:pPr>
            <w:r/>
            <w:r>
              <w:rPr>
                <w:rFonts w:ascii="Times New Roman" w:hAnsi="Times New Roman"/>
                <w:b w:val="0"/>
                <w:sz w:val="14"/>
              </w:rPr>
              <w:t>24</w:t>
            </w:r>
          </w:p>
        </w:tc>
        <w:tc>
          <w:tcPr>
            <w:tcW w:type="dxa" w:w="2088"/>
          </w:tcPr>
          <w:p>
            <w:pPr>
              <w:spacing w:after="20" w:before="20" w:line="240" w:lineRule="auto"/>
            </w:pPr>
            <w:r/>
            <w:r>
              <w:rPr>
                <w:rFonts w:ascii="Times New Roman" w:hAnsi="Times New Roman"/>
                <w:b w:val="0"/>
                <w:sz w:val="14"/>
              </w:rPr>
              <w:t>Developer fee</w:t>
            </w:r>
          </w:p>
        </w:tc>
        <w:tc>
          <w:tcPr>
            <w:tcW w:type="dxa" w:w="1944"/>
          </w:tcPr>
          <w:p>
            <w:pPr>
              <w:spacing w:after="20" w:before="20" w:line="240" w:lineRule="auto"/>
              <w:jc w:val="right"/>
            </w:pPr>
            <w:r/>
            <w:r>
              <w:rPr>
                <w:rFonts w:ascii="Times New Roman" w:hAnsi="Times New Roman"/>
                <w:b w:val="0"/>
                <w:sz w:val="14"/>
              </w:rPr>
              <w:t>$2,835,000 (5.00% of Total Project Costs)</w:t>
            </w:r>
          </w:p>
        </w:tc>
        <w:tc>
          <w:tcPr>
            <w:tcW w:type="dxa" w:w="3096"/>
          </w:tcPr>
          <w:p>
            <w:pPr>
              <w:spacing w:after="20" w:before="20" w:line="240" w:lineRule="auto"/>
              <w:jc w:val="right"/>
            </w:pPr>
            <w:r/>
            <w:r>
              <w:rPr>
                <w:rFonts w:ascii="Times New Roman" w:hAnsi="Times New Roman"/>
                <w:b w:val="0"/>
                <w:sz w:val="14"/>
              </w:rPr>
              <w:t>$56,700,000 × 0.05 = $2,835,000</w:t>
            </w:r>
          </w:p>
        </w:tc>
        <w:tc>
          <w:tcPr>
            <w:tcW w:type="dxa" w:w="1800"/>
          </w:tcPr>
          <w:p>
            <w:pPr>
              <w:spacing w:after="20" w:before="20" w:line="240" w:lineRule="auto"/>
            </w:pPr>
            <w:r/>
            <w:r>
              <w:rPr>
                <w:rFonts w:ascii="Times New Roman" w:hAnsi="Times New Roman"/>
                <w:b w:val="0"/>
                <w:sz w:val="14"/>
              </w:rPr>
              <w:t>Verified (5% is applied to a base that itself includes the fee and the Land)</w:t>
            </w:r>
          </w:p>
        </w:tc>
      </w:tr>
      <w:tr>
        <w:trPr>
          <w:cantSplit w:val="true"/>
        </w:trPr>
        <w:tc>
          <w:tcPr>
            <w:tcW w:type="dxa" w:w="432"/>
          </w:tcPr>
          <w:p>
            <w:pPr>
              <w:spacing w:after="20" w:before="20" w:line="240" w:lineRule="auto"/>
            </w:pPr>
            <w:r/>
            <w:r>
              <w:rPr>
                <w:rFonts w:ascii="Times New Roman" w:hAnsi="Times New Roman"/>
                <w:b w:val="0"/>
                <w:sz w:val="14"/>
              </w:rPr>
              <w:t>25</w:t>
            </w:r>
          </w:p>
        </w:tc>
        <w:tc>
          <w:tcPr>
            <w:tcW w:type="dxa" w:w="2088"/>
          </w:tcPr>
          <w:p>
            <w:pPr>
              <w:spacing w:after="20" w:before="20" w:line="240" w:lineRule="auto"/>
            </w:pPr>
            <w:r/>
            <w:r>
              <w:rPr>
                <w:rFonts w:ascii="Times New Roman" w:hAnsi="Times New Roman"/>
                <w:b w:val="0"/>
                <w:sz w:val="14"/>
              </w:rPr>
              <w:t>Partial repayment guaranty</w:t>
            </w:r>
          </w:p>
        </w:tc>
        <w:tc>
          <w:tcPr>
            <w:tcW w:type="dxa" w:w="1944"/>
          </w:tcPr>
          <w:p>
            <w:pPr>
              <w:spacing w:after="20" w:before="20" w:line="240" w:lineRule="auto"/>
              <w:jc w:val="right"/>
            </w:pPr>
            <w:r/>
            <w:r>
              <w:rPr>
                <w:rFonts w:ascii="Times New Roman" w:hAnsi="Times New Roman"/>
                <w:b w:val="0"/>
                <w:sz w:val="14"/>
              </w:rPr>
              <w:t>$11,875,000</w:t>
            </w:r>
          </w:p>
        </w:tc>
        <w:tc>
          <w:tcPr>
            <w:tcW w:type="dxa" w:w="3096"/>
          </w:tcPr>
          <w:p>
            <w:pPr>
              <w:spacing w:after="20" w:before="20" w:line="240" w:lineRule="auto"/>
              <w:jc w:val="right"/>
            </w:pPr>
            <w:r/>
            <w:r>
              <w:rPr>
                <w:rFonts w:ascii="Times New Roman" w:hAnsi="Times New Roman"/>
                <w:b w:val="0"/>
                <w:sz w:val="14"/>
              </w:rPr>
              <w:t>$47,500,000 × 0.25 = $11,875,000; 103.26% of Mr. Osei’s net worth; 39.85% of Ms. Vasquez-Torres’s</w:t>
            </w:r>
          </w:p>
        </w:tc>
        <w:tc>
          <w:tcPr>
            <w:tcW w:type="dxa" w:w="1800"/>
          </w:tcPr>
          <w:p>
            <w:pPr>
              <w:spacing w:after="20" w:before="20" w:line="240" w:lineRule="auto"/>
            </w:pPr>
            <w:r/>
            <w:r>
              <w:rPr>
                <w:rFonts w:ascii="Times New Roman" w:hAnsi="Times New Roman"/>
                <w:b w:val="0"/>
                <w:sz w:val="14"/>
              </w:rPr>
              <w:t>Verified — aggregate versus per-guarantor remains ambiguous (Section 6.1)</w:t>
            </w:r>
          </w:p>
        </w:tc>
      </w:tr>
      <w:tr>
        <w:trPr>
          <w:cantSplit w:val="true"/>
        </w:trPr>
        <w:tc>
          <w:tcPr>
            <w:tcW w:type="dxa" w:w="432"/>
          </w:tcPr>
          <w:p>
            <w:pPr>
              <w:spacing w:after="20" w:before="20" w:line="240" w:lineRule="auto"/>
            </w:pPr>
            <w:r/>
            <w:r>
              <w:rPr>
                <w:rFonts w:ascii="Times New Roman" w:hAnsi="Times New Roman"/>
                <w:b w:val="0"/>
                <w:sz w:val="14"/>
              </w:rPr>
              <w:t>26</w:t>
            </w:r>
          </w:p>
        </w:tc>
        <w:tc>
          <w:tcPr>
            <w:tcW w:type="dxa" w:w="2088"/>
          </w:tcPr>
          <w:p>
            <w:pPr>
              <w:spacing w:after="20" w:before="20" w:line="240" w:lineRule="auto"/>
            </w:pPr>
            <w:r/>
            <w:r>
              <w:rPr>
                <w:rFonts w:ascii="Times New Roman" w:hAnsi="Times New Roman"/>
                <w:b w:val="0"/>
                <w:sz w:val="14"/>
              </w:rPr>
              <w:t>Guarantor liquidity coverage</w:t>
            </w:r>
          </w:p>
        </w:tc>
        <w:tc>
          <w:tcPr>
            <w:tcW w:type="dxa" w:w="1944"/>
          </w:tcPr>
          <w:p>
            <w:pPr>
              <w:spacing w:after="20" w:before="20" w:line="240" w:lineRule="auto"/>
            </w:pPr>
            <w:r/>
            <w:r>
              <w:rPr>
                <w:rFonts w:ascii="Times New Roman" w:hAnsi="Times New Roman"/>
                <w:b w:val="0"/>
                <w:sz w:val="14"/>
              </w:rPr>
              <w:t>1.86x</w:t>
            </w:r>
          </w:p>
        </w:tc>
        <w:tc>
          <w:tcPr>
            <w:tcW w:type="dxa" w:w="3096"/>
          </w:tcPr>
          <w:p>
            <w:pPr>
              <w:spacing w:after="20" w:before="20" w:line="240" w:lineRule="auto"/>
              <w:jc w:val="right"/>
            </w:pPr>
            <w:r/>
            <w:r>
              <w:rPr>
                <w:rFonts w:ascii="Times New Roman" w:hAnsi="Times New Roman"/>
                <w:b w:val="0"/>
                <w:sz w:val="14"/>
              </w:rPr>
              <w:t>$9,300,000 ÷ $5,000,000 = 1.86x</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27</w:t>
            </w:r>
          </w:p>
        </w:tc>
        <w:tc>
          <w:tcPr>
            <w:tcW w:type="dxa" w:w="2088"/>
          </w:tcPr>
          <w:p>
            <w:pPr>
              <w:spacing w:after="20" w:before="20" w:line="240" w:lineRule="auto"/>
            </w:pPr>
            <w:r/>
            <w:r>
              <w:rPr>
                <w:rFonts w:ascii="Times New Roman" w:hAnsi="Times New Roman"/>
                <w:b w:val="0"/>
                <w:sz w:val="14"/>
              </w:rPr>
              <w:t>Land value</w:t>
            </w:r>
          </w:p>
        </w:tc>
        <w:tc>
          <w:tcPr>
            <w:tcW w:type="dxa" w:w="1944"/>
          </w:tcPr>
          <w:p>
            <w:pPr>
              <w:spacing w:after="20" w:before="20" w:line="240" w:lineRule="auto"/>
              <w:jc w:val="right"/>
            </w:pPr>
            <w:r/>
            <w:r>
              <w:rPr>
                <w:rFonts w:ascii="Times New Roman" w:hAnsi="Times New Roman"/>
                <w:b w:val="0"/>
                <w:sz w:val="14"/>
              </w:rPr>
              <w:t>$8,900,000</w:t>
            </w:r>
          </w:p>
        </w:tc>
        <w:tc>
          <w:tcPr>
            <w:tcW w:type="dxa" w:w="3096"/>
          </w:tcPr>
          <w:p>
            <w:pPr>
              <w:spacing w:after="20" w:before="20" w:line="240" w:lineRule="auto"/>
            </w:pPr>
            <w:r/>
            <w:r>
              <w:rPr>
                <w:rFonts w:ascii="Times New Roman" w:hAnsi="Times New Roman"/>
                <w:b w:val="0"/>
                <w:sz w:val="14"/>
              </w:rPr>
              <w:t>3.47 acres × $2,565,000 = $8,900,550; $8,900,000 ÷ $151,153 = $58.88 per square foot</w:t>
            </w:r>
          </w:p>
        </w:tc>
        <w:tc>
          <w:tcPr>
            <w:tcW w:type="dxa" w:w="1800"/>
          </w:tcPr>
          <w:p>
            <w:pPr>
              <w:spacing w:after="20" w:before="20" w:line="240" w:lineRule="auto"/>
            </w:pPr>
            <w:r/>
            <w:r>
              <w:rPr>
                <w:rFonts w:ascii="Times New Roman" w:hAnsi="Times New Roman"/>
                <w:b w:val="0"/>
                <w:sz w:val="14"/>
              </w:rPr>
              <w:t>Verified (rounded)</w:t>
            </w:r>
          </w:p>
        </w:tc>
      </w:tr>
      <w:tr>
        <w:trPr>
          <w:cantSplit w:val="true"/>
        </w:trPr>
        <w:tc>
          <w:tcPr>
            <w:tcW w:type="dxa" w:w="432"/>
          </w:tcPr>
          <w:p>
            <w:pPr>
              <w:spacing w:after="20" w:before="20" w:line="240" w:lineRule="auto"/>
            </w:pPr>
            <w:r/>
            <w:r>
              <w:rPr>
                <w:rFonts w:ascii="Times New Roman" w:hAnsi="Times New Roman"/>
                <w:b w:val="0"/>
                <w:sz w:val="14"/>
              </w:rPr>
              <w:t>28</w:t>
            </w:r>
          </w:p>
        </w:tc>
        <w:tc>
          <w:tcPr>
            <w:tcW w:type="dxa" w:w="2088"/>
          </w:tcPr>
          <w:p>
            <w:pPr>
              <w:spacing w:after="20" w:before="20" w:line="240" w:lineRule="auto"/>
            </w:pPr>
            <w:r/>
            <w:r>
              <w:rPr>
                <w:rFonts w:ascii="Times New Roman" w:hAnsi="Times New Roman"/>
                <w:b w:val="0"/>
                <w:sz w:val="14"/>
              </w:rPr>
              <w:t>Parcel areas from the metes and bounds</w:t>
            </w:r>
          </w:p>
        </w:tc>
        <w:tc>
          <w:tcPr>
            <w:tcW w:type="dxa" w:w="1944"/>
          </w:tcPr>
          <w:p>
            <w:pPr>
              <w:spacing w:after="20" w:before="20" w:line="240" w:lineRule="auto"/>
            </w:pPr>
            <w:r/>
            <w:r>
              <w:rPr>
                <w:rFonts w:ascii="Times New Roman" w:hAnsi="Times New Roman"/>
                <w:b w:val="0"/>
                <w:sz w:val="14"/>
              </w:rPr>
              <w:t>2.09 and 1.38 acres</w:t>
            </w:r>
          </w:p>
        </w:tc>
        <w:tc>
          <w:tcPr>
            <w:tcW w:type="dxa" w:w="3096"/>
          </w:tcPr>
          <w:p>
            <w:pPr>
              <w:spacing w:after="20" w:before="20" w:line="240" w:lineRule="auto"/>
            </w:pPr>
            <w:r/>
            <w:r>
              <w:rPr>
                <w:rFonts w:ascii="Times New Roman" w:hAnsi="Times New Roman"/>
                <w:b w:val="0"/>
                <w:sz w:val="14"/>
              </w:rPr>
              <w:t>298.62′ × 305.41′ = 91,202 sf = 2.094 acres; 201.88′ × 297.63′ = 60,086 sf = 1.379 acres</w:t>
            </w:r>
          </w:p>
        </w:tc>
        <w:tc>
          <w:tcPr>
            <w:tcW w:type="dxa" w:w="1800"/>
          </w:tcPr>
          <w:p>
            <w:pPr>
              <w:spacing w:after="20" w:before="20" w:line="240" w:lineRule="auto"/>
            </w:pPr>
            <w:r/>
            <w:r>
              <w:rPr>
                <w:rFonts w:ascii="Times New Roman" w:hAnsi="Times New Roman"/>
                <w:b w:val="0"/>
                <w:sz w:val="14"/>
              </w:rPr>
              <w:t>Verified in isolation — the shared boundary does not close by 7.78 feet (Section 4.2)</w:t>
            </w:r>
          </w:p>
        </w:tc>
      </w:tr>
      <w:tr>
        <w:trPr>
          <w:cantSplit w:val="true"/>
        </w:trPr>
        <w:tc>
          <w:tcPr>
            <w:tcW w:type="dxa" w:w="432"/>
          </w:tcPr>
          <w:p>
            <w:pPr>
              <w:spacing w:after="20" w:before="20" w:line="240" w:lineRule="auto"/>
            </w:pPr>
            <w:r/>
            <w:r>
              <w:rPr>
                <w:rFonts w:ascii="Times New Roman" w:hAnsi="Times New Roman"/>
                <w:b w:val="0"/>
                <w:sz w:val="14"/>
              </w:rPr>
              <w:t>29</w:t>
            </w:r>
          </w:p>
        </w:tc>
        <w:tc>
          <w:tcPr>
            <w:tcW w:type="dxa" w:w="2088"/>
          </w:tcPr>
          <w:p>
            <w:pPr>
              <w:spacing w:after="20" w:before="20" w:line="240" w:lineRule="auto"/>
            </w:pPr>
            <w:r/>
            <w:r>
              <w:rPr>
                <w:rFonts w:ascii="Times New Roman" w:hAnsi="Times New Roman"/>
                <w:b w:val="0"/>
                <w:sz w:val="14"/>
              </w:rPr>
              <w:t>Foster Street frontage</w:t>
            </w:r>
          </w:p>
        </w:tc>
        <w:tc>
          <w:tcPr>
            <w:tcW w:type="dxa" w:w="1944"/>
          </w:tcPr>
          <w:p>
            <w:pPr>
              <w:spacing w:after="20" w:before="20" w:line="240" w:lineRule="auto"/>
            </w:pPr>
            <w:r/>
            <w:r>
              <w:rPr>
                <w:rFonts w:ascii="Times New Roman" w:hAnsi="Times New Roman"/>
                <w:b w:val="0"/>
                <w:sz w:val="14"/>
              </w:rPr>
              <w:t>420 feet (Appraisal § 2)</w:t>
            </w:r>
          </w:p>
        </w:tc>
        <w:tc>
          <w:tcPr>
            <w:tcW w:type="dxa" w:w="3096"/>
          </w:tcPr>
          <w:p>
            <w:pPr>
              <w:spacing w:after="20" w:before="20" w:line="240" w:lineRule="auto"/>
            </w:pPr>
            <w:r/>
            <w:r>
              <w:rPr>
                <w:rFonts w:ascii="Times New Roman" w:hAnsi="Times New Roman"/>
                <w:b w:val="0"/>
                <w:sz w:val="14"/>
              </w:rPr>
              <w:t>298.62′ + 201.88′ = 500.50 feet (Title Commitment, Sch. A ¶ 6)</w:t>
            </w:r>
          </w:p>
        </w:tc>
        <w:tc>
          <w:tcPr>
            <w:tcW w:type="dxa" w:w="1800"/>
          </w:tcPr>
          <w:p>
            <w:pPr>
              <w:spacing w:after="20" w:before="20" w:line="240" w:lineRule="auto"/>
            </w:pPr>
            <w:r/>
            <w:r>
              <w:rPr>
                <w:rFonts w:ascii="Times New Roman" w:hAnsi="Times New Roman"/>
                <w:b w:val="0"/>
                <w:sz w:val="14"/>
              </w:rPr>
              <w:t>Does not reconcile — 80.5-foot difference</w:t>
            </w:r>
          </w:p>
        </w:tc>
      </w:tr>
      <w:tr>
        <w:trPr>
          <w:cantSplit w:val="true"/>
        </w:trPr>
        <w:tc>
          <w:tcPr>
            <w:tcW w:type="dxa" w:w="432"/>
          </w:tcPr>
          <w:p>
            <w:pPr>
              <w:spacing w:after="20" w:before="20" w:line="240" w:lineRule="auto"/>
            </w:pPr>
            <w:r/>
            <w:r>
              <w:rPr>
                <w:rFonts w:ascii="Times New Roman" w:hAnsi="Times New Roman"/>
                <w:b w:val="0"/>
                <w:sz w:val="14"/>
              </w:rPr>
              <w:t>30</w:t>
            </w:r>
          </w:p>
        </w:tc>
        <w:tc>
          <w:tcPr>
            <w:tcW w:type="dxa" w:w="2088"/>
          </w:tcPr>
          <w:p>
            <w:pPr>
              <w:spacing w:after="20" w:before="20" w:line="240" w:lineRule="auto"/>
            </w:pPr>
            <w:r/>
            <w:r>
              <w:rPr>
                <w:rFonts w:ascii="Times New Roman" w:hAnsi="Times New Roman"/>
                <w:b w:val="0"/>
                <w:sz w:val="14"/>
              </w:rPr>
              <w:t>HVCRE contributed capital</w:t>
            </w:r>
          </w:p>
        </w:tc>
        <w:tc>
          <w:tcPr>
            <w:tcW w:type="dxa" w:w="1944"/>
          </w:tcPr>
          <w:p>
            <w:pPr>
              <w:spacing w:after="20" w:before="20" w:line="240" w:lineRule="auto"/>
            </w:pPr>
            <w:r/>
            <w:r>
              <w:rPr>
                <w:rFonts w:ascii="Times New Roman" w:hAnsi="Times New Roman"/>
                <w:b w:val="0"/>
                <w:sz w:val="14"/>
              </w:rPr>
              <w:t>14.2% ($10,340,000 ÷ $72,800,000)</w:t>
            </w:r>
          </w:p>
        </w:tc>
        <w:tc>
          <w:tcPr>
            <w:tcW w:type="dxa" w:w="3096"/>
          </w:tcPr>
          <w:p>
            <w:pPr>
              <w:spacing w:after="20" w:before="20" w:line="240" w:lineRule="auto"/>
            </w:pPr>
            <w:r/>
            <w:r>
              <w:rPr>
                <w:rFonts w:ascii="Times New Roman" w:hAnsi="Times New Roman"/>
                <w:b w:val="0"/>
                <w:sz w:val="14"/>
              </w:rPr>
              <w:t>At cost: 14.20%. At appraised land value ($8,900,000 + $2,140,000 = $11,040,000): 15.16%. Threshold: $10,920,000 (15.00%)</w:t>
            </w:r>
          </w:p>
        </w:tc>
        <w:tc>
          <w:tcPr>
            <w:tcW w:type="dxa" w:w="1800"/>
          </w:tcPr>
          <w:p>
            <w:pPr>
              <w:spacing w:after="20" w:before="20" w:line="240" w:lineRule="auto"/>
            </w:pPr>
            <w:r/>
            <w:r>
              <w:rPr>
                <w:rFonts w:ascii="Times New Roman" w:hAnsi="Times New Roman"/>
                <w:b w:val="0"/>
                <w:sz w:val="14"/>
              </w:rPr>
              <w:t>Verified on the stated convention; the conclusion changes on the alternative convention (Section 7.1)</w:t>
            </w:r>
          </w:p>
        </w:tc>
      </w:tr>
      <w:tr>
        <w:trPr>
          <w:cantSplit w:val="true"/>
        </w:trPr>
        <w:tc>
          <w:tcPr>
            <w:tcW w:type="dxa" w:w="432"/>
          </w:tcPr>
          <w:p>
            <w:pPr>
              <w:spacing w:after="20" w:before="20" w:line="240" w:lineRule="auto"/>
            </w:pPr>
            <w:r/>
            <w:r>
              <w:rPr>
                <w:rFonts w:ascii="Times New Roman" w:hAnsi="Times New Roman"/>
                <w:b w:val="0"/>
                <w:sz w:val="14"/>
              </w:rPr>
              <w:t>31</w:t>
            </w:r>
          </w:p>
        </w:tc>
        <w:tc>
          <w:tcPr>
            <w:tcW w:type="dxa" w:w="2088"/>
          </w:tcPr>
          <w:p>
            <w:pPr>
              <w:spacing w:after="20" w:before="20" w:line="240" w:lineRule="auto"/>
            </w:pPr>
            <w:r/>
            <w:r>
              <w:rPr>
                <w:rFonts w:ascii="Times New Roman" w:hAnsi="Times New Roman"/>
                <w:b w:val="0"/>
                <w:sz w:val="14"/>
              </w:rPr>
              <w:t>Mezzanine payment-in-kind accrual</w:t>
            </w:r>
          </w:p>
        </w:tc>
        <w:tc>
          <w:tcPr>
            <w:tcW w:type="dxa" w:w="1944"/>
          </w:tcPr>
          <w:p>
            <w:pPr>
              <w:spacing w:after="20" w:before="20" w:line="240" w:lineRule="auto"/>
            </w:pPr>
            <w:r/>
            <w:r>
              <w:rPr>
                <w:rFonts w:ascii="Times New Roman" w:hAnsi="Times New Roman"/>
                <w:b w:val="0"/>
                <w:sz w:val="14"/>
              </w:rPr>
              <w:t>not quantified</w:t>
            </w:r>
          </w:p>
        </w:tc>
        <w:tc>
          <w:tcPr>
            <w:tcW w:type="dxa" w:w="3096"/>
          </w:tcPr>
          <w:p>
            <w:pPr>
              <w:spacing w:after="20" w:before="20" w:line="240" w:lineRule="auto"/>
              <w:jc w:val="right"/>
            </w:pPr>
            <w:r/>
            <w:r>
              <w:rPr>
                <w:rFonts w:ascii="Times New Roman" w:hAnsi="Times New Roman"/>
                <w:b w:val="0"/>
                <w:sz w:val="14"/>
              </w:rPr>
              <w:t>$9,200,000 × 12.50% × 2.5 years = $2,875,000 over 30 months; if $8,200,000 was advanced in June 2023, accrued interest to February 2025 is approximately $1,708,000</w:t>
            </w:r>
          </w:p>
        </w:tc>
        <w:tc>
          <w:tcPr>
            <w:tcW w:type="dxa" w:w="1800"/>
          </w:tcPr>
          <w:p>
            <w:pPr>
              <w:spacing w:after="20" w:before="20" w:line="240" w:lineRule="auto"/>
            </w:pPr>
            <w:r/>
            <w:r>
              <w:rPr>
                <w:rFonts w:ascii="Times New Roman" w:hAnsi="Times New Roman"/>
                <w:b w:val="0"/>
                <w:sz w:val="14"/>
              </w:rPr>
              <w:t>Verified — not reported and not budgeted</w:t>
            </w:r>
          </w:p>
        </w:tc>
      </w:tr>
      <w:tr>
        <w:trPr>
          <w:cantSplit w:val="true"/>
        </w:trPr>
        <w:tc>
          <w:tcPr>
            <w:tcW w:type="dxa" w:w="432"/>
          </w:tcPr>
          <w:p>
            <w:pPr>
              <w:spacing w:after="20" w:before="20" w:line="240" w:lineRule="auto"/>
            </w:pPr>
            <w:r/>
            <w:r>
              <w:rPr>
                <w:rFonts w:ascii="Times New Roman" w:hAnsi="Times New Roman"/>
                <w:b w:val="0"/>
                <w:sz w:val="14"/>
              </w:rPr>
              <w:t>32</w:t>
            </w:r>
          </w:p>
        </w:tc>
        <w:tc>
          <w:tcPr>
            <w:tcW w:type="dxa" w:w="2088"/>
          </w:tcPr>
          <w:p>
            <w:pPr>
              <w:spacing w:after="20" w:before="20" w:line="240" w:lineRule="auto"/>
            </w:pPr>
            <w:r/>
            <w:r>
              <w:rPr>
                <w:rFonts w:ascii="Times New Roman" w:hAnsi="Times New Roman"/>
                <w:b w:val="0"/>
                <w:sz w:val="14"/>
              </w:rPr>
              <w:t>Unused line fee over the construction period</w:t>
            </w:r>
          </w:p>
        </w:tc>
        <w:tc>
          <w:tcPr>
            <w:tcW w:type="dxa" w:w="1944"/>
          </w:tcPr>
          <w:p>
            <w:pPr>
              <w:spacing w:after="20" w:before="20" w:line="240" w:lineRule="auto"/>
            </w:pPr>
            <w:r/>
            <w:r>
              <w:rPr>
                <w:rFonts w:ascii="Times New Roman" w:hAnsi="Times New Roman"/>
                <w:b w:val="0"/>
                <w:sz w:val="14"/>
              </w:rPr>
              <w:t>not quantified</w:t>
            </w:r>
          </w:p>
        </w:tc>
        <w:tc>
          <w:tcPr>
            <w:tcW w:type="dxa" w:w="3096"/>
          </w:tcPr>
          <w:p>
            <w:pPr>
              <w:spacing w:after="20" w:before="20" w:line="240" w:lineRule="auto"/>
            </w:pPr>
            <w:r/>
            <w:r>
              <w:rPr>
                <w:rFonts w:ascii="Times New Roman" w:hAnsi="Times New Roman"/>
                <w:b w:val="0"/>
                <w:sz w:val="14"/>
              </w:rPr>
              <w:t>0.25% × ($47,500,000 − $27,429,185) × 2.5 = approximately $125,464</w:t>
            </w:r>
          </w:p>
        </w:tc>
        <w:tc>
          <w:tcPr>
            <w:tcW w:type="dxa" w:w="1800"/>
          </w:tcPr>
          <w:p>
            <w:pPr>
              <w:spacing w:after="20" w:before="20" w:line="240" w:lineRule="auto"/>
            </w:pPr>
            <w:r/>
            <w:r>
              <w:rPr>
                <w:rFonts w:ascii="Times New Roman" w:hAnsi="Times New Roman"/>
                <w:b w:val="0"/>
                <w:sz w:val="14"/>
              </w:rPr>
              <w:t>Verified — not budgeted</w:t>
            </w:r>
          </w:p>
        </w:tc>
      </w:tr>
      <w:tr>
        <w:trPr>
          <w:cantSplit w:val="true"/>
        </w:trPr>
        <w:tc>
          <w:tcPr>
            <w:tcW w:type="dxa" w:w="432"/>
          </w:tcPr>
          <w:p>
            <w:pPr>
              <w:spacing w:after="20" w:before="20" w:line="240" w:lineRule="auto"/>
            </w:pPr>
            <w:r/>
            <w:r>
              <w:rPr>
                <w:rFonts w:ascii="Times New Roman" w:hAnsi="Times New Roman"/>
                <w:b w:val="0"/>
                <w:sz w:val="14"/>
              </w:rPr>
              <w:t>33</w:t>
            </w:r>
          </w:p>
        </w:tc>
        <w:tc>
          <w:tcPr>
            <w:tcW w:type="dxa" w:w="2088"/>
          </w:tcPr>
          <w:p>
            <w:pPr>
              <w:spacing w:after="20" w:before="20" w:line="240" w:lineRule="auto"/>
            </w:pPr>
            <w:r/>
            <w:r>
              <w:rPr>
                <w:rFonts w:ascii="Times New Roman" w:hAnsi="Times New Roman"/>
                <w:b w:val="0"/>
                <w:sz w:val="14"/>
              </w:rPr>
              <w:t>Parking ratio</w:t>
            </w:r>
          </w:p>
        </w:tc>
        <w:tc>
          <w:tcPr>
            <w:tcW w:type="dxa" w:w="1944"/>
          </w:tcPr>
          <w:p>
            <w:pPr>
              <w:spacing w:after="20" w:before="20" w:line="240" w:lineRule="auto"/>
            </w:pPr>
            <w:r/>
            <w:r>
              <w:rPr>
                <w:rFonts w:ascii="Times New Roman" w:hAnsi="Times New Roman"/>
                <w:b w:val="0"/>
                <w:sz w:val="14"/>
              </w:rPr>
              <w:t>1.30 spaces per unit</w:t>
            </w:r>
          </w:p>
        </w:tc>
        <w:tc>
          <w:tcPr>
            <w:tcW w:type="dxa" w:w="3096"/>
          </w:tcPr>
          <w:p>
            <w:pPr>
              <w:spacing w:after="20" w:before="20" w:line="240" w:lineRule="auto"/>
            </w:pPr>
            <w:r/>
            <w:r>
              <w:rPr>
                <w:rFonts w:ascii="Times New Roman" w:hAnsi="Times New Roman"/>
                <w:b w:val="0"/>
                <w:sz w:val="14"/>
              </w:rPr>
              <w:t>276 ÷ 212 = 1.3019</w:t>
            </w:r>
          </w:p>
        </w:tc>
        <w:tc>
          <w:tcPr>
            <w:tcW w:type="dxa" w:w="1800"/>
          </w:tcPr>
          <w:p>
            <w:pPr>
              <w:spacing w:after="20" w:before="20" w:line="240" w:lineRule="auto"/>
            </w:pPr>
            <w:r/>
            <w:r>
              <w:rPr>
                <w:rFonts w:ascii="Times New Roman" w:hAnsi="Times New Roman"/>
                <w:b w:val="0"/>
                <w:sz w:val="14"/>
              </w:rPr>
              <w:t>Verified</w:t>
            </w:r>
          </w:p>
        </w:tc>
      </w:tr>
      <w:tr>
        <w:trPr>
          <w:cantSplit w:val="true"/>
        </w:trPr>
        <w:tc>
          <w:tcPr>
            <w:tcW w:type="dxa" w:w="432"/>
          </w:tcPr>
          <w:p>
            <w:pPr>
              <w:spacing w:after="20" w:before="20" w:line="240" w:lineRule="auto"/>
            </w:pPr>
            <w:r/>
            <w:r>
              <w:rPr>
                <w:rFonts w:ascii="Times New Roman" w:hAnsi="Times New Roman"/>
                <w:b w:val="0"/>
                <w:sz w:val="14"/>
              </w:rPr>
              <w:t>34</w:t>
            </w:r>
          </w:p>
        </w:tc>
        <w:tc>
          <w:tcPr>
            <w:tcW w:type="dxa" w:w="2088"/>
          </w:tcPr>
          <w:p>
            <w:pPr>
              <w:spacing w:after="20" w:before="20" w:line="240" w:lineRule="auto"/>
            </w:pPr>
            <w:r/>
            <w:r>
              <w:rPr>
                <w:rFonts w:ascii="Times New Roman" w:hAnsi="Times New Roman"/>
                <w:b w:val="0"/>
                <w:sz w:val="14"/>
              </w:rPr>
              <w:t>Remediation volume</w:t>
            </w:r>
          </w:p>
        </w:tc>
        <w:tc>
          <w:tcPr>
            <w:tcW w:type="dxa" w:w="1944"/>
          </w:tcPr>
          <w:p>
            <w:pPr>
              <w:spacing w:after="20" w:before="20" w:line="240" w:lineRule="auto"/>
            </w:pPr>
            <w:r/>
            <w:r>
              <w:rPr>
                <w:rFonts w:ascii="Times New Roman" w:hAnsi="Times New Roman"/>
                <w:b w:val="0"/>
                <w:sz w:val="14"/>
              </w:rPr>
              <w:t>340 cubic yards (Credit Memorandum § 8.2); 320 cubic yards (Appraisal § 8); 1,200 cubic yards (Phase I ESA § 6.1)</w:t>
            </w:r>
          </w:p>
        </w:tc>
        <w:tc>
          <w:tcPr>
            <w:tcW w:type="dxa" w:w="3096"/>
          </w:tcPr>
          <w:p>
            <w:pPr>
              <w:spacing w:after="20" w:before="20" w:line="240" w:lineRule="auto"/>
            </w:pPr>
            <w:r/>
            <w:r>
              <w:rPr>
                <w:rFonts w:ascii="Times New Roman" w:hAnsi="Times New Roman"/>
                <w:b w:val="0"/>
                <w:sz w:val="14"/>
              </w:rPr>
              <w:t>The Phase I ESA is the primary source</w:t>
            </w:r>
          </w:p>
        </w:tc>
        <w:tc>
          <w:tcPr>
            <w:tcW w:type="dxa" w:w="1800"/>
          </w:tcPr>
          <w:p>
            <w:pPr>
              <w:spacing w:after="20" w:before="20" w:line="240" w:lineRule="auto"/>
            </w:pPr>
            <w:r/>
            <w:r>
              <w:rPr>
                <w:rFonts w:ascii="Times New Roman" w:hAnsi="Times New Roman"/>
                <w:b w:val="0"/>
                <w:sz w:val="14"/>
              </w:rPr>
              <w:t>Does not reconcile — a 3.5x to 3.75x discrepancy in the reported excavation volume</w:t>
            </w:r>
          </w:p>
        </w:tc>
      </w:tr>
      <w:tr>
        <w:trPr>
          <w:cantSplit w:val="true"/>
        </w:trPr>
        <w:tc>
          <w:tcPr>
            <w:tcW w:type="dxa" w:w="432"/>
          </w:tcPr>
          <w:p>
            <w:pPr>
              <w:spacing w:after="20" w:before="20" w:line="240" w:lineRule="auto"/>
            </w:pPr>
            <w:r/>
            <w:r>
              <w:rPr>
                <w:rFonts w:ascii="Times New Roman" w:hAnsi="Times New Roman"/>
                <w:b w:val="0"/>
                <w:sz w:val="14"/>
              </w:rPr>
              <w:t>35</w:t>
            </w:r>
          </w:p>
        </w:tc>
        <w:tc>
          <w:tcPr>
            <w:tcW w:type="dxa" w:w="2088"/>
          </w:tcPr>
          <w:p>
            <w:pPr>
              <w:spacing w:after="20" w:before="20" w:line="240" w:lineRule="auto"/>
            </w:pPr>
            <w:r/>
            <w:r>
              <w:rPr>
                <w:rFonts w:ascii="Times New Roman" w:hAnsi="Times New Roman"/>
                <w:b w:val="0"/>
                <w:sz w:val="14"/>
              </w:rPr>
              <w:t>Remediation cost</w:t>
            </w:r>
          </w:p>
        </w:tc>
        <w:tc>
          <w:tcPr>
            <w:tcW w:type="dxa" w:w="1944"/>
          </w:tcPr>
          <w:p>
            <w:pPr>
              <w:spacing w:after="20" w:before="20" w:line="240" w:lineRule="auto"/>
              <w:jc w:val="right"/>
            </w:pPr>
            <w:r/>
            <w:r>
              <w:rPr>
                <w:rFonts w:ascii="Times New Roman" w:hAnsi="Times New Roman"/>
                <w:b w:val="0"/>
                <w:sz w:val="14"/>
              </w:rPr>
              <w:t>$485,000 (Phase I ESA § 6.3)</w:t>
            </w:r>
          </w:p>
        </w:tc>
        <w:tc>
          <w:tcPr>
            <w:tcW w:type="dxa" w:w="3096"/>
          </w:tcPr>
          <w:p>
            <w:pPr>
              <w:spacing w:after="20" w:before="20" w:line="240" w:lineRule="auto"/>
            </w:pPr>
            <w:r/>
            <w:r>
              <w:rPr>
                <w:rFonts w:ascii="Times New Roman" w:hAnsi="Times New Roman"/>
                <w:b w:val="0"/>
                <w:sz w:val="14"/>
              </w:rPr>
              <w:t>Not referenced in the Credit Memorandum or the Appraisal; not in the Approved Budget</w:t>
            </w:r>
          </w:p>
        </w:tc>
        <w:tc>
          <w:tcPr>
            <w:tcW w:type="dxa" w:w="1800"/>
          </w:tcPr>
          <w:p>
            <w:pPr>
              <w:spacing w:after="20" w:before="20" w:line="240" w:lineRule="auto"/>
            </w:pPr>
            <w:r/>
            <w:r>
              <w:rPr>
                <w:rFonts w:ascii="Times New Roman" w:hAnsi="Times New Roman"/>
                <w:b w:val="0"/>
                <w:sz w:val="14"/>
              </w:rPr>
              <w:t>Not reported elsewhere — confirm the funding source</w:t>
            </w:r>
          </w:p>
        </w:tc>
      </w:tr>
    </w:tbl>
    <w:p>
      <w:pPr>
        <w:spacing w:after="160" w:before="0" w:line="240" w:lineRule="auto"/>
      </w:pPr>
    </w:p>
    <w:p>
      <w:pPr>
        <w:keepNext/>
        <w:spacing w:after="160" w:before="280" w:line="259" w:lineRule="auto"/>
        <w:ind w:firstLine="0" w:left="0"/>
        <w:jc w:val="center"/>
      </w:pPr>
      <w:r>
        <w:rPr>
          <w:rFonts w:ascii="Times New Roman" w:hAnsi="Times New Roman"/>
          <w:b/>
          <w:i w:val="0"/>
          <w:caps/>
          <w:sz w:val="24"/>
        </w:rPr>
        <w:t>9.  Missing Documents and Diligence Requests</w:t>
      </w:r>
    </w:p>
    <w:p>
      <w:pPr>
        <w:spacing w:after="120" w:line="259" w:lineRule="auto"/>
        <w:ind w:left="0" w:firstLine="720"/>
        <w:jc w:val="both"/>
      </w:pPr>
      <w:r>
        <w:rPr>
          <w:rFonts w:ascii="Times New Roman" w:hAnsi="Times New Roman"/>
          <w:b w:val="0"/>
          <w:i w:val="0"/>
          <w:sz w:val="22"/>
        </w:rPr>
        <w:t>The following documents are referenced in the record but were not furnished. Several are conditions of the Bank’s own approval and cannot be satisfied without them.</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432"/>
            <w:shd w:val="clear" w:color="auto" w:fill="D9D9D9"/>
          </w:tcPr>
          <w:p>
            <w:pPr>
              <w:spacing w:after="20" w:before="20" w:line="240" w:lineRule="auto"/>
              <w:jc w:val="center"/>
            </w:pPr>
            <w:r/>
            <w:r>
              <w:rPr>
                <w:rFonts w:ascii="Times New Roman" w:hAnsi="Times New Roman"/>
                <w:b/>
                <w:sz w:val="14"/>
              </w:rPr>
              <w:t>#</w:t>
            </w:r>
          </w:p>
        </w:tc>
        <w:tc>
          <w:tcPr>
            <w:tcW w:type="dxa" w:w="2520"/>
            <w:shd w:val="clear" w:color="auto" w:fill="D9D9D9"/>
          </w:tcPr>
          <w:p>
            <w:pPr>
              <w:spacing w:after="20" w:before="20" w:line="240" w:lineRule="auto"/>
              <w:jc w:val="center"/>
            </w:pPr>
            <w:r/>
            <w:r>
              <w:rPr>
                <w:rFonts w:ascii="Times New Roman" w:hAnsi="Times New Roman"/>
                <w:b/>
                <w:sz w:val="14"/>
              </w:rPr>
              <w:t>Document</w:t>
            </w:r>
          </w:p>
        </w:tc>
        <w:tc>
          <w:tcPr>
            <w:tcW w:type="dxa" w:w="2160"/>
            <w:shd w:val="clear" w:color="auto" w:fill="D9D9D9"/>
          </w:tcPr>
          <w:p>
            <w:pPr>
              <w:spacing w:after="20" w:before="20" w:line="240" w:lineRule="auto"/>
              <w:jc w:val="center"/>
            </w:pPr>
            <w:r/>
            <w:r>
              <w:rPr>
                <w:rFonts w:ascii="Times New Roman" w:hAnsi="Times New Roman"/>
                <w:b/>
                <w:sz w:val="14"/>
              </w:rPr>
              <w:t>Referenced in</w:t>
            </w:r>
          </w:p>
        </w:tc>
        <w:tc>
          <w:tcPr>
            <w:tcW w:type="dxa" w:w="3024"/>
            <w:shd w:val="clear" w:color="auto" w:fill="D9D9D9"/>
          </w:tcPr>
          <w:p>
            <w:pPr>
              <w:spacing w:after="20" w:before="20" w:line="240" w:lineRule="auto"/>
              <w:jc w:val="center"/>
            </w:pPr>
            <w:r/>
            <w:r>
              <w:rPr>
                <w:rFonts w:ascii="Times New Roman" w:hAnsi="Times New Roman"/>
                <w:b/>
                <w:sz w:val="14"/>
              </w:rPr>
              <w:t>Why required</w:t>
            </w:r>
          </w:p>
        </w:tc>
        <w:tc>
          <w:tcPr>
            <w:tcW w:type="dxa" w:w="1224"/>
            <w:shd w:val="clear" w:color="auto" w:fill="D9D9D9"/>
          </w:tcPr>
          <w:p>
            <w:pPr>
              <w:spacing w:after="20" w:before="20" w:line="240" w:lineRule="auto"/>
              <w:jc w:val="center"/>
            </w:pPr>
            <w:r/>
            <w:r>
              <w:rPr>
                <w:rFonts w:ascii="Times New Roman" w:hAnsi="Times New Roman"/>
                <w:b/>
                <w:sz w:val="14"/>
              </w:rPr>
              <w:t>Priority</w:t>
            </w:r>
          </w:p>
        </w:tc>
      </w:tr>
      <w:tr>
        <w:trPr>
          <w:cantSplit w:val="true"/>
        </w:trPr>
        <w:tc>
          <w:tcPr>
            <w:tcW w:type="dxa" w:w="432"/>
          </w:tcPr>
          <w:p>
            <w:pPr>
              <w:spacing w:after="20" w:before="20" w:line="240" w:lineRule="auto"/>
            </w:pPr>
            <w:r/>
            <w:r>
              <w:rPr>
                <w:rFonts w:ascii="Times New Roman" w:hAnsi="Times New Roman"/>
                <w:b w:val="0"/>
                <w:sz w:val="14"/>
              </w:rPr>
              <w:t>1</w:t>
            </w:r>
          </w:p>
        </w:tc>
        <w:tc>
          <w:tcPr>
            <w:tcW w:type="dxa" w:w="2520"/>
          </w:tcPr>
          <w:p>
            <w:pPr>
              <w:spacing w:after="20" w:before="20" w:line="240" w:lineRule="auto"/>
            </w:pPr>
            <w:r/>
            <w:r>
              <w:rPr>
                <w:rFonts w:ascii="Times New Roman" w:hAnsi="Times New Roman"/>
                <w:b w:val="0"/>
                <w:sz w:val="14"/>
              </w:rPr>
              <w:t>Executed signature pages of the Term Sheet; confirmation that the $75,000 expense deposit was received</w:t>
            </w:r>
          </w:p>
        </w:tc>
        <w:tc>
          <w:tcPr>
            <w:tcW w:type="dxa" w:w="2160"/>
          </w:tcPr>
          <w:p>
            <w:pPr>
              <w:spacing w:after="20" w:before="20" w:line="240" w:lineRule="auto"/>
            </w:pPr>
            <w:r/>
            <w:r>
              <w:rPr>
                <w:rFonts w:ascii="Times New Roman" w:hAnsi="Times New Roman"/>
                <w:b w:val="0"/>
                <w:sz w:val="14"/>
              </w:rPr>
              <w:t>Term Sheet §§ 22, 23</w:t>
            </w:r>
          </w:p>
        </w:tc>
        <w:tc>
          <w:tcPr>
            <w:tcW w:type="dxa" w:w="3024"/>
          </w:tcPr>
          <w:p>
            <w:pPr>
              <w:spacing w:after="20" w:before="20" w:line="240" w:lineRule="auto"/>
            </w:pPr>
            <w:r/>
            <w:r>
              <w:rPr>
                <w:rFonts w:ascii="Times New Roman" w:hAnsi="Times New Roman"/>
                <w:b w:val="0"/>
                <w:sz w:val="14"/>
              </w:rPr>
              <w:t>The copy in the file shows blank signature blocks; the deposit is a condition of acceptance</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2</w:t>
            </w:r>
          </w:p>
        </w:tc>
        <w:tc>
          <w:tcPr>
            <w:tcW w:type="dxa" w:w="2520"/>
          </w:tcPr>
          <w:p>
            <w:pPr>
              <w:spacing w:after="20" w:before="20" w:line="240" w:lineRule="auto"/>
            </w:pPr>
            <w:r/>
            <w:r>
              <w:rPr>
                <w:rFonts w:ascii="Times New Roman" w:hAnsi="Times New Roman"/>
                <w:b w:val="0"/>
                <w:sz w:val="14"/>
              </w:rPr>
              <w:t>Recorded Special Warranty Deeds (Book 7598, Pages 443 and 445); June 2023 settlement statement</w:t>
            </w:r>
          </w:p>
        </w:tc>
        <w:tc>
          <w:tcPr>
            <w:tcW w:type="dxa" w:w="2160"/>
          </w:tcPr>
          <w:p>
            <w:pPr>
              <w:spacing w:after="20" w:before="20" w:line="240" w:lineRule="auto"/>
            </w:pPr>
            <w:r/>
            <w:r>
              <w:rPr>
                <w:rFonts w:ascii="Times New Roman" w:hAnsi="Times New Roman"/>
                <w:b w:val="0"/>
                <w:sz w:val="14"/>
              </w:rPr>
              <w:t>Title Commitment Sch. A ¶ 5</w:t>
            </w:r>
          </w:p>
        </w:tc>
        <w:tc>
          <w:tcPr>
            <w:tcW w:type="dxa" w:w="3024"/>
          </w:tcPr>
          <w:p>
            <w:pPr>
              <w:spacing w:after="20" w:before="20" w:line="240" w:lineRule="auto"/>
            </w:pPr>
            <w:r/>
            <w:r>
              <w:rPr>
                <w:rFonts w:ascii="Times New Roman" w:hAnsi="Times New Roman"/>
                <w:b w:val="0"/>
                <w:sz w:val="14"/>
              </w:rPr>
              <w:t>Resolves the Land acquisition and funding inconsistency (Section 3.1)</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3</w:t>
            </w:r>
          </w:p>
        </w:tc>
        <w:tc>
          <w:tcPr>
            <w:tcW w:type="dxa" w:w="2520"/>
          </w:tcPr>
          <w:p>
            <w:pPr>
              <w:spacing w:after="20" w:before="20" w:line="240" w:lineRule="auto"/>
            </w:pPr>
            <w:r/>
            <w:r>
              <w:rPr>
                <w:rFonts w:ascii="Times New Roman" w:hAnsi="Times New Roman"/>
                <w:b w:val="0"/>
                <w:sz w:val="14"/>
              </w:rPr>
              <w:t>Mezzanine Loan agreement, pledge documents, disbursement history and current balance certificate</w:t>
            </w:r>
          </w:p>
        </w:tc>
        <w:tc>
          <w:tcPr>
            <w:tcW w:type="dxa" w:w="2160"/>
          </w:tcPr>
          <w:p>
            <w:pPr>
              <w:spacing w:after="20" w:before="20" w:line="240" w:lineRule="auto"/>
            </w:pPr>
            <w:r/>
            <w:r>
              <w:rPr>
                <w:rFonts w:ascii="Times New Roman" w:hAnsi="Times New Roman"/>
                <w:b w:val="0"/>
                <w:sz w:val="14"/>
              </w:rPr>
              <w:t>Organizational Chart § 1.2; Credit Memorandum § 4.4</w:t>
            </w:r>
          </w:p>
        </w:tc>
        <w:tc>
          <w:tcPr>
            <w:tcW w:type="dxa" w:w="3024"/>
          </w:tcPr>
          <w:p>
            <w:pPr>
              <w:spacing w:after="20" w:before="20" w:line="240" w:lineRule="auto"/>
            </w:pPr>
            <w:r/>
            <w:r>
              <w:rPr>
                <w:rFonts w:ascii="Times New Roman" w:hAnsi="Times New Roman"/>
                <w:b w:val="0"/>
                <w:sz w:val="14"/>
              </w:rPr>
              <w:t>Determines remaining availability and outstanding balance (Section 3.1)</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4</w:t>
            </w:r>
          </w:p>
        </w:tc>
        <w:tc>
          <w:tcPr>
            <w:tcW w:type="dxa" w:w="2520"/>
          </w:tcPr>
          <w:p>
            <w:pPr>
              <w:spacing w:after="20" w:before="20" w:line="240" w:lineRule="auto"/>
            </w:pPr>
            <w:r/>
            <w:r>
              <w:rPr>
                <w:rFonts w:ascii="Times New Roman" w:hAnsi="Times New Roman"/>
                <w:b w:val="0"/>
                <w:sz w:val="14"/>
              </w:rPr>
              <w:t>Payoff letter from Triangle Commercial Bank; cancellation of deed of trust</w:t>
            </w:r>
          </w:p>
        </w:tc>
        <w:tc>
          <w:tcPr>
            <w:tcW w:type="dxa" w:w="2160"/>
          </w:tcPr>
          <w:p>
            <w:pPr>
              <w:spacing w:after="20" w:before="20" w:line="240" w:lineRule="auto"/>
            </w:pPr>
            <w:r/>
            <w:r>
              <w:rPr>
                <w:rFonts w:ascii="Times New Roman" w:hAnsi="Times New Roman"/>
                <w:b w:val="0"/>
                <w:sz w:val="14"/>
              </w:rPr>
              <w:t>Title Commitment Sch. B-I ¶ 4; Sch. B-II ¶ 10</w:t>
            </w:r>
          </w:p>
        </w:tc>
        <w:tc>
          <w:tcPr>
            <w:tcW w:type="dxa" w:w="3024"/>
          </w:tcPr>
          <w:p>
            <w:pPr>
              <w:spacing w:after="20" w:before="20" w:line="240" w:lineRule="auto"/>
            </w:pPr>
            <w:r/>
            <w:r>
              <w:rPr>
                <w:rFonts w:ascii="Times New Roman" w:hAnsi="Times New Roman"/>
                <w:b w:val="0"/>
                <w:sz w:val="14"/>
              </w:rPr>
              <w:t>Quantifies and clears the unbudgeted $3.4 million payoff (Section 3.3)</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5</w:t>
            </w:r>
          </w:p>
        </w:tc>
        <w:tc>
          <w:tcPr>
            <w:tcW w:type="dxa" w:w="2520"/>
          </w:tcPr>
          <w:p>
            <w:pPr>
              <w:spacing w:after="20" w:before="20" w:line="240" w:lineRule="auto"/>
            </w:pPr>
            <w:r/>
            <w:r>
              <w:rPr>
                <w:rFonts w:ascii="Times New Roman" w:hAnsi="Times New Roman"/>
                <w:b w:val="0"/>
                <w:sz w:val="14"/>
              </w:rPr>
              <w:t>Recorded Deed Notice (or NCDEQ acknowledgment of late recording)</w:t>
            </w:r>
          </w:p>
        </w:tc>
        <w:tc>
          <w:tcPr>
            <w:tcW w:type="dxa" w:w="2160"/>
          </w:tcPr>
          <w:p>
            <w:pPr>
              <w:spacing w:after="20" w:before="20" w:line="240" w:lineRule="auto"/>
            </w:pPr>
            <w:r/>
            <w:r>
              <w:rPr>
                <w:rFonts w:ascii="Times New Roman" w:hAnsi="Times New Roman"/>
                <w:b w:val="0"/>
                <w:sz w:val="14"/>
              </w:rPr>
              <w:t>Phase I ESA §§ 7, 10; NFA Letter Condition 4</w:t>
            </w:r>
          </w:p>
        </w:tc>
        <w:tc>
          <w:tcPr>
            <w:tcW w:type="dxa" w:w="3024"/>
          </w:tcPr>
          <w:p>
            <w:pPr>
              <w:spacing w:after="20" w:before="20" w:line="240" w:lineRule="auto"/>
            </w:pPr>
            <w:r/>
            <w:r>
              <w:rPr>
                <w:rFonts w:ascii="Times New Roman" w:hAnsi="Times New Roman"/>
                <w:b w:val="0"/>
                <w:sz w:val="14"/>
              </w:rPr>
              <w:t>NFA compliance; title exception (Section 3.5)</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6</w:t>
            </w:r>
          </w:p>
        </w:tc>
        <w:tc>
          <w:tcPr>
            <w:tcW w:type="dxa" w:w="2520"/>
          </w:tcPr>
          <w:p>
            <w:pPr>
              <w:spacing w:after="20" w:before="20" w:line="240" w:lineRule="auto"/>
            </w:pPr>
            <w:r/>
            <w:r>
              <w:rPr>
                <w:rFonts w:ascii="Times New Roman" w:hAnsi="Times New Roman"/>
                <w:b w:val="0"/>
                <w:sz w:val="14"/>
              </w:rPr>
              <w:t>Full NCDEQ NFA Letter with attachments and the Affected Area delineation</w:t>
            </w:r>
          </w:p>
        </w:tc>
        <w:tc>
          <w:tcPr>
            <w:tcW w:type="dxa" w:w="2160"/>
          </w:tcPr>
          <w:p>
            <w:pPr>
              <w:spacing w:after="20" w:before="20" w:line="240" w:lineRule="auto"/>
            </w:pPr>
            <w:r/>
            <w:r>
              <w:rPr>
                <w:rFonts w:ascii="Times New Roman" w:hAnsi="Times New Roman"/>
                <w:b w:val="0"/>
                <w:sz w:val="14"/>
              </w:rPr>
              <w:t>Phase I ESA § 7; Term Sheet § 17</w:t>
            </w:r>
          </w:p>
        </w:tc>
        <w:tc>
          <w:tcPr>
            <w:tcW w:type="dxa" w:w="3024"/>
          </w:tcPr>
          <w:p>
            <w:pPr>
              <w:spacing w:after="20" w:before="20" w:line="240" w:lineRule="auto"/>
            </w:pPr>
            <w:r/>
            <w:r>
              <w:rPr>
                <w:rFonts w:ascii="Times New Roman" w:hAnsi="Times New Roman"/>
                <w:b w:val="0"/>
                <w:sz w:val="14"/>
              </w:rPr>
              <w:t>Only summarized in the record; the recorded land use restriction must be reviewed</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7</w:t>
            </w:r>
          </w:p>
        </w:tc>
        <w:tc>
          <w:tcPr>
            <w:tcW w:type="dxa" w:w="2520"/>
          </w:tcPr>
          <w:p>
            <w:pPr>
              <w:spacing w:after="20" w:before="20" w:line="240" w:lineRule="auto"/>
            </w:pPr>
            <w:r/>
            <w:r>
              <w:rPr>
                <w:rFonts w:ascii="Times New Roman" w:hAnsi="Times New Roman"/>
                <w:b w:val="0"/>
                <w:sz w:val="14"/>
              </w:rPr>
              <w:t>Phase II Environmental Site Assessment (Project No. SEC-2024-1089) and Sentinel reliance letters</w:t>
            </w:r>
          </w:p>
        </w:tc>
        <w:tc>
          <w:tcPr>
            <w:tcW w:type="dxa" w:w="2160"/>
          </w:tcPr>
          <w:p>
            <w:pPr>
              <w:spacing w:after="20" w:before="20" w:line="240" w:lineRule="auto"/>
            </w:pPr>
            <w:r/>
            <w:r>
              <w:rPr>
                <w:rFonts w:ascii="Times New Roman" w:hAnsi="Times New Roman"/>
                <w:b w:val="0"/>
                <w:sz w:val="14"/>
              </w:rPr>
              <w:t>Phase I ESA §§ 5, 11</w:t>
            </w:r>
          </w:p>
        </w:tc>
        <w:tc>
          <w:tcPr>
            <w:tcW w:type="dxa" w:w="3024"/>
          </w:tcPr>
          <w:p>
            <w:pPr>
              <w:spacing w:after="20" w:before="20" w:line="240" w:lineRule="auto"/>
            </w:pPr>
            <w:r/>
            <w:r>
              <w:rPr>
                <w:rFonts w:ascii="Times New Roman" w:hAnsi="Times New Roman"/>
                <w:b w:val="0"/>
                <w:sz w:val="14"/>
              </w:rPr>
              <w:t>Bank’s reliance and CERCLA protected-party status</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8</w:t>
            </w:r>
          </w:p>
        </w:tc>
        <w:tc>
          <w:tcPr>
            <w:tcW w:type="dxa" w:w="2520"/>
          </w:tcPr>
          <w:p>
            <w:pPr>
              <w:spacing w:after="20" w:before="20" w:line="240" w:lineRule="auto"/>
            </w:pPr>
            <w:r/>
            <w:r>
              <w:rPr>
                <w:rFonts w:ascii="Times New Roman" w:hAnsi="Times New Roman"/>
                <w:b w:val="0"/>
                <w:sz w:val="14"/>
              </w:rPr>
              <w:t>Architect’s overlay of the building plans on the Phase I ESA Figure 3</w:t>
            </w:r>
          </w:p>
        </w:tc>
        <w:tc>
          <w:tcPr>
            <w:tcW w:type="dxa" w:w="2160"/>
          </w:tcPr>
          <w:p>
            <w:pPr>
              <w:spacing w:after="20" w:before="20" w:line="240" w:lineRule="auto"/>
            </w:pPr>
            <w:r/>
            <w:r>
              <w:rPr>
                <w:rFonts w:ascii="Times New Roman" w:hAnsi="Times New Roman"/>
                <w:b w:val="0"/>
                <w:sz w:val="14"/>
              </w:rPr>
              <w:t>Phase I ESA § 8.5, Rec. 1</w:t>
            </w:r>
          </w:p>
        </w:tc>
        <w:tc>
          <w:tcPr>
            <w:tcW w:type="dxa" w:w="3024"/>
          </w:tcPr>
          <w:p>
            <w:pPr>
              <w:spacing w:after="20" w:before="20" w:line="240" w:lineRule="auto"/>
            </w:pPr>
            <w:r/>
            <w:r>
              <w:rPr>
                <w:rFonts w:ascii="Times New Roman" w:hAnsi="Times New Roman"/>
                <w:b w:val="0"/>
                <w:sz w:val="14"/>
              </w:rPr>
              <w:t>Determines whether 14 units sit above the Affected Area (Section 3.5)</w:t>
            </w:r>
          </w:p>
        </w:tc>
        <w:tc>
          <w:tcPr>
            <w:tcW w:type="dxa" w:w="1224"/>
          </w:tcPr>
          <w:p>
            <w:pPr>
              <w:spacing w:after="20" w:before="20" w:line="240" w:lineRule="auto"/>
            </w:pPr>
            <w:r/>
            <w:r>
              <w:rPr>
                <w:rFonts w:ascii="Times New Roman" w:hAnsi="Times New Roman"/>
                <w:b w:val="0"/>
                <w:sz w:val="14"/>
              </w:rPr>
              <w:t>Immediate</w:t>
            </w:r>
          </w:p>
        </w:tc>
      </w:tr>
      <w:tr>
        <w:trPr>
          <w:cantSplit w:val="true"/>
        </w:trPr>
        <w:tc>
          <w:tcPr>
            <w:tcW w:type="dxa" w:w="432"/>
          </w:tcPr>
          <w:p>
            <w:pPr>
              <w:spacing w:after="20" w:before="20" w:line="240" w:lineRule="auto"/>
            </w:pPr>
            <w:r/>
            <w:r>
              <w:rPr>
                <w:rFonts w:ascii="Times New Roman" w:hAnsi="Times New Roman"/>
                <w:b w:val="0"/>
                <w:sz w:val="14"/>
              </w:rPr>
              <w:t>9</w:t>
            </w:r>
          </w:p>
        </w:tc>
        <w:tc>
          <w:tcPr>
            <w:tcW w:type="dxa" w:w="2520"/>
          </w:tcPr>
          <w:p>
            <w:pPr>
              <w:spacing w:after="20" w:before="20" w:line="240" w:lineRule="auto"/>
            </w:pPr>
            <w:r/>
            <w:r>
              <w:rPr>
                <w:rFonts w:ascii="Times New Roman" w:hAnsi="Times New Roman"/>
                <w:b w:val="0"/>
                <w:sz w:val="14"/>
              </w:rPr>
              <w:t>Fully executed GMP Contract with all exhibits and change orders; contractor financial statements and bonding capacity</w:t>
            </w:r>
          </w:p>
        </w:tc>
        <w:tc>
          <w:tcPr>
            <w:tcW w:type="dxa" w:w="2160"/>
          </w:tcPr>
          <w:p>
            <w:pPr>
              <w:spacing w:after="20" w:before="20" w:line="240" w:lineRule="auto"/>
            </w:pPr>
            <w:r/>
            <w:r>
              <w:rPr>
                <w:rFonts w:ascii="Times New Roman" w:hAnsi="Times New Roman"/>
                <w:b w:val="0"/>
                <w:sz w:val="14"/>
              </w:rPr>
              <w:t>Term Sheet § 2; Appraisal § 3; Budget line 2.02–2.09</w:t>
            </w:r>
          </w:p>
        </w:tc>
        <w:tc>
          <w:tcPr>
            <w:tcW w:type="dxa" w:w="3024"/>
          </w:tcPr>
          <w:p>
            <w:pPr>
              <w:spacing w:after="20" w:before="20" w:line="240" w:lineRule="auto"/>
            </w:pPr>
            <w:r/>
            <w:r>
              <w:rPr>
                <w:rFonts w:ascii="Times New Roman" w:hAnsi="Times New Roman"/>
                <w:b w:val="0"/>
                <w:sz w:val="14"/>
              </w:rPr>
              <w:t>Conditions precedent to closing; cost certainty</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10</w:t>
            </w:r>
          </w:p>
        </w:tc>
        <w:tc>
          <w:tcPr>
            <w:tcW w:type="dxa" w:w="2520"/>
          </w:tcPr>
          <w:p>
            <w:pPr>
              <w:spacing w:after="20" w:before="20" w:line="240" w:lineRule="auto"/>
            </w:pPr>
            <w:r/>
            <w:r>
              <w:rPr>
                <w:rFonts w:ascii="Times New Roman" w:hAnsi="Times New Roman"/>
                <w:b w:val="0"/>
                <w:sz w:val="14"/>
              </w:rPr>
              <w:t>Architect’s Contract and professional liability certificate</w:t>
            </w:r>
          </w:p>
        </w:tc>
        <w:tc>
          <w:tcPr>
            <w:tcW w:type="dxa" w:w="2160"/>
          </w:tcPr>
          <w:p>
            <w:pPr>
              <w:spacing w:after="20" w:before="20" w:line="240" w:lineRule="auto"/>
            </w:pPr>
            <w:r/>
            <w:r>
              <w:rPr>
                <w:rFonts w:ascii="Times New Roman" w:hAnsi="Times New Roman"/>
                <w:b w:val="0"/>
                <w:sz w:val="14"/>
              </w:rPr>
              <w:t>Term Sheet § 8; Credit Memorandum § 8.1</w:t>
            </w:r>
          </w:p>
        </w:tc>
        <w:tc>
          <w:tcPr>
            <w:tcW w:type="dxa" w:w="3024"/>
          </w:tcPr>
          <w:p>
            <w:pPr>
              <w:spacing w:after="20" w:before="20" w:line="240" w:lineRule="auto"/>
            </w:pPr>
            <w:r/>
            <w:r>
              <w:rPr>
                <w:rFonts w:ascii="Times New Roman" w:hAnsi="Times New Roman"/>
                <w:b w:val="0"/>
                <w:sz w:val="14"/>
              </w:rPr>
              <w:t>Collateral assignment; insurance</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11</w:t>
            </w:r>
          </w:p>
        </w:tc>
        <w:tc>
          <w:tcPr>
            <w:tcW w:type="dxa" w:w="2520"/>
          </w:tcPr>
          <w:p>
            <w:pPr>
              <w:spacing w:after="20" w:before="20" w:line="240" w:lineRule="auto"/>
            </w:pPr>
            <w:r/>
            <w:r>
              <w:rPr>
                <w:rFonts w:ascii="Times New Roman" w:hAnsi="Times New Roman"/>
                <w:b w:val="0"/>
                <w:sz w:val="14"/>
              </w:rPr>
              <w:t>ALTA/NSPS survey of both parcels</w:t>
            </w:r>
          </w:p>
        </w:tc>
        <w:tc>
          <w:tcPr>
            <w:tcW w:type="dxa" w:w="2160"/>
          </w:tcPr>
          <w:p>
            <w:pPr>
              <w:spacing w:after="20" w:before="20" w:line="240" w:lineRule="auto"/>
            </w:pPr>
            <w:r/>
            <w:r>
              <w:rPr>
                <w:rFonts w:ascii="Times New Roman" w:hAnsi="Times New Roman"/>
                <w:b w:val="0"/>
                <w:sz w:val="14"/>
              </w:rPr>
              <w:t>Term Sheet § 18; Title Commitment Sch. B-I ¶ 5</w:t>
            </w:r>
          </w:p>
        </w:tc>
        <w:tc>
          <w:tcPr>
            <w:tcW w:type="dxa" w:w="3024"/>
          </w:tcPr>
          <w:p>
            <w:pPr>
              <w:spacing w:after="20" w:before="20" w:line="240" w:lineRule="auto"/>
            </w:pPr>
            <w:r/>
            <w:r>
              <w:rPr>
                <w:rFonts w:ascii="Times New Roman" w:hAnsi="Times New Roman"/>
                <w:b w:val="0"/>
                <w:sz w:val="14"/>
              </w:rPr>
              <w:t>Resolves the boundary and area conflicts (Sections 4.2, 4.3)</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12</w:t>
            </w:r>
          </w:p>
        </w:tc>
        <w:tc>
          <w:tcPr>
            <w:tcW w:type="dxa" w:w="2520"/>
          </w:tcPr>
          <w:p>
            <w:pPr>
              <w:spacing w:after="20" w:before="20" w:line="240" w:lineRule="auto"/>
            </w:pPr>
            <w:r/>
            <w:r>
              <w:rPr>
                <w:rFonts w:ascii="Times New Roman" w:hAnsi="Times New Roman"/>
                <w:b w:val="0"/>
                <w:sz w:val="14"/>
              </w:rPr>
              <w:t>Full Operating Agreement and all amendments, including the December 1, 2024 amendment; member resolutions</w:t>
            </w:r>
          </w:p>
        </w:tc>
        <w:tc>
          <w:tcPr>
            <w:tcW w:type="dxa" w:w="2160"/>
          </w:tcPr>
          <w:p>
            <w:pPr>
              <w:spacing w:after="20" w:before="20" w:line="240" w:lineRule="auto"/>
            </w:pPr>
            <w:r/>
            <w:r>
              <w:rPr>
                <w:rFonts w:ascii="Times New Roman" w:hAnsi="Times New Roman"/>
                <w:b w:val="0"/>
                <w:sz w:val="14"/>
              </w:rPr>
              <w:t>Organizational Chart §§ 2.1–2.5</w:t>
            </w:r>
          </w:p>
        </w:tc>
        <w:tc>
          <w:tcPr>
            <w:tcW w:type="dxa" w:w="3024"/>
          </w:tcPr>
          <w:p>
            <w:pPr>
              <w:spacing w:after="20" w:before="20" w:line="240" w:lineRule="auto"/>
            </w:pPr>
            <w:r/>
            <w:r>
              <w:rPr>
                <w:rFonts w:ascii="Times New Roman" w:hAnsi="Times New Roman"/>
                <w:b w:val="0"/>
                <w:sz w:val="14"/>
              </w:rPr>
              <w:t>Only excerpts were furnished; the 75% consent threshold must be satisfied</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13</w:t>
            </w:r>
          </w:p>
        </w:tc>
        <w:tc>
          <w:tcPr>
            <w:tcW w:type="dxa" w:w="2520"/>
          </w:tcPr>
          <w:p>
            <w:pPr>
              <w:spacing w:after="20" w:before="20" w:line="240" w:lineRule="auto"/>
            </w:pPr>
            <w:r/>
            <w:r>
              <w:rPr>
                <w:rFonts w:ascii="Times New Roman" w:hAnsi="Times New Roman"/>
                <w:b w:val="0"/>
                <w:sz w:val="14"/>
              </w:rPr>
              <w:t>Beneficial ownership certification for Brightleaf Investors Group LLC</w:t>
            </w:r>
          </w:p>
        </w:tc>
        <w:tc>
          <w:tcPr>
            <w:tcW w:type="dxa" w:w="2160"/>
          </w:tcPr>
          <w:p>
            <w:pPr>
              <w:spacing w:after="20" w:before="20" w:line="240" w:lineRule="auto"/>
            </w:pPr>
            <w:r/>
            <w:r>
              <w:rPr>
                <w:rFonts w:ascii="Times New Roman" w:hAnsi="Times New Roman"/>
                <w:b w:val="0"/>
                <w:sz w:val="14"/>
              </w:rPr>
              <w:t>Credit Memorandum § 12; Organizational Chart § 1.2</w:t>
            </w:r>
          </w:p>
        </w:tc>
        <w:tc>
          <w:tcPr>
            <w:tcW w:type="dxa" w:w="3024"/>
          </w:tcPr>
          <w:p>
            <w:pPr>
              <w:spacing w:after="20" w:before="20" w:line="240" w:lineRule="auto"/>
            </w:pPr>
            <w:r/>
            <w:r>
              <w:rPr>
                <w:rFonts w:ascii="Times New Roman" w:hAnsi="Times New Roman"/>
                <w:b w:val="0"/>
                <w:sz w:val="14"/>
              </w:rPr>
              <w:t>KYC/CDD; the chart says identities are available only on request</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14</w:t>
            </w:r>
          </w:p>
        </w:tc>
        <w:tc>
          <w:tcPr>
            <w:tcW w:type="dxa" w:w="2520"/>
          </w:tcPr>
          <w:p>
            <w:pPr>
              <w:spacing w:after="20" w:before="20" w:line="240" w:lineRule="auto"/>
            </w:pPr>
            <w:r/>
            <w:r>
              <w:rPr>
                <w:rFonts w:ascii="Times New Roman" w:hAnsi="Times New Roman"/>
                <w:b w:val="0"/>
                <w:sz w:val="14"/>
              </w:rPr>
              <w:t>Borrower financial statements supporting net worth of $14,200,000</w:t>
            </w:r>
          </w:p>
        </w:tc>
        <w:tc>
          <w:tcPr>
            <w:tcW w:type="dxa" w:w="2160"/>
          </w:tcPr>
          <w:p>
            <w:pPr>
              <w:spacing w:after="20" w:before="20" w:line="240" w:lineRule="auto"/>
            </w:pPr>
            <w:r/>
            <w:r>
              <w:rPr>
                <w:rFonts w:ascii="Times New Roman" w:hAnsi="Times New Roman"/>
                <w:b w:val="0"/>
                <w:sz w:val="14"/>
              </w:rPr>
              <w:t>Term Sheet § 6.4; Credit Memorandum § 2.1</w:t>
            </w:r>
          </w:p>
        </w:tc>
        <w:tc>
          <w:tcPr>
            <w:tcW w:type="dxa" w:w="3024"/>
          </w:tcPr>
          <w:p>
            <w:pPr>
              <w:spacing w:after="20" w:before="20" w:line="240" w:lineRule="auto"/>
            </w:pPr>
            <w:r/>
            <w:r>
              <w:rPr>
                <w:rFonts w:ascii="Times New Roman" w:hAnsi="Times New Roman"/>
                <w:b w:val="0"/>
                <w:sz w:val="14"/>
              </w:rPr>
              <w:t>The covenant may be breached at closing (Section 6.2)</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15</w:t>
            </w:r>
          </w:p>
        </w:tc>
        <w:tc>
          <w:tcPr>
            <w:tcW w:type="dxa" w:w="2520"/>
          </w:tcPr>
          <w:p>
            <w:pPr>
              <w:spacing w:after="20" w:before="20" w:line="240" w:lineRule="auto"/>
            </w:pPr>
            <w:r/>
            <w:r>
              <w:rPr>
                <w:rFonts w:ascii="Times New Roman" w:hAnsi="Times New Roman"/>
                <w:b w:val="0"/>
                <w:sz w:val="14"/>
              </w:rPr>
              <w:t>Guarantor personal financial statements dated December 15 and 18, 2024, with asset support</w:t>
            </w:r>
          </w:p>
        </w:tc>
        <w:tc>
          <w:tcPr>
            <w:tcW w:type="dxa" w:w="2160"/>
          </w:tcPr>
          <w:p>
            <w:pPr>
              <w:spacing w:after="20" w:before="20" w:line="240" w:lineRule="auto"/>
            </w:pPr>
            <w:r/>
            <w:r>
              <w:rPr>
                <w:rFonts w:ascii="Times New Roman" w:hAnsi="Times New Roman"/>
                <w:b w:val="0"/>
                <w:sz w:val="14"/>
              </w:rPr>
              <w:t>Credit Memorandum § 2.3</w:t>
            </w:r>
          </w:p>
        </w:tc>
        <w:tc>
          <w:tcPr>
            <w:tcW w:type="dxa" w:w="3024"/>
          </w:tcPr>
          <w:p>
            <w:pPr>
              <w:spacing w:after="20" w:before="20" w:line="240" w:lineRule="auto"/>
            </w:pPr>
            <w:r/>
            <w:r>
              <w:rPr>
                <w:rFonts w:ascii="Times New Roman" w:hAnsi="Times New Roman"/>
                <w:b w:val="0"/>
                <w:sz w:val="14"/>
              </w:rPr>
              <w:t>Verification of the liquidity covenant and guaranty capacity</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16</w:t>
            </w:r>
          </w:p>
        </w:tc>
        <w:tc>
          <w:tcPr>
            <w:tcW w:type="dxa" w:w="2520"/>
          </w:tcPr>
          <w:p>
            <w:pPr>
              <w:spacing w:after="20" w:before="20" w:line="240" w:lineRule="auto"/>
            </w:pPr>
            <w:r/>
            <w:r>
              <w:rPr>
                <w:rFonts w:ascii="Times New Roman" w:hAnsi="Times New Roman"/>
                <w:b w:val="0"/>
                <w:sz w:val="14"/>
              </w:rPr>
              <w:t>Zoning compliance letter (including maximum parking) and building permits</w:t>
            </w:r>
          </w:p>
        </w:tc>
        <w:tc>
          <w:tcPr>
            <w:tcW w:type="dxa" w:w="2160"/>
          </w:tcPr>
          <w:p>
            <w:pPr>
              <w:spacing w:after="20" w:before="20" w:line="240" w:lineRule="auto"/>
            </w:pPr>
            <w:r/>
            <w:r>
              <w:rPr>
                <w:rFonts w:ascii="Times New Roman" w:hAnsi="Times New Roman"/>
                <w:b w:val="0"/>
                <w:sz w:val="14"/>
              </w:rPr>
              <w:t>Term Sheet § 11; Title Commitment Sch. B-II ¶ 12</w:t>
            </w:r>
          </w:p>
        </w:tc>
        <w:tc>
          <w:tcPr>
            <w:tcW w:type="dxa" w:w="3024"/>
          </w:tcPr>
          <w:p>
            <w:pPr>
              <w:spacing w:after="20" w:before="20" w:line="240" w:lineRule="auto"/>
            </w:pPr>
            <w:r/>
            <w:r>
              <w:rPr>
                <w:rFonts w:ascii="Times New Roman" w:hAnsi="Times New Roman"/>
                <w:b w:val="0"/>
                <w:sz w:val="14"/>
              </w:rPr>
              <w:t>Confirms “permitted as of right” and the parking conclusion</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17</w:t>
            </w:r>
          </w:p>
        </w:tc>
        <w:tc>
          <w:tcPr>
            <w:tcW w:type="dxa" w:w="2520"/>
          </w:tcPr>
          <w:p>
            <w:pPr>
              <w:spacing w:after="20" w:before="20" w:line="240" w:lineRule="auto"/>
            </w:pPr>
            <w:r/>
            <w:r>
              <w:rPr>
                <w:rFonts w:ascii="Times New Roman" w:hAnsi="Times New Roman"/>
                <w:b w:val="0"/>
                <w:sz w:val="14"/>
              </w:rPr>
              <w:t>Architectural Review Committee approval or deemed-approval evidence</w:t>
            </w:r>
          </w:p>
        </w:tc>
        <w:tc>
          <w:tcPr>
            <w:tcW w:type="dxa" w:w="2160"/>
          </w:tcPr>
          <w:p>
            <w:pPr>
              <w:spacing w:after="20" w:before="20" w:line="240" w:lineRule="auto"/>
            </w:pPr>
            <w:r/>
            <w:r>
              <w:rPr>
                <w:rFonts w:ascii="Times New Roman" w:hAnsi="Times New Roman"/>
                <w:b w:val="0"/>
                <w:sz w:val="14"/>
              </w:rPr>
              <w:t>Title Commitment Sch. B-II ¶ 11, Note</w:t>
            </w:r>
          </w:p>
        </w:tc>
        <w:tc>
          <w:tcPr>
            <w:tcW w:type="dxa" w:w="3024"/>
          </w:tcPr>
          <w:p>
            <w:pPr>
              <w:spacing w:after="20" w:before="20" w:line="240" w:lineRule="auto"/>
            </w:pPr>
            <w:r/>
            <w:r>
              <w:rPr>
                <w:rFonts w:ascii="Times New Roman" w:hAnsi="Times New Roman"/>
                <w:b w:val="0"/>
                <w:sz w:val="14"/>
              </w:rPr>
              <w:t>The appraisal asserts approval that has not been produced (Section 4.4)</w:t>
            </w:r>
          </w:p>
        </w:tc>
        <w:tc>
          <w:tcPr>
            <w:tcW w:type="dxa" w:w="1224"/>
          </w:tcPr>
          <w:p>
            <w:pPr>
              <w:spacing w:after="20" w:before="20" w:line="240" w:lineRule="auto"/>
            </w:pPr>
            <w:r/>
            <w:r>
              <w:rPr>
                <w:rFonts w:ascii="Times New Roman" w:hAnsi="Times New Roman"/>
                <w:b w:val="0"/>
                <w:sz w:val="14"/>
              </w:rPr>
              <w:t>Before closing</w:t>
            </w:r>
          </w:p>
        </w:tc>
      </w:tr>
      <w:tr>
        <w:trPr>
          <w:cantSplit w:val="true"/>
        </w:trPr>
        <w:tc>
          <w:tcPr>
            <w:tcW w:type="dxa" w:w="432"/>
          </w:tcPr>
          <w:p>
            <w:pPr>
              <w:spacing w:after="20" w:before="20" w:line="240" w:lineRule="auto"/>
            </w:pPr>
            <w:r/>
            <w:r>
              <w:rPr>
                <w:rFonts w:ascii="Times New Roman" w:hAnsi="Times New Roman"/>
                <w:b w:val="0"/>
                <w:sz w:val="14"/>
              </w:rPr>
              <w:t>18</w:t>
            </w:r>
          </w:p>
        </w:tc>
        <w:tc>
          <w:tcPr>
            <w:tcW w:type="dxa" w:w="2520"/>
          </w:tcPr>
          <w:p>
            <w:pPr>
              <w:spacing w:after="20" w:before="20" w:line="240" w:lineRule="auto"/>
            </w:pPr>
            <w:r/>
            <w:r>
              <w:rPr>
                <w:rFonts w:ascii="Times New Roman" w:hAnsi="Times New Roman"/>
                <w:b w:val="0"/>
                <w:sz w:val="14"/>
              </w:rPr>
              <w:t>Intercreditor Agreement (executed)</w:t>
            </w:r>
          </w:p>
        </w:tc>
        <w:tc>
          <w:tcPr>
            <w:tcW w:type="dxa" w:w="2160"/>
          </w:tcPr>
          <w:p>
            <w:pPr>
              <w:spacing w:after="20" w:before="20" w:line="240" w:lineRule="auto"/>
            </w:pPr>
            <w:r/>
            <w:r>
              <w:rPr>
                <w:rFonts w:ascii="Times New Roman" w:hAnsi="Times New Roman"/>
                <w:b w:val="0"/>
                <w:sz w:val="14"/>
              </w:rPr>
              <w:t>Term Sheet §§ 1.4, 11; Credit Memorandum § 10.1.3</w:t>
            </w:r>
          </w:p>
        </w:tc>
        <w:tc>
          <w:tcPr>
            <w:tcW w:type="dxa" w:w="3024"/>
          </w:tcPr>
          <w:p>
            <w:pPr>
              <w:spacing w:after="20" w:before="20" w:line="240" w:lineRule="auto"/>
            </w:pPr>
            <w:r/>
            <w:r>
              <w:rPr>
                <w:rFonts w:ascii="Times New Roman" w:hAnsi="Times New Roman"/>
                <w:b w:val="0"/>
                <w:sz w:val="14"/>
              </w:rPr>
              <w:t>Resolves the competing pledges (Section 5.1)</w:t>
            </w:r>
          </w:p>
        </w:tc>
        <w:tc>
          <w:tcPr>
            <w:tcW w:type="dxa" w:w="1224"/>
          </w:tcPr>
          <w:p>
            <w:pPr>
              <w:spacing w:after="20" w:before="20" w:line="240" w:lineRule="auto"/>
            </w:pPr>
            <w:r/>
            <w:r>
              <w:rPr>
                <w:rFonts w:ascii="Times New Roman" w:hAnsi="Times New Roman"/>
                <w:b w:val="0"/>
                <w:sz w:val="14"/>
              </w:rPr>
              <w:t>Before closing</w:t>
            </w:r>
          </w:p>
        </w:tc>
      </w:tr>
    </w:tbl>
    <w:p>
      <w:pPr>
        <w:spacing w:after="160" w:before="0" w:line="240" w:lineRule="auto"/>
      </w:pPr>
    </w:p>
    <w:p>
      <w:pPr>
        <w:keepNext/>
        <w:spacing w:after="160" w:before="320" w:line="259" w:lineRule="auto"/>
        <w:ind w:firstLine="0" w:left="0"/>
        <w:jc w:val="center"/>
      </w:pPr>
      <w:r>
        <w:rPr>
          <w:rFonts w:ascii="Times New Roman" w:hAnsi="Times New Roman"/>
          <w:b/>
          <w:i w:val="0"/>
          <w:caps/>
          <w:sz w:val="24"/>
        </w:rPr>
        <w:t>10.  Recommended Revisions to the Conditions of Approval</w:t>
      </w:r>
    </w:p>
    <w:p>
      <w:pPr>
        <w:spacing w:after="120" w:line="259" w:lineRule="auto"/>
        <w:ind w:left="0" w:firstLine="720"/>
        <w:jc w:val="both"/>
      </w:pPr>
      <w:r>
        <w:rPr>
          <w:rFonts w:ascii="Times New Roman" w:hAnsi="Times New Roman"/>
          <w:b w:val="0"/>
          <w:i w:val="0"/>
          <w:sz w:val="22"/>
        </w:rPr>
        <w:t>We recommend that the credit memorandum’s conditions of approval (Section 10) be reissued as follows before the file returns to Committee. The revisions are limited to conditions that are either arithmetically ineffective or incomplete.</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20"/>
        <w:gridCol w:w="3120"/>
        <w:gridCol w:w="3120"/>
      </w:tblGrid>
      <w:tr>
        <w:trPr>
          <w:tblHeader w:val="true"/>
          <w:cantSplit w:val="true"/>
        </w:trPr>
        <w:tc>
          <w:tcPr>
            <w:tcW w:type="dxa" w:w="2160"/>
            <w:shd w:val="clear" w:color="auto" w:fill="D9D9D9"/>
          </w:tcPr>
          <w:p>
            <w:pPr>
              <w:spacing w:after="20" w:before="20" w:line="240" w:lineRule="auto"/>
              <w:jc w:val="center"/>
            </w:pPr>
            <w:r/>
            <w:r>
              <w:rPr>
                <w:rFonts w:ascii="Times New Roman" w:hAnsi="Times New Roman"/>
                <w:b/>
                <w:sz w:val="15"/>
              </w:rPr>
              <w:t>Credit Memorandum condition</w:t>
            </w:r>
          </w:p>
        </w:tc>
        <w:tc>
          <w:tcPr>
            <w:tcW w:type="dxa" w:w="3312"/>
            <w:shd w:val="clear" w:color="auto" w:fill="D9D9D9"/>
          </w:tcPr>
          <w:p>
            <w:pPr>
              <w:spacing w:after="20" w:before="20" w:line="240" w:lineRule="auto"/>
              <w:jc w:val="center"/>
            </w:pPr>
            <w:r/>
            <w:r>
              <w:rPr>
                <w:rFonts w:ascii="Times New Roman" w:hAnsi="Times New Roman"/>
                <w:b/>
                <w:sz w:val="15"/>
              </w:rPr>
              <w:t>Issue</w:t>
            </w:r>
          </w:p>
        </w:tc>
        <w:tc>
          <w:tcPr>
            <w:tcW w:type="dxa" w:w="3888"/>
            <w:shd w:val="clear" w:color="auto" w:fill="D9D9D9"/>
          </w:tcPr>
          <w:p>
            <w:pPr>
              <w:spacing w:after="20" w:before="20" w:line="240" w:lineRule="auto"/>
              <w:jc w:val="center"/>
            </w:pPr>
            <w:r/>
            <w:r>
              <w:rPr>
                <w:rFonts w:ascii="Times New Roman" w:hAnsi="Times New Roman"/>
                <w:b/>
                <w:sz w:val="15"/>
              </w:rPr>
              <w:t>Recommended revision</w:t>
            </w:r>
          </w:p>
        </w:tc>
      </w:tr>
      <w:tr>
        <w:trPr>
          <w:cantSplit w:val="true"/>
        </w:trPr>
        <w:tc>
          <w:tcPr>
            <w:tcW w:type="dxa" w:w="2160"/>
          </w:tcPr>
          <w:p>
            <w:pPr>
              <w:spacing w:after="20" w:before="20" w:line="240" w:lineRule="auto"/>
            </w:pPr>
            <w:r/>
            <w:r>
              <w:rPr>
                <w:rFonts w:ascii="Times New Roman" w:hAnsi="Times New Roman"/>
                <w:b w:val="0"/>
                <w:sz w:val="15"/>
              </w:rPr>
              <w:t>10.1.2 — Equity Escrow Deposit of $2,140,000 “to bring the effective LTC into compliance”</w:t>
            </w:r>
          </w:p>
        </w:tc>
        <w:tc>
          <w:tcPr>
            <w:tcW w:type="dxa" w:w="3312"/>
          </w:tcPr>
          <w:p>
            <w:pPr>
              <w:spacing w:after="20" w:before="20" w:line="240" w:lineRule="auto"/>
            </w:pPr>
            <w:r/>
            <w:r>
              <w:rPr>
                <w:rFonts w:ascii="Times New Roman" w:hAnsi="Times New Roman"/>
                <w:b w:val="0"/>
                <w:sz w:val="15"/>
              </w:rPr>
              <w:t>Depositing equity against an unchanged $56,700,000 budget while the Commitment Amount remains $47,500,000 does not change the loan-to-cost ratio</w:t>
            </w:r>
          </w:p>
        </w:tc>
        <w:tc>
          <w:tcPr>
            <w:tcW w:type="dxa" w:w="3888"/>
          </w:tcPr>
          <w:p>
            <w:pPr>
              <w:spacing w:after="20" w:before="20" w:line="240" w:lineRule="auto"/>
            </w:pPr>
            <w:r/>
            <w:r>
              <w:rPr>
                <w:rFonts w:ascii="Times New Roman" w:hAnsi="Times New Roman"/>
                <w:b w:val="0"/>
                <w:sz w:val="15"/>
              </w:rPr>
              <w:t>Restate as two linked conditions: (a) reduction of the Commitment Amount to $45,360,000 on the Closing Date; and (b) deposit of $2,140,000 of verified, independently sourced equity, disbursed ahead of loan advances. Add the as-completed loan-to-value breach (65.25% against 65.00%), which is not reported</w:t>
            </w:r>
          </w:p>
        </w:tc>
      </w:tr>
      <w:tr>
        <w:trPr>
          <w:cantSplit w:val="true"/>
        </w:trPr>
        <w:tc>
          <w:tcPr>
            <w:tcW w:type="dxa" w:w="2160"/>
          </w:tcPr>
          <w:p>
            <w:pPr>
              <w:spacing w:after="20" w:before="20" w:line="240" w:lineRule="auto"/>
            </w:pPr>
            <w:r/>
            <w:r>
              <w:rPr>
                <w:rFonts w:ascii="Times New Roman" w:hAnsi="Times New Roman"/>
                <w:b w:val="0"/>
                <w:sz w:val="15"/>
              </w:rPr>
              <w:t>10.1.5 — Satisfactory Title</w:t>
            </w:r>
          </w:p>
        </w:tc>
        <w:tc>
          <w:tcPr>
            <w:tcW w:type="dxa" w:w="3312"/>
          </w:tcPr>
          <w:p>
            <w:pPr>
              <w:spacing w:after="20" w:before="20" w:line="240" w:lineRule="auto"/>
            </w:pPr>
            <w:r/>
            <w:r>
              <w:rPr>
                <w:rFonts w:ascii="Times New Roman" w:hAnsi="Times New Roman"/>
                <w:b w:val="0"/>
                <w:sz w:val="15"/>
              </w:rPr>
              <w:t>The condition does not address the boundary defect, the exceptions that cannot be removed, or the recorded Deed Notice</w:t>
            </w:r>
          </w:p>
        </w:tc>
        <w:tc>
          <w:tcPr>
            <w:tcW w:type="dxa" w:w="3888"/>
          </w:tcPr>
          <w:p>
            <w:pPr>
              <w:spacing w:after="20" w:before="20" w:line="240" w:lineRule="auto"/>
            </w:pPr>
            <w:r/>
            <w:r>
              <w:rPr>
                <w:rFonts w:ascii="Times New Roman" w:hAnsi="Times New Roman"/>
                <w:b w:val="0"/>
                <w:sz w:val="15"/>
              </w:rPr>
              <w:t>Add: ALTA/NSPS survey and boundary resolution; conformed Permitted Exceptions per Exhibit B; Deed Notice as a permitted exception if recorded; title policy in the conformed amount</w:t>
            </w:r>
          </w:p>
        </w:tc>
      </w:tr>
      <w:tr>
        <w:trPr>
          <w:cantSplit w:val="true"/>
        </w:trPr>
        <w:tc>
          <w:tcPr>
            <w:tcW w:type="dxa" w:w="2160"/>
          </w:tcPr>
          <w:p>
            <w:pPr>
              <w:spacing w:after="20" w:before="20" w:line="240" w:lineRule="auto"/>
            </w:pPr>
            <w:r/>
            <w:r>
              <w:rPr>
                <w:rFonts w:ascii="Times New Roman" w:hAnsi="Times New Roman"/>
                <w:b w:val="0"/>
                <w:sz w:val="15"/>
              </w:rPr>
              <w:t>10.1.7 — Environmental</w:t>
            </w:r>
          </w:p>
        </w:tc>
        <w:tc>
          <w:tcPr>
            <w:tcW w:type="dxa" w:w="3312"/>
          </w:tcPr>
          <w:p>
            <w:pPr>
              <w:spacing w:after="20" w:before="20" w:line="240" w:lineRule="auto"/>
            </w:pPr>
            <w:r/>
            <w:r>
              <w:rPr>
                <w:rFonts w:ascii="Times New Roman" w:hAnsi="Times New Roman"/>
                <w:b w:val="0"/>
                <w:sz w:val="15"/>
              </w:rPr>
              <w:t>Requires the NFA letter and vapor system design but not the Deed Notice, the Soil Management Plan or resolution of the use restriction</w:t>
            </w:r>
          </w:p>
        </w:tc>
        <w:tc>
          <w:tcPr>
            <w:tcW w:type="dxa" w:w="3888"/>
          </w:tcPr>
          <w:p>
            <w:pPr>
              <w:spacing w:after="20" w:before="20" w:line="240" w:lineRule="auto"/>
            </w:pPr>
            <w:r/>
            <w:r>
              <w:rPr>
                <w:rFonts w:ascii="Times New Roman" w:hAnsi="Times New Roman"/>
                <w:b w:val="0"/>
                <w:sz w:val="15"/>
              </w:rPr>
              <w:t>Add: (i) evidence of the recorded Deed Notice; (ii) NCDEQ-approved Soil Management Plan before any subsurface work; (iii) NFA modification, NCDEQ written confirmation, or redesign, per Draft Agreement § 3.4(f); (iv) pollution legal liability quotation</w:t>
            </w:r>
          </w:p>
        </w:tc>
      </w:tr>
      <w:tr>
        <w:trPr>
          <w:cantSplit w:val="true"/>
        </w:trPr>
        <w:tc>
          <w:tcPr>
            <w:tcW w:type="dxa" w:w="2160"/>
          </w:tcPr>
          <w:p>
            <w:pPr>
              <w:spacing w:after="20" w:before="20" w:line="240" w:lineRule="auto"/>
            </w:pPr>
            <w:r/>
            <w:r>
              <w:rPr>
                <w:rFonts w:ascii="Times New Roman" w:hAnsi="Times New Roman"/>
                <w:b w:val="0"/>
                <w:sz w:val="15"/>
              </w:rPr>
              <w:t>10.1.4 — SPE Covenants and Non-Consolidation Opinion</w:t>
            </w:r>
          </w:p>
        </w:tc>
        <w:tc>
          <w:tcPr>
            <w:tcW w:type="dxa" w:w="3312"/>
          </w:tcPr>
          <w:p>
            <w:pPr>
              <w:spacing w:after="20" w:before="20" w:line="240" w:lineRule="auto"/>
            </w:pPr>
            <w:r/>
            <w:r>
              <w:rPr>
                <w:rFonts w:ascii="Times New Roman" w:hAnsi="Times New Roman"/>
                <w:b w:val="0"/>
                <w:sz w:val="15"/>
              </w:rPr>
              <w:t>Does not address the 75% member approval threshold, which the affiliate of the mezzanine lender controls, or the dilution mechanism in Operating Agreement § 5.3</w:t>
            </w:r>
          </w:p>
        </w:tc>
        <w:tc>
          <w:tcPr>
            <w:tcW w:type="dxa" w:w="3888"/>
          </w:tcPr>
          <w:p>
            <w:pPr>
              <w:spacing w:after="20" w:before="20" w:line="240" w:lineRule="auto"/>
            </w:pPr>
            <w:r/>
            <w:r>
              <w:rPr>
                <w:rFonts w:ascii="Times New Roman" w:hAnsi="Times New Roman"/>
                <w:b w:val="0"/>
                <w:sz w:val="15"/>
              </w:rPr>
              <w:t>Add: member consents executed by all three members; deletion or lender-control of the 75% consent requirement for refinancing, sale and bankruptcy; deletion of the dilution penalty for the term of the Loan</w:t>
            </w:r>
          </w:p>
        </w:tc>
      </w:tr>
      <w:tr>
        <w:trPr>
          <w:cantSplit w:val="true"/>
        </w:trPr>
        <w:tc>
          <w:tcPr>
            <w:tcW w:type="dxa" w:w="2160"/>
          </w:tcPr>
          <w:p>
            <w:pPr>
              <w:spacing w:after="20" w:before="20" w:line="240" w:lineRule="auto"/>
            </w:pPr>
            <w:r/>
            <w:r>
              <w:rPr>
                <w:rFonts w:ascii="Times New Roman" w:hAnsi="Times New Roman"/>
                <w:b w:val="0"/>
                <w:sz w:val="15"/>
              </w:rPr>
              <w:t>10.1.3 — Intercreditor Agreement</w:t>
            </w:r>
          </w:p>
        </w:tc>
        <w:tc>
          <w:tcPr>
            <w:tcW w:type="dxa" w:w="3312"/>
          </w:tcPr>
          <w:p>
            <w:pPr>
              <w:spacing w:after="20" w:before="20" w:line="240" w:lineRule="auto"/>
            </w:pPr>
            <w:r/>
            <w:r>
              <w:rPr>
                <w:rFonts w:ascii="Times New Roman" w:hAnsi="Times New Roman"/>
                <w:b w:val="0"/>
                <w:sz w:val="15"/>
              </w:rPr>
              <w:t>Requires lender first priority and mezzanine second priority; the reverse allocation is recommended in Section 5.1 above</w:t>
            </w:r>
          </w:p>
        </w:tc>
        <w:tc>
          <w:tcPr>
            <w:tcW w:type="dxa" w:w="3888"/>
          </w:tcPr>
          <w:p>
            <w:pPr>
              <w:spacing w:after="20" w:before="20" w:line="240" w:lineRule="auto"/>
            </w:pPr>
            <w:r/>
            <w:r>
              <w:rPr>
                <w:rFonts w:ascii="Times New Roman" w:hAnsi="Times New Roman"/>
                <w:b w:val="0"/>
                <w:sz w:val="15"/>
              </w:rPr>
              <w:t>Conform to the Committee’s decision on priority; add a requirement that the mezzanine lender release its claims against the Pledged Interests upon a senior foreclosure if lender first priority is retained</w:t>
            </w:r>
          </w:p>
        </w:tc>
      </w:tr>
      <w:tr>
        <w:trPr>
          <w:cantSplit w:val="true"/>
        </w:trPr>
        <w:tc>
          <w:tcPr>
            <w:tcW w:type="dxa" w:w="2160"/>
          </w:tcPr>
          <w:p>
            <w:pPr>
              <w:spacing w:after="20" w:before="20" w:line="240" w:lineRule="auto"/>
            </w:pPr>
            <w:r/>
            <w:r>
              <w:rPr>
                <w:rFonts w:ascii="Times New Roman" w:hAnsi="Times New Roman"/>
                <w:b w:val="0"/>
                <w:sz w:val="15"/>
              </w:rPr>
              <w:t>10.1.6 — Appraisal Confirmation</w:t>
            </w:r>
          </w:p>
        </w:tc>
        <w:tc>
          <w:tcPr>
            <w:tcW w:type="dxa" w:w="3312"/>
          </w:tcPr>
          <w:p>
            <w:pPr>
              <w:spacing w:after="20" w:before="20" w:line="240" w:lineRule="auto"/>
            </w:pPr>
            <w:r/>
            <w:r>
              <w:rPr>
                <w:rFonts w:ascii="Times New Roman" w:hAnsi="Times New Roman"/>
                <w:b w:val="0"/>
                <w:sz w:val="15"/>
              </w:rPr>
              <w:t>Confirms only the value conclusions; does not address the omitted Association assessment, the unverified real estate tax estimate ($412,000 against $49,066 of current land taxes) or the unit overlay</w:t>
            </w:r>
          </w:p>
        </w:tc>
        <w:tc>
          <w:tcPr>
            <w:tcW w:type="dxa" w:w="3888"/>
          </w:tcPr>
          <w:p>
            <w:pPr>
              <w:spacing w:after="20" w:before="20" w:line="240" w:lineRule="auto"/>
            </w:pPr>
            <w:r/>
            <w:r>
              <w:rPr>
                <w:rFonts w:ascii="Times New Roman" w:hAnsi="Times New Roman"/>
                <w:b w:val="0"/>
                <w:sz w:val="15"/>
              </w:rPr>
              <w:t>Add: confirmation that operating expenses include the Declaration assessment; support for the real estate tax estimate; confirmation that no unit is located over the Affected Area, or re-underwriting if one is</w:t>
            </w:r>
          </w:p>
        </w:tc>
      </w:tr>
      <w:tr>
        <w:trPr>
          <w:cantSplit w:val="true"/>
        </w:trPr>
        <w:tc>
          <w:tcPr>
            <w:tcW w:type="dxa" w:w="2160"/>
          </w:tcPr>
          <w:p>
            <w:pPr>
              <w:spacing w:after="20" w:before="20" w:line="240" w:lineRule="auto"/>
            </w:pPr>
            <w:r/>
            <w:r>
              <w:rPr>
                <w:rFonts w:ascii="Times New Roman" w:hAnsi="Times New Roman"/>
                <w:b w:val="0"/>
                <w:sz w:val="15"/>
              </w:rPr>
              <w:t>10.1.14 — Brightleaf Historic District Association</w:t>
            </w:r>
          </w:p>
        </w:tc>
        <w:tc>
          <w:tcPr>
            <w:tcW w:type="dxa" w:w="3312"/>
          </w:tcPr>
          <w:p>
            <w:pPr>
              <w:spacing w:after="20" w:before="20" w:line="240" w:lineRule="auto"/>
            </w:pPr>
            <w:r/>
            <w:r>
              <w:rPr>
                <w:rFonts w:ascii="Times New Roman" w:hAnsi="Times New Roman"/>
                <w:b w:val="0"/>
                <w:sz w:val="15"/>
              </w:rPr>
              <w:t>Contradicted by the appraisal’s statement that approval has been obtained</w:t>
            </w:r>
          </w:p>
        </w:tc>
        <w:tc>
          <w:tcPr>
            <w:tcW w:type="dxa" w:w="3888"/>
          </w:tcPr>
          <w:p>
            <w:pPr>
              <w:spacing w:after="20" w:before="20" w:line="240" w:lineRule="auto"/>
            </w:pPr>
            <w:r/>
            <w:r>
              <w:rPr>
                <w:rFonts w:ascii="Times New Roman" w:hAnsi="Times New Roman"/>
                <w:b w:val="0"/>
                <w:sz w:val="15"/>
              </w:rPr>
              <w:t>Retain, and require a written statement from the Association rather than relying on the appraisal’s recital</w:t>
            </w:r>
          </w:p>
        </w:tc>
      </w:tr>
      <w:tr>
        <w:trPr>
          <w:cantSplit w:val="true"/>
        </w:trPr>
        <w:tc>
          <w:tcPr>
            <w:tcW w:type="dxa" w:w="2160"/>
          </w:tcPr>
          <w:p>
            <w:pPr>
              <w:spacing w:after="20" w:before="20" w:line="240" w:lineRule="auto"/>
            </w:pPr>
            <w:r/>
            <w:r>
              <w:rPr>
                <w:rFonts w:ascii="Times New Roman" w:hAnsi="Times New Roman"/>
                <w:b w:val="0"/>
                <w:sz w:val="15"/>
              </w:rPr>
              <w:t>10.2.7 — Interest Reserve Adequacy Test</w:t>
            </w:r>
          </w:p>
        </w:tc>
        <w:tc>
          <w:tcPr>
            <w:tcW w:type="dxa" w:w="3312"/>
          </w:tcPr>
          <w:p>
            <w:pPr>
              <w:spacing w:after="20" w:before="20" w:line="240" w:lineRule="auto"/>
            </w:pPr>
            <w:r/>
            <w:r>
              <w:rPr>
                <w:rFonts w:ascii="Times New Roman" w:hAnsi="Times New Roman"/>
                <w:b w:val="0"/>
                <w:sz w:val="15"/>
              </w:rPr>
              <w:t>No floor on the SOFR assumption; no reserve for the mini-perm lease-up period</w:t>
            </w:r>
          </w:p>
        </w:tc>
        <w:tc>
          <w:tcPr>
            <w:tcW w:type="dxa" w:w="3888"/>
          </w:tcPr>
          <w:p>
            <w:pPr>
              <w:spacing w:after="20" w:before="20" w:line="240" w:lineRule="auto"/>
            </w:pPr>
            <w:r/>
            <w:r>
              <w:rPr>
                <w:rFonts w:ascii="Times New Roman" w:hAnsi="Times New Roman"/>
                <w:b w:val="0"/>
                <w:sz w:val="15"/>
              </w:rPr>
              <w:t>Fix the adequacy floor at the greater of the then-current rate and 4.35% SOFR; add the $500,000 Interest Reserve Contingency Escrow; require a twelve-month mini-perm interest reserve or an interest rate cap</w:t>
            </w:r>
          </w:p>
        </w:tc>
      </w:tr>
      <w:tr>
        <w:trPr>
          <w:cantSplit w:val="true"/>
        </w:trPr>
        <w:tc>
          <w:tcPr>
            <w:tcW w:type="dxa" w:w="2160"/>
          </w:tcPr>
          <w:p>
            <w:pPr>
              <w:spacing w:after="20" w:before="20" w:line="240" w:lineRule="auto"/>
            </w:pPr>
            <w:r/>
            <w:r>
              <w:rPr>
                <w:rFonts w:ascii="Times New Roman" w:hAnsi="Times New Roman"/>
                <w:b w:val="0"/>
                <w:sz w:val="15"/>
              </w:rPr>
              <w:t>10.2.8 — Equity First</w:t>
            </w:r>
          </w:p>
        </w:tc>
        <w:tc>
          <w:tcPr>
            <w:tcW w:type="dxa" w:w="3312"/>
          </w:tcPr>
          <w:p>
            <w:pPr>
              <w:spacing w:after="20" w:before="20" w:line="240" w:lineRule="auto"/>
            </w:pPr>
            <w:r/>
            <w:r>
              <w:rPr>
                <w:rFonts w:ascii="Times New Roman" w:hAnsi="Times New Roman"/>
                <w:b w:val="0"/>
                <w:sz w:val="15"/>
              </w:rPr>
              <w:t>Refers to “the equity escrow deposit, if required,” which leaves the requirement conditional</w:t>
            </w:r>
          </w:p>
        </w:tc>
        <w:tc>
          <w:tcPr>
            <w:tcW w:type="dxa" w:w="3888"/>
          </w:tcPr>
          <w:p>
            <w:pPr>
              <w:spacing w:after="20" w:before="20" w:line="240" w:lineRule="auto"/>
            </w:pPr>
            <w:r/>
            <w:r>
              <w:rPr>
                <w:rFonts w:ascii="Times New Roman" w:hAnsi="Times New Roman"/>
                <w:b w:val="0"/>
                <w:sz w:val="15"/>
              </w:rPr>
              <w:t>Make the LTC Equity Deposit unconditional and require disbursement before any Advance other than Draw 1</w:t>
            </w:r>
          </w:p>
        </w:tc>
      </w:tr>
      <w:tr>
        <w:trPr>
          <w:cantSplit w:val="true"/>
        </w:trPr>
        <w:tc>
          <w:tcPr>
            <w:tcW w:type="dxa" w:w="2160"/>
          </w:tcPr>
          <w:p>
            <w:pPr>
              <w:spacing w:after="20" w:before="20" w:line="240" w:lineRule="auto"/>
            </w:pPr>
            <w:r/>
            <w:r>
              <w:rPr>
                <w:rFonts w:ascii="Times New Roman" w:hAnsi="Times New Roman"/>
                <w:b w:val="0"/>
                <w:sz w:val="15"/>
              </w:rPr>
              <w:t>11 — Extension Option conditions</w:t>
            </w:r>
          </w:p>
        </w:tc>
        <w:tc>
          <w:tcPr>
            <w:tcW w:type="dxa" w:w="3312"/>
          </w:tcPr>
          <w:p>
            <w:pPr>
              <w:spacing w:after="20" w:before="20" w:line="240" w:lineRule="auto"/>
            </w:pPr>
            <w:r/>
            <w:r>
              <w:rPr>
                <w:rFonts w:ascii="Times New Roman" w:hAnsi="Times New Roman"/>
                <w:b w:val="0"/>
                <w:sz w:val="15"/>
              </w:rPr>
              <w:t>The loan-to-value condition is stated at 70% against a 65% covenant; occupancy of 75% may be unattainable on the appraiser’s absorption schedule</w:t>
            </w:r>
          </w:p>
        </w:tc>
        <w:tc>
          <w:tcPr>
            <w:tcW w:type="dxa" w:w="3888"/>
          </w:tcPr>
          <w:p>
            <w:pPr>
              <w:spacing w:after="20" w:before="20" w:line="240" w:lineRule="auto"/>
            </w:pPr>
            <w:r/>
            <w:r>
              <w:rPr>
                <w:rFonts w:ascii="Times New Roman" w:hAnsi="Times New Roman"/>
                <w:b w:val="0"/>
                <w:sz w:val="15"/>
              </w:rPr>
              <w:t>Conform the loan-to-value condition to 65.00%; consider 65% occupancy with a corresponding curtailment; require an interest rate cap with a strike at or below 6.35%</w:t>
            </w:r>
          </w:p>
        </w:tc>
      </w:tr>
      <w:tr>
        <w:trPr>
          <w:cantSplit w:val="true"/>
        </w:trPr>
        <w:tc>
          <w:tcPr>
            <w:tcW w:type="dxa" w:w="2160"/>
          </w:tcPr>
          <w:p>
            <w:pPr>
              <w:spacing w:after="20" w:before="20" w:line="240" w:lineRule="auto"/>
            </w:pPr>
            <w:r/>
            <w:r>
              <w:rPr>
                <w:rFonts w:ascii="Times New Roman" w:hAnsi="Times New Roman"/>
                <w:b w:val="0"/>
                <w:sz w:val="15"/>
              </w:rPr>
              <w:t>Not in the Credit Memorandum</w:t>
            </w:r>
          </w:p>
        </w:tc>
        <w:tc>
          <w:tcPr>
            <w:tcW w:type="dxa" w:w="3312"/>
          </w:tcPr>
          <w:p>
            <w:pPr>
              <w:spacing w:after="20" w:before="20" w:line="240" w:lineRule="auto"/>
            </w:pPr>
            <w:r/>
            <w:r>
              <w:rPr>
                <w:rFonts w:ascii="Times New Roman" w:hAnsi="Times New Roman"/>
                <w:b w:val="0"/>
                <w:sz w:val="15"/>
              </w:rPr>
              <w:t>No condition addresses the payoff of the Existing Mortgage or the mezzanine balance</w:t>
            </w:r>
          </w:p>
        </w:tc>
        <w:tc>
          <w:tcPr>
            <w:tcW w:type="dxa" w:w="3888"/>
          </w:tcPr>
          <w:p>
            <w:pPr>
              <w:spacing w:after="20" w:before="20" w:line="240" w:lineRule="auto"/>
            </w:pPr>
            <w:r/>
            <w:r>
              <w:rPr>
                <w:rFonts w:ascii="Times New Roman" w:hAnsi="Times New Roman"/>
                <w:b w:val="0"/>
                <w:sz w:val="15"/>
              </w:rPr>
              <w:t>Add: payoff letter and recorded cancellation; mezzanine balance certificate and disbursement history; restated sources and uses</w:t>
            </w:r>
          </w:p>
        </w:tc>
      </w:tr>
      <w:tr>
        <w:trPr>
          <w:cantSplit w:val="true"/>
        </w:trPr>
        <w:tc>
          <w:tcPr>
            <w:tcW w:type="dxa" w:w="2160"/>
          </w:tcPr>
          <w:p>
            <w:pPr>
              <w:spacing w:after="20" w:before="20" w:line="240" w:lineRule="auto"/>
            </w:pPr>
            <w:r/>
            <w:r>
              <w:rPr>
                <w:rFonts w:ascii="Times New Roman" w:hAnsi="Times New Roman"/>
                <w:b w:val="0"/>
                <w:sz w:val="15"/>
              </w:rPr>
              <w:t>Not in the Credit Memorandum</w:t>
            </w:r>
          </w:p>
        </w:tc>
        <w:tc>
          <w:tcPr>
            <w:tcW w:type="dxa" w:w="3312"/>
          </w:tcPr>
          <w:p>
            <w:pPr>
              <w:spacing w:after="20" w:before="20" w:line="240" w:lineRule="auto"/>
            </w:pPr>
            <w:r/>
            <w:r>
              <w:rPr>
                <w:rFonts w:ascii="Times New Roman" w:hAnsi="Times New Roman"/>
                <w:b w:val="0"/>
                <w:sz w:val="15"/>
              </w:rPr>
              <w:t>No condition requires a payment and performance bond or full replacement-cost builder’s risk</w:t>
            </w:r>
          </w:p>
        </w:tc>
        <w:tc>
          <w:tcPr>
            <w:tcW w:type="dxa" w:w="3888"/>
          </w:tcPr>
          <w:p>
            <w:pPr>
              <w:spacing w:after="20" w:before="20" w:line="240" w:lineRule="auto"/>
            </w:pPr>
            <w:r/>
            <w:r>
              <w:rPr>
                <w:rFonts w:ascii="Times New Roman" w:hAnsi="Times New Roman"/>
                <w:b w:val="0"/>
                <w:sz w:val="15"/>
              </w:rPr>
              <w:t>Add: 100% performance and payment bond unless expressly waived by an authorized officer; builder’s risk at full replacement cost with agreed-value endorsement</w:t>
            </w:r>
          </w:p>
        </w:tc>
      </w:tr>
      <w:tr>
        <w:trPr>
          <w:cantSplit w:val="true"/>
        </w:trPr>
        <w:tc>
          <w:tcPr>
            <w:tcW w:type="dxa" w:w="2160"/>
          </w:tcPr>
          <w:p>
            <w:pPr>
              <w:spacing w:after="20" w:before="20" w:line="240" w:lineRule="auto"/>
            </w:pPr>
            <w:r/>
            <w:r>
              <w:rPr>
                <w:rFonts w:ascii="Times New Roman" w:hAnsi="Times New Roman"/>
                <w:b w:val="0"/>
                <w:sz w:val="15"/>
              </w:rPr>
              <w:t>Not in the Credit Memorandum</w:t>
            </w:r>
          </w:p>
        </w:tc>
        <w:tc>
          <w:tcPr>
            <w:tcW w:type="dxa" w:w="3312"/>
          </w:tcPr>
          <w:p>
            <w:pPr>
              <w:spacing w:after="20" w:before="20" w:line="240" w:lineRule="auto"/>
            </w:pPr>
            <w:r/>
            <w:r>
              <w:rPr>
                <w:rFonts w:ascii="Times New Roman" w:hAnsi="Times New Roman"/>
                <w:b w:val="0"/>
                <w:sz w:val="15"/>
              </w:rPr>
              <w:t>Guaranty cap ambiguity and Mr. Osei’s capacity are noted but not conditioned</w:t>
            </w:r>
          </w:p>
        </w:tc>
        <w:tc>
          <w:tcPr>
            <w:tcW w:type="dxa" w:w="3888"/>
          </w:tcPr>
          <w:p>
            <w:pPr>
              <w:spacing w:after="20" w:before="20" w:line="240" w:lineRule="auto"/>
            </w:pPr>
            <w:r/>
            <w:r>
              <w:rPr>
                <w:rFonts w:ascii="Times New Roman" w:hAnsi="Times New Roman"/>
                <w:b w:val="0"/>
                <w:sz w:val="15"/>
              </w:rPr>
              <w:t>Add: confirmation of the aggregate Guaranteed Amount; a separate cap, additional collateral or a net worth covenant for Mr. Osei</w:t>
            </w:r>
          </w:p>
        </w:tc>
      </w:tr>
    </w:tbl>
    <w:p>
      <w:pPr>
        <w:spacing w:after="160" w:before="0" w:line="240" w:lineRule="auto"/>
      </w:pPr>
    </w:p>
    <w:p>
      <w:pPr>
        <w:keepNext/>
        <w:spacing w:after="160" w:before="280" w:line="259" w:lineRule="auto"/>
        <w:ind w:firstLine="0" w:left="0"/>
        <w:jc w:val="center"/>
      </w:pPr>
      <w:r>
        <w:rPr>
          <w:rFonts w:ascii="Times New Roman" w:hAnsi="Times New Roman"/>
          <w:b/>
          <w:i w:val="0"/>
          <w:caps/>
          <w:sz w:val="24"/>
        </w:rPr>
        <w:t>11.  Matters Requiring Instruction Before the Next Draft</w:t>
      </w:r>
    </w:p>
    <w:p>
      <w:pPr>
        <w:spacing w:after="120" w:line="259" w:lineRule="auto"/>
        <w:ind w:left="0" w:firstLine="720"/>
        <w:jc w:val="both"/>
      </w:pPr>
      <w:r>
        <w:rPr>
          <w:rFonts w:ascii="Times New Roman" w:hAnsi="Times New Roman"/>
          <w:b w:val="0"/>
          <w:i w:val="0"/>
          <w:sz w:val="22"/>
        </w:rPr>
        <w:t>The Draft Agreement resolves what can be resolved on the documents and leaves the following seven matters in bracketed form. Each is identified in the text and on Exhibit H.</w:t>
      </w:r>
    </w:p>
    <w:p>
      <w:pPr>
        <w:tabs>
          <w:tab w:pos="1224" w:val="left"/>
        </w:tabs>
        <w:spacing w:after="100"/>
        <w:ind w:left="1224" w:hanging="504"/>
        <w:jc w:val="both"/>
      </w:pPr>
      <w:r>
        <w:rPr>
          <w:rFonts w:ascii="Times New Roman" w:hAnsi="Times New Roman"/>
          <w:b/>
          <w:sz w:val="21"/>
        </w:rPr>
        <w:t>1.</w:t>
        <w:tab/>
      </w:r>
      <w:r>
        <w:rPr>
          <w:rFonts w:ascii="Times New Roman" w:hAnsi="Times New Roman"/>
          <w:b/>
          <w:sz w:val="21"/>
        </w:rPr>
        <w:t xml:space="preserve">Size of the facility.  </w:t>
      </w:r>
      <w:r>
        <w:rPr>
          <w:rFonts w:ascii="Times New Roman" w:hAnsi="Times New Roman"/>
          <w:sz w:val="21"/>
        </w:rPr>
        <w:t>Reduce the Commitment Amount to $45,360,000 and require $2,140,000 of verified equity (recommended, cures both breaches), or retain $47,500,000 and fund at least $2,675,000 of additional project costs with additional equity. Draft Agreement §§ 2.2, 8.1, 8.2; Exhibit C.</w:t>
      </w:r>
    </w:p>
    <w:p>
      <w:pPr>
        <w:tabs>
          <w:tab w:pos="1224" w:val="left"/>
        </w:tabs>
        <w:spacing w:after="100"/>
        <w:ind w:left="1224" w:hanging="504"/>
        <w:jc w:val="both"/>
      </w:pPr>
      <w:r>
        <w:rPr>
          <w:rFonts w:ascii="Times New Roman" w:hAnsi="Times New Roman"/>
          <w:b/>
          <w:sz w:val="21"/>
        </w:rPr>
        <w:t>2.</w:t>
        <w:tab/>
      </w:r>
      <w:r>
        <w:rPr>
          <w:rFonts w:ascii="Times New Roman" w:hAnsi="Times New Roman"/>
          <w:b/>
          <w:sz w:val="21"/>
        </w:rPr>
        <w:t xml:space="preserve">Interest reserve protections.  </w:t>
      </w:r>
      <w:r>
        <w:rPr>
          <w:rFonts w:ascii="Times New Roman" w:hAnsi="Times New Roman"/>
          <w:sz w:val="21"/>
        </w:rPr>
        <w:t>Approve the $500,000 Interest Reserve Contingency Escrow and the 4.35% adequacy floor, and decide whether a twelve-month mini-perm interest reserve or a rate cap is required. Draft Agreement §§ 2.7(e), 8.8; Exhibit E.</w:t>
      </w:r>
    </w:p>
    <w:p>
      <w:pPr>
        <w:tabs>
          <w:tab w:pos="1224" w:val="left"/>
        </w:tabs>
        <w:spacing w:after="100"/>
        <w:ind w:left="1224" w:hanging="504"/>
        <w:jc w:val="both"/>
      </w:pPr>
      <w:r>
        <w:rPr>
          <w:rFonts w:ascii="Times New Roman" w:hAnsi="Times New Roman"/>
          <w:b/>
          <w:sz w:val="21"/>
        </w:rPr>
        <w:t>3.</w:t>
        <w:tab/>
      </w:r>
      <w:r>
        <w:rPr>
          <w:rFonts w:ascii="Times New Roman" w:hAnsi="Times New Roman"/>
          <w:b/>
          <w:sz w:val="21"/>
        </w:rPr>
        <w:t xml:space="preserve">Completion Date.  </w:t>
      </w:r>
      <w:r>
        <w:rPr>
          <w:rFonts w:ascii="Times New Roman" w:hAnsi="Times New Roman"/>
          <w:sz w:val="21"/>
        </w:rPr>
        <w:t>Confirm October 31, 2027 for the Completion Guaranty (sixty days after the Construction Maturity Date, consistent with the projected August 31, 2027 substantial completion) rather than August 28, 2027. Draft Agreement § 13.1.</w:t>
      </w:r>
    </w:p>
    <w:p>
      <w:pPr>
        <w:tabs>
          <w:tab w:pos="1224" w:val="left"/>
        </w:tabs>
        <w:spacing w:after="100"/>
        <w:ind w:left="1224" w:hanging="504"/>
        <w:jc w:val="both"/>
      </w:pPr>
      <w:r>
        <w:rPr>
          <w:rFonts w:ascii="Times New Roman" w:hAnsi="Times New Roman"/>
          <w:b/>
          <w:sz w:val="21"/>
        </w:rPr>
        <w:t>4.</w:t>
        <w:tab/>
      </w:r>
      <w:r>
        <w:rPr>
          <w:rFonts w:ascii="Times New Roman" w:hAnsi="Times New Roman"/>
          <w:b/>
          <w:sz w:val="21"/>
        </w:rPr>
        <w:t xml:space="preserve">Pledge priority.  </w:t>
      </w:r>
      <w:r>
        <w:rPr>
          <w:rFonts w:ascii="Times New Roman" w:hAnsi="Times New Roman"/>
          <w:sz w:val="21"/>
        </w:rPr>
        <w:t>Confirm whether the Bank takes first or second priority in the membership interests, and whether a mezzanine lender release upon senior foreclosure is required. Draft Agreement § 12.2.</w:t>
      </w:r>
    </w:p>
    <w:p>
      <w:pPr>
        <w:tabs>
          <w:tab w:pos="1224" w:val="left"/>
        </w:tabs>
        <w:spacing w:after="100"/>
        <w:ind w:left="1224" w:hanging="504"/>
        <w:jc w:val="both"/>
      </w:pPr>
      <w:r>
        <w:rPr>
          <w:rFonts w:ascii="Times New Roman" w:hAnsi="Times New Roman"/>
          <w:b/>
          <w:sz w:val="21"/>
        </w:rPr>
        <w:t>5.</w:t>
        <w:tab/>
      </w:r>
      <w:r>
        <w:rPr>
          <w:rFonts w:ascii="Times New Roman" w:hAnsi="Times New Roman"/>
          <w:b/>
          <w:sz w:val="21"/>
        </w:rPr>
        <w:t xml:space="preserve">Guaranty sizing and capacity.  </w:t>
      </w:r>
      <w:r>
        <w:rPr>
          <w:rFonts w:ascii="Times New Roman" w:hAnsi="Times New Roman"/>
          <w:sz w:val="21"/>
        </w:rPr>
        <w:t>Confirm the $11,875,000 aggregate cap ($11,340,000 at the conformed commitment) and whether Mr. Osei’s exposure requires a separate cap, additional collateral or a net worth covenant. Draft Agreement §§ 13.3, 8.5.</w:t>
      </w:r>
    </w:p>
    <w:p>
      <w:pPr>
        <w:tabs>
          <w:tab w:pos="1224" w:val="left"/>
        </w:tabs>
        <w:spacing w:after="100"/>
        <w:ind w:left="1224" w:hanging="504"/>
        <w:jc w:val="both"/>
      </w:pPr>
      <w:r>
        <w:rPr>
          <w:rFonts w:ascii="Times New Roman" w:hAnsi="Times New Roman"/>
          <w:b/>
          <w:sz w:val="21"/>
        </w:rPr>
        <w:t>6.</w:t>
        <w:tab/>
      </w:r>
      <w:r>
        <w:rPr>
          <w:rFonts w:ascii="Times New Roman" w:hAnsi="Times New Roman"/>
          <w:b/>
          <w:sz w:val="21"/>
        </w:rPr>
        <w:t xml:space="preserve">Environmental use restriction.  </w:t>
      </w:r>
      <w:r>
        <w:rPr>
          <w:rFonts w:ascii="Times New Roman" w:hAnsi="Times New Roman"/>
          <w:sz w:val="21"/>
        </w:rPr>
        <w:t>Select the resolution path in Draft Agreement § 3.4(f) once the architect’s overlay and NCDEQ’s position are known.</w:t>
      </w:r>
    </w:p>
    <w:p>
      <w:pPr>
        <w:tabs>
          <w:tab w:pos="1224" w:val="left"/>
        </w:tabs>
        <w:spacing w:after="100"/>
        <w:ind w:left="1224" w:hanging="504"/>
        <w:jc w:val="both"/>
      </w:pPr>
      <w:r>
        <w:rPr>
          <w:rFonts w:ascii="Times New Roman" w:hAnsi="Times New Roman"/>
          <w:b/>
          <w:sz w:val="21"/>
        </w:rPr>
        <w:t>7.</w:t>
        <w:tab/>
      </w:r>
      <w:r>
        <w:rPr>
          <w:rFonts w:ascii="Times New Roman" w:hAnsi="Times New Roman"/>
          <w:b/>
          <w:sz w:val="21"/>
        </w:rPr>
        <w:t xml:space="preserve">Extension conditions.  </w:t>
      </w:r>
      <w:r>
        <w:rPr>
          <w:rFonts w:ascii="Times New Roman" w:hAnsi="Times New Roman"/>
          <w:sz w:val="21"/>
        </w:rPr>
        <w:t>Confirm the 65% loan-to-value condition (against the Credit Memorandum’s 70%), the 75% occupancy threshold and the requirement for an interest rate cap. Draft Agreement § 2.13(c).</w:t>
      </w:r>
    </w:p>
    <w:p>
      <w:pPr>
        <w:keepNext/>
        <w:spacing w:after="160" w:before="280" w:line="259" w:lineRule="auto"/>
        <w:ind w:firstLine="0" w:left="0"/>
        <w:jc w:val="center"/>
      </w:pPr>
      <w:r>
        <w:rPr>
          <w:rFonts w:ascii="Times New Roman" w:hAnsi="Times New Roman"/>
          <w:b/>
          <w:i w:val="0"/>
          <w:caps/>
          <w:sz w:val="24"/>
        </w:rPr>
        <w:t>12.  Next Steps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40"/>
        <w:gridCol w:w="2340"/>
        <w:gridCol w:w="2340"/>
        <w:gridCol w:w="2340"/>
      </w:tblGrid>
      <w:tr>
        <w:trPr>
          <w:tblHeader w:val="true"/>
          <w:cantSplit w:val="true"/>
        </w:trPr>
        <w:tc>
          <w:tcPr>
            <w:tcW w:type="dxa" w:w="432"/>
            <w:shd w:val="clear" w:color="auto" w:fill="D9D9D9"/>
          </w:tcPr>
          <w:p>
            <w:pPr>
              <w:spacing w:after="20" w:before="20" w:line="240" w:lineRule="auto"/>
              <w:jc w:val="center"/>
            </w:pPr>
            <w:r/>
            <w:r>
              <w:rPr>
                <w:rFonts w:ascii="Times New Roman" w:hAnsi="Times New Roman"/>
                <w:b/>
                <w:sz w:val="16"/>
              </w:rPr>
              <w:t>#</w:t>
            </w:r>
          </w:p>
        </w:tc>
        <w:tc>
          <w:tcPr>
            <w:tcW w:type="dxa" w:w="4752"/>
            <w:shd w:val="clear" w:color="auto" w:fill="D9D9D9"/>
          </w:tcPr>
          <w:p>
            <w:pPr>
              <w:spacing w:after="20" w:before="20" w:line="240" w:lineRule="auto"/>
              <w:jc w:val="center"/>
            </w:pPr>
            <w:r/>
            <w:r>
              <w:rPr>
                <w:rFonts w:ascii="Times New Roman" w:hAnsi="Times New Roman"/>
                <w:b/>
                <w:sz w:val="16"/>
              </w:rPr>
              <w:t>Action</w:t>
            </w:r>
          </w:p>
        </w:tc>
        <w:tc>
          <w:tcPr>
            <w:tcW w:type="dxa" w:w="2736"/>
            <w:shd w:val="clear" w:color="auto" w:fill="D9D9D9"/>
          </w:tcPr>
          <w:p>
            <w:pPr>
              <w:spacing w:after="20" w:before="20" w:line="240" w:lineRule="auto"/>
              <w:jc w:val="center"/>
            </w:pPr>
            <w:r/>
            <w:r>
              <w:rPr>
                <w:rFonts w:ascii="Times New Roman" w:hAnsi="Times New Roman"/>
                <w:b/>
                <w:sz w:val="16"/>
              </w:rPr>
              <w:t>Responsible party</w:t>
            </w:r>
          </w:p>
        </w:tc>
        <w:tc>
          <w:tcPr>
            <w:tcW w:type="dxa" w:w="1440"/>
            <w:shd w:val="clear" w:color="auto" w:fill="D9D9D9"/>
          </w:tcPr>
          <w:p>
            <w:pPr>
              <w:spacing w:after="20" w:before="20" w:line="240" w:lineRule="auto"/>
              <w:jc w:val="center"/>
            </w:pPr>
            <w:r/>
            <w:r>
              <w:rPr>
                <w:rFonts w:ascii="Times New Roman" w:hAnsi="Times New Roman"/>
                <w:b/>
                <w:sz w:val="16"/>
              </w:rPr>
              <w:t>Target</w:t>
            </w:r>
          </w:p>
        </w:tc>
      </w:tr>
      <w:tr>
        <w:trPr>
          <w:cantSplit w:val="true"/>
        </w:trPr>
        <w:tc>
          <w:tcPr>
            <w:tcW w:type="dxa" w:w="432"/>
          </w:tcPr>
          <w:p>
            <w:pPr>
              <w:spacing w:after="20" w:before="20" w:line="240" w:lineRule="auto"/>
            </w:pPr>
            <w:r/>
            <w:r>
              <w:rPr>
                <w:rFonts w:ascii="Times New Roman" w:hAnsi="Times New Roman"/>
                <w:b w:val="0"/>
                <w:sz w:val="16"/>
              </w:rPr>
              <w:t>1</w:t>
            </w:r>
          </w:p>
        </w:tc>
        <w:tc>
          <w:tcPr>
            <w:tcW w:type="dxa" w:w="4752"/>
          </w:tcPr>
          <w:p>
            <w:pPr>
              <w:spacing w:after="20" w:before="20" w:line="240" w:lineRule="auto"/>
            </w:pPr>
            <w:r/>
            <w:r>
              <w:rPr>
                <w:rFonts w:ascii="Times New Roman" w:hAnsi="Times New Roman"/>
                <w:b w:val="0"/>
                <w:sz w:val="16"/>
              </w:rPr>
              <w:t>Deliver the diligence requests in Section 9; confirm the payoff amount and the mezzanine balance first, as both feed the closing statement</w:t>
            </w:r>
          </w:p>
        </w:tc>
        <w:tc>
          <w:tcPr>
            <w:tcW w:type="dxa" w:w="2736"/>
          </w:tcPr>
          <w:p>
            <w:pPr>
              <w:spacing w:after="20" w:before="20" w:line="240" w:lineRule="auto"/>
            </w:pPr>
            <w:r/>
            <w:r>
              <w:rPr>
                <w:rFonts w:ascii="Times New Roman" w:hAnsi="Times New Roman"/>
                <w:b w:val="0"/>
                <w:sz w:val="16"/>
              </w:rPr>
              <w:t>Borrower’s counsel (Calloway &amp; Strauss PLLC)</w:t>
            </w:r>
          </w:p>
        </w:tc>
        <w:tc>
          <w:tcPr>
            <w:tcW w:type="dxa" w:w="1440"/>
          </w:tcPr>
          <w:p>
            <w:pPr>
              <w:spacing w:after="20" w:before="20" w:line="240" w:lineRule="auto"/>
            </w:pPr>
            <w:r/>
            <w:r>
              <w:rPr>
                <w:rFonts w:ascii="Times New Roman" w:hAnsi="Times New Roman"/>
                <w:b w:val="0"/>
                <w:sz w:val="16"/>
              </w:rPr>
              <w:t>February 7, 2025</w:t>
            </w:r>
          </w:p>
        </w:tc>
      </w:tr>
      <w:tr>
        <w:trPr>
          <w:cantSplit w:val="true"/>
        </w:trPr>
        <w:tc>
          <w:tcPr>
            <w:tcW w:type="dxa" w:w="432"/>
          </w:tcPr>
          <w:p>
            <w:pPr>
              <w:spacing w:after="20" w:before="20" w:line="240" w:lineRule="auto"/>
            </w:pPr>
            <w:r/>
            <w:r>
              <w:rPr>
                <w:rFonts w:ascii="Times New Roman" w:hAnsi="Times New Roman"/>
                <w:b w:val="0"/>
                <w:sz w:val="16"/>
              </w:rPr>
              <w:t>2</w:t>
            </w:r>
          </w:p>
        </w:tc>
        <w:tc>
          <w:tcPr>
            <w:tcW w:type="dxa" w:w="4752"/>
          </w:tcPr>
          <w:p>
            <w:pPr>
              <w:spacing w:after="20" w:before="20" w:line="240" w:lineRule="auto"/>
            </w:pPr>
            <w:r/>
            <w:r>
              <w:rPr>
                <w:rFonts w:ascii="Times New Roman" w:hAnsi="Times New Roman"/>
                <w:b w:val="0"/>
                <w:sz w:val="16"/>
              </w:rPr>
              <w:t>Committee instruction on the seven items in Section 11</w:t>
            </w:r>
          </w:p>
        </w:tc>
        <w:tc>
          <w:tcPr>
            <w:tcW w:type="dxa" w:w="2736"/>
          </w:tcPr>
          <w:p>
            <w:pPr>
              <w:spacing w:after="20" w:before="20" w:line="240" w:lineRule="auto"/>
            </w:pPr>
            <w:r/>
            <w:r>
              <w:rPr>
                <w:rFonts w:ascii="Times New Roman" w:hAnsi="Times New Roman"/>
                <w:b w:val="0"/>
                <w:sz w:val="16"/>
              </w:rPr>
              <w:t>Senior Loan Committee / Mr. Forsythe</w:t>
            </w:r>
          </w:p>
        </w:tc>
        <w:tc>
          <w:tcPr>
            <w:tcW w:type="dxa" w:w="1440"/>
          </w:tcPr>
          <w:p>
            <w:pPr>
              <w:spacing w:after="20" w:before="20" w:line="240" w:lineRule="auto"/>
            </w:pPr>
            <w:r/>
            <w:r>
              <w:rPr>
                <w:rFonts w:ascii="Times New Roman" w:hAnsi="Times New Roman"/>
                <w:b w:val="0"/>
                <w:sz w:val="16"/>
              </w:rPr>
              <w:t>February 10, 2025</w:t>
            </w:r>
          </w:p>
        </w:tc>
      </w:tr>
      <w:tr>
        <w:trPr>
          <w:cantSplit w:val="true"/>
        </w:trPr>
        <w:tc>
          <w:tcPr>
            <w:tcW w:type="dxa" w:w="432"/>
          </w:tcPr>
          <w:p>
            <w:pPr>
              <w:spacing w:after="20" w:before="20" w:line="240" w:lineRule="auto"/>
            </w:pPr>
            <w:r/>
            <w:r>
              <w:rPr>
                <w:rFonts w:ascii="Times New Roman" w:hAnsi="Times New Roman"/>
                <w:b w:val="0"/>
                <w:sz w:val="16"/>
              </w:rPr>
              <w:t>3</w:t>
            </w:r>
          </w:p>
        </w:tc>
        <w:tc>
          <w:tcPr>
            <w:tcW w:type="dxa" w:w="4752"/>
          </w:tcPr>
          <w:p>
            <w:pPr>
              <w:spacing w:after="20" w:before="20" w:line="240" w:lineRule="auto"/>
            </w:pPr>
            <w:r/>
            <w:r>
              <w:rPr>
                <w:rFonts w:ascii="Times New Roman" w:hAnsi="Times New Roman"/>
                <w:b w:val="0"/>
                <w:sz w:val="16"/>
              </w:rPr>
              <w:t>Confirm the Deed Notice status with NCDEQ and obtain the architect’s overlay</w:t>
            </w:r>
          </w:p>
        </w:tc>
        <w:tc>
          <w:tcPr>
            <w:tcW w:type="dxa" w:w="2736"/>
          </w:tcPr>
          <w:p>
            <w:pPr>
              <w:spacing w:after="20" w:before="20" w:line="240" w:lineRule="auto"/>
            </w:pPr>
            <w:r/>
            <w:r>
              <w:rPr>
                <w:rFonts w:ascii="Times New Roman" w:hAnsi="Times New Roman"/>
                <w:b w:val="0"/>
                <w:sz w:val="16"/>
              </w:rPr>
              <w:t>Borrower; Sentinel Environmental Consulting LLC</w:t>
            </w:r>
          </w:p>
        </w:tc>
        <w:tc>
          <w:tcPr>
            <w:tcW w:type="dxa" w:w="1440"/>
          </w:tcPr>
          <w:p>
            <w:pPr>
              <w:spacing w:after="20" w:before="20" w:line="240" w:lineRule="auto"/>
            </w:pPr>
            <w:r/>
            <w:r>
              <w:rPr>
                <w:rFonts w:ascii="Times New Roman" w:hAnsi="Times New Roman"/>
                <w:b w:val="0"/>
                <w:sz w:val="16"/>
              </w:rPr>
              <w:t>February 12, 2025</w:t>
            </w:r>
          </w:p>
        </w:tc>
      </w:tr>
      <w:tr>
        <w:trPr>
          <w:cantSplit w:val="true"/>
        </w:trPr>
        <w:tc>
          <w:tcPr>
            <w:tcW w:type="dxa" w:w="432"/>
          </w:tcPr>
          <w:p>
            <w:pPr>
              <w:spacing w:after="20" w:before="20" w:line="240" w:lineRule="auto"/>
            </w:pPr>
            <w:r/>
            <w:r>
              <w:rPr>
                <w:rFonts w:ascii="Times New Roman" w:hAnsi="Times New Roman"/>
                <w:b w:val="0"/>
                <w:sz w:val="16"/>
              </w:rPr>
              <w:t>4</w:t>
            </w:r>
          </w:p>
        </w:tc>
        <w:tc>
          <w:tcPr>
            <w:tcW w:type="dxa" w:w="4752"/>
          </w:tcPr>
          <w:p>
            <w:pPr>
              <w:spacing w:after="20" w:before="20" w:line="240" w:lineRule="auto"/>
            </w:pPr>
            <w:r/>
            <w:r>
              <w:rPr>
                <w:rFonts w:ascii="Times New Roman" w:hAnsi="Times New Roman"/>
                <w:b w:val="0"/>
                <w:sz w:val="16"/>
              </w:rPr>
              <w:t>Conclude the Intercreditor Agreement consistent with the Committee’s priority decision</w:t>
            </w:r>
          </w:p>
        </w:tc>
        <w:tc>
          <w:tcPr>
            <w:tcW w:type="dxa" w:w="2736"/>
          </w:tcPr>
          <w:p>
            <w:pPr>
              <w:spacing w:after="20" w:before="20" w:line="240" w:lineRule="auto"/>
            </w:pPr>
            <w:r/>
            <w:r>
              <w:rPr>
                <w:rFonts w:ascii="Times New Roman" w:hAnsi="Times New Roman"/>
                <w:b w:val="0"/>
                <w:sz w:val="16"/>
              </w:rPr>
              <w:t>Ashford, Cromdale / mezzanine counsel</w:t>
            </w:r>
          </w:p>
        </w:tc>
        <w:tc>
          <w:tcPr>
            <w:tcW w:type="dxa" w:w="1440"/>
          </w:tcPr>
          <w:p>
            <w:pPr>
              <w:spacing w:after="20" w:before="20" w:line="240" w:lineRule="auto"/>
            </w:pPr>
            <w:r/>
            <w:r>
              <w:rPr>
                <w:rFonts w:ascii="Times New Roman" w:hAnsi="Times New Roman"/>
                <w:b w:val="0"/>
                <w:sz w:val="16"/>
              </w:rPr>
              <w:t>February 17, 2025</w:t>
            </w:r>
          </w:p>
        </w:tc>
      </w:tr>
      <w:tr>
        <w:trPr>
          <w:cantSplit w:val="true"/>
        </w:trPr>
        <w:tc>
          <w:tcPr>
            <w:tcW w:type="dxa" w:w="432"/>
          </w:tcPr>
          <w:p>
            <w:pPr>
              <w:spacing w:after="20" w:before="20" w:line="240" w:lineRule="auto"/>
            </w:pPr>
            <w:r/>
            <w:r>
              <w:rPr>
                <w:rFonts w:ascii="Times New Roman" w:hAnsi="Times New Roman"/>
                <w:b w:val="0"/>
                <w:sz w:val="16"/>
              </w:rPr>
              <w:t>5</w:t>
            </w:r>
          </w:p>
        </w:tc>
        <w:tc>
          <w:tcPr>
            <w:tcW w:type="dxa" w:w="4752"/>
          </w:tcPr>
          <w:p>
            <w:pPr>
              <w:spacing w:after="20" w:before="20" w:line="240" w:lineRule="auto"/>
            </w:pPr>
            <w:r/>
            <w:r>
              <w:rPr>
                <w:rFonts w:ascii="Times New Roman" w:hAnsi="Times New Roman"/>
                <w:b w:val="0"/>
                <w:sz w:val="16"/>
              </w:rPr>
              <w:t>ALTA/NSPS survey and boundary resolution; revised legal description</w:t>
            </w:r>
          </w:p>
        </w:tc>
        <w:tc>
          <w:tcPr>
            <w:tcW w:type="dxa" w:w="2736"/>
          </w:tcPr>
          <w:p>
            <w:pPr>
              <w:spacing w:after="20" w:before="20" w:line="240" w:lineRule="auto"/>
            </w:pPr>
            <w:r/>
            <w:r>
              <w:rPr>
                <w:rFonts w:ascii="Times New Roman" w:hAnsi="Times New Roman"/>
                <w:b w:val="0"/>
                <w:sz w:val="16"/>
              </w:rPr>
              <w:t>Borrower; surveyor; Aldersgate Title &amp; Escrow</w:t>
            </w:r>
          </w:p>
        </w:tc>
        <w:tc>
          <w:tcPr>
            <w:tcW w:type="dxa" w:w="1440"/>
          </w:tcPr>
          <w:p>
            <w:pPr>
              <w:spacing w:after="20" w:before="20" w:line="240" w:lineRule="auto"/>
            </w:pPr>
            <w:r/>
            <w:r>
              <w:rPr>
                <w:rFonts w:ascii="Times New Roman" w:hAnsi="Times New Roman"/>
                <w:b w:val="0"/>
                <w:sz w:val="16"/>
              </w:rPr>
              <w:t>February 17, 2025</w:t>
            </w:r>
          </w:p>
        </w:tc>
      </w:tr>
      <w:tr>
        <w:trPr>
          <w:cantSplit w:val="true"/>
        </w:trPr>
        <w:tc>
          <w:tcPr>
            <w:tcW w:type="dxa" w:w="432"/>
          </w:tcPr>
          <w:p>
            <w:pPr>
              <w:spacing w:after="20" w:before="20" w:line="240" w:lineRule="auto"/>
            </w:pPr>
            <w:r/>
            <w:r>
              <w:rPr>
                <w:rFonts w:ascii="Times New Roman" w:hAnsi="Times New Roman"/>
                <w:b w:val="0"/>
                <w:sz w:val="16"/>
              </w:rPr>
              <w:t>6</w:t>
            </w:r>
          </w:p>
        </w:tc>
        <w:tc>
          <w:tcPr>
            <w:tcW w:type="dxa" w:w="4752"/>
          </w:tcPr>
          <w:p>
            <w:pPr>
              <w:spacing w:after="20" w:before="20" w:line="240" w:lineRule="auto"/>
            </w:pPr>
            <w:r/>
            <w:r>
              <w:rPr>
                <w:rFonts w:ascii="Times New Roman" w:hAnsi="Times New Roman"/>
                <w:b w:val="0"/>
                <w:sz w:val="16"/>
              </w:rPr>
              <w:t>Second draft of the Loan Agreement and the companion documents (Note, Deed of Trust, Guaranties, Environmental Indemnity, Pledge Agreements) issued with the conformed budget, draw schedule and Exhibit B</w:t>
            </w:r>
          </w:p>
        </w:tc>
        <w:tc>
          <w:tcPr>
            <w:tcW w:type="dxa" w:w="2736"/>
          </w:tcPr>
          <w:p>
            <w:pPr>
              <w:spacing w:after="20" w:before="20" w:line="240" w:lineRule="auto"/>
            </w:pPr>
            <w:r/>
            <w:r>
              <w:rPr>
                <w:rFonts w:ascii="Times New Roman" w:hAnsi="Times New Roman"/>
                <w:b w:val="0"/>
                <w:sz w:val="16"/>
              </w:rPr>
              <w:t>Ashford, Cromdale</w:t>
            </w:r>
          </w:p>
        </w:tc>
        <w:tc>
          <w:tcPr>
            <w:tcW w:type="dxa" w:w="1440"/>
          </w:tcPr>
          <w:p>
            <w:pPr>
              <w:spacing w:after="20" w:before="20" w:line="240" w:lineRule="auto"/>
            </w:pPr>
            <w:r/>
            <w:r>
              <w:rPr>
                <w:rFonts w:ascii="Times New Roman" w:hAnsi="Times New Roman"/>
                <w:b w:val="0"/>
                <w:sz w:val="16"/>
              </w:rPr>
              <w:t>February 19, 2025</w:t>
            </w:r>
          </w:p>
        </w:tc>
      </w:tr>
      <w:tr>
        <w:trPr>
          <w:cantSplit w:val="true"/>
        </w:trPr>
        <w:tc>
          <w:tcPr>
            <w:tcW w:type="dxa" w:w="432"/>
          </w:tcPr>
          <w:p>
            <w:pPr>
              <w:spacing w:after="20" w:before="20" w:line="240" w:lineRule="auto"/>
            </w:pPr>
            <w:r/>
            <w:r>
              <w:rPr>
                <w:rFonts w:ascii="Times New Roman" w:hAnsi="Times New Roman"/>
                <w:b w:val="0"/>
                <w:sz w:val="16"/>
              </w:rPr>
              <w:t>7</w:t>
            </w:r>
          </w:p>
        </w:tc>
        <w:tc>
          <w:tcPr>
            <w:tcW w:type="dxa" w:w="4752"/>
          </w:tcPr>
          <w:p>
            <w:pPr>
              <w:spacing w:after="20" w:before="20" w:line="240" w:lineRule="auto"/>
            </w:pPr>
            <w:r/>
            <w:r>
              <w:rPr>
                <w:rFonts w:ascii="Times New Roman" w:hAnsi="Times New Roman"/>
                <w:b w:val="0"/>
                <w:sz w:val="16"/>
              </w:rPr>
              <w:t>Non-consolidation opinion and Borrower’s legal opinions</w:t>
            </w:r>
          </w:p>
        </w:tc>
        <w:tc>
          <w:tcPr>
            <w:tcW w:type="dxa" w:w="2736"/>
          </w:tcPr>
          <w:p>
            <w:pPr>
              <w:spacing w:after="20" w:before="20" w:line="240" w:lineRule="auto"/>
            </w:pPr>
            <w:r/>
            <w:r>
              <w:rPr>
                <w:rFonts w:ascii="Times New Roman" w:hAnsi="Times New Roman"/>
                <w:b w:val="0"/>
                <w:sz w:val="16"/>
              </w:rPr>
              <w:t>Calloway &amp; Strauss PLLC</w:t>
            </w:r>
          </w:p>
        </w:tc>
        <w:tc>
          <w:tcPr>
            <w:tcW w:type="dxa" w:w="1440"/>
          </w:tcPr>
          <w:p>
            <w:pPr>
              <w:spacing w:after="20" w:before="20" w:line="240" w:lineRule="auto"/>
            </w:pPr>
            <w:r/>
            <w:r>
              <w:rPr>
                <w:rFonts w:ascii="Times New Roman" w:hAnsi="Times New Roman"/>
                <w:b w:val="0"/>
                <w:sz w:val="16"/>
              </w:rPr>
              <w:t>February 24, 2025</w:t>
            </w:r>
          </w:p>
        </w:tc>
      </w:tr>
      <w:tr>
        <w:trPr>
          <w:cantSplit w:val="true"/>
        </w:trPr>
        <w:tc>
          <w:tcPr>
            <w:tcW w:type="dxa" w:w="432"/>
          </w:tcPr>
          <w:p>
            <w:pPr>
              <w:spacing w:after="20" w:before="20" w:line="240" w:lineRule="auto"/>
            </w:pPr>
            <w:r/>
            <w:r>
              <w:rPr>
                <w:rFonts w:ascii="Times New Roman" w:hAnsi="Times New Roman"/>
                <w:b w:val="0"/>
                <w:sz w:val="16"/>
              </w:rPr>
              <w:t>8</w:t>
            </w:r>
          </w:p>
        </w:tc>
        <w:tc>
          <w:tcPr>
            <w:tcW w:type="dxa" w:w="4752"/>
          </w:tcPr>
          <w:p>
            <w:pPr>
              <w:spacing w:after="20" w:before="20" w:line="240" w:lineRule="auto"/>
            </w:pPr>
            <w:r/>
            <w:r>
              <w:rPr>
                <w:rFonts w:ascii="Times New Roman" w:hAnsi="Times New Roman"/>
                <w:b w:val="0"/>
                <w:sz w:val="16"/>
              </w:rPr>
              <w:t>Closing</w:t>
            </w:r>
          </w:p>
        </w:tc>
        <w:tc>
          <w:tcPr>
            <w:tcW w:type="dxa" w:w="2736"/>
          </w:tcPr>
          <w:p>
            <w:pPr>
              <w:spacing w:after="20" w:before="20" w:line="240" w:lineRule="auto"/>
            </w:pPr>
            <w:r/>
            <w:r>
              <w:rPr>
                <w:rFonts w:ascii="Times New Roman" w:hAnsi="Times New Roman"/>
                <w:b w:val="0"/>
                <w:sz w:val="16"/>
              </w:rPr>
              <w:t>All parties</w:t>
            </w:r>
          </w:p>
        </w:tc>
        <w:tc>
          <w:tcPr>
            <w:tcW w:type="dxa" w:w="1440"/>
          </w:tcPr>
          <w:p>
            <w:pPr>
              <w:spacing w:after="20" w:before="20" w:line="240" w:lineRule="auto"/>
            </w:pPr>
            <w:r/>
            <w:r>
              <w:rPr>
                <w:rFonts w:ascii="Times New Roman" w:hAnsi="Times New Roman"/>
                <w:b w:val="0"/>
                <w:sz w:val="16"/>
              </w:rPr>
              <w:t>February 28, 2025 (target)</w:t>
            </w:r>
          </w:p>
        </w:tc>
      </w:tr>
    </w:tbl>
    <w:p>
      <w:pPr>
        <w:spacing w:after="160" w:before="0" w:line="240" w:lineRule="auto"/>
      </w:pPr>
    </w:p>
    <w:p>
      <w:pPr>
        <w:spacing w:after="200" w:line="259" w:lineRule="auto"/>
        <w:ind w:left="0" w:firstLine="720"/>
        <w:jc w:val="both"/>
      </w:pPr>
      <w:r>
        <w:rPr>
          <w:rFonts w:ascii="Times New Roman" w:hAnsi="Times New Roman"/>
          <w:b w:val="0"/>
          <w:i w:val="0"/>
          <w:sz w:val="22"/>
        </w:rPr>
        <w:t>The February 28, 2025 target is achievable if the Section 9 items are produced in the first ten days of February. If they are not, the closing should be moved rather than the conditions waived: the Phase I ESA’s AAI shelf life expires April 26, 2025, and every week of delay shortens the thirty-month construction period that the August 28, 2027 maturity date assumes.</w:t>
      </w:r>
    </w:p>
    <w:p>
      <w:pPr>
        <w:spacing w:after="320" w:line="259" w:lineRule="auto"/>
        <w:ind w:left="0" w:firstLine="720"/>
        <w:jc w:val="both"/>
      </w:pPr>
      <w:r>
        <w:rPr>
          <w:rFonts w:ascii="Times New Roman" w:hAnsi="Times New Roman"/>
          <w:b w:val="0"/>
          <w:i w:val="0"/>
          <w:sz w:val="22"/>
        </w:rPr>
        <w:t>We would be pleased to discuss any of the foregoing. Please direct questions on the environmental and title items to the undersigned and questions on the credit analysis to Mr. Forsythe’s group.</w:t>
      </w:r>
    </w:p>
    <w:p>
      <w:pPr>
        <w:spacing w:after="360" w:before="0" w:line="259" w:lineRule="auto"/>
        <w:ind w:firstLine="0" w:left="0"/>
        <w:jc w:val="both"/>
      </w:pPr>
      <w:r>
        <w:rPr>
          <w:rFonts w:ascii="Times New Roman" w:hAnsi="Times New Roman"/>
          <w:b w:val="0"/>
          <w:i w:val="0"/>
          <w:sz w:val="21"/>
        </w:rPr>
        <w:t>Respectfully submitted,</w:t>
      </w:r>
    </w:p>
    <w:p>
      <w:pPr>
        <w:spacing w:after="400" w:before="0" w:line="259" w:lineRule="auto"/>
        <w:ind w:firstLine="0" w:left="0"/>
        <w:jc w:val="both"/>
      </w:pPr>
      <w:r>
        <w:rPr>
          <w:rFonts w:ascii="Times New Roman" w:hAnsi="Times New Roman"/>
          <w:b/>
          <w:i w:val="0"/>
          <w:sz w:val="21"/>
        </w:rPr>
        <w:t>ASHFORD, CROMDALE CONSULTING &amp; LAINE LLP</w:t>
      </w:r>
    </w:p>
    <w:p>
      <w:pPr>
        <w:spacing w:after="40" w:before="0" w:line="259" w:lineRule="auto"/>
        <w:ind w:firstLine="0" w:left="0"/>
        <w:jc w:val="both"/>
      </w:pPr>
      <w:r>
        <w:rPr>
          <w:rFonts w:ascii="Times New Roman" w:hAnsi="Times New Roman"/>
          <w:b w:val="0"/>
          <w:i w:val="0"/>
          <w:sz w:val="21"/>
        </w:rPr>
        <w:t>By: ______________________________</w:t>
      </w:r>
    </w:p>
    <w:p>
      <w:pPr>
        <w:spacing w:after="40" w:before="0" w:line="259" w:lineRule="auto"/>
        <w:ind w:firstLine="0" w:left="0"/>
        <w:jc w:val="both"/>
      </w:pPr>
      <w:r>
        <w:rPr>
          <w:rFonts w:ascii="Times New Roman" w:hAnsi="Times New Roman"/>
          <w:b w:val="0"/>
          <w:i w:val="0"/>
          <w:sz w:val="21"/>
        </w:rPr>
        <w:t>Katharine “Kate” Drummond, Partner</w:t>
      </w:r>
    </w:p>
    <w:p>
      <w:pPr>
        <w:spacing w:after="40" w:before="0" w:line="259" w:lineRule="auto"/>
        <w:ind w:firstLine="0" w:left="0"/>
        <w:jc w:val="both"/>
      </w:pPr>
      <w:r>
        <w:rPr>
          <w:rFonts w:ascii="Times New Roman" w:hAnsi="Times New Roman"/>
          <w:b w:val="0"/>
          <w:i w:val="0"/>
          <w:sz w:val="21"/>
        </w:rPr>
        <w:t>Marcus Webb, Associate</w:t>
      </w:r>
    </w:p>
    <w:p>
      <w:pPr>
        <w:spacing w:after="0" w:before="0" w:line="259" w:lineRule="auto"/>
        <w:ind w:firstLine="0" w:left="0"/>
        <w:jc w:val="both"/>
      </w:pPr>
      <w:r>
        <w:rPr>
          <w:rFonts w:ascii="Times New Roman" w:hAnsi="Times New Roman"/>
          <w:b w:val="0"/>
          <w:i/>
          <w:sz w:val="19"/>
        </w:rPr>
        <w:t>Counsel to Pinnacle Savings Bank, N.A.</w:t>
      </w:r>
    </w:p>
    <w:p>
      <w:pPr>
        <w:spacing w:before="0" w:after="0" w:line="20" w:lineRule="exact"/>
        <w:rPr>
          <w:sz w:val="2"/>
          <w:szCs w:val="2"/>
        </w:rPr>
      </w:pPr>
      <w:r>
        <w:br w:type="page"/>
      </w:r>
    </w:p>
    <w:p>
      <w:pPr>
        <w:keepNext/>
        <w:spacing w:before="0" w:after="160"/>
        <w:ind w:left="0"/>
      </w:pPr>
      <w:r>
        <w:rPr>
          <w:rFonts w:ascii="Times New Roman" w:hAnsi="Times New Roman"/>
          <w:b/>
          <w:sz w:val="22"/>
        </w:rPr>
        <w:t>Appendix A — Source-to-Issue Log</w:t>
      </w:r>
    </w:p>
    <w:p>
      <w:pPr>
        <w:spacing w:after="120" w:line="259" w:lineRule="auto"/>
        <w:ind w:left="0" w:firstLine="720"/>
        <w:jc w:val="both"/>
      </w:pPr>
      <w:r>
        <w:rPr>
          <w:rFonts w:ascii="Times New Roman" w:hAnsi="Times New Roman"/>
          <w:b w:val="0"/>
          <w:i w:val="0"/>
          <w:sz w:val="22"/>
        </w:rPr>
        <w:t>Each material proposition on which the Draft Agreement relies is recorded below with its source. “Conflict” indicates that another document in the record states a different proposition.</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2"/>
        <w:gridCol w:w="1872"/>
        <w:gridCol w:w="1872"/>
        <w:gridCol w:w="1872"/>
        <w:gridCol w:w="1872"/>
      </w:tblGrid>
      <w:tr>
        <w:trPr>
          <w:tblHeader w:val="true"/>
          <w:cantSplit w:val="true"/>
        </w:trPr>
        <w:tc>
          <w:tcPr>
            <w:tcW w:type="dxa" w:w="504"/>
            <w:shd w:val="clear" w:color="auto" w:fill="D9D9D9"/>
          </w:tcPr>
          <w:p>
            <w:pPr>
              <w:spacing w:after="20" w:before="20" w:line="240" w:lineRule="auto"/>
              <w:jc w:val="center"/>
            </w:pPr>
            <w:r/>
            <w:r>
              <w:rPr>
                <w:rFonts w:ascii="Times New Roman" w:hAnsi="Times New Roman"/>
                <w:b/>
                <w:sz w:val="13"/>
              </w:rPr>
              <w:t>#</w:t>
            </w:r>
          </w:p>
        </w:tc>
        <w:tc>
          <w:tcPr>
            <w:tcW w:type="dxa" w:w="2304"/>
            <w:shd w:val="clear" w:color="auto" w:fill="D9D9D9"/>
          </w:tcPr>
          <w:p>
            <w:pPr>
              <w:spacing w:after="20" w:before="20" w:line="240" w:lineRule="auto"/>
              <w:jc w:val="center"/>
            </w:pPr>
            <w:r/>
            <w:r>
              <w:rPr>
                <w:rFonts w:ascii="Times New Roman" w:hAnsi="Times New Roman"/>
                <w:b/>
                <w:sz w:val="13"/>
              </w:rPr>
              <w:t>Proposition</w:t>
            </w:r>
          </w:p>
        </w:tc>
        <w:tc>
          <w:tcPr>
            <w:tcW w:type="dxa" w:w="2304"/>
            <w:shd w:val="clear" w:color="auto" w:fill="D9D9D9"/>
          </w:tcPr>
          <w:p>
            <w:pPr>
              <w:spacing w:after="20" w:before="20" w:line="240" w:lineRule="auto"/>
              <w:jc w:val="center"/>
            </w:pPr>
            <w:r/>
            <w:r>
              <w:rPr>
                <w:rFonts w:ascii="Times New Roman" w:hAnsi="Times New Roman"/>
                <w:b/>
                <w:sz w:val="13"/>
              </w:rPr>
              <w:t>Source and citation</w:t>
            </w:r>
          </w:p>
        </w:tc>
        <w:tc>
          <w:tcPr>
            <w:tcW w:type="dxa" w:w="2664"/>
            <w:shd w:val="clear" w:color="auto" w:fill="D9D9D9"/>
          </w:tcPr>
          <w:p>
            <w:pPr>
              <w:spacing w:after="20" w:before="20" w:line="240" w:lineRule="auto"/>
              <w:jc w:val="center"/>
            </w:pPr>
            <w:r/>
            <w:r>
              <w:rPr>
                <w:rFonts w:ascii="Times New Roman" w:hAnsi="Times New Roman"/>
                <w:b/>
                <w:sz w:val="13"/>
              </w:rPr>
              <w:t>Conflict / corroboration</w:t>
            </w:r>
          </w:p>
        </w:tc>
        <w:tc>
          <w:tcPr>
            <w:tcW w:type="dxa" w:w="1584"/>
            <w:shd w:val="clear" w:color="auto" w:fill="D9D9D9"/>
          </w:tcPr>
          <w:p>
            <w:pPr>
              <w:spacing w:after="20" w:before="20" w:line="240" w:lineRule="auto"/>
              <w:jc w:val="center"/>
            </w:pPr>
            <w:r/>
            <w:r>
              <w:rPr>
                <w:rFonts w:ascii="Times New Roman" w:hAnsi="Times New Roman"/>
                <w:b/>
                <w:sz w:val="13"/>
              </w:rPr>
              <w:t>Draft Agreement</w:t>
            </w:r>
          </w:p>
        </w:tc>
      </w:tr>
      <w:tr>
        <w:trPr>
          <w:cantSplit w:val="true"/>
        </w:trPr>
        <w:tc>
          <w:tcPr>
            <w:tcW w:type="dxa" w:w="504"/>
          </w:tcPr>
          <w:p>
            <w:pPr>
              <w:spacing w:after="20" w:before="20" w:line="240" w:lineRule="auto"/>
            </w:pPr>
            <w:r/>
            <w:r>
              <w:rPr>
                <w:rFonts w:ascii="Times New Roman" w:hAnsi="Times New Roman"/>
                <w:b w:val="0"/>
                <w:sz w:val="13"/>
              </w:rPr>
              <w:t>A-1</w:t>
            </w:r>
          </w:p>
        </w:tc>
        <w:tc>
          <w:tcPr>
            <w:tcW w:type="dxa" w:w="2304"/>
          </w:tcPr>
          <w:p>
            <w:pPr>
              <w:spacing w:after="20" w:before="20" w:line="240" w:lineRule="auto"/>
            </w:pPr>
            <w:r/>
            <w:r>
              <w:rPr>
                <w:rFonts w:ascii="Times New Roman" w:hAnsi="Times New Roman"/>
                <w:b w:val="0"/>
                <w:sz w:val="13"/>
              </w:rPr>
              <w:t>Lender is Pinnacle Savings Bank, N.A.; relationship manager David Forsythe; counsel Ashford, Cromdale</w:t>
            </w:r>
          </w:p>
        </w:tc>
        <w:tc>
          <w:tcPr>
            <w:tcW w:type="dxa" w:w="2304"/>
          </w:tcPr>
          <w:p>
            <w:pPr>
              <w:spacing w:after="20" w:before="20" w:line="240" w:lineRule="auto"/>
            </w:pPr>
            <w:r/>
            <w:r>
              <w:rPr>
                <w:rFonts w:ascii="Times New Roman" w:hAnsi="Times New Roman"/>
                <w:b w:val="0"/>
                <w:sz w:val="13"/>
              </w:rPr>
              <w:t>Term Sheet § 1.1; Credit Memorandum cover</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Preamble; § 15.1</w:t>
            </w:r>
          </w:p>
        </w:tc>
      </w:tr>
      <w:tr>
        <w:trPr>
          <w:cantSplit w:val="true"/>
        </w:trPr>
        <w:tc>
          <w:tcPr>
            <w:tcW w:type="dxa" w:w="504"/>
          </w:tcPr>
          <w:p>
            <w:pPr>
              <w:spacing w:after="20" w:before="20" w:line="240" w:lineRule="auto"/>
            </w:pPr>
            <w:r/>
            <w:r>
              <w:rPr>
                <w:rFonts w:ascii="Times New Roman" w:hAnsi="Times New Roman"/>
                <w:b w:val="0"/>
                <w:sz w:val="13"/>
              </w:rPr>
              <w:t>A-2</w:t>
            </w:r>
          </w:p>
        </w:tc>
        <w:tc>
          <w:tcPr>
            <w:tcW w:type="dxa" w:w="2304"/>
          </w:tcPr>
          <w:p>
            <w:pPr>
              <w:spacing w:after="20" w:before="20" w:line="240" w:lineRule="auto"/>
            </w:pPr>
            <w:r/>
            <w:r>
              <w:rPr>
                <w:rFonts w:ascii="Times New Roman" w:hAnsi="Times New Roman"/>
                <w:b w:val="0"/>
                <w:sz w:val="13"/>
              </w:rPr>
              <w:t>Borrower is a North Carolina LLC, SOS No. 1923847, formed March 14, 2019</w:t>
            </w:r>
          </w:p>
        </w:tc>
        <w:tc>
          <w:tcPr>
            <w:tcW w:type="dxa" w:w="2304"/>
          </w:tcPr>
          <w:p>
            <w:pPr>
              <w:spacing w:after="20" w:before="20" w:line="240" w:lineRule="auto"/>
            </w:pPr>
            <w:r/>
            <w:r>
              <w:rPr>
                <w:rFonts w:ascii="Times New Roman" w:hAnsi="Times New Roman"/>
                <w:b w:val="0"/>
                <w:sz w:val="13"/>
              </w:rPr>
              <w:t>Term Sheet § 1.2; Organizational Chart § 1.1; Title Commitment Sch. A ¶ 5</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 5.1</w:t>
            </w:r>
          </w:p>
        </w:tc>
      </w:tr>
      <w:tr>
        <w:trPr>
          <w:cantSplit w:val="true"/>
        </w:trPr>
        <w:tc>
          <w:tcPr>
            <w:tcW w:type="dxa" w:w="504"/>
          </w:tcPr>
          <w:p>
            <w:pPr>
              <w:spacing w:after="20" w:before="20" w:line="240" w:lineRule="auto"/>
            </w:pPr>
            <w:r/>
            <w:r>
              <w:rPr>
                <w:rFonts w:ascii="Times New Roman" w:hAnsi="Times New Roman"/>
                <w:b w:val="0"/>
                <w:sz w:val="13"/>
              </w:rPr>
              <w:t>A-3</w:t>
            </w:r>
          </w:p>
        </w:tc>
        <w:tc>
          <w:tcPr>
            <w:tcW w:type="dxa" w:w="2304"/>
          </w:tcPr>
          <w:p>
            <w:pPr>
              <w:spacing w:after="20" w:before="20" w:line="240" w:lineRule="auto"/>
            </w:pPr>
            <w:r/>
            <w:r>
              <w:rPr>
                <w:rFonts w:ascii="Times New Roman" w:hAnsi="Times New Roman"/>
                <w:b w:val="0"/>
                <w:sz w:val="13"/>
              </w:rPr>
              <w:t>Membership: 62% Vasquez-Torres, 28% Brightleaf Investors Group LLC, 10% Osei</w:t>
            </w:r>
          </w:p>
        </w:tc>
        <w:tc>
          <w:tcPr>
            <w:tcW w:type="dxa" w:w="2304"/>
          </w:tcPr>
          <w:p>
            <w:pPr>
              <w:spacing w:after="20" w:before="20" w:line="240" w:lineRule="auto"/>
            </w:pPr>
            <w:r/>
            <w:r>
              <w:rPr>
                <w:rFonts w:ascii="Times New Roman" w:hAnsi="Times New Roman"/>
                <w:b w:val="0"/>
                <w:sz w:val="13"/>
              </w:rPr>
              <w:t>Term Sheet § 1.2; Org. Chart § 1.2; Credit Memorandum § 2.2</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 5.2; Sch. 5.2</w:t>
            </w:r>
          </w:p>
        </w:tc>
      </w:tr>
      <w:tr>
        <w:trPr>
          <w:cantSplit w:val="true"/>
        </w:trPr>
        <w:tc>
          <w:tcPr>
            <w:tcW w:type="dxa" w:w="504"/>
          </w:tcPr>
          <w:p>
            <w:pPr>
              <w:spacing w:after="20" w:before="20" w:line="240" w:lineRule="auto"/>
            </w:pPr>
            <w:r/>
            <w:r>
              <w:rPr>
                <w:rFonts w:ascii="Times New Roman" w:hAnsi="Times New Roman"/>
                <w:b w:val="0"/>
                <w:sz w:val="13"/>
              </w:rPr>
              <w:t>A-4</w:t>
            </w:r>
          </w:p>
        </w:tc>
        <w:tc>
          <w:tcPr>
            <w:tcW w:type="dxa" w:w="2304"/>
          </w:tcPr>
          <w:p>
            <w:pPr>
              <w:spacing w:after="20" w:before="20" w:line="240" w:lineRule="auto"/>
            </w:pPr>
            <w:r/>
            <w:r>
              <w:rPr>
                <w:rFonts w:ascii="Times New Roman" w:hAnsi="Times New Roman"/>
                <w:b w:val="0"/>
                <w:sz w:val="13"/>
              </w:rPr>
              <w:t>Brightleaf Investors Group LLC contributed $0; its 28% was issued for arranging mezzanine financing</w:t>
            </w:r>
          </w:p>
        </w:tc>
        <w:tc>
          <w:tcPr>
            <w:tcW w:type="dxa" w:w="2304"/>
          </w:tcPr>
          <w:p>
            <w:pPr>
              <w:spacing w:after="20" w:before="20" w:line="240" w:lineRule="auto"/>
            </w:pPr>
            <w:r/>
            <w:r>
              <w:rPr>
                <w:rFonts w:ascii="Times New Roman" w:hAnsi="Times New Roman"/>
                <w:b w:val="0"/>
                <w:sz w:val="13"/>
              </w:rPr>
              <w:t>Org. Chart §§ 1.3, 2.3; Operating Agreement § 5.1(b)</w:t>
            </w:r>
          </w:p>
        </w:tc>
        <w:tc>
          <w:tcPr>
            <w:tcW w:type="dxa" w:w="2664"/>
          </w:tcPr>
          <w:p>
            <w:pPr>
              <w:spacing w:after="20" w:before="20" w:line="240" w:lineRule="auto"/>
            </w:pPr>
            <w:r/>
            <w:r>
              <w:rPr>
                <w:rFonts w:ascii="Times New Roman" w:hAnsi="Times New Roman"/>
                <w:b w:val="0"/>
                <w:sz w:val="13"/>
              </w:rPr>
              <w:t>Conflict: Credit Memorandum § 2.2 says the Land was funded “through capital calls from all three members”</w:t>
            </w:r>
          </w:p>
        </w:tc>
        <w:tc>
          <w:tcPr>
            <w:tcW w:type="dxa" w:w="1584"/>
          </w:tcPr>
          <w:p>
            <w:pPr>
              <w:spacing w:after="20" w:before="20" w:line="240" w:lineRule="auto"/>
            </w:pPr>
            <w:r/>
            <w:r>
              <w:rPr>
                <w:rFonts w:ascii="Times New Roman" w:hAnsi="Times New Roman"/>
                <w:b w:val="0"/>
                <w:sz w:val="13"/>
              </w:rPr>
              <w:t>§§ 5.2, 5.14; Sch. 5.2</w:t>
            </w:r>
          </w:p>
        </w:tc>
      </w:tr>
      <w:tr>
        <w:trPr>
          <w:cantSplit w:val="true"/>
        </w:trPr>
        <w:tc>
          <w:tcPr>
            <w:tcW w:type="dxa" w:w="504"/>
          </w:tcPr>
          <w:p>
            <w:pPr>
              <w:spacing w:after="20" w:before="20" w:line="240" w:lineRule="auto"/>
            </w:pPr>
            <w:r/>
            <w:r>
              <w:rPr>
                <w:rFonts w:ascii="Times New Roman" w:hAnsi="Times New Roman"/>
                <w:b w:val="0"/>
                <w:sz w:val="13"/>
              </w:rPr>
              <w:t>A-5</w:t>
            </w:r>
          </w:p>
        </w:tc>
        <w:tc>
          <w:tcPr>
            <w:tcW w:type="dxa" w:w="2304"/>
          </w:tcPr>
          <w:p>
            <w:pPr>
              <w:spacing w:after="20" w:before="20" w:line="240" w:lineRule="auto"/>
            </w:pPr>
            <w:r/>
            <w:r>
              <w:rPr>
                <w:rFonts w:ascii="Times New Roman" w:hAnsi="Times New Roman"/>
                <w:b w:val="0"/>
                <w:sz w:val="13"/>
              </w:rPr>
              <w:t>Land was acquired by deed from Foster Street Properties LLC, recorded June 12, 2023, at $8,200,000</w:t>
            </w:r>
          </w:p>
        </w:tc>
        <w:tc>
          <w:tcPr>
            <w:tcW w:type="dxa" w:w="2304"/>
          </w:tcPr>
          <w:p>
            <w:pPr>
              <w:spacing w:after="20" w:before="20" w:line="240" w:lineRule="auto"/>
            </w:pPr>
            <w:r/>
            <w:r>
              <w:rPr>
                <w:rFonts w:ascii="Times New Roman" w:hAnsi="Times New Roman"/>
                <w:b w:val="0"/>
                <w:sz w:val="13"/>
              </w:rPr>
              <w:t>Title Commitment Sch. A ¶ 5, ¶ 6; Price: Appraisal § 6.1</w:t>
            </w:r>
          </w:p>
        </w:tc>
        <w:tc>
          <w:tcPr>
            <w:tcW w:type="dxa" w:w="2664"/>
          </w:tcPr>
          <w:p>
            <w:pPr>
              <w:spacing w:after="20" w:before="20" w:line="240" w:lineRule="auto"/>
            </w:pPr>
            <w:r/>
            <w:r>
              <w:rPr>
                <w:rFonts w:ascii="Times New Roman" w:hAnsi="Times New Roman"/>
                <w:b w:val="0"/>
                <w:sz w:val="13"/>
              </w:rPr>
              <w:t>Conflict: Org. Chart / Operating Agreement (contribution at formation); Credit Memorandum (capital calls); Phase I ESA § 2.2 (2022); Appraisal § 6.1 (early 2024)</w:t>
            </w:r>
          </w:p>
        </w:tc>
        <w:tc>
          <w:tcPr>
            <w:tcW w:type="dxa" w:w="1584"/>
          </w:tcPr>
          <w:p>
            <w:pPr>
              <w:spacing w:after="20" w:before="20" w:line="240" w:lineRule="auto"/>
            </w:pPr>
            <w:r/>
            <w:r>
              <w:rPr>
                <w:rFonts w:ascii="Times New Roman" w:hAnsi="Times New Roman"/>
                <w:b w:val="0"/>
                <w:sz w:val="13"/>
              </w:rPr>
              <w:t>§§ 3.7(d), 5.2</w:t>
            </w:r>
          </w:p>
        </w:tc>
      </w:tr>
      <w:tr>
        <w:trPr>
          <w:cantSplit w:val="true"/>
        </w:trPr>
        <w:tc>
          <w:tcPr>
            <w:tcW w:type="dxa" w:w="504"/>
          </w:tcPr>
          <w:p>
            <w:pPr>
              <w:spacing w:after="20" w:before="20" w:line="240" w:lineRule="auto"/>
            </w:pPr>
            <w:r/>
            <w:r>
              <w:rPr>
                <w:rFonts w:ascii="Times New Roman" w:hAnsi="Times New Roman"/>
                <w:b w:val="0"/>
                <w:sz w:val="13"/>
              </w:rPr>
              <w:t>A-6</w:t>
            </w:r>
          </w:p>
        </w:tc>
        <w:tc>
          <w:tcPr>
            <w:tcW w:type="dxa" w:w="2304"/>
          </w:tcPr>
          <w:p>
            <w:pPr>
              <w:spacing w:after="20" w:before="20" w:line="240" w:lineRule="auto"/>
            </w:pPr>
            <w:r/>
            <w:r>
              <w:rPr>
                <w:rFonts w:ascii="Times New Roman" w:hAnsi="Times New Roman"/>
                <w:b w:val="0"/>
                <w:sz w:val="13"/>
              </w:rPr>
              <w:t>The Land was funded with $8,200,000 of mezzanine proceeds</w:t>
            </w:r>
          </w:p>
        </w:tc>
        <w:tc>
          <w:tcPr>
            <w:tcW w:type="dxa" w:w="2304"/>
          </w:tcPr>
          <w:p>
            <w:pPr>
              <w:spacing w:after="20" w:before="20" w:line="240" w:lineRule="auto"/>
            </w:pPr>
            <w:r/>
            <w:r>
              <w:rPr>
                <w:rFonts w:ascii="Times New Roman" w:hAnsi="Times New Roman"/>
                <w:b w:val="0"/>
                <w:sz w:val="13"/>
              </w:rPr>
              <w:t>Budget workbook, Detailed Budget line 1.01 and note</w:t>
            </w:r>
          </w:p>
        </w:tc>
        <w:tc>
          <w:tcPr>
            <w:tcW w:type="dxa" w:w="2664"/>
          </w:tcPr>
          <w:p>
            <w:pPr>
              <w:spacing w:after="20" w:before="20" w:line="240" w:lineRule="auto"/>
            </w:pPr>
            <w:r/>
            <w:r>
              <w:rPr>
                <w:rFonts w:ascii="Times New Roman" w:hAnsi="Times New Roman"/>
                <w:b w:val="0"/>
                <w:sz w:val="13"/>
              </w:rPr>
              <w:t>Conflict: Term Sheet §§ 5.1, 5.2 and Credit Memorandum § 5.1 show the Land as Borrower equity and mezzanine proceeds as a source of the $56,700,000 budget</w:t>
            </w:r>
          </w:p>
        </w:tc>
        <w:tc>
          <w:tcPr>
            <w:tcW w:type="dxa" w:w="1584"/>
          </w:tcPr>
          <w:p>
            <w:pPr>
              <w:spacing w:after="20" w:before="20" w:line="240" w:lineRule="auto"/>
            </w:pPr>
            <w:r/>
            <w:r>
              <w:rPr>
                <w:rFonts w:ascii="Times New Roman" w:hAnsi="Times New Roman"/>
                <w:b w:val="0"/>
                <w:sz w:val="13"/>
              </w:rPr>
              <w:t>§§ 3.16, 12.4; Sch. 1.1; Ex. C</w:t>
            </w:r>
          </w:p>
        </w:tc>
      </w:tr>
      <w:tr>
        <w:trPr>
          <w:cantSplit w:val="true"/>
        </w:trPr>
        <w:tc>
          <w:tcPr>
            <w:tcW w:type="dxa" w:w="504"/>
          </w:tcPr>
          <w:p>
            <w:pPr>
              <w:spacing w:after="20" w:before="20" w:line="240" w:lineRule="auto"/>
            </w:pPr>
            <w:r/>
            <w:r>
              <w:rPr>
                <w:rFonts w:ascii="Times New Roman" w:hAnsi="Times New Roman"/>
                <w:b w:val="0"/>
                <w:sz w:val="13"/>
              </w:rPr>
              <w:t>A-7</w:t>
            </w:r>
          </w:p>
        </w:tc>
        <w:tc>
          <w:tcPr>
            <w:tcW w:type="dxa" w:w="2304"/>
          </w:tcPr>
          <w:p>
            <w:pPr>
              <w:spacing w:after="20" w:before="20" w:line="240" w:lineRule="auto"/>
            </w:pPr>
            <w:r/>
            <w:r>
              <w:rPr>
                <w:rFonts w:ascii="Times New Roman" w:hAnsi="Times New Roman"/>
                <w:b w:val="0"/>
                <w:sz w:val="13"/>
              </w:rPr>
              <w:t>Mezzanine loan: $9,200,000 at 12.50% fixed, coterminous, 100% equity pledge, PIK during construction</w:t>
            </w:r>
          </w:p>
        </w:tc>
        <w:tc>
          <w:tcPr>
            <w:tcW w:type="dxa" w:w="2304"/>
          </w:tcPr>
          <w:p>
            <w:pPr>
              <w:spacing w:after="20" w:before="20" w:line="240" w:lineRule="auto"/>
            </w:pPr>
            <w:r/>
            <w:r>
              <w:rPr>
                <w:rFonts w:ascii="Times New Roman" w:hAnsi="Times New Roman"/>
                <w:b w:val="0"/>
                <w:sz w:val="13"/>
              </w:rPr>
              <w:t>Term Sheet § 1.4; Credit Memorandum § 4.4; Org. Chart § 1.2</w:t>
            </w:r>
          </w:p>
        </w:tc>
        <w:tc>
          <w:tcPr>
            <w:tcW w:type="dxa" w:w="2664"/>
          </w:tcPr>
          <w:p>
            <w:pPr>
              <w:spacing w:after="20" w:before="20" w:line="240" w:lineRule="auto"/>
            </w:pPr>
            <w:r/>
            <w:r>
              <w:rPr>
                <w:rFonts w:ascii="Times New Roman" w:hAnsi="Times New Roman"/>
                <w:b w:val="0"/>
                <w:sz w:val="13"/>
              </w:rPr>
              <w:t>Corroborated as to terms; principal amount and balance unverified</w:t>
            </w:r>
          </w:p>
        </w:tc>
        <w:tc>
          <w:tcPr>
            <w:tcW w:type="dxa" w:w="1584"/>
          </w:tcPr>
          <w:p>
            <w:pPr>
              <w:spacing w:after="20" w:before="20" w:line="240" w:lineRule="auto"/>
            </w:pPr>
            <w:r/>
            <w:r>
              <w:rPr>
                <w:rFonts w:ascii="Times New Roman" w:hAnsi="Times New Roman"/>
                <w:b w:val="0"/>
                <w:sz w:val="13"/>
              </w:rPr>
              <w:t>§ 1.1; § 12.4; Sch. 1.1</w:t>
            </w:r>
          </w:p>
        </w:tc>
      </w:tr>
      <w:tr>
        <w:trPr>
          <w:cantSplit w:val="true"/>
        </w:trPr>
        <w:tc>
          <w:tcPr>
            <w:tcW w:type="dxa" w:w="504"/>
          </w:tcPr>
          <w:p>
            <w:pPr>
              <w:spacing w:after="20" w:before="20" w:line="240" w:lineRule="auto"/>
            </w:pPr>
            <w:r/>
            <w:r>
              <w:rPr>
                <w:rFonts w:ascii="Times New Roman" w:hAnsi="Times New Roman"/>
                <w:b w:val="0"/>
                <w:sz w:val="13"/>
              </w:rPr>
              <w:t>A-8</w:t>
            </w:r>
          </w:p>
        </w:tc>
        <w:tc>
          <w:tcPr>
            <w:tcW w:type="dxa" w:w="2304"/>
          </w:tcPr>
          <w:p>
            <w:pPr>
              <w:spacing w:after="20" w:before="20" w:line="240" w:lineRule="auto"/>
            </w:pPr>
            <w:r/>
            <w:r>
              <w:rPr>
                <w:rFonts w:ascii="Times New Roman" w:hAnsi="Times New Roman"/>
                <w:b w:val="0"/>
                <w:sz w:val="13"/>
              </w:rPr>
              <w:t>Both loans take a pledge of 100% of the membership interests</w:t>
            </w:r>
          </w:p>
        </w:tc>
        <w:tc>
          <w:tcPr>
            <w:tcW w:type="dxa" w:w="2304"/>
          </w:tcPr>
          <w:p>
            <w:pPr>
              <w:spacing w:after="20" w:before="20" w:line="240" w:lineRule="auto"/>
            </w:pPr>
            <w:r/>
            <w:r>
              <w:rPr>
                <w:rFonts w:ascii="Times New Roman" w:hAnsi="Times New Roman"/>
                <w:b w:val="0"/>
                <w:sz w:val="13"/>
              </w:rPr>
              <w:t>Term Sheet §§ 1.4, 8; Org. Chart §§ 1.2, 2.5; Credit Memorandum § 4.2</w:t>
            </w:r>
          </w:p>
        </w:tc>
        <w:tc>
          <w:tcPr>
            <w:tcW w:type="dxa" w:w="2664"/>
          </w:tcPr>
          <w:p>
            <w:pPr>
              <w:spacing w:after="20" w:before="20" w:line="240" w:lineRule="auto"/>
            </w:pPr>
            <w:r/>
            <w:r>
              <w:rPr>
                <w:rFonts w:ascii="Times New Roman" w:hAnsi="Times New Roman"/>
                <w:b w:val="0"/>
                <w:sz w:val="13"/>
              </w:rPr>
              <w:t>Corroborated — the duplication is the issue</w:t>
            </w:r>
          </w:p>
        </w:tc>
        <w:tc>
          <w:tcPr>
            <w:tcW w:type="dxa" w:w="1584"/>
          </w:tcPr>
          <w:p>
            <w:pPr>
              <w:spacing w:after="20" w:before="20" w:line="240" w:lineRule="auto"/>
            </w:pPr>
            <w:r/>
            <w:r>
              <w:rPr>
                <w:rFonts w:ascii="Times New Roman" w:hAnsi="Times New Roman"/>
                <w:b w:val="0"/>
                <w:sz w:val="13"/>
              </w:rPr>
              <w:t>§§ 12.2, 12.3</w:t>
            </w:r>
          </w:p>
        </w:tc>
      </w:tr>
      <w:tr>
        <w:trPr>
          <w:cantSplit w:val="true"/>
        </w:trPr>
        <w:tc>
          <w:tcPr>
            <w:tcW w:type="dxa" w:w="504"/>
          </w:tcPr>
          <w:p>
            <w:pPr>
              <w:spacing w:after="20" w:before="20" w:line="240" w:lineRule="auto"/>
            </w:pPr>
            <w:r/>
            <w:r>
              <w:rPr>
                <w:rFonts w:ascii="Times New Roman" w:hAnsi="Times New Roman"/>
                <w:b w:val="0"/>
                <w:sz w:val="13"/>
              </w:rPr>
              <w:t>A-9</w:t>
            </w:r>
          </w:p>
        </w:tc>
        <w:tc>
          <w:tcPr>
            <w:tcW w:type="dxa" w:w="2304"/>
          </w:tcPr>
          <w:p>
            <w:pPr>
              <w:spacing w:after="20" w:before="20" w:line="240" w:lineRule="auto"/>
            </w:pPr>
            <w:r/>
            <w:r>
              <w:rPr>
                <w:rFonts w:ascii="Times New Roman" w:hAnsi="Times New Roman"/>
                <w:b w:val="0"/>
                <w:sz w:val="13"/>
              </w:rPr>
              <w:t>Occupancy: 212 units (142/56/14); 18,400 sf retail in 7 bays; 276 spaces; 287,500 sf GBA</w:t>
            </w:r>
          </w:p>
        </w:tc>
        <w:tc>
          <w:tcPr>
            <w:tcW w:type="dxa" w:w="2304"/>
          </w:tcPr>
          <w:p>
            <w:pPr>
              <w:spacing w:after="20" w:before="20" w:line="240" w:lineRule="auto"/>
            </w:pPr>
            <w:r/>
            <w:r>
              <w:rPr>
                <w:rFonts w:ascii="Times New Roman" w:hAnsi="Times New Roman"/>
                <w:b w:val="0"/>
                <w:sz w:val="13"/>
              </w:rPr>
              <w:t>Term Sheet § 2; Credit Memorandum § 3.1; Appraisal § 3; Phase I ESA § 1</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 1.1 (Improvements)</w:t>
            </w:r>
          </w:p>
        </w:tc>
      </w:tr>
      <w:tr>
        <w:trPr>
          <w:cantSplit w:val="true"/>
        </w:trPr>
        <w:tc>
          <w:tcPr>
            <w:tcW w:type="dxa" w:w="504"/>
          </w:tcPr>
          <w:p>
            <w:pPr>
              <w:spacing w:after="20" w:before="20" w:line="240" w:lineRule="auto"/>
            </w:pPr>
            <w:r/>
            <w:r>
              <w:rPr>
                <w:rFonts w:ascii="Times New Roman" w:hAnsi="Times New Roman"/>
                <w:b w:val="0"/>
                <w:sz w:val="13"/>
              </w:rPr>
              <w:t>A-10</w:t>
            </w:r>
          </w:p>
        </w:tc>
        <w:tc>
          <w:tcPr>
            <w:tcW w:type="dxa" w:w="2304"/>
          </w:tcPr>
          <w:p>
            <w:pPr>
              <w:spacing w:after="20" w:before="20" w:line="240" w:lineRule="auto"/>
            </w:pPr>
            <w:r/>
            <w:r>
              <w:rPr>
                <w:rFonts w:ascii="Times New Roman" w:hAnsi="Times New Roman"/>
                <w:b w:val="0"/>
                <w:sz w:val="13"/>
              </w:rPr>
              <w:t>As-is $8,900,000; as-completed $72,800,000; as-stabilized $76,200,000 at a 6.40% cap rate</w:t>
            </w:r>
          </w:p>
        </w:tc>
        <w:tc>
          <w:tcPr>
            <w:tcW w:type="dxa" w:w="2304"/>
          </w:tcPr>
          <w:p>
            <w:pPr>
              <w:spacing w:after="20" w:before="20" w:line="240" w:lineRule="auto"/>
            </w:pPr>
            <w:r/>
            <w:r>
              <w:rPr>
                <w:rFonts w:ascii="Times New Roman" w:hAnsi="Times New Roman"/>
                <w:b w:val="0"/>
                <w:sz w:val="13"/>
              </w:rPr>
              <w:t>Appraisal §§ 2, 6, 10; Term Sheet § 4; Credit Memorandum § 3.3</w:t>
            </w:r>
          </w:p>
        </w:tc>
        <w:tc>
          <w:tcPr>
            <w:tcW w:type="dxa" w:w="2664"/>
          </w:tcPr>
          <w:p>
            <w:pPr>
              <w:spacing w:after="20" w:before="20" w:line="240" w:lineRule="auto"/>
            </w:pPr>
            <w:r/>
            <w:r>
              <w:rPr>
                <w:rFonts w:ascii="Times New Roman" w:hAnsi="Times New Roman"/>
                <w:b w:val="0"/>
                <w:sz w:val="13"/>
              </w:rPr>
              <w:t>Corroborated; recomputed at Section 8 rows 12–13</w:t>
            </w:r>
          </w:p>
        </w:tc>
        <w:tc>
          <w:tcPr>
            <w:tcW w:type="dxa" w:w="1584"/>
          </w:tcPr>
          <w:p>
            <w:pPr>
              <w:spacing w:after="20" w:before="20" w:line="240" w:lineRule="auto"/>
            </w:pPr>
            <w:r/>
            <w:r>
              <w:rPr>
                <w:rFonts w:ascii="Times New Roman" w:hAnsi="Times New Roman"/>
                <w:b w:val="0"/>
                <w:sz w:val="13"/>
              </w:rPr>
              <w:t>§ 3.3</w:t>
            </w:r>
          </w:p>
        </w:tc>
      </w:tr>
      <w:tr>
        <w:trPr>
          <w:cantSplit w:val="true"/>
        </w:trPr>
        <w:tc>
          <w:tcPr>
            <w:tcW w:type="dxa" w:w="504"/>
          </w:tcPr>
          <w:p>
            <w:pPr>
              <w:spacing w:after="20" w:before="20" w:line="240" w:lineRule="auto"/>
            </w:pPr>
            <w:r/>
            <w:r>
              <w:rPr>
                <w:rFonts w:ascii="Times New Roman" w:hAnsi="Times New Roman"/>
                <w:b w:val="0"/>
                <w:sz w:val="13"/>
              </w:rPr>
              <w:t>A-11</w:t>
            </w:r>
          </w:p>
        </w:tc>
        <w:tc>
          <w:tcPr>
            <w:tcW w:type="dxa" w:w="2304"/>
          </w:tcPr>
          <w:p>
            <w:pPr>
              <w:spacing w:after="20" w:before="20" w:line="240" w:lineRule="auto"/>
            </w:pPr>
            <w:r/>
            <w:r>
              <w:rPr>
                <w:rFonts w:ascii="Times New Roman" w:hAnsi="Times New Roman"/>
                <w:b w:val="0"/>
                <w:sz w:val="13"/>
              </w:rPr>
              <w:t>Stabilized NOI $4,876,800</w:t>
            </w:r>
          </w:p>
        </w:tc>
        <w:tc>
          <w:tcPr>
            <w:tcW w:type="dxa" w:w="2304"/>
          </w:tcPr>
          <w:p>
            <w:pPr>
              <w:spacing w:after="20" w:before="20" w:line="240" w:lineRule="auto"/>
            </w:pPr>
            <w:r/>
            <w:r>
              <w:rPr>
                <w:rFonts w:ascii="Times New Roman" w:hAnsi="Times New Roman"/>
                <w:b w:val="0"/>
                <w:sz w:val="13"/>
              </w:rPr>
              <w:t>Appraisal § 7; Term Sheet § 4; Credit Memorandum § 6.3</w:t>
            </w:r>
          </w:p>
        </w:tc>
        <w:tc>
          <w:tcPr>
            <w:tcW w:type="dxa" w:w="2664"/>
          </w:tcPr>
          <w:p>
            <w:pPr>
              <w:spacing w:after="20" w:before="20" w:line="240" w:lineRule="auto"/>
            </w:pPr>
            <w:r/>
            <w:r>
              <w:rPr>
                <w:rFonts w:ascii="Times New Roman" w:hAnsi="Times New Roman"/>
                <w:b w:val="0"/>
                <w:sz w:val="13"/>
              </w:rPr>
              <w:t>Corroborated; recomputed at Section 8 rows 8–11; omits the Association assessment</w:t>
            </w:r>
          </w:p>
        </w:tc>
        <w:tc>
          <w:tcPr>
            <w:tcW w:type="dxa" w:w="1584"/>
          </w:tcPr>
          <w:p>
            <w:pPr>
              <w:spacing w:after="20" w:before="20" w:line="240" w:lineRule="auto"/>
            </w:pPr>
            <w:r/>
            <w:r>
              <w:rPr>
                <w:rFonts w:ascii="Times New Roman" w:hAnsi="Times New Roman"/>
                <w:b w:val="0"/>
                <w:sz w:val="13"/>
              </w:rPr>
              <w:t>§ 8.11</w:t>
            </w:r>
          </w:p>
        </w:tc>
      </w:tr>
      <w:tr>
        <w:trPr>
          <w:cantSplit w:val="true"/>
        </w:trPr>
        <w:tc>
          <w:tcPr>
            <w:tcW w:type="dxa" w:w="504"/>
          </w:tcPr>
          <w:p>
            <w:pPr>
              <w:spacing w:after="20" w:before="20" w:line="240" w:lineRule="auto"/>
            </w:pPr>
            <w:r/>
            <w:r>
              <w:rPr>
                <w:rFonts w:ascii="Times New Roman" w:hAnsi="Times New Roman"/>
                <w:b w:val="0"/>
                <w:sz w:val="13"/>
              </w:rPr>
              <w:t>A-12</w:t>
            </w:r>
          </w:p>
        </w:tc>
        <w:tc>
          <w:tcPr>
            <w:tcW w:type="dxa" w:w="2304"/>
          </w:tcPr>
          <w:p>
            <w:pPr>
              <w:spacing w:after="20" w:before="20" w:line="240" w:lineRule="auto"/>
            </w:pPr>
            <w:r/>
            <w:r>
              <w:rPr>
                <w:rFonts w:ascii="Times New Roman" w:hAnsi="Times New Roman"/>
                <w:b w:val="0"/>
                <w:sz w:val="13"/>
              </w:rPr>
              <w:t>Total Project Costs $56,700,000; senior $47,500,000; mezzanine $9,200,000; equity $0</w:t>
            </w:r>
          </w:p>
        </w:tc>
        <w:tc>
          <w:tcPr>
            <w:tcW w:type="dxa" w:w="2304"/>
          </w:tcPr>
          <w:p>
            <w:pPr>
              <w:spacing w:after="20" w:before="20" w:line="240" w:lineRule="auto"/>
            </w:pPr>
            <w:r/>
            <w:r>
              <w:rPr>
                <w:rFonts w:ascii="Times New Roman" w:hAnsi="Times New Roman"/>
                <w:b w:val="0"/>
                <w:sz w:val="13"/>
              </w:rPr>
              <w:t>Term Sheet §§ 5.1, 5.2; Credit Memorandum § 5.1; Appraisal § 3; Budget, Summary tab</w:t>
            </w:r>
          </w:p>
        </w:tc>
        <w:tc>
          <w:tcPr>
            <w:tcW w:type="dxa" w:w="2664"/>
          </w:tcPr>
          <w:p>
            <w:pPr>
              <w:spacing w:after="20" w:before="20" w:line="240" w:lineRule="auto"/>
            </w:pPr>
            <w:r/>
            <w:r>
              <w:rPr>
                <w:rFonts w:ascii="Times New Roman" w:hAnsi="Times New Roman"/>
                <w:b w:val="0"/>
                <w:sz w:val="13"/>
              </w:rPr>
              <w:t>Corroborated internally; omits the Existing Mortgage payoff and the items in Section 3.7</w:t>
            </w:r>
          </w:p>
        </w:tc>
        <w:tc>
          <w:tcPr>
            <w:tcW w:type="dxa" w:w="1584"/>
          </w:tcPr>
          <w:p>
            <w:pPr>
              <w:spacing w:after="20" w:before="20" w:line="240" w:lineRule="auto"/>
            </w:pPr>
            <w:r/>
            <w:r>
              <w:rPr>
                <w:rFonts w:ascii="Times New Roman" w:hAnsi="Times New Roman"/>
                <w:b w:val="0"/>
                <w:sz w:val="13"/>
              </w:rPr>
              <w:t>§ 1.1; Ex. C</w:t>
            </w:r>
          </w:p>
        </w:tc>
      </w:tr>
      <w:tr>
        <w:trPr>
          <w:cantSplit w:val="true"/>
        </w:trPr>
        <w:tc>
          <w:tcPr>
            <w:tcW w:type="dxa" w:w="504"/>
          </w:tcPr>
          <w:p>
            <w:pPr>
              <w:spacing w:after="20" w:before="20" w:line="240" w:lineRule="auto"/>
            </w:pPr>
            <w:r/>
            <w:r>
              <w:rPr>
                <w:rFonts w:ascii="Times New Roman" w:hAnsi="Times New Roman"/>
                <w:b w:val="0"/>
                <w:sz w:val="13"/>
              </w:rPr>
              <w:t>A-13</w:t>
            </w:r>
          </w:p>
        </w:tc>
        <w:tc>
          <w:tcPr>
            <w:tcW w:type="dxa" w:w="2304"/>
          </w:tcPr>
          <w:p>
            <w:pPr>
              <w:spacing w:after="20" w:before="20" w:line="240" w:lineRule="auto"/>
            </w:pPr>
            <w:r/>
            <w:r>
              <w:rPr>
                <w:rFonts w:ascii="Times New Roman" w:hAnsi="Times New Roman"/>
                <w:b w:val="0"/>
                <w:sz w:val="13"/>
              </w:rPr>
              <w:t>Loan-to-cost 83.77%; maximum 80%</w:t>
            </w:r>
          </w:p>
        </w:tc>
        <w:tc>
          <w:tcPr>
            <w:tcW w:type="dxa" w:w="2304"/>
          </w:tcPr>
          <w:p>
            <w:pPr>
              <w:spacing w:after="20" w:before="20" w:line="240" w:lineRule="auto"/>
            </w:pPr>
            <w:r/>
            <w:r>
              <w:rPr>
                <w:rFonts w:ascii="Times New Roman" w:hAnsi="Times New Roman"/>
                <w:b w:val="0"/>
                <w:sz w:val="13"/>
              </w:rPr>
              <w:t>Term Sheet § 6.1; Credit Memorandum § 5.3; Budget, Key Financial Metrics</w:t>
            </w:r>
          </w:p>
        </w:tc>
        <w:tc>
          <w:tcPr>
            <w:tcW w:type="dxa" w:w="2664"/>
          </w:tcPr>
          <w:p>
            <w:pPr>
              <w:spacing w:after="20" w:before="20" w:line="240" w:lineRule="auto"/>
            </w:pPr>
            <w:r/>
            <w:r>
              <w:rPr>
                <w:rFonts w:ascii="Times New Roman" w:hAnsi="Times New Roman"/>
                <w:b w:val="0"/>
                <w:sz w:val="13"/>
              </w:rPr>
              <w:t>Corroborated; recomputed</w:t>
            </w:r>
          </w:p>
        </w:tc>
        <w:tc>
          <w:tcPr>
            <w:tcW w:type="dxa" w:w="1584"/>
          </w:tcPr>
          <w:p>
            <w:pPr>
              <w:spacing w:after="20" w:before="20" w:line="240" w:lineRule="auto"/>
            </w:pPr>
            <w:r/>
            <w:r>
              <w:rPr>
                <w:rFonts w:ascii="Times New Roman" w:hAnsi="Times New Roman"/>
                <w:b w:val="0"/>
                <w:sz w:val="13"/>
              </w:rPr>
              <w:t>§§ 2.2, 8.1</w:t>
            </w:r>
          </w:p>
        </w:tc>
      </w:tr>
      <w:tr>
        <w:trPr>
          <w:cantSplit w:val="true"/>
        </w:trPr>
        <w:tc>
          <w:tcPr>
            <w:tcW w:type="dxa" w:w="504"/>
          </w:tcPr>
          <w:p>
            <w:pPr>
              <w:spacing w:after="20" w:before="20" w:line="240" w:lineRule="auto"/>
            </w:pPr>
            <w:r/>
            <w:r>
              <w:rPr>
                <w:rFonts w:ascii="Times New Roman" w:hAnsi="Times New Roman"/>
                <w:b w:val="0"/>
                <w:sz w:val="13"/>
              </w:rPr>
              <w:t>A-14</w:t>
            </w:r>
          </w:p>
        </w:tc>
        <w:tc>
          <w:tcPr>
            <w:tcW w:type="dxa" w:w="2304"/>
          </w:tcPr>
          <w:p>
            <w:pPr>
              <w:spacing w:after="20" w:before="20" w:line="240" w:lineRule="auto"/>
            </w:pPr>
            <w:r/>
            <w:r>
              <w:rPr>
                <w:rFonts w:ascii="Times New Roman" w:hAnsi="Times New Roman"/>
                <w:b w:val="0"/>
                <w:sz w:val="13"/>
              </w:rPr>
              <w:t>Loan-to-value 65.25% / 62.34%; maximum 65%</w:t>
            </w:r>
          </w:p>
        </w:tc>
        <w:tc>
          <w:tcPr>
            <w:tcW w:type="dxa" w:w="2304"/>
          </w:tcPr>
          <w:p>
            <w:pPr>
              <w:spacing w:after="20" w:before="20" w:line="240" w:lineRule="auto"/>
            </w:pPr>
            <w:r/>
            <w:r>
              <w:rPr>
                <w:rFonts w:ascii="Times New Roman" w:hAnsi="Times New Roman"/>
                <w:b w:val="0"/>
                <w:sz w:val="13"/>
              </w:rPr>
              <w:t>Term Sheet §§ 4, 6.2; Appraisal § 10</w:t>
            </w:r>
          </w:p>
        </w:tc>
        <w:tc>
          <w:tcPr>
            <w:tcW w:type="dxa" w:w="2664"/>
          </w:tcPr>
          <w:p>
            <w:pPr>
              <w:spacing w:after="20" w:before="20" w:line="240" w:lineRule="auto"/>
            </w:pPr>
            <w:r/>
            <w:r>
              <w:rPr>
                <w:rFonts w:ascii="Times New Roman" w:hAnsi="Times New Roman"/>
                <w:b w:val="0"/>
                <w:sz w:val="13"/>
              </w:rPr>
              <w:t>Corroborated; the Credit Memorandum § 6.1 compares to a 70% policy maximum instead</w:t>
            </w:r>
          </w:p>
        </w:tc>
        <w:tc>
          <w:tcPr>
            <w:tcW w:type="dxa" w:w="1584"/>
          </w:tcPr>
          <w:p>
            <w:pPr>
              <w:spacing w:after="20" w:before="20" w:line="240" w:lineRule="auto"/>
            </w:pPr>
            <w:r/>
            <w:r>
              <w:rPr>
                <w:rFonts w:ascii="Times New Roman" w:hAnsi="Times New Roman"/>
                <w:b w:val="0"/>
                <w:sz w:val="13"/>
              </w:rPr>
              <w:t>§ 8.2; Sch. 8.11</w:t>
            </w:r>
          </w:p>
        </w:tc>
      </w:tr>
      <w:tr>
        <w:trPr>
          <w:cantSplit w:val="true"/>
        </w:trPr>
        <w:tc>
          <w:tcPr>
            <w:tcW w:type="dxa" w:w="504"/>
          </w:tcPr>
          <w:p>
            <w:pPr>
              <w:spacing w:after="20" w:before="20" w:line="240" w:lineRule="auto"/>
            </w:pPr>
            <w:r/>
            <w:r>
              <w:rPr>
                <w:rFonts w:ascii="Times New Roman" w:hAnsi="Times New Roman"/>
                <w:b w:val="0"/>
                <w:sz w:val="13"/>
              </w:rPr>
              <w:t>A-15</w:t>
            </w:r>
          </w:p>
        </w:tc>
        <w:tc>
          <w:tcPr>
            <w:tcW w:type="dxa" w:w="2304"/>
          </w:tcPr>
          <w:p>
            <w:pPr>
              <w:spacing w:after="20" w:before="20" w:line="240" w:lineRule="auto"/>
            </w:pPr>
            <w:r/>
            <w:r>
              <w:rPr>
                <w:rFonts w:ascii="Times New Roman" w:hAnsi="Times New Roman"/>
                <w:b w:val="0"/>
                <w:sz w:val="13"/>
              </w:rPr>
              <w:t>Interest rate: Daily Simple SOFR + 3.25% / + 3.50%; 1.00% floor; default +5.00%</w:t>
            </w:r>
          </w:p>
        </w:tc>
        <w:tc>
          <w:tcPr>
            <w:tcW w:type="dxa" w:w="2304"/>
          </w:tcPr>
          <w:p>
            <w:pPr>
              <w:spacing w:after="20" w:before="20" w:line="240" w:lineRule="auto"/>
            </w:pPr>
            <w:r/>
            <w:r>
              <w:rPr>
                <w:rFonts w:ascii="Times New Roman" w:hAnsi="Times New Roman"/>
                <w:b w:val="0"/>
                <w:sz w:val="13"/>
              </w:rPr>
              <w:t>Term Sheet § 3.3; Credit Memorandum § 4.1; Budget, Summary tab</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 2.5, 2.6, 2.11; Ex. E</w:t>
            </w:r>
          </w:p>
        </w:tc>
      </w:tr>
      <w:tr>
        <w:trPr>
          <w:cantSplit w:val="true"/>
        </w:trPr>
        <w:tc>
          <w:tcPr>
            <w:tcW w:type="dxa" w:w="504"/>
          </w:tcPr>
          <w:p>
            <w:pPr>
              <w:spacing w:after="20" w:before="20" w:line="240" w:lineRule="auto"/>
            </w:pPr>
            <w:r/>
            <w:r>
              <w:rPr>
                <w:rFonts w:ascii="Times New Roman" w:hAnsi="Times New Roman"/>
                <w:b w:val="0"/>
                <w:sz w:val="13"/>
              </w:rPr>
              <w:t>A-16</w:t>
            </w:r>
          </w:p>
        </w:tc>
        <w:tc>
          <w:tcPr>
            <w:tcW w:type="dxa" w:w="2304"/>
          </w:tcPr>
          <w:p>
            <w:pPr>
              <w:spacing w:after="20" w:before="20" w:line="240" w:lineRule="auto"/>
            </w:pPr>
            <w:r/>
            <w:r>
              <w:rPr>
                <w:rFonts w:ascii="Times New Roman" w:hAnsi="Times New Roman"/>
                <w:b w:val="0"/>
                <w:sz w:val="13"/>
              </w:rPr>
              <w:t>Interest reserve $4,850,000, adequate</w:t>
            </w:r>
          </w:p>
        </w:tc>
        <w:tc>
          <w:tcPr>
            <w:tcW w:type="dxa" w:w="2304"/>
          </w:tcPr>
          <w:p>
            <w:pPr>
              <w:spacing w:after="20" w:before="20" w:line="240" w:lineRule="auto"/>
            </w:pPr>
            <w:r/>
            <w:r>
              <w:rPr>
                <w:rFonts w:ascii="Times New Roman" w:hAnsi="Times New Roman"/>
                <w:b w:val="0"/>
                <w:sz w:val="13"/>
              </w:rPr>
              <w:t>Term Sheet § 10; Credit Memorandum §§ 6.2, 9.2; Budget, Interest Reserve Analysis</w:t>
            </w:r>
          </w:p>
        </w:tc>
        <w:tc>
          <w:tcPr>
            <w:tcW w:type="dxa" w:w="2664"/>
          </w:tcPr>
          <w:p>
            <w:pPr>
              <w:spacing w:after="20" w:before="20" w:line="240" w:lineRule="auto"/>
            </w:pPr>
            <w:r/>
            <w:r>
              <w:rPr>
                <w:rFonts w:ascii="Times New Roman" w:hAnsi="Times New Roman"/>
                <w:b w:val="0"/>
                <w:sz w:val="13"/>
              </w:rPr>
              <w:t>Conflict: surplus of $221,325 at 3.50% SOFR; shortfall of $365,830 at 4.35%; shortfall of $565,000 (Credit Memorandum)</w:t>
            </w:r>
          </w:p>
        </w:tc>
        <w:tc>
          <w:tcPr>
            <w:tcW w:type="dxa" w:w="1584"/>
          </w:tcPr>
          <w:p>
            <w:pPr>
              <w:spacing w:after="20" w:before="20" w:line="240" w:lineRule="auto"/>
            </w:pPr>
            <w:r/>
            <w:r>
              <w:rPr>
                <w:rFonts w:ascii="Times New Roman" w:hAnsi="Times New Roman"/>
                <w:b w:val="0"/>
                <w:sz w:val="13"/>
              </w:rPr>
              <w:t>§§ 2.7, 8.8; Ex. E</w:t>
            </w:r>
          </w:p>
        </w:tc>
      </w:tr>
      <w:tr>
        <w:trPr>
          <w:cantSplit w:val="true"/>
        </w:trPr>
        <w:tc>
          <w:tcPr>
            <w:tcW w:type="dxa" w:w="504"/>
          </w:tcPr>
          <w:p>
            <w:pPr>
              <w:spacing w:after="20" w:before="20" w:line="240" w:lineRule="auto"/>
            </w:pPr>
            <w:r/>
            <w:r>
              <w:rPr>
                <w:rFonts w:ascii="Times New Roman" w:hAnsi="Times New Roman"/>
                <w:b w:val="0"/>
                <w:sz w:val="13"/>
              </w:rPr>
              <w:t>A-17</w:t>
            </w:r>
          </w:p>
        </w:tc>
        <w:tc>
          <w:tcPr>
            <w:tcW w:type="dxa" w:w="2304"/>
          </w:tcPr>
          <w:p>
            <w:pPr>
              <w:spacing w:after="20" w:before="20" w:line="240" w:lineRule="auto"/>
            </w:pPr>
            <w:r/>
            <w:r>
              <w:rPr>
                <w:rFonts w:ascii="Times New Roman" w:hAnsi="Times New Roman"/>
                <w:b w:val="0"/>
                <w:sz w:val="13"/>
              </w:rPr>
              <w:t>Draw schedule: 9 draws totaling $47,500,000 with 10% retainage and a $3,275,000 Draw 9</w:t>
            </w:r>
          </w:p>
        </w:tc>
        <w:tc>
          <w:tcPr>
            <w:tcW w:type="dxa" w:w="2304"/>
          </w:tcPr>
          <w:p>
            <w:pPr>
              <w:spacing w:after="20" w:before="20" w:line="240" w:lineRule="auto"/>
            </w:pPr>
            <w:r/>
            <w:r>
              <w:rPr>
                <w:rFonts w:ascii="Times New Roman" w:hAnsi="Times New Roman"/>
                <w:b w:val="0"/>
                <w:sz w:val="13"/>
              </w:rPr>
              <w:t>Term Sheet § 9.2; Credit Memorandum § 7.1; Budget, Draw Schedule tab</w:t>
            </w:r>
          </w:p>
        </w:tc>
        <w:tc>
          <w:tcPr>
            <w:tcW w:type="dxa" w:w="2664"/>
          </w:tcPr>
          <w:p>
            <w:pPr>
              <w:spacing w:after="20" w:before="20" w:line="240" w:lineRule="auto"/>
            </w:pPr>
            <w:r/>
            <w:r>
              <w:rPr>
                <w:rFonts w:ascii="Times New Roman" w:hAnsi="Times New Roman"/>
                <w:b w:val="0"/>
                <w:sz w:val="13"/>
              </w:rPr>
              <w:t>Conflict: 10% retainage is $3,475,000; Draw 9 components total $4,275,000 in the workbook</w:t>
            </w:r>
          </w:p>
        </w:tc>
        <w:tc>
          <w:tcPr>
            <w:tcW w:type="dxa" w:w="1584"/>
          </w:tcPr>
          <w:p>
            <w:pPr>
              <w:spacing w:after="20" w:before="20" w:line="240" w:lineRule="auto"/>
            </w:pPr>
            <w:r/>
            <w:r>
              <w:rPr>
                <w:rFonts w:ascii="Times New Roman" w:hAnsi="Times New Roman"/>
                <w:b w:val="0"/>
                <w:sz w:val="13"/>
              </w:rPr>
              <w:t>§§ 4.1, 4.4; Ex. D</w:t>
            </w:r>
          </w:p>
        </w:tc>
      </w:tr>
      <w:tr>
        <w:trPr>
          <w:cantSplit w:val="true"/>
        </w:trPr>
        <w:tc>
          <w:tcPr>
            <w:tcW w:type="dxa" w:w="504"/>
          </w:tcPr>
          <w:p>
            <w:pPr>
              <w:spacing w:after="20" w:before="20" w:line="240" w:lineRule="auto"/>
            </w:pPr>
            <w:r/>
            <w:r>
              <w:rPr>
                <w:rFonts w:ascii="Times New Roman" w:hAnsi="Times New Roman"/>
                <w:b w:val="0"/>
                <w:sz w:val="13"/>
              </w:rPr>
              <w:t>A-18</w:t>
            </w:r>
          </w:p>
        </w:tc>
        <w:tc>
          <w:tcPr>
            <w:tcW w:type="dxa" w:w="2304"/>
          </w:tcPr>
          <w:p>
            <w:pPr>
              <w:spacing w:after="20" w:before="20" w:line="240" w:lineRule="auto"/>
            </w:pPr>
            <w:r/>
            <w:r>
              <w:rPr>
                <w:rFonts w:ascii="Times New Roman" w:hAnsi="Times New Roman"/>
                <w:b w:val="0"/>
                <w:sz w:val="13"/>
              </w:rPr>
              <w:t>Title: first-priority lender’s policy of $47,500,000; exceptions as listed; Triangle Commercial Bank deed of trust unreleased</w:t>
            </w:r>
          </w:p>
        </w:tc>
        <w:tc>
          <w:tcPr>
            <w:tcW w:type="dxa" w:w="2304"/>
          </w:tcPr>
          <w:p>
            <w:pPr>
              <w:spacing w:after="20" w:before="20" w:line="240" w:lineRule="auto"/>
            </w:pPr>
            <w:r/>
            <w:r>
              <w:rPr>
                <w:rFonts w:ascii="Times New Roman" w:hAnsi="Times New Roman"/>
                <w:b w:val="0"/>
                <w:sz w:val="13"/>
              </w:rPr>
              <w:t>Title Commitment Sch. A, B-I ¶ 4, B-II ¶¶ 7–13; Term Sheet § 18; Credit Memorandum § 9.7</w:t>
            </w:r>
          </w:p>
        </w:tc>
        <w:tc>
          <w:tcPr>
            <w:tcW w:type="dxa" w:w="2664"/>
          </w:tcPr>
          <w:p>
            <w:pPr>
              <w:spacing w:after="20" w:before="20" w:line="240" w:lineRule="auto"/>
            </w:pPr>
            <w:r/>
            <w:r>
              <w:rPr>
                <w:rFonts w:ascii="Times New Roman" w:hAnsi="Times New Roman"/>
                <w:b w:val="0"/>
                <w:sz w:val="13"/>
              </w:rPr>
              <w:t>Conflict: Term Sheet § 18 omits items 12 and 13 from its Permitted Exceptions but requires all others to be removed</w:t>
            </w:r>
          </w:p>
        </w:tc>
        <w:tc>
          <w:tcPr>
            <w:tcW w:type="dxa" w:w="1584"/>
          </w:tcPr>
          <w:p>
            <w:pPr>
              <w:spacing w:after="20" w:before="20" w:line="240" w:lineRule="auto"/>
            </w:pPr>
            <w:r/>
            <w:r>
              <w:rPr>
                <w:rFonts w:ascii="Times New Roman" w:hAnsi="Times New Roman"/>
                <w:b w:val="0"/>
                <w:sz w:val="13"/>
              </w:rPr>
              <w:t>§§ 3.2, 3.8; Ex. B</w:t>
            </w:r>
          </w:p>
        </w:tc>
      </w:tr>
      <w:tr>
        <w:trPr>
          <w:cantSplit w:val="true"/>
        </w:trPr>
        <w:tc>
          <w:tcPr>
            <w:tcW w:type="dxa" w:w="504"/>
          </w:tcPr>
          <w:p>
            <w:pPr>
              <w:spacing w:after="20" w:before="20" w:line="240" w:lineRule="auto"/>
            </w:pPr>
            <w:r/>
            <w:r>
              <w:rPr>
                <w:rFonts w:ascii="Times New Roman" w:hAnsi="Times New Roman"/>
                <w:b w:val="0"/>
                <w:sz w:val="13"/>
              </w:rPr>
              <w:t>A-19</w:t>
            </w:r>
          </w:p>
        </w:tc>
        <w:tc>
          <w:tcPr>
            <w:tcW w:type="dxa" w:w="2304"/>
          </w:tcPr>
          <w:p>
            <w:pPr>
              <w:spacing w:after="20" w:before="20" w:line="240" w:lineRule="auto"/>
            </w:pPr>
            <w:r/>
            <w:r>
              <w:rPr>
                <w:rFonts w:ascii="Times New Roman" w:hAnsi="Times New Roman"/>
                <w:b w:val="0"/>
                <w:sz w:val="13"/>
              </w:rPr>
              <w:t>REC: former 2,000-gallon diesel UST; contamination above residential but below non-residential standards; 0.38-acre Affected Area</w:t>
            </w:r>
          </w:p>
        </w:tc>
        <w:tc>
          <w:tcPr>
            <w:tcW w:type="dxa" w:w="2304"/>
          </w:tcPr>
          <w:p>
            <w:pPr>
              <w:spacing w:after="20" w:before="20" w:line="240" w:lineRule="auto"/>
            </w:pPr>
            <w:r/>
            <w:r>
              <w:rPr>
                <w:rFonts w:ascii="Times New Roman" w:hAnsi="Times New Roman"/>
                <w:b w:val="0"/>
                <w:sz w:val="13"/>
              </w:rPr>
              <w:t>Phase I ESA §§ 1, 5.2, 8.1; Term Sheet § 17; Credit Memorandum § 8.2</w:t>
            </w:r>
          </w:p>
        </w:tc>
        <w:tc>
          <w:tcPr>
            <w:tcW w:type="dxa" w:w="2664"/>
          </w:tcPr>
          <w:p>
            <w:pPr>
              <w:spacing w:after="20" w:before="20" w:line="240" w:lineRule="auto"/>
            </w:pPr>
            <w:r/>
            <w:r>
              <w:rPr>
                <w:rFonts w:ascii="Times New Roman" w:hAnsi="Times New Roman"/>
                <w:b w:val="0"/>
                <w:sz w:val="13"/>
              </w:rPr>
              <w:t>Corroborated as to condition</w:t>
            </w:r>
          </w:p>
        </w:tc>
        <w:tc>
          <w:tcPr>
            <w:tcW w:type="dxa" w:w="1584"/>
          </w:tcPr>
          <w:p>
            <w:pPr>
              <w:spacing w:after="20" w:before="20" w:line="240" w:lineRule="auto"/>
            </w:pPr>
            <w:r/>
            <w:r>
              <w:rPr>
                <w:rFonts w:ascii="Times New Roman" w:hAnsi="Times New Roman"/>
                <w:b w:val="0"/>
                <w:sz w:val="13"/>
              </w:rPr>
              <w:t>§§ 1.1, 5.10, 10.2</w:t>
            </w:r>
          </w:p>
        </w:tc>
      </w:tr>
      <w:tr>
        <w:trPr>
          <w:cantSplit w:val="true"/>
        </w:trPr>
        <w:tc>
          <w:tcPr>
            <w:tcW w:type="dxa" w:w="504"/>
          </w:tcPr>
          <w:p>
            <w:pPr>
              <w:spacing w:after="20" w:before="20" w:line="240" w:lineRule="auto"/>
            </w:pPr>
            <w:r/>
            <w:r>
              <w:rPr>
                <w:rFonts w:ascii="Times New Roman" w:hAnsi="Times New Roman"/>
                <w:b w:val="0"/>
                <w:sz w:val="13"/>
              </w:rPr>
              <w:t>A-20</w:t>
            </w:r>
          </w:p>
        </w:tc>
        <w:tc>
          <w:tcPr>
            <w:tcW w:type="dxa" w:w="2304"/>
          </w:tcPr>
          <w:p>
            <w:pPr>
              <w:spacing w:after="20" w:before="20" w:line="240" w:lineRule="auto"/>
            </w:pPr>
            <w:r/>
            <w:r>
              <w:rPr>
                <w:rFonts w:ascii="Times New Roman" w:hAnsi="Times New Roman"/>
                <w:b w:val="0"/>
                <w:sz w:val="13"/>
              </w:rPr>
              <w:t>NFA Letter dated September 30, 2024 with four conditions: vapor system, non-residential use restriction, soil management plan, deed notice by November 29, 2024</w:t>
            </w:r>
          </w:p>
        </w:tc>
        <w:tc>
          <w:tcPr>
            <w:tcW w:type="dxa" w:w="2304"/>
          </w:tcPr>
          <w:p>
            <w:pPr>
              <w:spacing w:after="20" w:before="20" w:line="240" w:lineRule="auto"/>
            </w:pPr>
            <w:r/>
            <w:r>
              <w:rPr>
                <w:rFonts w:ascii="Times New Roman" w:hAnsi="Times New Roman"/>
                <w:b w:val="0"/>
                <w:sz w:val="13"/>
              </w:rPr>
              <w:t>Phase I ESA § 7; Term Sheet § 17 (omits conditions 2, 3 and 4); Credit Memorandum § 8.2 (omits the soil management plan and deed notice)</w:t>
            </w:r>
          </w:p>
        </w:tc>
        <w:tc>
          <w:tcPr>
            <w:tcW w:type="dxa" w:w="2664"/>
          </w:tcPr>
          <w:p>
            <w:pPr>
              <w:spacing w:after="20" w:before="20" w:line="240" w:lineRule="auto"/>
            </w:pPr>
            <w:r/>
            <w:r>
              <w:rPr>
                <w:rFonts w:ascii="Times New Roman" w:hAnsi="Times New Roman"/>
                <w:b w:val="0"/>
                <w:sz w:val="13"/>
              </w:rPr>
              <w:t>Conflict by omission</w:t>
            </w:r>
          </w:p>
        </w:tc>
        <w:tc>
          <w:tcPr>
            <w:tcW w:type="dxa" w:w="1584"/>
          </w:tcPr>
          <w:p>
            <w:pPr>
              <w:spacing w:after="20" w:before="20" w:line="240" w:lineRule="auto"/>
            </w:pPr>
            <w:r/>
            <w:r>
              <w:rPr>
                <w:rFonts w:ascii="Times New Roman" w:hAnsi="Times New Roman"/>
                <w:b w:val="0"/>
                <w:sz w:val="13"/>
              </w:rPr>
              <w:t>§§ 3.4, 10.2–10.6; Ex. F</w:t>
            </w:r>
          </w:p>
        </w:tc>
      </w:tr>
      <w:tr>
        <w:trPr>
          <w:cantSplit w:val="true"/>
        </w:trPr>
        <w:tc>
          <w:tcPr>
            <w:tcW w:type="dxa" w:w="504"/>
          </w:tcPr>
          <w:p>
            <w:pPr>
              <w:spacing w:after="20" w:before="20" w:line="240" w:lineRule="auto"/>
            </w:pPr>
            <w:r/>
            <w:r>
              <w:rPr>
                <w:rFonts w:ascii="Times New Roman" w:hAnsi="Times New Roman"/>
                <w:b w:val="0"/>
                <w:sz w:val="13"/>
              </w:rPr>
              <w:t>A-21</w:t>
            </w:r>
          </w:p>
        </w:tc>
        <w:tc>
          <w:tcPr>
            <w:tcW w:type="dxa" w:w="2304"/>
          </w:tcPr>
          <w:p>
            <w:pPr>
              <w:spacing w:after="20" w:before="20" w:line="240" w:lineRule="auto"/>
            </w:pPr>
            <w:r/>
            <w:r>
              <w:rPr>
                <w:rFonts w:ascii="Times New Roman" w:hAnsi="Times New Roman"/>
                <w:b w:val="0"/>
                <w:sz w:val="13"/>
              </w:rPr>
              <w:t>Fourteen residential units are located above the Affected Area</w:t>
            </w:r>
          </w:p>
        </w:tc>
        <w:tc>
          <w:tcPr>
            <w:tcW w:type="dxa" w:w="2304"/>
          </w:tcPr>
          <w:p>
            <w:pPr>
              <w:spacing w:after="20" w:before="20" w:line="240" w:lineRule="auto"/>
            </w:pPr>
            <w:r/>
            <w:r>
              <w:rPr>
                <w:rFonts w:ascii="Times New Roman" w:hAnsi="Times New Roman"/>
                <w:b w:val="0"/>
                <w:sz w:val="13"/>
              </w:rPr>
              <w:t>Credit Memorandum §§ 8.2, 9.5</w:t>
            </w:r>
          </w:p>
        </w:tc>
        <w:tc>
          <w:tcPr>
            <w:tcW w:type="dxa" w:w="2664"/>
          </w:tcPr>
          <w:p>
            <w:pPr>
              <w:spacing w:after="20" w:before="20" w:line="240" w:lineRule="auto"/>
            </w:pPr>
            <w:r/>
            <w:r>
              <w:rPr>
                <w:rFonts w:ascii="Times New Roman" w:hAnsi="Times New Roman"/>
                <w:b w:val="0"/>
                <w:sz w:val="13"/>
              </w:rPr>
              <w:t>Conflict: Phase I ESA § 8.5 expressly declines to verify; Appraisal § 8 expresses no opinion</w:t>
            </w:r>
          </w:p>
        </w:tc>
        <w:tc>
          <w:tcPr>
            <w:tcW w:type="dxa" w:w="1584"/>
          </w:tcPr>
          <w:p>
            <w:pPr>
              <w:spacing w:after="20" w:before="20" w:line="240" w:lineRule="auto"/>
            </w:pPr>
            <w:r/>
            <w:r>
              <w:rPr>
                <w:rFonts w:ascii="Times New Roman" w:hAnsi="Times New Roman"/>
                <w:b w:val="0"/>
                <w:sz w:val="13"/>
              </w:rPr>
              <w:t>§§ 3.4(f), 10.3</w:t>
            </w:r>
          </w:p>
        </w:tc>
      </w:tr>
      <w:tr>
        <w:trPr>
          <w:cantSplit w:val="true"/>
        </w:trPr>
        <w:tc>
          <w:tcPr>
            <w:tcW w:type="dxa" w:w="504"/>
          </w:tcPr>
          <w:p>
            <w:pPr>
              <w:spacing w:after="20" w:before="20" w:line="240" w:lineRule="auto"/>
            </w:pPr>
            <w:r/>
            <w:r>
              <w:rPr>
                <w:rFonts w:ascii="Times New Roman" w:hAnsi="Times New Roman"/>
                <w:b w:val="0"/>
                <w:sz w:val="13"/>
              </w:rPr>
              <w:t>A-22</w:t>
            </w:r>
          </w:p>
        </w:tc>
        <w:tc>
          <w:tcPr>
            <w:tcW w:type="dxa" w:w="2304"/>
          </w:tcPr>
          <w:p>
            <w:pPr>
              <w:spacing w:after="20" w:before="20" w:line="240" w:lineRule="auto"/>
            </w:pPr>
            <w:r/>
            <w:r>
              <w:rPr>
                <w:rFonts w:ascii="Times New Roman" w:hAnsi="Times New Roman"/>
                <w:b w:val="0"/>
                <w:sz w:val="13"/>
              </w:rPr>
              <w:t>Remediation involved excavation of 1,200 cubic yards at a cost of $485,000</w:t>
            </w:r>
          </w:p>
        </w:tc>
        <w:tc>
          <w:tcPr>
            <w:tcW w:type="dxa" w:w="2304"/>
          </w:tcPr>
          <w:p>
            <w:pPr>
              <w:spacing w:after="20" w:before="20" w:line="240" w:lineRule="auto"/>
            </w:pPr>
            <w:r/>
            <w:r>
              <w:rPr>
                <w:rFonts w:ascii="Times New Roman" w:hAnsi="Times New Roman"/>
                <w:b w:val="0"/>
                <w:sz w:val="13"/>
              </w:rPr>
              <w:t>Phase I ESA §§ 6.1, 6.3</w:t>
            </w:r>
          </w:p>
        </w:tc>
        <w:tc>
          <w:tcPr>
            <w:tcW w:type="dxa" w:w="2664"/>
          </w:tcPr>
          <w:p>
            <w:pPr>
              <w:spacing w:after="20" w:before="20" w:line="240" w:lineRule="auto"/>
            </w:pPr>
            <w:r/>
            <w:r>
              <w:rPr>
                <w:rFonts w:ascii="Times New Roman" w:hAnsi="Times New Roman"/>
                <w:b w:val="0"/>
                <w:sz w:val="13"/>
              </w:rPr>
              <w:t>Conflict: 340 cubic yards (Credit Memorandum § 8.2); 320 cubic yards (Appraisal § 8)</w:t>
            </w:r>
          </w:p>
        </w:tc>
        <w:tc>
          <w:tcPr>
            <w:tcW w:type="dxa" w:w="1584"/>
          </w:tcPr>
          <w:p>
            <w:pPr>
              <w:spacing w:after="20" w:before="20" w:line="240" w:lineRule="auto"/>
            </w:pPr>
            <w:r/>
            <w:r>
              <w:rPr>
                <w:rFonts w:ascii="Times New Roman" w:hAnsi="Times New Roman"/>
                <w:b w:val="0"/>
                <w:sz w:val="13"/>
              </w:rPr>
              <w:t>§ 5.10</w:t>
            </w:r>
          </w:p>
        </w:tc>
      </w:tr>
      <w:tr>
        <w:trPr>
          <w:cantSplit w:val="true"/>
        </w:trPr>
        <w:tc>
          <w:tcPr>
            <w:tcW w:type="dxa" w:w="504"/>
          </w:tcPr>
          <w:p>
            <w:pPr>
              <w:spacing w:after="20" w:before="20" w:line="240" w:lineRule="auto"/>
            </w:pPr>
            <w:r/>
            <w:r>
              <w:rPr>
                <w:rFonts w:ascii="Times New Roman" w:hAnsi="Times New Roman"/>
                <w:b w:val="0"/>
                <w:sz w:val="13"/>
              </w:rPr>
              <w:t>A-23</w:t>
            </w:r>
          </w:p>
        </w:tc>
        <w:tc>
          <w:tcPr>
            <w:tcW w:type="dxa" w:w="2304"/>
          </w:tcPr>
          <w:p>
            <w:pPr>
              <w:spacing w:after="20" w:before="20" w:line="240" w:lineRule="auto"/>
            </w:pPr>
            <w:r/>
            <w:r>
              <w:rPr>
                <w:rFonts w:ascii="Times New Roman" w:hAnsi="Times New Roman"/>
                <w:b w:val="0"/>
                <w:sz w:val="13"/>
              </w:rPr>
              <w:t>CC&amp;Rs include architectural review, an assessment of $0.12/sf of GBA, and an injunction remedy</w:t>
            </w:r>
          </w:p>
        </w:tc>
        <w:tc>
          <w:tcPr>
            <w:tcW w:type="dxa" w:w="2304"/>
          </w:tcPr>
          <w:p>
            <w:pPr>
              <w:spacing w:after="20" w:before="20" w:line="240" w:lineRule="auto"/>
            </w:pPr>
            <w:r/>
            <w:r>
              <w:rPr>
                <w:rFonts w:ascii="Times New Roman" w:hAnsi="Times New Roman"/>
                <w:b w:val="0"/>
                <w:sz w:val="13"/>
              </w:rPr>
              <w:t>Title Commitment Sch. B-II ¶ 11</w:t>
            </w:r>
          </w:p>
        </w:tc>
        <w:tc>
          <w:tcPr>
            <w:tcW w:type="dxa" w:w="2664"/>
          </w:tcPr>
          <w:p>
            <w:pPr>
              <w:spacing w:after="20" w:before="20" w:line="240" w:lineRule="auto"/>
            </w:pPr>
            <w:r/>
            <w:r>
              <w:rPr>
                <w:rFonts w:ascii="Times New Roman" w:hAnsi="Times New Roman"/>
                <w:b w:val="0"/>
                <w:sz w:val="13"/>
              </w:rPr>
              <w:t>Conflict: Appraisal § 2 states the design has been approved; the title officer states approval has not been evidenced</w:t>
            </w:r>
          </w:p>
        </w:tc>
        <w:tc>
          <w:tcPr>
            <w:tcW w:type="dxa" w:w="1584"/>
          </w:tcPr>
          <w:p>
            <w:pPr>
              <w:spacing w:after="20" w:before="20" w:line="240" w:lineRule="auto"/>
            </w:pPr>
            <w:r/>
            <w:r>
              <w:rPr>
                <w:rFonts w:ascii="Times New Roman" w:hAnsi="Times New Roman"/>
                <w:b w:val="0"/>
                <w:sz w:val="13"/>
              </w:rPr>
              <w:t>§§ 3.12(d), 6.5; Ex. B item 4</w:t>
            </w:r>
          </w:p>
        </w:tc>
      </w:tr>
      <w:tr>
        <w:trPr>
          <w:cantSplit w:val="true"/>
        </w:trPr>
        <w:tc>
          <w:tcPr>
            <w:tcW w:type="dxa" w:w="504"/>
          </w:tcPr>
          <w:p>
            <w:pPr>
              <w:spacing w:after="20" w:before="20" w:line="240" w:lineRule="auto"/>
            </w:pPr>
            <w:r/>
            <w:r>
              <w:rPr>
                <w:rFonts w:ascii="Times New Roman" w:hAnsi="Times New Roman"/>
                <w:b w:val="0"/>
                <w:sz w:val="13"/>
              </w:rPr>
              <w:t>A-24</w:t>
            </w:r>
          </w:p>
        </w:tc>
        <w:tc>
          <w:tcPr>
            <w:tcW w:type="dxa" w:w="2304"/>
          </w:tcPr>
          <w:p>
            <w:pPr>
              <w:spacing w:after="20" w:before="20" w:line="240" w:lineRule="auto"/>
            </w:pPr>
            <w:r/>
            <w:r>
              <w:rPr>
                <w:rFonts w:ascii="Times New Roman" w:hAnsi="Times New Roman"/>
                <w:b w:val="0"/>
                <w:sz w:val="13"/>
              </w:rPr>
              <w:t>Operating Agreement requires 75% member approval for financing over $1,000,000, bankruptcy and amendments; permits dilution on unfunded capital calls</w:t>
            </w:r>
          </w:p>
        </w:tc>
        <w:tc>
          <w:tcPr>
            <w:tcW w:type="dxa" w:w="2304"/>
          </w:tcPr>
          <w:p>
            <w:pPr>
              <w:spacing w:after="20" w:before="20" w:line="240" w:lineRule="auto"/>
            </w:pPr>
            <w:r/>
            <w:r>
              <w:rPr>
                <w:rFonts w:ascii="Times New Roman" w:hAnsi="Times New Roman"/>
                <w:b w:val="0"/>
                <w:sz w:val="13"/>
              </w:rPr>
              <w:t>Operating Agreement §§ 3.2, 5.3, 9.1</w:t>
            </w:r>
          </w:p>
        </w:tc>
        <w:tc>
          <w:tcPr>
            <w:tcW w:type="dxa" w:w="2664"/>
          </w:tcPr>
          <w:p>
            <w:pPr>
              <w:spacing w:after="20" w:before="20" w:line="240" w:lineRule="auto"/>
            </w:pPr>
            <w:r/>
            <w:r>
              <w:rPr>
                <w:rFonts w:ascii="Times New Roman" w:hAnsi="Times New Roman"/>
                <w:b w:val="0"/>
                <w:sz w:val="13"/>
              </w:rPr>
              <w:t>Corroborated by the Org. Chart’s own analysis</w:t>
            </w:r>
          </w:p>
        </w:tc>
        <w:tc>
          <w:tcPr>
            <w:tcW w:type="dxa" w:w="1584"/>
          </w:tcPr>
          <w:p>
            <w:pPr>
              <w:spacing w:after="20" w:before="20" w:line="240" w:lineRule="auto"/>
            </w:pPr>
            <w:r/>
            <w:r>
              <w:rPr>
                <w:rFonts w:ascii="Times New Roman" w:hAnsi="Times New Roman"/>
                <w:b w:val="0"/>
                <w:sz w:val="13"/>
              </w:rPr>
              <w:t>§§ 3.6, 7.4, 7.10, 11.4</w:t>
            </w:r>
          </w:p>
        </w:tc>
      </w:tr>
      <w:tr>
        <w:trPr>
          <w:cantSplit w:val="true"/>
        </w:trPr>
        <w:tc>
          <w:tcPr>
            <w:tcW w:type="dxa" w:w="504"/>
          </w:tcPr>
          <w:p>
            <w:pPr>
              <w:spacing w:after="20" w:before="20" w:line="240" w:lineRule="auto"/>
            </w:pPr>
            <w:r/>
            <w:r>
              <w:rPr>
                <w:rFonts w:ascii="Times New Roman" w:hAnsi="Times New Roman"/>
                <w:b w:val="0"/>
                <w:sz w:val="13"/>
              </w:rPr>
              <w:t>A-25</w:t>
            </w:r>
          </w:p>
        </w:tc>
        <w:tc>
          <w:tcPr>
            <w:tcW w:type="dxa" w:w="2304"/>
          </w:tcPr>
          <w:p>
            <w:pPr>
              <w:spacing w:after="20" w:before="20" w:line="240" w:lineRule="auto"/>
            </w:pPr>
            <w:r/>
            <w:r>
              <w:rPr>
                <w:rFonts w:ascii="Times New Roman" w:hAnsi="Times New Roman"/>
                <w:b w:val="0"/>
                <w:sz w:val="13"/>
              </w:rPr>
              <w:t>No independent manager, separateness covenants or non-consolidation opinion currently exist</w:t>
            </w:r>
          </w:p>
        </w:tc>
        <w:tc>
          <w:tcPr>
            <w:tcW w:type="dxa" w:w="2304"/>
          </w:tcPr>
          <w:p>
            <w:pPr>
              <w:spacing w:after="20" w:before="20" w:line="240" w:lineRule="auto"/>
            </w:pPr>
            <w:r/>
            <w:r>
              <w:rPr>
                <w:rFonts w:ascii="Times New Roman" w:hAnsi="Times New Roman"/>
                <w:b w:val="0"/>
                <w:sz w:val="13"/>
              </w:rPr>
              <w:t>Org. Chart §§ 1.1, 2.2; Credit Memorandum §§ 2.1, 9.3</w:t>
            </w:r>
          </w:p>
        </w:tc>
        <w:tc>
          <w:tcPr>
            <w:tcW w:type="dxa" w:w="2664"/>
          </w:tcPr>
          <w:p>
            <w:pPr>
              <w:spacing w:after="20" w:before="20" w:line="240" w:lineRule="auto"/>
            </w:pPr>
            <w:r/>
            <w:r>
              <w:rPr>
                <w:rFonts w:ascii="Times New Roman" w:hAnsi="Times New Roman"/>
                <w:b w:val="0"/>
                <w:sz w:val="13"/>
              </w:rPr>
              <w:t>Corroborated</w:t>
            </w:r>
          </w:p>
        </w:tc>
        <w:tc>
          <w:tcPr>
            <w:tcW w:type="dxa" w:w="1584"/>
          </w:tcPr>
          <w:p>
            <w:pPr>
              <w:spacing w:after="20" w:before="20" w:line="240" w:lineRule="auto"/>
            </w:pPr>
            <w:r/>
            <w:r>
              <w:rPr>
                <w:rFonts w:ascii="Times New Roman" w:hAnsi="Times New Roman"/>
                <w:b w:val="0"/>
                <w:sz w:val="13"/>
              </w:rPr>
              <w:t>§§ 3.6, 11.1–11.5</w:t>
            </w:r>
          </w:p>
        </w:tc>
      </w:tr>
      <w:tr>
        <w:trPr>
          <w:cantSplit w:val="true"/>
        </w:trPr>
        <w:tc>
          <w:tcPr>
            <w:tcW w:type="dxa" w:w="504"/>
          </w:tcPr>
          <w:p>
            <w:pPr>
              <w:spacing w:after="20" w:before="20" w:line="240" w:lineRule="auto"/>
            </w:pPr>
            <w:r/>
            <w:r>
              <w:rPr>
                <w:rFonts w:ascii="Times New Roman" w:hAnsi="Times New Roman"/>
                <w:b w:val="0"/>
                <w:sz w:val="13"/>
              </w:rPr>
              <w:t>A-26</w:t>
            </w:r>
          </w:p>
        </w:tc>
        <w:tc>
          <w:tcPr>
            <w:tcW w:type="dxa" w:w="2304"/>
          </w:tcPr>
          <w:p>
            <w:pPr>
              <w:spacing w:after="20" w:before="20" w:line="240" w:lineRule="auto"/>
            </w:pPr>
            <w:r/>
            <w:r>
              <w:rPr>
                <w:rFonts w:ascii="Times New Roman" w:hAnsi="Times New Roman"/>
                <w:b w:val="0"/>
                <w:sz w:val="13"/>
              </w:rPr>
              <w:t>Guarantors: net worth $29,800,000 and $11,500,000; liquidity $9,300,000; 25% partial repayment guaranty of $11,875,000</w:t>
            </w:r>
          </w:p>
        </w:tc>
        <w:tc>
          <w:tcPr>
            <w:tcW w:type="dxa" w:w="2304"/>
          </w:tcPr>
          <w:p>
            <w:pPr>
              <w:spacing w:after="20" w:before="20" w:line="240" w:lineRule="auto"/>
            </w:pPr>
            <w:r/>
            <w:r>
              <w:rPr>
                <w:rFonts w:ascii="Times New Roman" w:hAnsi="Times New Roman"/>
                <w:b w:val="0"/>
                <w:sz w:val="13"/>
              </w:rPr>
              <w:t>Term Sheet §§ 1.3, 6.5, 7.3; Credit Memorandum § 2.3; Org. Chart § 1.2</w:t>
            </w:r>
          </w:p>
        </w:tc>
        <w:tc>
          <w:tcPr>
            <w:tcW w:type="dxa" w:w="2664"/>
          </w:tcPr>
          <w:p>
            <w:pPr>
              <w:spacing w:after="20" w:before="20" w:line="240" w:lineRule="auto"/>
            </w:pPr>
            <w:r/>
            <w:r>
              <w:rPr>
                <w:rFonts w:ascii="Times New Roman" w:hAnsi="Times New Roman"/>
                <w:b w:val="0"/>
                <w:sz w:val="13"/>
              </w:rPr>
              <w:t>Corroborated; the per-guarantor versus aggregate cap is ambiguous</w:t>
            </w:r>
          </w:p>
        </w:tc>
        <w:tc>
          <w:tcPr>
            <w:tcW w:type="dxa" w:w="1584"/>
          </w:tcPr>
          <w:p>
            <w:pPr>
              <w:spacing w:after="20" w:before="20" w:line="240" w:lineRule="auto"/>
            </w:pPr>
            <w:r/>
            <w:r>
              <w:rPr>
                <w:rFonts w:ascii="Times New Roman" w:hAnsi="Times New Roman"/>
                <w:b w:val="0"/>
                <w:sz w:val="13"/>
              </w:rPr>
              <w:t>§§ 8.5, 13.3</w:t>
            </w:r>
          </w:p>
        </w:tc>
      </w:tr>
      <w:tr>
        <w:trPr>
          <w:cantSplit w:val="true"/>
        </w:trPr>
        <w:tc>
          <w:tcPr>
            <w:tcW w:type="dxa" w:w="504"/>
          </w:tcPr>
          <w:p>
            <w:pPr>
              <w:spacing w:after="20" w:before="20" w:line="240" w:lineRule="auto"/>
            </w:pPr>
            <w:r/>
            <w:r>
              <w:rPr>
                <w:rFonts w:ascii="Times New Roman" w:hAnsi="Times New Roman"/>
                <w:b w:val="0"/>
                <w:sz w:val="13"/>
              </w:rPr>
              <w:t>A-27</w:t>
            </w:r>
          </w:p>
        </w:tc>
        <w:tc>
          <w:tcPr>
            <w:tcW w:type="dxa" w:w="2304"/>
          </w:tcPr>
          <w:p>
            <w:pPr>
              <w:spacing w:after="20" w:before="20" w:line="240" w:lineRule="auto"/>
            </w:pPr>
            <w:r/>
            <w:r>
              <w:rPr>
                <w:rFonts w:ascii="Times New Roman" w:hAnsi="Times New Roman"/>
                <w:b w:val="0"/>
                <w:sz w:val="13"/>
              </w:rPr>
              <w:t>Builder’s risk of $34,750,000; general liability $5,000,000/$10,000,000; umbrella $10,000,000</w:t>
            </w:r>
          </w:p>
        </w:tc>
        <w:tc>
          <w:tcPr>
            <w:tcW w:type="dxa" w:w="2304"/>
          </w:tcPr>
          <w:p>
            <w:pPr>
              <w:spacing w:after="20" w:before="20" w:line="240" w:lineRule="auto"/>
            </w:pPr>
            <w:r/>
            <w:r>
              <w:rPr>
                <w:rFonts w:ascii="Times New Roman" w:hAnsi="Times New Roman"/>
                <w:b w:val="0"/>
                <w:sz w:val="13"/>
              </w:rPr>
              <w:t>Term Sheet § 19; Credit Memorandum § 8.1</w:t>
            </w:r>
          </w:p>
        </w:tc>
        <w:tc>
          <w:tcPr>
            <w:tcW w:type="dxa" w:w="2664"/>
          </w:tcPr>
          <w:p>
            <w:pPr>
              <w:spacing w:after="20" w:before="20" w:line="240" w:lineRule="auto"/>
            </w:pPr>
            <w:r/>
            <w:r>
              <w:rPr>
                <w:rFonts w:ascii="Times New Roman" w:hAnsi="Times New Roman"/>
                <w:b w:val="0"/>
                <w:sz w:val="13"/>
              </w:rPr>
              <w:t>Corroborated; the builder’s risk limit is less than half of the as-completed value</w:t>
            </w:r>
          </w:p>
        </w:tc>
        <w:tc>
          <w:tcPr>
            <w:tcW w:type="dxa" w:w="1584"/>
          </w:tcPr>
          <w:p>
            <w:pPr>
              <w:spacing w:after="20" w:before="20" w:line="240" w:lineRule="auto"/>
            </w:pPr>
            <w:r/>
            <w:r>
              <w:rPr>
                <w:rFonts w:ascii="Times New Roman" w:hAnsi="Times New Roman"/>
                <w:b w:val="0"/>
                <w:sz w:val="13"/>
              </w:rPr>
              <w:t>§ 9.1</w:t>
            </w:r>
          </w:p>
        </w:tc>
      </w:tr>
      <w:tr>
        <w:trPr>
          <w:cantSplit w:val="true"/>
        </w:trPr>
        <w:tc>
          <w:tcPr>
            <w:tcW w:type="dxa" w:w="504"/>
          </w:tcPr>
          <w:p>
            <w:pPr>
              <w:spacing w:after="20" w:before="20" w:line="240" w:lineRule="auto"/>
            </w:pPr>
            <w:r/>
            <w:r>
              <w:rPr>
                <w:rFonts w:ascii="Times New Roman" w:hAnsi="Times New Roman"/>
                <w:b w:val="0"/>
                <w:sz w:val="13"/>
              </w:rPr>
              <w:t>A-28</w:t>
            </w:r>
          </w:p>
        </w:tc>
        <w:tc>
          <w:tcPr>
            <w:tcW w:type="dxa" w:w="2304"/>
          </w:tcPr>
          <w:p>
            <w:pPr>
              <w:spacing w:after="20" w:before="20" w:line="240" w:lineRule="auto"/>
            </w:pPr>
            <w:r/>
            <w:r>
              <w:rPr>
                <w:rFonts w:ascii="Times New Roman" w:hAnsi="Times New Roman"/>
                <w:b w:val="0"/>
                <w:sz w:val="13"/>
              </w:rPr>
              <w:t>Property is in Zone X; FEMA panel cited as 3710406400J (2019) and 3720098700J (2009)</w:t>
            </w:r>
          </w:p>
        </w:tc>
        <w:tc>
          <w:tcPr>
            <w:tcW w:type="dxa" w:w="2304"/>
          </w:tcPr>
          <w:p>
            <w:pPr>
              <w:spacing w:after="20" w:before="20" w:line="240" w:lineRule="auto"/>
            </w:pPr>
            <w:r/>
            <w:r>
              <w:rPr>
                <w:rFonts w:ascii="Times New Roman" w:hAnsi="Times New Roman"/>
                <w:b w:val="0"/>
                <w:sz w:val="13"/>
              </w:rPr>
              <w:t>Appraisal § 2; Phase I ESA § 2.3</w:t>
            </w:r>
          </w:p>
        </w:tc>
        <w:tc>
          <w:tcPr>
            <w:tcW w:type="dxa" w:w="2664"/>
          </w:tcPr>
          <w:p>
            <w:pPr>
              <w:spacing w:after="20" w:before="20" w:line="240" w:lineRule="auto"/>
            </w:pPr>
            <w:r/>
            <w:r>
              <w:rPr>
                <w:rFonts w:ascii="Times New Roman" w:hAnsi="Times New Roman"/>
                <w:b w:val="0"/>
                <w:sz w:val="13"/>
              </w:rPr>
              <w:t>Conflict as to the panel and effective date; consistent as to the zone</w:t>
            </w:r>
          </w:p>
        </w:tc>
        <w:tc>
          <w:tcPr>
            <w:tcW w:type="dxa" w:w="1584"/>
          </w:tcPr>
          <w:p>
            <w:pPr>
              <w:spacing w:after="20" w:before="20" w:line="240" w:lineRule="auto"/>
            </w:pPr>
            <w:r/>
            <w:r>
              <w:rPr>
                <w:rFonts w:ascii="Times New Roman" w:hAnsi="Times New Roman"/>
                <w:b w:val="0"/>
                <w:sz w:val="13"/>
              </w:rPr>
              <w:t>§ 3.10; § 9.1(f)</w:t>
            </w:r>
          </w:p>
        </w:tc>
      </w:tr>
      <w:tr>
        <w:trPr>
          <w:cantSplit w:val="true"/>
        </w:trPr>
        <w:tc>
          <w:tcPr>
            <w:tcW w:type="dxa" w:w="504"/>
          </w:tcPr>
          <w:p>
            <w:pPr>
              <w:spacing w:after="20" w:before="20" w:line="240" w:lineRule="auto"/>
            </w:pPr>
            <w:r/>
            <w:r>
              <w:rPr>
                <w:rFonts w:ascii="Times New Roman" w:hAnsi="Times New Roman"/>
                <w:b w:val="0"/>
                <w:sz w:val="13"/>
              </w:rPr>
              <w:t>A-29</w:t>
            </w:r>
          </w:p>
        </w:tc>
        <w:tc>
          <w:tcPr>
            <w:tcW w:type="dxa" w:w="2304"/>
          </w:tcPr>
          <w:p>
            <w:pPr>
              <w:spacing w:after="20" w:before="20" w:line="240" w:lineRule="auto"/>
            </w:pPr>
            <w:r/>
            <w:r>
              <w:rPr>
                <w:rFonts w:ascii="Times New Roman" w:hAnsi="Times New Roman"/>
                <w:b w:val="0"/>
                <w:sz w:val="13"/>
              </w:rPr>
              <w:t>Zoning is MU-D and the Project is permitted as of right, with no variance or special use permit</w:t>
            </w:r>
          </w:p>
        </w:tc>
        <w:tc>
          <w:tcPr>
            <w:tcW w:type="dxa" w:w="2304"/>
          </w:tcPr>
          <w:p>
            <w:pPr>
              <w:spacing w:after="20" w:before="20" w:line="240" w:lineRule="auto"/>
            </w:pPr>
            <w:r/>
            <w:r>
              <w:rPr>
                <w:rFonts w:ascii="Times New Roman" w:hAnsi="Times New Roman"/>
                <w:b w:val="0"/>
                <w:sz w:val="13"/>
              </w:rPr>
              <w:t>Term Sheet § 2; Credit Memorandum § 3.1; Appraisal § 2</w:t>
            </w:r>
          </w:p>
        </w:tc>
        <w:tc>
          <w:tcPr>
            <w:tcW w:type="dxa" w:w="2664"/>
          </w:tcPr>
          <w:p>
            <w:pPr>
              <w:spacing w:after="20" w:before="20" w:line="240" w:lineRule="auto"/>
            </w:pPr>
            <w:r/>
            <w:r>
              <w:rPr>
                <w:rFonts w:ascii="Times New Roman" w:hAnsi="Times New Roman"/>
                <w:b w:val="0"/>
                <w:sz w:val="13"/>
              </w:rPr>
              <w:t>Corroborated; the parking-maximum question in Sch. B-II ¶ 12 is unresolved</w:t>
            </w:r>
          </w:p>
        </w:tc>
        <w:tc>
          <w:tcPr>
            <w:tcW w:type="dxa" w:w="1584"/>
          </w:tcPr>
          <w:p>
            <w:pPr>
              <w:spacing w:after="20" w:before="20" w:line="240" w:lineRule="auto"/>
            </w:pPr>
            <w:r/>
            <w:r>
              <w:rPr>
                <w:rFonts w:ascii="Times New Roman" w:hAnsi="Times New Roman"/>
                <w:b w:val="0"/>
                <w:sz w:val="13"/>
              </w:rPr>
              <w:t>§§ 5.5, 3.12</w:t>
            </w:r>
          </w:p>
        </w:tc>
      </w:tr>
      <w:tr>
        <w:trPr>
          <w:cantSplit w:val="true"/>
        </w:trPr>
        <w:tc>
          <w:tcPr>
            <w:tcW w:type="dxa" w:w="504"/>
          </w:tcPr>
          <w:p>
            <w:pPr>
              <w:spacing w:after="20" w:before="20" w:line="240" w:lineRule="auto"/>
            </w:pPr>
            <w:r/>
            <w:r>
              <w:rPr>
                <w:rFonts w:ascii="Times New Roman" w:hAnsi="Times New Roman"/>
                <w:b w:val="0"/>
                <w:sz w:val="13"/>
              </w:rPr>
              <w:t>A-30</w:t>
            </w:r>
          </w:p>
        </w:tc>
        <w:tc>
          <w:tcPr>
            <w:tcW w:type="dxa" w:w="2304"/>
          </w:tcPr>
          <w:p>
            <w:pPr>
              <w:spacing w:after="20" w:before="20" w:line="240" w:lineRule="auto"/>
            </w:pPr>
            <w:r/>
            <w:r>
              <w:rPr>
                <w:rFonts w:ascii="Times New Roman" w:hAnsi="Times New Roman"/>
                <w:b w:val="0"/>
                <w:sz w:val="13"/>
              </w:rPr>
              <w:t>Construction is 30 months; Construction Maturity August 28, 2027; Mini-Perm August 28, 2028; extension to February 28, 2029</w:t>
            </w:r>
          </w:p>
        </w:tc>
        <w:tc>
          <w:tcPr>
            <w:tcW w:type="dxa" w:w="2304"/>
          </w:tcPr>
          <w:p>
            <w:pPr>
              <w:spacing w:after="20" w:before="20" w:line="240" w:lineRule="auto"/>
            </w:pPr>
            <w:r/>
            <w:r>
              <w:rPr>
                <w:rFonts w:ascii="Times New Roman" w:hAnsi="Times New Roman"/>
                <w:b w:val="0"/>
                <w:sz w:val="13"/>
              </w:rPr>
              <w:t>Term Sheet §§ 3.2, 7.1; Credit Memorandum § 4.1</w:t>
            </w:r>
          </w:p>
        </w:tc>
        <w:tc>
          <w:tcPr>
            <w:tcW w:type="dxa" w:w="2664"/>
          </w:tcPr>
          <w:p>
            <w:pPr>
              <w:spacing w:after="20" w:before="20" w:line="240" w:lineRule="auto"/>
            </w:pPr>
            <w:r/>
            <w:r>
              <w:rPr>
                <w:rFonts w:ascii="Times New Roman" w:hAnsi="Times New Roman"/>
                <w:b w:val="0"/>
                <w:sz w:val="13"/>
              </w:rPr>
              <w:t>Corroborated; the Term Sheet’s own Completion Guaranty date precedes the projected substantial completion date</w:t>
            </w:r>
          </w:p>
        </w:tc>
        <w:tc>
          <w:tcPr>
            <w:tcW w:type="dxa" w:w="1584"/>
          </w:tcPr>
          <w:p>
            <w:pPr>
              <w:spacing w:after="20" w:before="20" w:line="240" w:lineRule="auto"/>
            </w:pPr>
            <w:r/>
            <w:r>
              <w:rPr>
                <w:rFonts w:ascii="Times New Roman" w:hAnsi="Times New Roman"/>
                <w:b w:val="0"/>
                <w:sz w:val="13"/>
              </w:rPr>
              <w:t>§§ 2.13, 6.2, 13.1</w:t>
            </w:r>
          </w:p>
        </w:tc>
      </w:tr>
    </w:tbl>
    <w:p>
      <w:pPr>
        <w:spacing w:after="160" w:before="0" w:line="240" w:lineRule="auto"/>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44444"/>
        <w:sz w:val="17"/>
      </w:rPr>
      <w:t xml:space="preserve">Memorandum to Pinnacle Savings Bank, N.A. — CRE-2025-0342   |   Page </w:t>
    </w:r>
    <w:r>
      <w:rPr>
        <w:rFonts w:ascii="Times New Roman" w:hAnsi="Times New Roman"/>
        <w:sz w:val="17"/>
      </w:rPr>
      <w:fldChar w:fldCharType="begin"/>
    </w:r>
    <w:r>
      <w:rPr>
        <w:rFonts w:ascii="Times New Roman" w:hAnsi="Times New Roman"/>
        <w:sz w:val="17"/>
      </w:rPr>
      <w:instrText xml:space="preserve"> PAGE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r>
      <w:rPr>
        <w:rFonts w:ascii="Times New Roman" w:hAnsi="Times New Roman"/>
        <w:color w:val="444444"/>
        <w:sz w:val="17"/>
      </w:rPr>
      <w:t xml:space="preserve"> of </w:t>
    </w:r>
    <w:r>
      <w:rPr>
        <w:rFonts w:ascii="Times New Roman" w:hAnsi="Times New Roman"/>
        <w:sz w:val="17"/>
      </w:rPr>
      <w:fldChar w:fldCharType="begin"/>
    </w:r>
    <w:r>
      <w:rPr>
        <w:rFonts w:ascii="Times New Roman" w:hAnsi="Times New Roman"/>
        <w:sz w:val="17"/>
      </w:rPr>
      <w:instrText xml:space="preserve"> NUMPAGES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888888"/>
      </w:pBdr>
    </w:pPr>
    <w:r/>
    <w:r>
      <w:rPr>
        <w:rFonts w:ascii="Times New Roman" w:hAnsi="Times New Roman"/>
        <w:i/>
        <w:color w:val="444444"/>
        <w:sz w:val="17"/>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