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353"/>
          <w:sz w:val="30"/>
        </w:rPr>
        <w:t>ASHFORD, CROMDALE CONSULTING &amp; LAINE LLP</w:t>
      </w:r>
    </w:p>
    <w:p>
      <w:pPr>
        <w:spacing w:after="0"/>
        <w:jc w:val="center"/>
      </w:pPr>
      <w:r>
        <w:rPr>
          <w:i/>
          <w:color w:val="555555"/>
          <w:sz w:val="18"/>
        </w:rPr>
        <w:t>Attorneys at Law</w:t>
      </w:r>
    </w:p>
    <w:p>
      <w:pPr>
        <w:spacing w:after="40"/>
        <w:jc w:val="center"/>
      </w:pPr>
      <w:r>
        <w:rPr>
          <w:color w:val="555555"/>
          <w:sz w:val="16"/>
        </w:rPr>
        <w:t>411 South Tryon Street, Suite 2800  •  Charlotte, North Carolina 28202  •  (704) 555-2100</w:t>
      </w:r>
    </w:p>
    <w:p>
      <w:pPr>
        <w:spacing w:before="40" w:after="120"/>
        <w:pBdr>
          <w:bottom w:val="single" w:sz="6" w:space="1" w:color="1F3353"/>
        </w:pBdr>
      </w:pPr>
    </w:p>
    <w:p>
      <w:pPr>
        <w:spacing w:before="80" w:after="200"/>
        <w:jc w:val="center"/>
      </w:pPr>
      <w:r>
        <w:rPr>
          <w:b/>
          <w:color w:val="8B1A1A"/>
          <w:sz w:val="17"/>
        </w:rPr>
        <w:t>PRIVILEGED AND CONFIDENTIAL — ATTORNEY-CLIENT COMMUNICATION — ATTORNEY WORK PRODUCT</w:t>
      </w:r>
    </w:p>
    <w:p>
      <w:pPr>
        <w:spacing w:before="40" w:after="160"/>
      </w:pPr>
      <w:r>
        <w:rPr>
          <w:b/>
          <w:color w:val="1F3353"/>
          <w:sz w:val="24"/>
        </w:rPr>
        <w:t>MEMORANDUM</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1"/>
        <w:gridCol w:w="7099"/>
      </w:tblGrid>
      <w:tr>
        <w:trPr>
          <w:cantSplit/>
        </w:trPr>
        <w:tc>
          <w:tcPr>
            <w:tcW w:type="dxa" w:w="1901"/>
          </w:tcPr>
          <w:p>
            <w:pPr>
              <w:spacing w:after="20" w:before="20"/>
            </w:pPr>
            <w:r/>
            <w:r>
              <w:rPr>
                <w:b/>
                <w:sz w:val="18"/>
              </w:rPr>
              <w:t>TO:</w:t>
            </w:r>
          </w:p>
        </w:tc>
        <w:tc>
          <w:tcPr>
            <w:tcW w:type="dxa" w:w="7099"/>
          </w:tcPr>
          <w:p>
            <w:pPr>
              <w:spacing w:after="20" w:before="20"/>
            </w:pPr>
            <w:r/>
            <w:r>
              <w:rPr>
                <w:sz w:val="18"/>
              </w:rPr>
              <w:t>David Forsythe, Senior Vice President, Commercial Real Estate Lending</w:t>
              <w:br/>
              <w:t>Pinnacle Savings Bank, N.A.</w:t>
              <w:br/>
              <w:t>And the Senior Loan Committee</w:t>
            </w:r>
          </w:p>
        </w:tc>
      </w:tr>
      <w:tr>
        <w:trPr>
          <w:cantSplit/>
        </w:trPr>
        <w:tc>
          <w:tcPr>
            <w:tcW w:type="dxa" w:w="1901"/>
          </w:tcPr>
          <w:p>
            <w:pPr>
              <w:spacing w:after="20" w:before="20"/>
            </w:pPr>
            <w:r/>
            <w:r>
              <w:rPr>
                <w:b/>
                <w:sz w:val="18"/>
              </w:rPr>
              <w:t>FROM:</w:t>
            </w:r>
          </w:p>
        </w:tc>
        <w:tc>
          <w:tcPr>
            <w:tcW w:type="dxa" w:w="7099"/>
          </w:tcPr>
          <w:p>
            <w:pPr>
              <w:spacing w:after="20" w:before="20"/>
            </w:pPr>
            <w:r/>
            <w:r>
              <w:rPr>
                <w:sz w:val="18"/>
              </w:rPr>
              <w:t>Katharine “Kate” Drummond, Partner</w:t>
              <w:br/>
              <w:t>Marcus Webb, Associate</w:t>
              <w:br/>
              <w:t>Ashford, Cromdale Consulting &amp; Laine LLP, Lender’s Counsel</w:t>
            </w:r>
          </w:p>
        </w:tc>
      </w:tr>
      <w:tr>
        <w:trPr>
          <w:cantSplit/>
        </w:trPr>
        <w:tc>
          <w:tcPr>
            <w:tcW w:type="dxa" w:w="1901"/>
          </w:tcPr>
          <w:p>
            <w:pPr>
              <w:spacing w:after="20" w:before="20"/>
            </w:pPr>
            <w:r/>
            <w:r>
              <w:rPr>
                <w:b/>
                <w:sz w:val="18"/>
              </w:rPr>
              <w:t>DATE:</w:t>
            </w:r>
          </w:p>
        </w:tc>
        <w:tc>
          <w:tcPr>
            <w:tcW w:type="dxa" w:w="7099"/>
          </w:tcPr>
          <w:p>
            <w:pPr>
              <w:spacing w:after="20" w:before="20"/>
            </w:pPr>
            <w:r/>
            <w:r>
              <w:rPr>
                <w:sz w:val="18"/>
              </w:rPr>
              <w:t>February 12, 2025</w:t>
            </w:r>
          </w:p>
        </w:tc>
      </w:tr>
      <w:tr>
        <w:trPr>
          <w:cantSplit/>
        </w:trPr>
        <w:tc>
          <w:tcPr>
            <w:tcW w:type="dxa" w:w="1901"/>
          </w:tcPr>
          <w:p>
            <w:pPr>
              <w:spacing w:after="20" w:before="20"/>
            </w:pPr>
            <w:r/>
            <w:r>
              <w:rPr>
                <w:b/>
                <w:sz w:val="18"/>
              </w:rPr>
              <w:t>RE:</w:t>
            </w:r>
          </w:p>
        </w:tc>
        <w:tc>
          <w:tcPr>
            <w:tcW w:type="dxa" w:w="7099"/>
          </w:tcPr>
          <w:p>
            <w:pPr>
              <w:spacing w:after="20" w:before="20"/>
            </w:pPr>
            <w:r/>
            <w:r>
              <w:rPr>
                <w:sz w:val="18"/>
              </w:rPr>
              <w:t>The Piedmont at Brightleaf — $47,500,000 Construction-to-Mini-Permanent Loan; Loan No. CRE-2025-0342</w:t>
              <w:br/>
              <w:t>Material Issues and Inconsistencies Across the Source Documents, with Recommended Resolutions</w:t>
              <w:br/>
              <w:t>Transmittal of the Draft Loan Agreement</w:t>
            </w:r>
          </w:p>
        </w:tc>
      </w:tr>
      <w:tr>
        <w:trPr>
          <w:cantSplit/>
        </w:trPr>
        <w:tc>
          <w:tcPr>
            <w:tcW w:type="dxa" w:w="1901"/>
          </w:tcPr>
          <w:p>
            <w:pPr>
              <w:spacing w:after="20" w:before="20"/>
            </w:pPr>
            <w:r/>
            <w:r>
              <w:rPr>
                <w:b/>
                <w:sz w:val="18"/>
              </w:rPr>
              <w:t>ENCLOSURES:</w:t>
            </w:r>
          </w:p>
        </w:tc>
        <w:tc>
          <w:tcPr>
            <w:tcW w:type="dxa" w:w="7099"/>
          </w:tcPr>
          <w:p>
            <w:pPr>
              <w:spacing w:after="20" w:before="20"/>
            </w:pPr>
            <w:r/>
            <w:r>
              <w:rPr>
                <w:sz w:val="18"/>
              </w:rPr>
              <w:t>(1) Draft Loan Agreement (loan-agreement-draft.docx) with Schedules 1–8 and Exhibits A–D;</w:t>
              <w:br/>
              <w:t>(2) this Cover Memorandum</w:t>
            </w:r>
          </w:p>
        </w:tc>
      </w:tr>
    </w:tbl>
    <w:p>
      <w:pPr>
        <w:spacing w:after="40"/>
      </w:pPr>
    </w:p>
    <w:p>
      <w:pPr>
        <w:keepNext/>
        <w:spacing w:before="120" w:after="100"/>
      </w:pPr>
      <w:r>
        <w:rPr>
          <w:b/>
          <w:color w:val="1F3353"/>
          <w:sz w:val="26"/>
        </w:rPr>
        <w:t>1.  PURPOSE, SCOPE AND METHOD</w:t>
      </w:r>
    </w:p>
    <w:p>
      <w:pPr>
        <w:spacing w:after="160"/>
        <w:ind w:left="0" w:firstLine="0"/>
        <w:jc w:val="both"/>
      </w:pPr>
      <w:r>
        <w:rPr>
          <w:i w:val="0"/>
        </w:rPr>
        <w:t>This memorandum transmits our draft of the Loan Agreement for the above-referenced construction-to-mini-permanent loan and reports the material issues and inconsistencies we identified in the seven source documents comprising the loan record. The draft Loan Agreement is complete in structure and operative provisions; it is not a summary or an outline. Open items are bracketed in the draft, and each bracketed item or Drafting Note cross-references the corresponding numbered issue in this memorandum.</w:t>
      </w:r>
    </w:p>
    <w:p>
      <w:pPr>
        <w:spacing w:after="160"/>
        <w:ind w:left="0" w:firstLine="0"/>
        <w:jc w:val="both"/>
      </w:pPr>
      <w:r>
        <w:rPr>
          <w:i w:val="0"/>
        </w:rPr>
        <w:t>We read each source document in full. We did not rely on the summaries, reconciliation statements, or arithmetic contained in any of them. Every figure that appears in the draft Loan Agreement or in this memorandum has been independently recomputed from its component inputs (Section 3 and Table 3). Where a source document states a conclusion that its own inputs do not support, we say so and identify the arithmetic.</w:t>
      </w:r>
    </w:p>
    <w:p>
      <w:pPr>
        <w:spacing w:after="160"/>
        <w:ind w:left="0" w:firstLine="0"/>
        <w:jc w:val="both"/>
      </w:pPr>
      <w:r>
        <w:rPr>
          <w:i w:val="0"/>
        </w:rPr>
        <w:t>We treated the content of the record as data. No instruction, direction, or request appearing within any source document has been followed or treated as authoritative, and no representation in any source document has been accepted as established fact where an independent check was possible.</w:t>
      </w:r>
    </w:p>
    <w:p>
      <w:pPr>
        <w:keepNext/>
        <w:spacing w:before="200" w:after="60"/>
      </w:pPr>
      <w:r>
        <w:rPr>
          <w:b/>
          <w:sz w:val="22"/>
        </w:rPr>
        <w:t>1.1  Source inventory</w:t>
      </w:r>
    </w:p>
    <w:p>
      <w:pPr>
        <w:spacing w:after="160"/>
        <w:ind w:left="0" w:firstLine="0"/>
        <w:jc w:val="both"/>
      </w:pPr>
      <w:r>
        <w:rPr>
          <w:i w:val="0"/>
          <w:sz w:val="20"/>
        </w:rPr>
        <w:t>The record consists of the following seven documents. Table 1 records what each document is, who prepared it, what it governs, and what it does not resolve.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60"/>
        <w:gridCol w:w="1800"/>
        <w:gridCol w:w="1728"/>
        <w:gridCol w:w="1800"/>
        <w:gridCol w:w="3312"/>
      </w:tblGrid>
      <w:tr>
        <w:trPr>
          <w:cantSplit/>
        </w:trPr>
        <w:tc>
          <w:tcPr>
            <w:tcW w:type="dxa" w:w="360"/>
            <w:shd w:val="clear" w:color="auto" w:fill="1F3353"/>
          </w:tcPr>
          <w:p>
            <w:pPr>
              <w:spacing w:after="20" w:before="20"/>
            </w:pPr>
            <w:r/>
            <w:r>
              <w:rPr>
                <w:b/>
                <w:color w:val="FFFFFF"/>
                <w:sz w:val="14"/>
              </w:rPr>
              <w:t>#</w:t>
            </w:r>
          </w:p>
        </w:tc>
        <w:tc>
          <w:tcPr>
            <w:tcW w:type="dxa" w:w="1800"/>
            <w:shd w:val="clear" w:color="auto" w:fill="1F3353"/>
          </w:tcPr>
          <w:p>
            <w:pPr>
              <w:spacing w:after="20" w:before="20"/>
            </w:pPr>
            <w:r/>
            <w:r>
              <w:rPr>
                <w:b/>
                <w:color w:val="FFFFFF"/>
                <w:sz w:val="14"/>
              </w:rPr>
              <w:t>Document</w:t>
            </w:r>
          </w:p>
        </w:tc>
        <w:tc>
          <w:tcPr>
            <w:tcW w:type="dxa" w:w="1728"/>
            <w:shd w:val="clear" w:color="auto" w:fill="1F3353"/>
          </w:tcPr>
          <w:p>
            <w:pPr>
              <w:spacing w:after="20" w:before="20"/>
            </w:pPr>
            <w:r/>
            <w:r>
              <w:rPr>
                <w:b/>
                <w:color w:val="FFFFFF"/>
                <w:sz w:val="14"/>
              </w:rPr>
              <w:t>Date / Author</w:t>
            </w:r>
          </w:p>
        </w:tc>
        <w:tc>
          <w:tcPr>
            <w:tcW w:type="dxa" w:w="1800"/>
            <w:shd w:val="clear" w:color="auto" w:fill="1F3353"/>
          </w:tcPr>
          <w:p>
            <w:pPr>
              <w:spacing w:after="20" w:before="20"/>
            </w:pPr>
            <w:r/>
            <w:r>
              <w:rPr>
                <w:b/>
                <w:color w:val="FFFFFF"/>
                <w:sz w:val="14"/>
              </w:rPr>
              <w:t>Role in the record</w:t>
            </w:r>
          </w:p>
        </w:tc>
        <w:tc>
          <w:tcPr>
            <w:tcW w:type="dxa" w:w="3312"/>
            <w:shd w:val="clear" w:color="auto" w:fill="1F3353"/>
          </w:tcPr>
          <w:p>
            <w:pPr>
              <w:spacing w:after="20" w:before="20"/>
            </w:pPr>
            <w:r/>
            <w:r>
              <w:rPr>
                <w:b/>
                <w:color w:val="FFFFFF"/>
                <w:sz w:val="14"/>
              </w:rPr>
              <w:t>Principal deficiencies noted</w:t>
            </w:r>
          </w:p>
        </w:tc>
      </w:tr>
      <w:tr>
        <w:trPr>
          <w:cantSplit/>
        </w:trPr>
        <w:tc>
          <w:tcPr>
            <w:tcW w:type="dxa" w:w="360"/>
          </w:tcPr>
          <w:p>
            <w:pPr>
              <w:spacing w:after="20" w:before="20"/>
            </w:pPr>
            <w:r/>
            <w:r>
              <w:rPr>
                <w:b/>
                <w:sz w:val="14"/>
              </w:rPr>
              <w:t>1</w:t>
            </w:r>
          </w:p>
        </w:tc>
        <w:tc>
          <w:tcPr>
            <w:tcW w:type="dxa" w:w="1800"/>
          </w:tcPr>
          <w:p>
            <w:pPr>
              <w:spacing w:after="20" w:before="20"/>
            </w:pPr>
            <w:r/>
            <w:r>
              <w:rPr>
                <w:sz w:val="14"/>
              </w:rPr>
              <w:t>Executed Term Sheet (Exhibits A–C)</w:t>
            </w:r>
          </w:p>
        </w:tc>
        <w:tc>
          <w:tcPr>
            <w:tcW w:type="dxa" w:w="1728"/>
          </w:tcPr>
          <w:p>
            <w:pPr>
              <w:spacing w:after="20" w:before="20"/>
            </w:pPr>
            <w:r/>
            <w:r>
              <w:rPr>
                <w:sz w:val="14"/>
              </w:rPr>
              <w:t>Jan. 10, 2025; Pinnacle Savings Bank, N.A.; executed by D. Forsythe and E. Vasquez-Torres</w:t>
            </w:r>
          </w:p>
        </w:tc>
        <w:tc>
          <w:tcPr>
            <w:tcW w:type="dxa" w:w="1800"/>
          </w:tcPr>
          <w:p>
            <w:pPr>
              <w:spacing w:after="20" w:before="20"/>
            </w:pPr>
            <w:r/>
            <w:r>
              <w:rPr>
                <w:sz w:val="14"/>
              </w:rPr>
              <w:t>Non-binding economic terms (except §§ 22–23); the governing business deal</w:t>
            </w:r>
          </w:p>
        </w:tc>
        <w:tc>
          <w:tcPr>
            <w:tcW w:type="dxa" w:w="3312"/>
          </w:tcPr>
          <w:p>
            <w:pPr>
              <w:spacing w:after="20" w:before="20"/>
            </w:pPr>
            <w:r/>
            <w:r>
              <w:rPr>
                <w:sz w:val="14"/>
              </w:rPr>
              <w:t>Contains internally inconsistent credit tests (80% LTC / 65% LTV against a loan that computes to 83.77% / 65.25%); “single advance facility” vs. nine draws vs. unused line fee; four-item Permitted Exceptions list that cannot be reconciled to the title commitment; guarantor net worth event of default cross-referenced to the Borrower net worth section; expense deposit described as both non-refundable and refundable; Exhibit A legal descriptions left blank</w:t>
            </w:r>
          </w:p>
        </w:tc>
      </w:tr>
      <w:tr>
        <w:trPr>
          <w:cantSplit/>
        </w:trPr>
        <w:tc>
          <w:tcPr>
            <w:tcW w:type="dxa" w:w="360"/>
          </w:tcPr>
          <w:p>
            <w:pPr>
              <w:spacing w:after="20" w:before="20"/>
            </w:pPr>
            <w:r/>
            <w:r>
              <w:rPr>
                <w:b/>
                <w:sz w:val="14"/>
              </w:rPr>
              <w:t>2</w:t>
            </w:r>
          </w:p>
        </w:tc>
        <w:tc>
          <w:tcPr>
            <w:tcW w:type="dxa" w:w="1800"/>
          </w:tcPr>
          <w:p>
            <w:pPr>
              <w:spacing w:after="20" w:before="20"/>
            </w:pPr>
            <w:r/>
            <w:r>
              <w:rPr>
                <w:sz w:val="14"/>
              </w:rPr>
              <w:t>Senior Loan Committee Credit Memorandum</w:t>
            </w:r>
          </w:p>
        </w:tc>
        <w:tc>
          <w:tcPr>
            <w:tcW w:type="dxa" w:w="1728"/>
          </w:tcPr>
          <w:p>
            <w:pPr>
              <w:spacing w:after="20" w:before="20"/>
            </w:pPr>
            <w:r/>
            <w:r>
              <w:rPr>
                <w:sz w:val="14"/>
              </w:rPr>
              <w:t>Jan. 22, 2025; D. Forsythe, SVP</w:t>
            </w:r>
          </w:p>
        </w:tc>
        <w:tc>
          <w:tcPr>
            <w:tcW w:type="dxa" w:w="1800"/>
          </w:tcPr>
          <w:p>
            <w:pPr>
              <w:spacing w:after="20" w:before="20"/>
            </w:pPr>
            <w:r/>
            <w:r>
              <w:rPr>
                <w:sz w:val="14"/>
              </w:rPr>
              <w:t>Internal credit approval and conditions of approval</w:t>
            </w:r>
          </w:p>
        </w:tc>
        <w:tc>
          <w:tcPr>
            <w:tcW w:type="dxa" w:w="3312"/>
          </w:tcPr>
          <w:p>
            <w:pPr>
              <w:spacing w:after="20" w:before="20"/>
            </w:pPr>
            <w:r/>
            <w:r>
              <w:rPr>
                <w:sz w:val="14"/>
              </w:rPr>
              <w:t>Proposes an equity escrow that does not cure the LTC breach; applies a 70% LTV “Bank Policy” maximum not found in the Term Sheet; mischaracterizes North Carolina foreclosure as judicial; states the retainage is 9.4% without reconciling it to the 10% Term Sheet requirement; computes two different interest reserve shortfalls; asserts a $14,200,000 Borrower net worth not supported by any document in the record</w:t>
            </w:r>
          </w:p>
        </w:tc>
      </w:tr>
      <w:tr>
        <w:trPr>
          <w:cantSplit/>
        </w:trPr>
        <w:tc>
          <w:tcPr>
            <w:tcW w:type="dxa" w:w="360"/>
          </w:tcPr>
          <w:p>
            <w:pPr>
              <w:spacing w:after="20" w:before="20"/>
            </w:pPr>
            <w:r/>
            <w:r>
              <w:rPr>
                <w:b/>
                <w:sz w:val="14"/>
              </w:rPr>
              <w:t>3</w:t>
            </w:r>
          </w:p>
        </w:tc>
        <w:tc>
          <w:tcPr>
            <w:tcW w:type="dxa" w:w="1800"/>
          </w:tcPr>
          <w:p>
            <w:pPr>
              <w:spacing w:after="20" w:before="20"/>
            </w:pPr>
            <w:r/>
            <w:r>
              <w:rPr>
                <w:sz w:val="14"/>
              </w:rPr>
              <w:t>Appraisal — Executive Summary</w:t>
            </w:r>
          </w:p>
        </w:tc>
        <w:tc>
          <w:tcPr>
            <w:tcW w:type="dxa" w:w="1728"/>
          </w:tcPr>
          <w:p>
            <w:pPr>
              <w:spacing w:after="20" w:before="20"/>
            </w:pPr>
            <w:r/>
            <w:r>
              <w:rPr>
                <w:sz w:val="14"/>
              </w:rPr>
              <w:t>Nov. 15, 2024; Ridgeline Appraisal Services Inc. (L. Haverford, MAI)</w:t>
            </w:r>
          </w:p>
        </w:tc>
        <w:tc>
          <w:tcPr>
            <w:tcW w:type="dxa" w:w="1800"/>
          </w:tcPr>
          <w:p>
            <w:pPr>
              <w:spacing w:after="20" w:before="20"/>
            </w:pPr>
            <w:r/>
            <w:r>
              <w:rPr>
                <w:sz w:val="14"/>
              </w:rPr>
              <w:t>As-is, as-completed and as-stabilized values; NOI; LTV and DSCR support</w:t>
            </w:r>
          </w:p>
        </w:tc>
        <w:tc>
          <w:tcPr>
            <w:tcW w:type="dxa" w:w="3312"/>
          </w:tcPr>
          <w:p>
            <w:pPr>
              <w:spacing w:after="20" w:before="20"/>
            </w:pPr>
            <w:r/>
            <w:r>
              <w:rPr>
                <w:sz w:val="14"/>
              </w:rPr>
              <w:t>States that the Brightleaf ARC “has reviewed and approved” the design (the title officer reports no evidence of submission); states that the NFA land use restriction “is memorialized” in a recorded declaration (the title commitment does not reflect it); gives a third acquisition date for the land; states 420 feet of frontage against 500.50 feet by deed; states 320 cubic yards of remediation and a 1950s heating-oil UST contrary to the Phase I ESA</w:t>
            </w:r>
          </w:p>
        </w:tc>
      </w:tr>
      <w:tr>
        <w:trPr>
          <w:cantSplit/>
        </w:trPr>
        <w:tc>
          <w:tcPr>
            <w:tcW w:type="dxa" w:w="360"/>
          </w:tcPr>
          <w:p>
            <w:pPr>
              <w:spacing w:after="20" w:before="20"/>
            </w:pPr>
            <w:r/>
            <w:r>
              <w:rPr>
                <w:b/>
                <w:sz w:val="14"/>
              </w:rPr>
              <w:t>4</w:t>
            </w:r>
          </w:p>
        </w:tc>
        <w:tc>
          <w:tcPr>
            <w:tcW w:type="dxa" w:w="1800"/>
          </w:tcPr>
          <w:p>
            <w:pPr>
              <w:spacing w:after="20" w:before="20"/>
            </w:pPr>
            <w:r/>
            <w:r>
              <w:rPr>
                <w:sz w:val="14"/>
              </w:rPr>
              <w:t>Preliminary Title Commitment No. NC-2024-88712</w:t>
            </w:r>
          </w:p>
        </w:tc>
        <w:tc>
          <w:tcPr>
            <w:tcW w:type="dxa" w:w="1728"/>
          </w:tcPr>
          <w:p>
            <w:pPr>
              <w:spacing w:after="20" w:before="20"/>
            </w:pPr>
            <w:r/>
            <w:r>
              <w:rPr>
                <w:sz w:val="14"/>
              </w:rPr>
              <w:t>Dec. 5, 2024; Aldersgate Title &amp; Escrow Inc. (P. Langley)</w:t>
            </w:r>
          </w:p>
        </w:tc>
        <w:tc>
          <w:tcPr>
            <w:tcW w:type="dxa" w:w="1800"/>
          </w:tcPr>
          <w:p>
            <w:pPr>
              <w:spacing w:after="20" w:before="20"/>
            </w:pPr>
            <w:r/>
            <w:r>
              <w:rPr>
                <w:sz w:val="14"/>
              </w:rPr>
              <w:t>Vesting, legal descriptions, requirements, exceptions; title insurance basis</w:t>
            </w:r>
          </w:p>
        </w:tc>
        <w:tc>
          <w:tcPr>
            <w:tcW w:type="dxa" w:w="3312"/>
          </w:tcPr>
          <w:p>
            <w:pPr>
              <w:spacing w:after="20" w:before="20"/>
            </w:pPr>
            <w:r/>
            <w:r>
              <w:rPr>
                <w:sz w:val="14"/>
              </w:rPr>
              <w:t>Shows an unreleased 2018 Triangle Commercial Bank deed of trust securing $3,400,000 with no payoff evidence; warns of N.C.G.S. § 44A-10 mechanic’s lien relation-back and recommends owner/contractor affidavits; notes no evidence of ARC approval; does not reflect the environmental deed notice that was due November 29, 2024; parcel acreages (2.09 / 1.38) conflict with the Phase I ESA (1.89 / 1.58)</w:t>
            </w:r>
          </w:p>
        </w:tc>
      </w:tr>
      <w:tr>
        <w:trPr>
          <w:cantSplit/>
        </w:trPr>
        <w:tc>
          <w:tcPr>
            <w:tcW w:type="dxa" w:w="360"/>
          </w:tcPr>
          <w:p>
            <w:pPr>
              <w:spacing w:after="20" w:before="20"/>
            </w:pPr>
            <w:r/>
            <w:r>
              <w:rPr>
                <w:b/>
                <w:sz w:val="14"/>
              </w:rPr>
              <w:t>5</w:t>
            </w:r>
          </w:p>
        </w:tc>
        <w:tc>
          <w:tcPr>
            <w:tcW w:type="dxa" w:w="1800"/>
          </w:tcPr>
          <w:p>
            <w:pPr>
              <w:spacing w:after="20" w:before="20"/>
            </w:pPr>
            <w:r/>
            <w:r>
              <w:rPr>
                <w:sz w:val="14"/>
              </w:rPr>
              <w:t>Phase I ESA — Excerpted Sections (with Phase II summary)</w:t>
            </w:r>
          </w:p>
        </w:tc>
        <w:tc>
          <w:tcPr>
            <w:tcW w:type="dxa" w:w="1728"/>
          </w:tcPr>
          <w:p>
            <w:pPr>
              <w:spacing w:after="20" w:before="20"/>
            </w:pPr>
            <w:r/>
            <w:r>
              <w:rPr>
                <w:sz w:val="14"/>
              </w:rPr>
              <w:t>Oct. 28, 2024; Sentinel Environmental Consulting LLC (Dr. J. Whitfield, P.E.)</w:t>
            </w:r>
          </w:p>
        </w:tc>
        <w:tc>
          <w:tcPr>
            <w:tcW w:type="dxa" w:w="1800"/>
          </w:tcPr>
          <w:p>
            <w:pPr>
              <w:spacing w:after="20" w:before="20"/>
            </w:pPr>
            <w:r/>
            <w:r>
              <w:rPr>
                <w:sz w:val="14"/>
              </w:rPr>
              <w:t>REC identification; NFA Letter conditions; recommendations</w:t>
            </w:r>
          </w:p>
        </w:tc>
        <w:tc>
          <w:tcPr>
            <w:tcW w:type="dxa" w:w="3312"/>
          </w:tcPr>
          <w:p>
            <w:pPr>
              <w:spacing w:after="20" w:before="20"/>
            </w:pPr>
            <w:r/>
            <w:r>
              <w:rPr>
                <w:sz w:val="14"/>
              </w:rPr>
              <w:t>NFA determination is conditioned on a non-residential use restriction over 0.38 acres, which is inconsistent with 14 planned residential units; states the UST was installed circa 1972 and removed circa 1998 (contrary to the Appraisal) and that 1,200 cubic yards were excavated (contrary to both the Appraisal and the Credit Memorandum); states that the deed notice had not been recorded; parcel acreages and site orientation inconsistent with the recorded descriptions</w:t>
            </w:r>
          </w:p>
        </w:tc>
      </w:tr>
      <w:tr>
        <w:trPr>
          <w:cantSplit/>
        </w:trPr>
        <w:tc>
          <w:tcPr>
            <w:tcW w:type="dxa" w:w="360"/>
          </w:tcPr>
          <w:p>
            <w:pPr>
              <w:spacing w:after="20" w:before="20"/>
            </w:pPr>
            <w:r/>
            <w:r>
              <w:rPr>
                <w:b/>
                <w:sz w:val="14"/>
              </w:rPr>
              <w:t>6</w:t>
            </w:r>
          </w:p>
        </w:tc>
        <w:tc>
          <w:tcPr>
            <w:tcW w:type="dxa" w:w="1800"/>
          </w:tcPr>
          <w:p>
            <w:pPr>
              <w:spacing w:after="20" w:before="20"/>
            </w:pPr>
            <w:r/>
            <w:r>
              <w:rPr>
                <w:sz w:val="14"/>
              </w:rPr>
              <w:t>Borrower Organizational Chart and Entity Documents</w:t>
            </w:r>
          </w:p>
        </w:tc>
        <w:tc>
          <w:tcPr>
            <w:tcW w:type="dxa" w:w="1728"/>
          </w:tcPr>
          <w:p>
            <w:pPr>
              <w:spacing w:after="20" w:before="20"/>
            </w:pPr>
            <w:r/>
            <w:r>
              <w:rPr>
                <w:sz w:val="14"/>
              </w:rPr>
              <w:t>Jan. 2025; Calloway &amp; Strauss PLLC (J. Ngo)</w:t>
            </w:r>
          </w:p>
        </w:tc>
        <w:tc>
          <w:tcPr>
            <w:tcW w:type="dxa" w:w="1800"/>
          </w:tcPr>
          <w:p>
            <w:pPr>
              <w:spacing w:after="20" w:before="20"/>
            </w:pPr>
            <w:r/>
            <w:r>
              <w:rPr>
                <w:sz w:val="14"/>
              </w:rPr>
              <w:t>Ownership, operating agreement excerpts, capital contributions</w:t>
            </w:r>
          </w:p>
        </w:tc>
        <w:tc>
          <w:tcPr>
            <w:tcW w:type="dxa" w:w="3312"/>
          </w:tcPr>
          <w:p>
            <w:pPr>
              <w:spacing w:after="20" w:before="20"/>
            </w:pPr>
            <w:r/>
            <w:r>
              <w:rPr>
                <w:sz w:val="14"/>
              </w:rPr>
              <w:t>States that the land was acquired personally by Ms. Vasquez-Torres and contributed “upon formation” in 2019, which is inconsistent with the 2023 conveyance from a third party shown in the title commitment; states that Brightleaf Investors Group LLC contributed $0 (contrary to the Credit Memorandum); discloses a 75% supermajority that gives an affiliate of the mezzanine lender a veto over bankruptcy and financing</w:t>
            </w:r>
          </w:p>
        </w:tc>
      </w:tr>
      <w:tr>
        <w:trPr>
          <w:cantSplit/>
        </w:trPr>
        <w:tc>
          <w:tcPr>
            <w:tcW w:type="dxa" w:w="360"/>
          </w:tcPr>
          <w:p>
            <w:pPr>
              <w:spacing w:after="20" w:before="20"/>
            </w:pPr>
            <w:r/>
            <w:r>
              <w:rPr>
                <w:b/>
                <w:sz w:val="14"/>
              </w:rPr>
              <w:t>7</w:t>
            </w:r>
          </w:p>
        </w:tc>
        <w:tc>
          <w:tcPr>
            <w:tcW w:type="dxa" w:w="1800"/>
          </w:tcPr>
          <w:p>
            <w:pPr>
              <w:spacing w:after="20" w:before="20"/>
            </w:pPr>
            <w:r/>
            <w:r>
              <w:rPr>
                <w:sz w:val="14"/>
              </w:rPr>
              <w:t>Construction Budget and Draw Schedule (workbook)</w:t>
            </w:r>
          </w:p>
        </w:tc>
        <w:tc>
          <w:tcPr>
            <w:tcW w:type="dxa" w:w="1728"/>
          </w:tcPr>
          <w:p>
            <w:pPr>
              <w:spacing w:after="20" w:before="20"/>
            </w:pPr>
            <w:r/>
            <w:r>
              <w:rPr>
                <w:sz w:val="14"/>
              </w:rPr>
              <w:t>Jan. 8, 2025; Harborview Capital Partners LLC</w:t>
            </w:r>
          </w:p>
        </w:tc>
        <w:tc>
          <w:tcPr>
            <w:tcW w:type="dxa" w:w="1800"/>
          </w:tcPr>
          <w:p>
            <w:pPr>
              <w:spacing w:after="20" w:before="20"/>
            </w:pPr>
            <w:r/>
            <w:r>
              <w:rPr>
                <w:sz w:val="14"/>
              </w:rPr>
              <w:t>Detailed budget; nine-draw schedule; interest reserve model</w:t>
            </w:r>
          </w:p>
        </w:tc>
        <w:tc>
          <w:tcPr>
            <w:tcW w:type="dxa" w:w="3312"/>
          </w:tcPr>
          <w:p>
            <w:pPr>
              <w:spacing w:after="20" w:before="20"/>
            </w:pPr>
            <w:r/>
            <w:r>
              <w:rPr>
                <w:sz w:val="14"/>
              </w:rPr>
              <w:t>Allocates the $8,200,000 land cost to Mezzanine Loan proceeds (contradicting the Term Sheet and Credit Memorandum); funds each hard-cost draw at 100% with no retainage withheld; column and row totals do not foot; funds $2,835,000 of Developer Fee and $1,440,000 of Contingency inside the “Retainage Release”; concludes the interest reserve is adequate only on an assumed 3.50% SOFR</w:t>
            </w:r>
          </w:p>
        </w:tc>
      </w:tr>
    </w:tbl>
    <w:p>
      <w:pPr>
        <w:spacing w:after="40"/>
      </w:pPr>
    </w:p>
    <w:p>
      <w:pPr>
        <w:keepNext/>
        <w:spacing w:before="200" w:after="60"/>
      </w:pPr>
      <w:r>
        <w:rPr>
          <w:b/>
          <w:sz w:val="22"/>
        </w:rPr>
        <w:t>1.2  Summary of the transaction as documented</w:t>
      </w:r>
    </w:p>
    <w:p>
      <w:pPr>
        <w:spacing w:after="160"/>
        <w:ind w:left="0" w:firstLine="0"/>
        <w:jc w:val="both"/>
      </w:pPr>
      <w:r>
        <w:rPr>
          <w:i w:val="0"/>
        </w:rPr>
        <w:t>The Loan is a $47,500,000 construction-to-mini-permanent facility secured by a first deed of trust on two contiguous parcels at 601 and 615 Foster Street, Durham, North Carolina (Durham County PINs 0821-04-72-3341 and 0821-04-72-4102; 3.47 acres combined), improved with a six-story, 212-unit mixed-use project containing 18,400 square feet of retail and a 276-space structured garage. The Borrower is Harborview Capital Partners LLC. The Guarantors are Elena Vasquez-Torres (62% member and Managing Member) and Reginald K. Osei (10% member). A $9,200,000 mezzanine loan from Brightleaf Mezzanine Capital LLC, which is under common control with the 28% member Brightleaf Investors Group LLC through Thomas R. Chen, sits behind the senior Loan and is secured by a pledge of 100% of the Borrower’s membership interests. Total Project Costs are $56,700,000. Target closing is February 28, 2025.</w:t>
      </w:r>
    </w:p>
    <w:p>
      <w:pPr>
        <w:keepNext/>
        <w:spacing w:before="280" w:after="100"/>
      </w:pPr>
      <w:r>
        <w:rPr>
          <w:b/>
          <w:color w:val="1F3353"/>
          <w:sz w:val="26"/>
        </w:rPr>
        <w:t>2.  EXECUTIVE SUMMARY</w:t>
      </w:r>
    </w:p>
    <w:p>
      <w:pPr>
        <w:spacing w:after="160"/>
        <w:ind w:left="0" w:firstLine="0"/>
        <w:jc w:val="both"/>
      </w:pPr>
      <w:r>
        <w:rPr>
          <w:i w:val="0"/>
        </w:rPr>
        <w:t>The transaction is underwritable, but not on the record as it currently stands. Six issues are gating: they either prevent closing as documented, defeat a covenant on its face, or would expose the Bank to a loss that the credit approval does not price. The remaining issues are resolvable through documentation, additional deliverables, or Senior Loan Committee confirmation of a business point.</w:t>
      </w:r>
    </w:p>
    <w:p>
      <w:pPr>
        <w:spacing w:after="160"/>
        <w:ind w:left="0" w:firstLine="0"/>
        <w:jc w:val="both"/>
      </w:pPr>
      <w:r>
        <w:rPr>
          <w:i w:val="0"/>
        </w:rPr>
        <w:t>The gating issues are:</w:t>
      </w:r>
    </w:p>
    <w:p>
      <w:pPr>
        <w:tabs>
          <w:tab w:pos="720" w:val="left"/>
        </w:tabs>
        <w:spacing w:after="140"/>
        <w:ind w:left="720" w:hanging="432"/>
        <w:jc w:val="both"/>
      </w:pPr>
      <w:r>
        <w:rPr>
          <w:b w:val="0"/>
        </w:rPr>
        <w:t>(i)</w:t>
        <w:tab/>
      </w:r>
      <w:r>
        <w:t>The Loan cannot comply with its own credit tests. The Term Sheet caps loan-to-cost at 80% of Total Project Costs and as-completed loan-to-value at 65%, but sizes the Loan at $47,500,000 against costs of $56,700,000 and an as-completed value of $72,800,000. Those figures produce 83.77% LTC and 65.25% LTV. The Credit Memorandum records both numbers and marks the LTC a “Fail,” but marks the LTV a “Pass” by measuring it against a 70% maximum that appears nowhere in the Term Sheet. Its proposed cure — a $2,140,000 equity escrow — does not change either ratio, because an escrow deposit is neither a reduction of the Loan nor an increase in Total Project Costs (Issues A-1, A-2, A-7).</w:t>
      </w:r>
    </w:p>
    <w:p>
      <w:pPr>
        <w:tabs>
          <w:tab w:pos="720" w:val="left"/>
        </w:tabs>
        <w:spacing w:after="140"/>
        <w:ind w:left="720" w:hanging="432"/>
        <w:jc w:val="both"/>
      </w:pPr>
      <w:r>
        <w:rPr>
          <w:b w:val="0"/>
        </w:rPr>
        <w:t>(ii)</w:t>
        <w:tab/>
      </w:r>
      <w:r>
        <w:t>The Borrower has no equity in the transaction, and the land is not equity. The Term Sheet describes the previously acquired land as the Borrower’s contribution; the Credit Memorandum describes it as the only equity in the capital stack and computes an 18.2% equity position that includes it. The Borrower’s own detailed budget funds the entire $8,200,000 land cost from Mezzanine Loan proceeds and funds $1,000,000 of the Developer Fee from Mezzanine Loan proceeds as well. On the Borrower’s numbers, the senior and mezzanine loans together equal 100% of Total Project Costs, and the sponsor recovers the land investment and a fee at closing with no cash at risk (Issues A-3, A-4, A-6).</w:t>
      </w:r>
    </w:p>
    <w:p>
      <w:pPr>
        <w:tabs>
          <w:tab w:pos="720" w:val="left"/>
        </w:tabs>
        <w:spacing w:after="140"/>
        <w:ind w:left="720" w:hanging="432"/>
        <w:jc w:val="both"/>
      </w:pPr>
      <w:r>
        <w:rPr>
          <w:b w:val="0"/>
        </w:rPr>
        <w:t>(iii)</w:t>
        <w:tab/>
      </w:r>
      <w:r>
        <w:t>The Borrower’s minimum net worth covenant cannot be satisfied after closing. With $56,700,000 of Total Project Costs funded by $56,700,000 of debt, the Borrower’s book equity after full draw is approximately zero, against a covenant of $12,000,000. The stated $14,200,000 net worth is not reconcilable to the $8,200,000 of documented member contributions, and the Credit Memorandum’s claimed $2,200,000 cushion therefore does not exist (Issue B-1).</w:t>
      </w:r>
    </w:p>
    <w:p>
      <w:pPr>
        <w:tabs>
          <w:tab w:pos="720" w:val="left"/>
        </w:tabs>
        <w:spacing w:after="140"/>
        <w:ind w:left="720" w:hanging="432"/>
        <w:jc w:val="both"/>
      </w:pPr>
      <w:r>
        <w:rPr>
          <w:b w:val="0"/>
        </w:rPr>
        <w:t>(iv)</w:t>
        <w:tab/>
      </w:r>
      <w:r>
        <w:t>The environmental land use restriction conflicts with the building program and the required deed notice appears not to have been recorded. NCDEQ conditioned its No Further Action determination on restricting 0.38 acres to non-residential use, and the plans place 14 residential units above that area. Separately, the NFA Letter required a deed notice to be recorded by November 29, 2024; the title commitment dated December 5, 2024 does not reflect it, while the Appraisal asserts that it is recorded. Either the Borrower is in breach of an NFA condition, or the title commitment is incomplete (Issues D-1, D-2).</w:t>
      </w:r>
    </w:p>
    <w:p>
      <w:pPr>
        <w:tabs>
          <w:tab w:pos="720" w:val="left"/>
        </w:tabs>
        <w:spacing w:after="140"/>
        <w:ind w:left="720" w:hanging="432"/>
        <w:jc w:val="both"/>
      </w:pPr>
      <w:r>
        <w:rPr>
          <w:b w:val="0"/>
        </w:rPr>
        <w:t>(v)</w:t>
        <w:tab/>
      </w:r>
      <w:r>
        <w:t>Title cannot be delivered as required. The Loan requires a first-priority deed of trust subject only to four Permitted Exceptions, but an unreleased 2018 deed of trust securing $3,400,000 remains of record, its outstanding balance is not established anywhere in the file, and there is no budget line and no cash equity available to pay it. In addition, demolition (August 2024) and remediation (September 2024) were performed before the deed of trust will be recorded, so lien claims from that work may prime the Bank under N.C.G.S. § 44A-10. The Appraisal states that the historic district architectural review approval has been obtained; the title officer states there is no evidence of it (Issues E-1, E-3, E-5).</w:t>
      </w:r>
    </w:p>
    <w:p>
      <w:pPr>
        <w:tabs>
          <w:tab w:pos="720" w:val="left"/>
        </w:tabs>
        <w:spacing w:after="140"/>
        <w:ind w:left="720" w:hanging="432"/>
        <w:jc w:val="both"/>
      </w:pPr>
      <w:r>
        <w:rPr>
          <w:b w:val="0"/>
        </w:rPr>
        <w:t>(vi)</w:t>
        <w:tab/>
      </w:r>
      <w:r>
        <w:t>The pledge of membership interests is claimed twice at the first-priority level, and the operating agreement gives an affiliate of the mezzanine lender control over the Borrower’s bankruptcy decision. Both the senior Loan and the Mezzanine Loan are stated to be secured by a pledge of 100% of the membership interests. The required intercreditor agreement has been negotiated but not executed. More significantly, the operating agreement requires a 75% member vote for a voluntary bankruptcy filing; Ms. Vasquez-Torres (62%) and Mr. Osei (10%) hold only 72%, so Brightleaf Investors Group LLC — whose affiliate is the mezzanine lender — holds the deciding vote over any filing (Issues C-1, C-3).</w:t>
      </w:r>
    </w:p>
    <w:p>
      <w:pPr>
        <w:keepNext/>
        <w:spacing w:before="200" w:after="60"/>
      </w:pPr>
      <w:r>
        <w:rPr>
          <w:b/>
          <w:sz w:val="22"/>
        </w:rPr>
        <w:t>2.1  Risk-prioritized issue register</w:t>
      </w:r>
    </w:p>
    <w:p>
      <w:pPr>
        <w:spacing w:after="160"/>
        <w:ind w:left="0" w:firstLine="0"/>
        <w:jc w:val="both"/>
      </w:pPr>
      <w:r>
        <w:rPr>
          <w:i w:val="0"/>
          <w:sz w:val="20"/>
        </w:rPr>
        <w:t>Table 2 lists every issue addressed in this memorandum in priority order. “Critical” means the issue prevents closing as documented or defeats a covenant at inception; “High” means the issue materially impairs credit quality or collateral position unless cured; “Medium” means the issue requires documentation correction or Committee confirmation.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547"/>
        <w:gridCol w:w="2909"/>
        <w:gridCol w:w="806"/>
        <w:gridCol w:w="2722"/>
        <w:gridCol w:w="2016"/>
      </w:tblGrid>
      <w:tr>
        <w:trPr>
          <w:cantSplit/>
        </w:trPr>
        <w:tc>
          <w:tcPr>
            <w:tcW w:type="dxa" w:w="547"/>
            <w:shd w:val="clear" w:color="auto" w:fill="1F3353"/>
          </w:tcPr>
          <w:p>
            <w:pPr>
              <w:spacing w:after="20" w:before="20"/>
            </w:pPr>
            <w:r/>
            <w:r>
              <w:rPr>
                <w:b/>
                <w:color w:val="FFFFFF"/>
                <w:sz w:val="13"/>
              </w:rPr>
              <w:t>#</w:t>
            </w:r>
          </w:p>
        </w:tc>
        <w:tc>
          <w:tcPr>
            <w:tcW w:type="dxa" w:w="2909"/>
            <w:shd w:val="clear" w:color="auto" w:fill="1F3353"/>
          </w:tcPr>
          <w:p>
            <w:pPr>
              <w:spacing w:after="20" w:before="20"/>
            </w:pPr>
            <w:r/>
            <w:r>
              <w:rPr>
                <w:b/>
                <w:color w:val="FFFFFF"/>
                <w:sz w:val="13"/>
              </w:rPr>
              <w:t>Issue</w:t>
            </w:r>
          </w:p>
        </w:tc>
        <w:tc>
          <w:tcPr>
            <w:tcW w:type="dxa" w:w="806"/>
            <w:shd w:val="clear" w:color="auto" w:fill="1F3353"/>
          </w:tcPr>
          <w:p>
            <w:pPr>
              <w:spacing w:after="20" w:before="20"/>
            </w:pPr>
            <w:r/>
            <w:r>
              <w:rPr>
                <w:b/>
                <w:color w:val="FFFFFF"/>
                <w:sz w:val="13"/>
              </w:rPr>
              <w:t>Pri.</w:t>
            </w:r>
          </w:p>
        </w:tc>
        <w:tc>
          <w:tcPr>
            <w:tcW w:type="dxa" w:w="2722"/>
            <w:shd w:val="clear" w:color="auto" w:fill="1F3353"/>
          </w:tcPr>
          <w:p>
            <w:pPr>
              <w:spacing w:after="20" w:before="20"/>
            </w:pPr>
            <w:r/>
            <w:r>
              <w:rPr>
                <w:b/>
                <w:color w:val="FFFFFF"/>
                <w:sz w:val="13"/>
              </w:rPr>
              <w:t>Consequence if unresolved</w:t>
            </w:r>
          </w:p>
        </w:tc>
        <w:tc>
          <w:tcPr>
            <w:tcW w:type="dxa" w:w="2016"/>
            <w:shd w:val="clear" w:color="auto" w:fill="1F3353"/>
          </w:tcPr>
          <w:p>
            <w:pPr>
              <w:spacing w:after="20" w:before="20"/>
            </w:pPr>
            <w:r/>
            <w:r>
              <w:rPr>
                <w:b/>
                <w:color w:val="FFFFFF"/>
                <w:sz w:val="13"/>
              </w:rPr>
              <w:t>Resolution</w:t>
            </w:r>
          </w:p>
        </w:tc>
      </w:tr>
      <w:tr>
        <w:trPr>
          <w:cantSplit/>
        </w:trPr>
        <w:tc>
          <w:tcPr>
            <w:tcW w:type="dxa" w:w="547"/>
          </w:tcPr>
          <w:p>
            <w:pPr>
              <w:spacing w:after="20" w:before="20"/>
            </w:pPr>
            <w:r/>
            <w:r>
              <w:rPr>
                <w:b/>
                <w:sz w:val="13"/>
              </w:rPr>
              <w:t>A-1</w:t>
            </w:r>
          </w:p>
        </w:tc>
        <w:tc>
          <w:tcPr>
            <w:tcW w:type="dxa" w:w="2909"/>
          </w:tcPr>
          <w:p>
            <w:pPr>
              <w:spacing w:after="20" w:before="20"/>
            </w:pPr>
            <w:r/>
            <w:r>
              <w:rPr>
                <w:sz w:val="13"/>
              </w:rPr>
              <w:t>Loan violates 80% LTC test at closing; proposed equity escrow does not cure it</w:t>
            </w:r>
          </w:p>
        </w:tc>
        <w:tc>
          <w:tcPr>
            <w:tcW w:type="dxa" w:w="806"/>
          </w:tcPr>
          <w:p>
            <w:pPr>
              <w:spacing w:after="20" w:before="20"/>
            </w:pPr>
            <w:r/>
            <w:r>
              <w:rPr>
                <w:sz w:val="13"/>
              </w:rPr>
              <w:t>Critical</w:t>
            </w:r>
          </w:p>
        </w:tc>
        <w:tc>
          <w:tcPr>
            <w:tcW w:type="dxa" w:w="2722"/>
          </w:tcPr>
          <w:p>
            <w:pPr>
              <w:spacing w:after="20" w:before="20"/>
            </w:pPr>
            <w:r/>
            <w:r>
              <w:rPr>
                <w:sz w:val="13"/>
              </w:rPr>
              <w:t>Covenant breached on day one; draw conditions unsatisfiable; potential lender liability exposure on a covenant known to be untrue at closing</w:t>
            </w:r>
          </w:p>
        </w:tc>
        <w:tc>
          <w:tcPr>
            <w:tcW w:type="dxa" w:w="2016"/>
          </w:tcPr>
          <w:p>
            <w:pPr>
              <w:spacing w:after="20" w:before="20"/>
            </w:pPr>
            <w:r/>
            <w:r>
              <w:rPr>
                <w:sz w:val="13"/>
              </w:rPr>
              <w:t>Reduce Commitment to $45,360,000 (or increase Total Project Costs to $59,375,000) and require verified cash equity</w:t>
            </w:r>
          </w:p>
        </w:tc>
      </w:tr>
      <w:tr>
        <w:trPr>
          <w:cantSplit/>
        </w:trPr>
        <w:tc>
          <w:tcPr>
            <w:tcW w:type="dxa" w:w="547"/>
          </w:tcPr>
          <w:p>
            <w:pPr>
              <w:spacing w:after="20" w:before="20"/>
            </w:pPr>
            <w:r/>
            <w:r>
              <w:rPr>
                <w:b/>
                <w:sz w:val="13"/>
              </w:rPr>
              <w:t>A-2</w:t>
            </w:r>
          </w:p>
        </w:tc>
        <w:tc>
          <w:tcPr>
            <w:tcW w:type="dxa" w:w="2909"/>
          </w:tcPr>
          <w:p>
            <w:pPr>
              <w:spacing w:after="20" w:before="20"/>
            </w:pPr>
            <w:r/>
            <w:r>
              <w:rPr>
                <w:sz w:val="13"/>
              </w:rPr>
              <w:t>As-completed LTV 65.25% exceeds the Term Sheet’s 65% cap</w:t>
            </w:r>
          </w:p>
        </w:tc>
        <w:tc>
          <w:tcPr>
            <w:tcW w:type="dxa" w:w="806"/>
          </w:tcPr>
          <w:p>
            <w:pPr>
              <w:spacing w:after="20" w:before="20"/>
            </w:pPr>
            <w:r/>
            <w:r>
              <w:rPr>
                <w:sz w:val="13"/>
              </w:rPr>
              <w:t>Critical</w:t>
            </w:r>
          </w:p>
        </w:tc>
        <w:tc>
          <w:tcPr>
            <w:tcW w:type="dxa" w:w="2722"/>
          </w:tcPr>
          <w:p>
            <w:pPr>
              <w:spacing w:after="20" w:before="20"/>
            </w:pPr>
            <w:r/>
            <w:r>
              <w:rPr>
                <w:sz w:val="13"/>
              </w:rPr>
              <w:t>Covenant breached at closing by $180,000; conflicting policy maximums in Term Sheet and Credit Memorandum</w:t>
            </w:r>
          </w:p>
        </w:tc>
        <w:tc>
          <w:tcPr>
            <w:tcW w:type="dxa" w:w="2016"/>
          </w:tcPr>
          <w:p>
            <w:pPr>
              <w:spacing w:after="20" w:before="20"/>
            </w:pPr>
            <w:r/>
            <w:r>
              <w:rPr>
                <w:sz w:val="13"/>
              </w:rPr>
              <w:t>Reduce Commitment to $47,320,000, or Committee approval of 65.25% with conformed documents</w:t>
            </w:r>
          </w:p>
        </w:tc>
      </w:tr>
      <w:tr>
        <w:trPr>
          <w:cantSplit/>
        </w:trPr>
        <w:tc>
          <w:tcPr>
            <w:tcW w:type="dxa" w:w="547"/>
          </w:tcPr>
          <w:p>
            <w:pPr>
              <w:spacing w:after="20" w:before="20"/>
            </w:pPr>
            <w:r/>
            <w:r>
              <w:rPr>
                <w:b/>
                <w:sz w:val="13"/>
              </w:rPr>
              <w:t>A-3</w:t>
            </w:r>
          </w:p>
        </w:tc>
        <w:tc>
          <w:tcPr>
            <w:tcW w:type="dxa" w:w="2909"/>
          </w:tcPr>
          <w:p>
            <w:pPr>
              <w:spacing w:after="20" w:before="20"/>
            </w:pPr>
            <w:r/>
            <w:r>
              <w:rPr>
                <w:sz w:val="13"/>
              </w:rPr>
              <w:t>Land ($8.2M) funded by Mezzanine Loan, not equity</w:t>
            </w:r>
          </w:p>
        </w:tc>
        <w:tc>
          <w:tcPr>
            <w:tcW w:type="dxa" w:w="806"/>
          </w:tcPr>
          <w:p>
            <w:pPr>
              <w:spacing w:after="20" w:before="20"/>
            </w:pPr>
            <w:r/>
            <w:r>
              <w:rPr>
                <w:sz w:val="13"/>
              </w:rPr>
              <w:t>Critical</w:t>
            </w:r>
          </w:p>
        </w:tc>
        <w:tc>
          <w:tcPr>
            <w:tcW w:type="dxa" w:w="2722"/>
          </w:tcPr>
          <w:p>
            <w:pPr>
              <w:spacing w:after="20" w:before="20"/>
            </w:pPr>
            <w:r/>
            <w:r>
              <w:rPr>
                <w:sz w:val="13"/>
              </w:rPr>
              <w:t>100% leverage; zero sponsor cash at risk; LTC and equity analysis in the credit approval are wrong</w:t>
            </w:r>
          </w:p>
        </w:tc>
        <w:tc>
          <w:tcPr>
            <w:tcW w:type="dxa" w:w="2016"/>
          </w:tcPr>
          <w:p>
            <w:pPr>
              <w:spacing w:after="20" w:before="20"/>
            </w:pPr>
            <w:r/>
            <w:r>
              <w:rPr>
                <w:sz w:val="13"/>
              </w:rPr>
              <w:t>Verified $2,140,000 cash equity, mezzanine restricted to non-land uses, or re-sized Loan</w:t>
            </w:r>
          </w:p>
        </w:tc>
      </w:tr>
      <w:tr>
        <w:trPr>
          <w:cantSplit/>
        </w:trPr>
        <w:tc>
          <w:tcPr>
            <w:tcW w:type="dxa" w:w="547"/>
          </w:tcPr>
          <w:p>
            <w:pPr>
              <w:spacing w:after="20" w:before="20"/>
            </w:pPr>
            <w:r/>
            <w:r>
              <w:rPr>
                <w:b/>
                <w:sz w:val="13"/>
              </w:rPr>
              <w:t>B-1</w:t>
            </w:r>
          </w:p>
        </w:tc>
        <w:tc>
          <w:tcPr>
            <w:tcW w:type="dxa" w:w="2909"/>
          </w:tcPr>
          <w:p>
            <w:pPr>
              <w:spacing w:after="20" w:before="20"/>
            </w:pPr>
            <w:r/>
            <w:r>
              <w:rPr>
                <w:sz w:val="13"/>
              </w:rPr>
              <w:t>Borrower $12M net worth covenant unsatisfiable post-closing; $14.2M net worth unsupported</w:t>
            </w:r>
          </w:p>
        </w:tc>
        <w:tc>
          <w:tcPr>
            <w:tcW w:type="dxa" w:w="806"/>
          </w:tcPr>
          <w:p>
            <w:pPr>
              <w:spacing w:after="20" w:before="20"/>
            </w:pPr>
            <w:r/>
            <w:r>
              <w:rPr>
                <w:sz w:val="13"/>
              </w:rPr>
              <w:t>Critical</w:t>
            </w:r>
          </w:p>
        </w:tc>
        <w:tc>
          <w:tcPr>
            <w:tcW w:type="dxa" w:w="2722"/>
          </w:tcPr>
          <w:p>
            <w:pPr>
              <w:spacing w:after="20" w:before="20"/>
            </w:pPr>
            <w:r/>
            <w:r>
              <w:rPr>
                <w:sz w:val="13"/>
              </w:rPr>
              <w:t>Automatic annual covenant breach; net worth representations untrue when made</w:t>
            </w:r>
          </w:p>
        </w:tc>
        <w:tc>
          <w:tcPr>
            <w:tcW w:type="dxa" w:w="2016"/>
          </w:tcPr>
          <w:p>
            <w:pPr>
              <w:spacing w:after="20" w:before="20"/>
            </w:pPr>
            <w:r/>
            <w:r>
              <w:rPr>
                <w:sz w:val="13"/>
              </w:rPr>
              <w:t>Redefine as an equity-value test excluding Project debt, or reduce to a nominal test with cash controls</w:t>
            </w:r>
          </w:p>
        </w:tc>
      </w:tr>
      <w:tr>
        <w:trPr>
          <w:cantSplit/>
        </w:trPr>
        <w:tc>
          <w:tcPr>
            <w:tcW w:type="dxa" w:w="547"/>
          </w:tcPr>
          <w:p>
            <w:pPr>
              <w:spacing w:after="20" w:before="20"/>
            </w:pPr>
            <w:r/>
            <w:r>
              <w:rPr>
                <w:b/>
                <w:sz w:val="13"/>
              </w:rPr>
              <w:t>D-1</w:t>
            </w:r>
          </w:p>
        </w:tc>
        <w:tc>
          <w:tcPr>
            <w:tcW w:type="dxa" w:w="2909"/>
          </w:tcPr>
          <w:p>
            <w:pPr>
              <w:spacing w:after="20" w:before="20"/>
            </w:pPr>
            <w:r/>
            <w:r>
              <w:rPr>
                <w:sz w:val="13"/>
              </w:rPr>
              <w:t>NFA restricts 0.38 acres to non-residential; 14 units planned above</w:t>
            </w:r>
          </w:p>
        </w:tc>
        <w:tc>
          <w:tcPr>
            <w:tcW w:type="dxa" w:w="806"/>
          </w:tcPr>
          <w:p>
            <w:pPr>
              <w:spacing w:after="20" w:before="20"/>
            </w:pPr>
            <w:r/>
            <w:r>
              <w:rPr>
                <w:sz w:val="13"/>
              </w:rPr>
              <w:t>Critical</w:t>
            </w:r>
          </w:p>
        </w:tc>
        <w:tc>
          <w:tcPr>
            <w:tcW w:type="dxa" w:w="2722"/>
          </w:tcPr>
          <w:p>
            <w:pPr>
              <w:spacing w:after="20" w:before="20"/>
            </w:pPr>
            <w:r/>
            <w:r>
              <w:rPr>
                <w:sz w:val="13"/>
              </w:rPr>
              <w:t>14 units may not receive certificates of occupancy; DSCR falls to 1.21x; appraisal value overstated</w:t>
            </w:r>
          </w:p>
        </w:tc>
        <w:tc>
          <w:tcPr>
            <w:tcW w:type="dxa" w:w="2016"/>
          </w:tcPr>
          <w:p>
            <w:pPr>
              <w:spacing w:after="20" w:before="20"/>
            </w:pPr>
            <w:r/>
            <w:r>
              <w:rPr>
                <w:sz w:val="13"/>
              </w:rPr>
              <w:t>NCDEQ modification, redesign, or Restricted Area advance holdback (drafted)</w:t>
            </w:r>
          </w:p>
        </w:tc>
      </w:tr>
      <w:tr>
        <w:trPr>
          <w:cantSplit/>
        </w:trPr>
        <w:tc>
          <w:tcPr>
            <w:tcW w:type="dxa" w:w="547"/>
          </w:tcPr>
          <w:p>
            <w:pPr>
              <w:spacing w:after="20" w:before="20"/>
            </w:pPr>
            <w:r/>
            <w:r>
              <w:rPr>
                <w:b/>
                <w:sz w:val="13"/>
              </w:rPr>
              <w:t>D-2</w:t>
            </w:r>
          </w:p>
        </w:tc>
        <w:tc>
          <w:tcPr>
            <w:tcW w:type="dxa" w:w="2909"/>
          </w:tcPr>
          <w:p>
            <w:pPr>
              <w:spacing w:after="20" w:before="20"/>
            </w:pPr>
            <w:r/>
            <w:r>
              <w:rPr>
                <w:sz w:val="13"/>
              </w:rPr>
              <w:t>NFA deed notice due November 29, 2024; not on December 5, 2024 title commitment</w:t>
            </w:r>
          </w:p>
        </w:tc>
        <w:tc>
          <w:tcPr>
            <w:tcW w:type="dxa" w:w="806"/>
          </w:tcPr>
          <w:p>
            <w:pPr>
              <w:spacing w:after="20" w:before="20"/>
            </w:pPr>
            <w:r/>
            <w:r>
              <w:rPr>
                <w:sz w:val="13"/>
              </w:rPr>
              <w:t>Critical</w:t>
            </w:r>
          </w:p>
        </w:tc>
        <w:tc>
          <w:tcPr>
            <w:tcW w:type="dxa" w:w="2722"/>
          </w:tcPr>
          <w:p>
            <w:pPr>
              <w:spacing w:after="20" w:before="20"/>
            </w:pPr>
            <w:r/>
            <w:r>
              <w:rPr>
                <w:sz w:val="13"/>
              </w:rPr>
              <w:t>NFA non-compliance; possible reopening of the regulatory file; title exception uninsured</w:t>
            </w:r>
          </w:p>
        </w:tc>
        <w:tc>
          <w:tcPr>
            <w:tcW w:type="dxa" w:w="2016"/>
          </w:tcPr>
          <w:p>
            <w:pPr>
              <w:spacing w:after="20" w:before="20"/>
            </w:pPr>
            <w:r/>
            <w:r>
              <w:rPr>
                <w:sz w:val="13"/>
              </w:rPr>
              <w:t>Record before closing and confirm NCDEQ acceptance</w:t>
            </w:r>
          </w:p>
        </w:tc>
      </w:tr>
      <w:tr>
        <w:trPr>
          <w:cantSplit/>
        </w:trPr>
        <w:tc>
          <w:tcPr>
            <w:tcW w:type="dxa" w:w="547"/>
          </w:tcPr>
          <w:p>
            <w:pPr>
              <w:spacing w:after="20" w:before="20"/>
            </w:pPr>
            <w:r/>
            <w:r>
              <w:rPr>
                <w:b/>
                <w:sz w:val="13"/>
              </w:rPr>
              <w:t>E-1</w:t>
            </w:r>
          </w:p>
        </w:tc>
        <w:tc>
          <w:tcPr>
            <w:tcW w:type="dxa" w:w="2909"/>
          </w:tcPr>
          <w:p>
            <w:pPr>
              <w:spacing w:after="20" w:before="20"/>
            </w:pPr>
            <w:r/>
            <w:r>
              <w:rPr>
                <w:sz w:val="13"/>
              </w:rPr>
              <w:t>Triangle Commercial Bank deed of trust ($3.4M original) unreleased; balance unknown; unfunded</w:t>
            </w:r>
          </w:p>
        </w:tc>
        <w:tc>
          <w:tcPr>
            <w:tcW w:type="dxa" w:w="806"/>
          </w:tcPr>
          <w:p>
            <w:pPr>
              <w:spacing w:after="20" w:before="20"/>
            </w:pPr>
            <w:r/>
            <w:r>
              <w:rPr>
                <w:sz w:val="13"/>
              </w:rPr>
              <w:t>Critical</w:t>
            </w:r>
          </w:p>
        </w:tc>
        <w:tc>
          <w:tcPr>
            <w:tcW w:type="dxa" w:w="2722"/>
          </w:tcPr>
          <w:p>
            <w:pPr>
              <w:spacing w:after="20" w:before="20"/>
            </w:pPr>
            <w:r/>
            <w:r>
              <w:rPr>
                <w:sz w:val="13"/>
              </w:rPr>
              <w:t>No first-priority lien at closing; funding shortfall of an unknown amount</w:t>
            </w:r>
          </w:p>
        </w:tc>
        <w:tc>
          <w:tcPr>
            <w:tcW w:type="dxa" w:w="2016"/>
          </w:tcPr>
          <w:p>
            <w:pPr>
              <w:spacing w:after="20" w:before="20"/>
            </w:pPr>
            <w:r/>
            <w:r>
              <w:rPr>
                <w:sz w:val="13"/>
              </w:rPr>
              <w:t>Payoff letter, funds at closing through escrow, recorded satisfaction, no title exception</w:t>
            </w:r>
          </w:p>
        </w:tc>
      </w:tr>
      <w:tr>
        <w:trPr>
          <w:cantSplit/>
        </w:trPr>
        <w:tc>
          <w:tcPr>
            <w:tcW w:type="dxa" w:w="547"/>
          </w:tcPr>
          <w:p>
            <w:pPr>
              <w:spacing w:after="20" w:before="20"/>
            </w:pPr>
            <w:r/>
            <w:r>
              <w:rPr>
                <w:b/>
                <w:sz w:val="13"/>
              </w:rPr>
              <w:t>E-3</w:t>
            </w:r>
          </w:p>
        </w:tc>
        <w:tc>
          <w:tcPr>
            <w:tcW w:type="dxa" w:w="2909"/>
          </w:tcPr>
          <w:p>
            <w:pPr>
              <w:spacing w:after="20" w:before="20"/>
            </w:pPr>
            <w:r/>
            <w:r>
              <w:rPr>
                <w:sz w:val="13"/>
              </w:rPr>
              <w:t>Mechanic’s lien relation-back to August/September 2024 work</w:t>
            </w:r>
          </w:p>
        </w:tc>
        <w:tc>
          <w:tcPr>
            <w:tcW w:type="dxa" w:w="806"/>
          </w:tcPr>
          <w:p>
            <w:pPr>
              <w:spacing w:after="20" w:before="20"/>
            </w:pPr>
            <w:r/>
            <w:r>
              <w:rPr>
                <w:sz w:val="13"/>
              </w:rPr>
              <w:t>Critical</w:t>
            </w:r>
          </w:p>
        </w:tc>
        <w:tc>
          <w:tcPr>
            <w:tcW w:type="dxa" w:w="2722"/>
          </w:tcPr>
          <w:p>
            <w:pPr>
              <w:spacing w:after="20" w:before="20"/>
            </w:pPr>
            <w:r/>
            <w:r>
              <w:rPr>
                <w:sz w:val="13"/>
              </w:rPr>
              <w:t>Demolition and remediation claimants could prime the deed of trust</w:t>
            </w:r>
          </w:p>
        </w:tc>
        <w:tc>
          <w:tcPr>
            <w:tcW w:type="dxa" w:w="2016"/>
          </w:tcPr>
          <w:p>
            <w:pPr>
              <w:spacing w:after="20" w:before="20"/>
            </w:pPr>
            <w:r/>
            <w:r>
              <w:rPr>
                <w:sz w:val="13"/>
              </w:rPr>
              <w:t>Unconditional waivers, owner/contractor affidavits, ALTA 9 endorsement, no pre-recording work</w:t>
            </w:r>
          </w:p>
        </w:tc>
      </w:tr>
      <w:tr>
        <w:trPr>
          <w:cantSplit/>
        </w:trPr>
        <w:tc>
          <w:tcPr>
            <w:tcW w:type="dxa" w:w="547"/>
          </w:tcPr>
          <w:p>
            <w:pPr>
              <w:spacing w:after="20" w:before="20"/>
            </w:pPr>
            <w:r/>
            <w:r>
              <w:rPr>
                <w:b/>
                <w:sz w:val="13"/>
              </w:rPr>
              <w:t>E-5</w:t>
            </w:r>
          </w:p>
        </w:tc>
        <w:tc>
          <w:tcPr>
            <w:tcW w:type="dxa" w:w="2909"/>
          </w:tcPr>
          <w:p>
            <w:pPr>
              <w:spacing w:after="20" w:before="20"/>
            </w:pPr>
            <w:r/>
            <w:r>
              <w:rPr>
                <w:sz w:val="13"/>
              </w:rPr>
              <w:t>ARC approval asserted by Appraisal, absent per title officer</w:t>
            </w:r>
          </w:p>
        </w:tc>
        <w:tc>
          <w:tcPr>
            <w:tcW w:type="dxa" w:w="806"/>
          </w:tcPr>
          <w:p>
            <w:pPr>
              <w:spacing w:after="20" w:before="20"/>
            </w:pPr>
            <w:r/>
            <w:r>
              <w:rPr>
                <w:sz w:val="13"/>
              </w:rPr>
              <w:t>Critical</w:t>
            </w:r>
          </w:p>
        </w:tc>
        <w:tc>
          <w:tcPr>
            <w:tcW w:type="dxa" w:w="2722"/>
          </w:tcPr>
          <w:p>
            <w:pPr>
              <w:spacing w:after="20" w:before="20"/>
            </w:pPr>
            <w:r/>
            <w:r>
              <w:rPr>
                <w:sz w:val="13"/>
              </w:rPr>
              <w:t>Association may enjoin construction; building permit may be withheld</w:t>
            </w:r>
          </w:p>
        </w:tc>
        <w:tc>
          <w:tcPr>
            <w:tcW w:type="dxa" w:w="2016"/>
          </w:tcPr>
          <w:p>
            <w:pPr>
              <w:spacing w:after="20" w:before="20"/>
            </w:pPr>
            <w:r/>
            <w:r>
              <w:rPr>
                <w:sz w:val="13"/>
              </w:rPr>
              <w:t>Deliver written ARC approval or certificate of deemed approval</w:t>
            </w:r>
          </w:p>
        </w:tc>
      </w:tr>
      <w:tr>
        <w:trPr>
          <w:cantSplit/>
        </w:trPr>
        <w:tc>
          <w:tcPr>
            <w:tcW w:type="dxa" w:w="547"/>
          </w:tcPr>
          <w:p>
            <w:pPr>
              <w:spacing w:after="20" w:before="20"/>
            </w:pPr>
            <w:r/>
            <w:r>
              <w:rPr>
                <w:b/>
                <w:sz w:val="13"/>
              </w:rPr>
              <w:t>C-1</w:t>
            </w:r>
          </w:p>
        </w:tc>
        <w:tc>
          <w:tcPr>
            <w:tcW w:type="dxa" w:w="2909"/>
          </w:tcPr>
          <w:p>
            <w:pPr>
              <w:spacing w:after="20" w:before="20"/>
            </w:pPr>
            <w:r/>
            <w:r>
              <w:rPr>
                <w:sz w:val="13"/>
              </w:rPr>
              <w:t>Duplicate 100% membership interest pledges; intercreditor unexecuted</w:t>
            </w:r>
          </w:p>
        </w:tc>
        <w:tc>
          <w:tcPr>
            <w:tcW w:type="dxa" w:w="806"/>
          </w:tcPr>
          <w:p>
            <w:pPr>
              <w:spacing w:after="20" w:before="20"/>
            </w:pPr>
            <w:r/>
            <w:r>
              <w:rPr>
                <w:sz w:val="13"/>
              </w:rPr>
              <w:t>Critical</w:t>
            </w:r>
          </w:p>
        </w:tc>
        <w:tc>
          <w:tcPr>
            <w:tcW w:type="dxa" w:w="2722"/>
          </w:tcPr>
          <w:p>
            <w:pPr>
              <w:spacing w:after="20" w:before="20"/>
            </w:pPr>
            <w:r/>
            <w:r>
              <w:rPr>
                <w:sz w:val="13"/>
              </w:rPr>
              <w:t>Priority dispute in a default; remedies delayed; collateral position not as documented</w:t>
            </w:r>
          </w:p>
        </w:tc>
        <w:tc>
          <w:tcPr>
            <w:tcW w:type="dxa" w:w="2016"/>
          </w:tcPr>
          <w:p>
            <w:pPr>
              <w:spacing w:after="20" w:before="20"/>
            </w:pPr>
            <w:r/>
            <w:r>
              <w:rPr>
                <w:sz w:val="13"/>
              </w:rPr>
              <w:t>Execute intercreditor at closing with senior first priority; dual UCC-1 filings; account control</w:t>
            </w:r>
          </w:p>
        </w:tc>
      </w:tr>
      <w:tr>
        <w:trPr>
          <w:cantSplit/>
        </w:trPr>
        <w:tc>
          <w:tcPr>
            <w:tcW w:type="dxa" w:w="547"/>
          </w:tcPr>
          <w:p>
            <w:pPr>
              <w:spacing w:after="20" w:before="20"/>
            </w:pPr>
            <w:r/>
            <w:r>
              <w:rPr>
                <w:b/>
                <w:sz w:val="13"/>
              </w:rPr>
              <w:t>C-3</w:t>
            </w:r>
          </w:p>
        </w:tc>
        <w:tc>
          <w:tcPr>
            <w:tcW w:type="dxa" w:w="2909"/>
          </w:tcPr>
          <w:p>
            <w:pPr>
              <w:spacing w:after="20" w:before="20"/>
            </w:pPr>
            <w:r/>
            <w:r>
              <w:rPr>
                <w:sz w:val="13"/>
              </w:rPr>
              <w:t>75% supermajority gives mezzanine affiliate a veto over bankruptcy and refinancing</w:t>
            </w:r>
          </w:p>
        </w:tc>
        <w:tc>
          <w:tcPr>
            <w:tcW w:type="dxa" w:w="806"/>
          </w:tcPr>
          <w:p>
            <w:pPr>
              <w:spacing w:after="20" w:before="20"/>
            </w:pPr>
            <w:r/>
            <w:r>
              <w:rPr>
                <w:sz w:val="13"/>
              </w:rPr>
              <w:t>Critical</w:t>
            </w:r>
          </w:p>
        </w:tc>
        <w:tc>
          <w:tcPr>
            <w:tcW w:type="dxa" w:w="2722"/>
          </w:tcPr>
          <w:p>
            <w:pPr>
              <w:spacing w:after="20" w:before="20"/>
            </w:pPr>
            <w:r/>
            <w:r>
              <w:rPr>
                <w:sz w:val="13"/>
              </w:rPr>
              <w:t>Bankruptcy remoteness compromised; independent manager ineffective</w:t>
            </w:r>
          </w:p>
        </w:tc>
        <w:tc>
          <w:tcPr>
            <w:tcW w:type="dxa" w:w="2016"/>
          </w:tcPr>
          <w:p>
            <w:pPr>
              <w:spacing w:after="20" w:before="20"/>
            </w:pPr>
            <w:r/>
            <w:r>
              <w:rPr>
                <w:sz w:val="13"/>
              </w:rPr>
              <w:t>Amend operating agreement to vest bankruptcy authority solely in the Independent Manager; remove 75% threshold for loan-related actions</w:t>
            </w:r>
          </w:p>
        </w:tc>
      </w:tr>
      <w:tr>
        <w:trPr>
          <w:cantSplit/>
        </w:trPr>
        <w:tc>
          <w:tcPr>
            <w:tcW w:type="dxa" w:w="547"/>
          </w:tcPr>
          <w:p>
            <w:pPr>
              <w:spacing w:after="20" w:before="20"/>
            </w:pPr>
            <w:r/>
            <w:r>
              <w:rPr>
                <w:b/>
                <w:sz w:val="13"/>
              </w:rPr>
              <w:t>A-4</w:t>
            </w:r>
          </w:p>
        </w:tc>
        <w:tc>
          <w:tcPr>
            <w:tcW w:type="dxa" w:w="2909"/>
          </w:tcPr>
          <w:p>
            <w:pPr>
              <w:spacing w:after="20" w:before="20"/>
            </w:pPr>
            <w:r/>
            <w:r>
              <w:rPr>
                <w:sz w:val="13"/>
              </w:rPr>
              <w:t>$1,000,000 of Developer Fee funded by Mezzanine Loan at closing</w:t>
            </w:r>
          </w:p>
        </w:tc>
        <w:tc>
          <w:tcPr>
            <w:tcW w:type="dxa" w:w="806"/>
          </w:tcPr>
          <w:p>
            <w:pPr>
              <w:spacing w:after="20" w:before="20"/>
            </w:pPr>
            <w:r/>
            <w:r>
              <w:rPr>
                <w:sz w:val="13"/>
              </w:rPr>
              <w:t>High</w:t>
            </w:r>
          </w:p>
        </w:tc>
        <w:tc>
          <w:tcPr>
            <w:tcW w:type="dxa" w:w="2722"/>
          </w:tcPr>
          <w:p>
            <w:pPr>
              <w:spacing w:after="20" w:before="20"/>
            </w:pPr>
            <w:r/>
            <w:r>
              <w:rPr>
                <w:sz w:val="13"/>
              </w:rPr>
              <w:t>Distribution of borrowed money at closing; equity recapture</w:t>
            </w:r>
          </w:p>
        </w:tc>
        <w:tc>
          <w:tcPr>
            <w:tcW w:type="dxa" w:w="2016"/>
          </w:tcPr>
          <w:p>
            <w:pPr>
              <w:spacing w:after="20" w:before="20"/>
            </w:pPr>
            <w:r/>
            <w:r>
              <w:rPr>
                <w:sz w:val="13"/>
              </w:rPr>
              <w:t>Defer Developer Fee; prohibit Mezzanine funding of any Fee</w:t>
            </w:r>
          </w:p>
        </w:tc>
      </w:tr>
      <w:tr>
        <w:trPr>
          <w:cantSplit/>
        </w:trPr>
        <w:tc>
          <w:tcPr>
            <w:tcW w:type="dxa" w:w="547"/>
          </w:tcPr>
          <w:p>
            <w:pPr>
              <w:spacing w:after="20" w:before="20"/>
            </w:pPr>
            <w:r/>
            <w:r>
              <w:rPr>
                <w:b/>
                <w:sz w:val="13"/>
              </w:rPr>
              <w:t>A-5</w:t>
            </w:r>
          </w:p>
        </w:tc>
        <w:tc>
          <w:tcPr>
            <w:tcW w:type="dxa" w:w="2909"/>
          </w:tcPr>
          <w:p>
            <w:pPr>
              <w:spacing w:after="20" w:before="20"/>
            </w:pPr>
            <w:r/>
            <w:r>
              <w:rPr>
                <w:sz w:val="13"/>
              </w:rPr>
              <w:t>Three acquisition dates and two contribution stories for the land</w:t>
            </w:r>
          </w:p>
        </w:tc>
        <w:tc>
          <w:tcPr>
            <w:tcW w:type="dxa" w:w="806"/>
          </w:tcPr>
          <w:p>
            <w:pPr>
              <w:spacing w:after="20" w:before="20"/>
            </w:pPr>
            <w:r/>
            <w:r>
              <w:rPr>
                <w:sz w:val="13"/>
              </w:rPr>
              <w:t>High</w:t>
            </w:r>
          </w:p>
        </w:tc>
        <w:tc>
          <w:tcPr>
            <w:tcW w:type="dxa" w:w="2722"/>
          </w:tcPr>
          <w:p>
            <w:pPr>
              <w:spacing w:after="20" w:before="20"/>
            </w:pPr>
            <w:r/>
            <w:r>
              <w:rPr>
                <w:sz w:val="13"/>
              </w:rPr>
              <w:t>Equity contribution cannot be verified; potential fraudulent-transfer and preference exposure</w:t>
            </w:r>
          </w:p>
        </w:tc>
        <w:tc>
          <w:tcPr>
            <w:tcW w:type="dxa" w:w="2016"/>
          </w:tcPr>
          <w:p>
            <w:pPr>
              <w:spacing w:after="20" w:before="20"/>
            </w:pPr>
            <w:r/>
            <w:r>
              <w:rPr>
                <w:sz w:val="13"/>
              </w:rPr>
              <w:t>Deed-in evidence, closing statement, source-of-funds tracing, contribution documentation</w:t>
            </w:r>
          </w:p>
        </w:tc>
      </w:tr>
      <w:tr>
        <w:trPr>
          <w:cantSplit/>
        </w:trPr>
        <w:tc>
          <w:tcPr>
            <w:tcW w:type="dxa" w:w="547"/>
          </w:tcPr>
          <w:p>
            <w:pPr>
              <w:spacing w:after="20" w:before="20"/>
            </w:pPr>
            <w:r/>
            <w:r>
              <w:rPr>
                <w:b/>
                <w:sz w:val="13"/>
              </w:rPr>
              <w:t>A-6</w:t>
            </w:r>
          </w:p>
        </w:tc>
        <w:tc>
          <w:tcPr>
            <w:tcW w:type="dxa" w:w="2909"/>
          </w:tcPr>
          <w:p>
            <w:pPr>
              <w:spacing w:after="20" w:before="20"/>
            </w:pPr>
            <w:r/>
            <w:r>
              <w:rPr>
                <w:sz w:val="13"/>
              </w:rPr>
              <w:t>Sources and uses does not foot; land use has no source</w:t>
            </w:r>
          </w:p>
        </w:tc>
        <w:tc>
          <w:tcPr>
            <w:tcW w:type="dxa" w:w="806"/>
          </w:tcPr>
          <w:p>
            <w:pPr>
              <w:spacing w:after="20" w:before="20"/>
            </w:pPr>
            <w:r/>
            <w:r>
              <w:rPr>
                <w:sz w:val="13"/>
              </w:rPr>
              <w:t>High</w:t>
            </w:r>
          </w:p>
        </w:tc>
        <w:tc>
          <w:tcPr>
            <w:tcW w:type="dxa" w:w="2722"/>
          </w:tcPr>
          <w:p>
            <w:pPr>
              <w:spacing w:after="20" w:before="20"/>
            </w:pPr>
            <w:r/>
            <w:r>
              <w:rPr>
                <w:sz w:val="13"/>
              </w:rPr>
              <w:t>Budget cannot be approved as balanced; LTC denominator unreliable</w:t>
            </w:r>
          </w:p>
        </w:tc>
        <w:tc>
          <w:tcPr>
            <w:tcW w:type="dxa" w:w="2016"/>
          </w:tcPr>
          <w:p>
            <w:pPr>
              <w:spacing w:after="20" w:before="20"/>
            </w:pPr>
            <w:r/>
            <w:r>
              <w:rPr>
                <w:sz w:val="13"/>
              </w:rPr>
              <w:t>Corrected sources and uses schedule</w:t>
            </w:r>
          </w:p>
        </w:tc>
      </w:tr>
      <w:tr>
        <w:trPr>
          <w:cantSplit/>
        </w:trPr>
        <w:tc>
          <w:tcPr>
            <w:tcW w:type="dxa" w:w="547"/>
          </w:tcPr>
          <w:p>
            <w:pPr>
              <w:spacing w:after="20" w:before="20"/>
            </w:pPr>
            <w:r/>
            <w:r>
              <w:rPr>
                <w:b/>
                <w:sz w:val="13"/>
              </w:rPr>
              <w:t>A-7</w:t>
            </w:r>
          </w:p>
        </w:tc>
        <w:tc>
          <w:tcPr>
            <w:tcW w:type="dxa" w:w="2909"/>
          </w:tcPr>
          <w:p>
            <w:pPr>
              <w:spacing w:after="20" w:before="20"/>
            </w:pPr>
            <w:r/>
            <w:r>
              <w:rPr>
                <w:sz w:val="13"/>
              </w:rPr>
              <w:t>$2.14M escrow leaves $2.14M of undrawn commitment</w:t>
            </w:r>
          </w:p>
        </w:tc>
        <w:tc>
          <w:tcPr>
            <w:tcW w:type="dxa" w:w="806"/>
          </w:tcPr>
          <w:p>
            <w:pPr>
              <w:spacing w:after="20" w:before="20"/>
            </w:pPr>
            <w:r/>
            <w:r>
              <w:rPr>
                <w:sz w:val="13"/>
              </w:rPr>
              <w:t>High</w:t>
            </w:r>
          </w:p>
        </w:tc>
        <w:tc>
          <w:tcPr>
            <w:tcW w:type="dxa" w:w="2722"/>
          </w:tcPr>
          <w:p>
            <w:pPr>
              <w:spacing w:after="20" w:before="20"/>
            </w:pPr>
            <w:r/>
            <w:r>
              <w:rPr>
                <w:sz w:val="13"/>
              </w:rPr>
              <w:t>Loan can still be drawn back to 83.77% LTC unless the commitment is reduced</w:t>
            </w:r>
          </w:p>
        </w:tc>
        <w:tc>
          <w:tcPr>
            <w:tcW w:type="dxa" w:w="2016"/>
          </w:tcPr>
          <w:p>
            <w:pPr>
              <w:spacing w:after="20" w:before="20"/>
            </w:pPr>
            <w:r/>
            <w:r>
              <w:rPr>
                <w:sz w:val="13"/>
              </w:rPr>
              <w:t>Automatic commitment reduction (drafted in § 2.1)</w:t>
            </w:r>
          </w:p>
        </w:tc>
      </w:tr>
      <w:tr>
        <w:trPr>
          <w:cantSplit/>
        </w:trPr>
        <w:tc>
          <w:tcPr>
            <w:tcW w:type="dxa" w:w="547"/>
          </w:tcPr>
          <w:p>
            <w:pPr>
              <w:spacing w:after="20" w:before="20"/>
            </w:pPr>
            <w:r/>
            <w:r>
              <w:rPr>
                <w:b/>
                <w:sz w:val="13"/>
              </w:rPr>
              <w:t>C-2</w:t>
            </w:r>
          </w:p>
        </w:tc>
        <w:tc>
          <w:tcPr>
            <w:tcW w:type="dxa" w:w="2909"/>
          </w:tcPr>
          <w:p>
            <w:pPr>
              <w:spacing w:after="20" w:before="20"/>
            </w:pPr>
            <w:r/>
            <w:r>
              <w:rPr>
                <w:sz w:val="13"/>
              </w:rPr>
              <w:t>Pledge requires Managing Member and 75% member consent</w:t>
            </w:r>
          </w:p>
        </w:tc>
        <w:tc>
          <w:tcPr>
            <w:tcW w:type="dxa" w:w="806"/>
          </w:tcPr>
          <w:p>
            <w:pPr>
              <w:spacing w:after="20" w:before="20"/>
            </w:pPr>
            <w:r/>
            <w:r>
              <w:rPr>
                <w:sz w:val="13"/>
              </w:rPr>
              <w:t>High</w:t>
            </w:r>
          </w:p>
        </w:tc>
        <w:tc>
          <w:tcPr>
            <w:tcW w:type="dxa" w:w="2722"/>
          </w:tcPr>
          <w:p>
            <w:pPr>
              <w:spacing w:after="20" w:before="20"/>
            </w:pPr>
            <w:r/>
            <w:r>
              <w:rPr>
                <w:sz w:val="13"/>
              </w:rPr>
              <w:t>Pledge may be unperfected or voidable under the operating agreement</w:t>
            </w:r>
          </w:p>
        </w:tc>
        <w:tc>
          <w:tcPr>
            <w:tcW w:type="dxa" w:w="2016"/>
          </w:tcPr>
          <w:p>
            <w:pPr>
              <w:spacing w:after="20" w:before="20"/>
            </w:pPr>
            <w:r/>
            <w:r>
              <w:rPr>
                <w:sz w:val="13"/>
              </w:rPr>
              <w:t>Member consents and operating agreement amendment at closing</w:t>
            </w:r>
          </w:p>
        </w:tc>
      </w:tr>
      <w:tr>
        <w:trPr>
          <w:cantSplit/>
        </w:trPr>
        <w:tc>
          <w:tcPr>
            <w:tcW w:type="dxa" w:w="547"/>
          </w:tcPr>
          <w:p>
            <w:pPr>
              <w:spacing w:after="20" w:before="20"/>
            </w:pPr>
            <w:r/>
            <w:r>
              <w:rPr>
                <w:b/>
                <w:sz w:val="13"/>
              </w:rPr>
              <w:t>C-4</w:t>
            </w:r>
          </w:p>
        </w:tc>
        <w:tc>
          <w:tcPr>
            <w:tcW w:type="dxa" w:w="2909"/>
          </w:tcPr>
          <w:p>
            <w:pPr>
              <w:spacing w:after="20" w:before="20"/>
            </w:pPr>
            <w:r/>
            <w:r>
              <w:rPr>
                <w:sz w:val="13"/>
              </w:rPr>
              <w:t>28% member contributed $0, is not a guarantor, and controls the mezzanine lender</w:t>
            </w:r>
          </w:p>
        </w:tc>
        <w:tc>
          <w:tcPr>
            <w:tcW w:type="dxa" w:w="806"/>
          </w:tcPr>
          <w:p>
            <w:pPr>
              <w:spacing w:after="20" w:before="20"/>
            </w:pPr>
            <w:r/>
            <w:r>
              <w:rPr>
                <w:sz w:val="13"/>
              </w:rPr>
              <w:t>High</w:t>
            </w:r>
          </w:p>
        </w:tc>
        <w:tc>
          <w:tcPr>
            <w:tcW w:type="dxa" w:w="2722"/>
          </w:tcPr>
          <w:p>
            <w:pPr>
              <w:spacing w:after="20" w:before="20"/>
            </w:pPr>
            <w:r/>
            <w:r>
              <w:rPr>
                <w:sz w:val="13"/>
              </w:rPr>
              <w:t>No downside participation by a blocking equity holder</w:t>
            </w:r>
          </w:p>
        </w:tc>
        <w:tc>
          <w:tcPr>
            <w:tcW w:type="dxa" w:w="2016"/>
          </w:tcPr>
          <w:p>
            <w:pPr>
              <w:spacing w:after="20" w:before="20"/>
            </w:pPr>
            <w:r/>
            <w:r>
              <w:rPr>
                <w:sz w:val="13"/>
              </w:rPr>
              <w:t>Equity commitment letter, springing guaranty, or pledge of its interest</w:t>
            </w:r>
          </w:p>
        </w:tc>
      </w:tr>
      <w:tr>
        <w:trPr>
          <w:cantSplit/>
        </w:trPr>
        <w:tc>
          <w:tcPr>
            <w:tcW w:type="dxa" w:w="547"/>
          </w:tcPr>
          <w:p>
            <w:pPr>
              <w:spacing w:after="20" w:before="20"/>
            </w:pPr>
            <w:r/>
            <w:r>
              <w:rPr>
                <w:b/>
                <w:sz w:val="13"/>
              </w:rPr>
              <w:t>D-3</w:t>
            </w:r>
          </w:p>
        </w:tc>
        <w:tc>
          <w:tcPr>
            <w:tcW w:type="dxa" w:w="2909"/>
          </w:tcPr>
          <w:p>
            <w:pPr>
              <w:spacing w:after="20" w:before="20"/>
            </w:pPr>
            <w:r/>
            <w:r>
              <w:rPr>
                <w:sz w:val="13"/>
              </w:rPr>
              <w:t>Vapor mitigation system not designed or costed separately</w:t>
            </w:r>
          </w:p>
        </w:tc>
        <w:tc>
          <w:tcPr>
            <w:tcW w:type="dxa" w:w="806"/>
          </w:tcPr>
          <w:p>
            <w:pPr>
              <w:spacing w:after="20" w:before="20"/>
            </w:pPr>
            <w:r/>
            <w:r>
              <w:rPr>
                <w:sz w:val="13"/>
              </w:rPr>
              <w:t>High</w:t>
            </w:r>
          </w:p>
        </w:tc>
        <w:tc>
          <w:tcPr>
            <w:tcW w:type="dxa" w:w="2722"/>
          </w:tcPr>
          <w:p>
            <w:pPr>
              <w:spacing w:after="20" w:before="20"/>
            </w:pPr>
            <w:r/>
            <w:r>
              <w:rPr>
                <w:sz w:val="13"/>
              </w:rPr>
              <w:t>NFA Condition 1 non-compliance; unfunded cost</w:t>
            </w:r>
          </w:p>
        </w:tc>
        <w:tc>
          <w:tcPr>
            <w:tcW w:type="dxa" w:w="2016"/>
          </w:tcPr>
          <w:p>
            <w:pPr>
              <w:spacing w:after="20" w:before="20"/>
            </w:pPr>
            <w:r/>
            <w:r>
              <w:rPr>
                <w:sz w:val="13"/>
              </w:rPr>
              <w:t>PE design, dedicated budget line, as-builts and 90-day verification</w:t>
            </w:r>
          </w:p>
        </w:tc>
      </w:tr>
      <w:tr>
        <w:trPr>
          <w:cantSplit/>
        </w:trPr>
        <w:tc>
          <w:tcPr>
            <w:tcW w:type="dxa" w:w="547"/>
          </w:tcPr>
          <w:p>
            <w:pPr>
              <w:spacing w:after="20" w:before="20"/>
            </w:pPr>
            <w:r/>
            <w:r>
              <w:rPr>
                <w:b/>
                <w:sz w:val="13"/>
              </w:rPr>
              <w:t>D-4</w:t>
            </w:r>
          </w:p>
        </w:tc>
        <w:tc>
          <w:tcPr>
            <w:tcW w:type="dxa" w:w="2909"/>
          </w:tcPr>
          <w:p>
            <w:pPr>
              <w:spacing w:after="20" w:before="20"/>
            </w:pPr>
            <w:r/>
            <w:r>
              <w:rPr>
                <w:sz w:val="13"/>
              </w:rPr>
              <w:t>NCDEQ-approved soil management plan required before subsurface work</w:t>
            </w:r>
          </w:p>
        </w:tc>
        <w:tc>
          <w:tcPr>
            <w:tcW w:type="dxa" w:w="806"/>
          </w:tcPr>
          <w:p>
            <w:pPr>
              <w:spacing w:after="20" w:before="20"/>
            </w:pPr>
            <w:r/>
            <w:r>
              <w:rPr>
                <w:sz w:val="13"/>
              </w:rPr>
              <w:t>High</w:t>
            </w:r>
          </w:p>
        </w:tc>
        <w:tc>
          <w:tcPr>
            <w:tcW w:type="dxa" w:w="2722"/>
          </w:tcPr>
          <w:p>
            <w:pPr>
              <w:spacing w:after="20" w:before="20"/>
            </w:pPr>
            <w:r/>
            <w:r>
              <w:rPr>
                <w:sz w:val="13"/>
              </w:rPr>
              <w:t>Construction start may be delayed; NFA non-compliance</w:t>
            </w:r>
          </w:p>
        </w:tc>
        <w:tc>
          <w:tcPr>
            <w:tcW w:type="dxa" w:w="2016"/>
          </w:tcPr>
          <w:p>
            <w:pPr>
              <w:spacing w:after="20" w:before="20"/>
            </w:pPr>
            <w:r/>
            <w:r>
              <w:rPr>
                <w:sz w:val="13"/>
              </w:rPr>
              <w:t>Submit plan now; make approval a closing condition</w:t>
            </w:r>
          </w:p>
        </w:tc>
      </w:tr>
      <w:tr>
        <w:trPr>
          <w:cantSplit/>
        </w:trPr>
        <w:tc>
          <w:tcPr>
            <w:tcW w:type="dxa" w:w="547"/>
          </w:tcPr>
          <w:p>
            <w:pPr>
              <w:spacing w:after="20" w:before="20"/>
            </w:pPr>
            <w:r/>
            <w:r>
              <w:rPr>
                <w:b/>
                <w:sz w:val="13"/>
              </w:rPr>
              <w:t>F-1</w:t>
            </w:r>
          </w:p>
        </w:tc>
        <w:tc>
          <w:tcPr>
            <w:tcW w:type="dxa" w:w="2909"/>
          </w:tcPr>
          <w:p>
            <w:pPr>
              <w:spacing w:after="20" w:before="20"/>
            </w:pPr>
            <w:r/>
            <w:r>
              <w:rPr>
                <w:sz w:val="13"/>
              </w:rPr>
              <w:t>Draw schedule does not withhold retainage; column and row totals do not foot</w:t>
            </w:r>
          </w:p>
        </w:tc>
        <w:tc>
          <w:tcPr>
            <w:tcW w:type="dxa" w:w="806"/>
          </w:tcPr>
          <w:p>
            <w:pPr>
              <w:spacing w:after="20" w:before="20"/>
            </w:pPr>
            <w:r/>
            <w:r>
              <w:rPr>
                <w:sz w:val="13"/>
              </w:rPr>
              <w:t>High</w:t>
            </w:r>
          </w:p>
        </w:tc>
        <w:tc>
          <w:tcPr>
            <w:tcW w:type="dxa" w:w="2722"/>
          </w:tcPr>
          <w:p>
            <w:pPr>
              <w:spacing w:after="20" w:before="20"/>
            </w:pPr>
            <w:r/>
            <w:r>
              <w:rPr>
                <w:sz w:val="13"/>
              </w:rPr>
              <w:t>Over-advance of up to $3,475,000; budget lines funded from retainage</w:t>
            </w:r>
          </w:p>
        </w:tc>
        <w:tc>
          <w:tcPr>
            <w:tcW w:type="dxa" w:w="2016"/>
          </w:tcPr>
          <w:p>
            <w:pPr>
              <w:spacing w:after="20" w:before="20"/>
            </w:pPr>
            <w:r/>
            <w:r>
              <w:rPr>
                <w:sz w:val="13"/>
              </w:rPr>
              <w:t>Restated Schedule 4 (drafted)</w:t>
            </w:r>
          </w:p>
        </w:tc>
      </w:tr>
      <w:tr>
        <w:trPr>
          <w:cantSplit/>
        </w:trPr>
        <w:tc>
          <w:tcPr>
            <w:tcW w:type="dxa" w:w="547"/>
          </w:tcPr>
          <w:p>
            <w:pPr>
              <w:spacing w:after="20" w:before="20"/>
            </w:pPr>
            <w:r/>
            <w:r>
              <w:rPr>
                <w:b/>
                <w:sz w:val="13"/>
              </w:rPr>
              <w:t>F-2</w:t>
            </w:r>
          </w:p>
        </w:tc>
        <w:tc>
          <w:tcPr>
            <w:tcW w:type="dxa" w:w="2909"/>
          </w:tcPr>
          <w:p>
            <w:pPr>
              <w:spacing w:after="20" w:before="20"/>
            </w:pPr>
            <w:r/>
            <w:r>
              <w:rPr>
                <w:sz w:val="13"/>
              </w:rPr>
              <w:t>Unbudgeted items: unused line fee, exit fee, Triangle payoff, pre-closing demolition/remediation, retail TI, leasing commissions</w:t>
            </w:r>
          </w:p>
        </w:tc>
        <w:tc>
          <w:tcPr>
            <w:tcW w:type="dxa" w:w="806"/>
          </w:tcPr>
          <w:p>
            <w:pPr>
              <w:spacing w:after="20" w:before="20"/>
            </w:pPr>
            <w:r/>
            <w:r>
              <w:rPr>
                <w:sz w:val="13"/>
              </w:rPr>
              <w:t>High</w:t>
            </w:r>
          </w:p>
        </w:tc>
        <w:tc>
          <w:tcPr>
            <w:tcW w:type="dxa" w:w="2722"/>
          </w:tcPr>
          <w:p>
            <w:pPr>
              <w:spacing w:after="20" w:before="20"/>
            </w:pPr>
            <w:r/>
            <w:r>
              <w:rPr>
                <w:sz w:val="13"/>
              </w:rPr>
              <w:t>Funding gap; cost overruns charged to the Bank or the guarantors</w:t>
            </w:r>
          </w:p>
        </w:tc>
        <w:tc>
          <w:tcPr>
            <w:tcW w:type="dxa" w:w="2016"/>
          </w:tcPr>
          <w:p>
            <w:pPr>
              <w:spacing w:after="20" w:before="20"/>
            </w:pPr>
            <w:r/>
            <w:r>
              <w:rPr>
                <w:sz w:val="13"/>
              </w:rPr>
              <w:t>Add to Total Project Costs with verified equity funding</w:t>
            </w:r>
          </w:p>
        </w:tc>
      </w:tr>
      <w:tr>
        <w:trPr>
          <w:cantSplit/>
        </w:trPr>
        <w:tc>
          <w:tcPr>
            <w:tcW w:type="dxa" w:w="547"/>
          </w:tcPr>
          <w:p>
            <w:pPr>
              <w:spacing w:after="20" w:before="20"/>
            </w:pPr>
            <w:r/>
            <w:r>
              <w:rPr>
                <w:b/>
                <w:sz w:val="13"/>
              </w:rPr>
              <w:t>F-6</w:t>
            </w:r>
          </w:p>
        </w:tc>
        <w:tc>
          <w:tcPr>
            <w:tcW w:type="dxa" w:w="2909"/>
          </w:tcPr>
          <w:p>
            <w:pPr>
              <w:spacing w:after="20" w:before="20"/>
            </w:pPr>
            <w:r/>
            <w:r>
              <w:rPr>
                <w:sz w:val="13"/>
              </w:rPr>
              <w:t>GMP contract reported executed; execution is also a closing condition</w:t>
            </w:r>
          </w:p>
        </w:tc>
        <w:tc>
          <w:tcPr>
            <w:tcW w:type="dxa" w:w="806"/>
          </w:tcPr>
          <w:p>
            <w:pPr>
              <w:spacing w:after="20" w:before="20"/>
            </w:pPr>
            <w:r/>
            <w:r>
              <w:rPr>
                <w:sz w:val="13"/>
              </w:rPr>
              <w:t>High</w:t>
            </w:r>
          </w:p>
        </w:tc>
        <w:tc>
          <w:tcPr>
            <w:tcW w:type="dxa" w:w="2722"/>
          </w:tcPr>
          <w:p>
            <w:pPr>
              <w:spacing w:after="20" w:before="20"/>
            </w:pPr>
            <w:r/>
            <w:r>
              <w:rPr>
                <w:sz w:val="13"/>
              </w:rPr>
              <w:t>Raises lien relation-back and unsatisfied condition issues</w:t>
            </w:r>
          </w:p>
        </w:tc>
        <w:tc>
          <w:tcPr>
            <w:tcW w:type="dxa" w:w="2016"/>
          </w:tcPr>
          <w:p>
            <w:pPr>
              <w:spacing w:after="20" w:before="20"/>
            </w:pPr>
            <w:r/>
            <w:r>
              <w:rPr>
                <w:sz w:val="13"/>
              </w:rPr>
              <w:t>Confirm execution date, work status, and waivers</w:t>
            </w:r>
          </w:p>
        </w:tc>
      </w:tr>
      <w:tr>
        <w:trPr>
          <w:cantSplit/>
        </w:trPr>
        <w:tc>
          <w:tcPr>
            <w:tcW w:type="dxa" w:w="547"/>
          </w:tcPr>
          <w:p>
            <w:pPr>
              <w:spacing w:after="20" w:before="20"/>
            </w:pPr>
            <w:r/>
            <w:r>
              <w:rPr>
                <w:b/>
                <w:sz w:val="13"/>
              </w:rPr>
              <w:t>G-1</w:t>
            </w:r>
          </w:p>
        </w:tc>
        <w:tc>
          <w:tcPr>
            <w:tcW w:type="dxa" w:w="2909"/>
          </w:tcPr>
          <w:p>
            <w:pPr>
              <w:spacing w:after="20" w:before="20"/>
            </w:pPr>
            <w:r/>
            <w:r>
              <w:rPr>
                <w:sz w:val="13"/>
              </w:rPr>
              <w:t>Construction maturity (Aug. 28, 2027) precedes projected completion (Aug. 31, 2027)</w:t>
            </w:r>
          </w:p>
        </w:tc>
        <w:tc>
          <w:tcPr>
            <w:tcW w:type="dxa" w:w="806"/>
          </w:tcPr>
          <w:p>
            <w:pPr>
              <w:spacing w:after="20" w:before="20"/>
            </w:pPr>
            <w:r/>
            <w:r>
              <w:rPr>
                <w:sz w:val="13"/>
              </w:rPr>
              <w:t>High</w:t>
            </w:r>
          </w:p>
        </w:tc>
        <w:tc>
          <w:tcPr>
            <w:tcW w:type="dxa" w:w="2722"/>
          </w:tcPr>
          <w:p>
            <w:pPr>
              <w:spacing w:after="20" w:before="20"/>
            </w:pPr>
            <w:r/>
            <w:r>
              <w:rPr>
                <w:sz w:val="13"/>
              </w:rPr>
              <w:t>Completion Guaranty breached at inception; maturity default without any delay</w:t>
            </w:r>
          </w:p>
        </w:tc>
        <w:tc>
          <w:tcPr>
            <w:tcW w:type="dxa" w:w="2016"/>
          </w:tcPr>
          <w:p>
            <w:pPr>
              <w:spacing w:after="20" w:before="20"/>
            </w:pPr>
            <w:r/>
            <w:r>
              <w:rPr>
                <w:sz w:val="13"/>
              </w:rPr>
              <w:t>Conform completion date and maturity; or move maturity out</w:t>
            </w:r>
          </w:p>
        </w:tc>
      </w:tr>
      <w:tr>
        <w:trPr>
          <w:cantSplit/>
        </w:trPr>
        <w:tc>
          <w:tcPr>
            <w:tcW w:type="dxa" w:w="547"/>
          </w:tcPr>
          <w:p>
            <w:pPr>
              <w:spacing w:after="20" w:before="20"/>
            </w:pPr>
            <w:r/>
            <w:r>
              <w:rPr>
                <w:b/>
                <w:sz w:val="13"/>
              </w:rPr>
              <w:t>G-2</w:t>
            </w:r>
          </w:p>
        </w:tc>
        <w:tc>
          <w:tcPr>
            <w:tcW w:type="dxa" w:w="2909"/>
          </w:tcPr>
          <w:p>
            <w:pPr>
              <w:spacing w:after="20" w:before="20"/>
            </w:pPr>
            <w:r/>
            <w:r>
              <w:rPr>
                <w:sz w:val="13"/>
              </w:rPr>
              <w:t>DSCR tested at mini-perm commencement on trailing NOI</w:t>
            </w:r>
          </w:p>
        </w:tc>
        <w:tc>
          <w:tcPr>
            <w:tcW w:type="dxa" w:w="806"/>
          </w:tcPr>
          <w:p>
            <w:pPr>
              <w:spacing w:after="20" w:before="20"/>
            </w:pPr>
            <w:r/>
            <w:r>
              <w:rPr>
                <w:sz w:val="13"/>
              </w:rPr>
              <w:t>High</w:t>
            </w:r>
          </w:p>
        </w:tc>
        <w:tc>
          <w:tcPr>
            <w:tcW w:type="dxa" w:w="2722"/>
          </w:tcPr>
          <w:p>
            <w:pPr>
              <w:spacing w:after="20" w:before="20"/>
            </w:pPr>
            <w:r/>
            <w:r>
              <w:rPr>
                <w:sz w:val="13"/>
              </w:rPr>
              <w:t>Test yields zero coverage; automatic default</w:t>
            </w:r>
          </w:p>
        </w:tc>
        <w:tc>
          <w:tcPr>
            <w:tcW w:type="dxa" w:w="2016"/>
          </w:tcPr>
          <w:p>
            <w:pPr>
              <w:spacing w:after="20" w:before="20"/>
            </w:pPr>
            <w:r/>
            <w:r>
              <w:rPr>
                <w:sz w:val="13"/>
              </w:rPr>
              <w:t>Projected test at commencement; first actual test at month 12 (drafted)</w:t>
            </w:r>
          </w:p>
        </w:tc>
      </w:tr>
      <w:tr>
        <w:trPr>
          <w:cantSplit/>
        </w:trPr>
        <w:tc>
          <w:tcPr>
            <w:tcW w:type="dxa" w:w="547"/>
          </w:tcPr>
          <w:p>
            <w:pPr>
              <w:spacing w:after="20" w:before="20"/>
            </w:pPr>
            <w:r/>
            <w:r>
              <w:rPr>
                <w:b/>
                <w:sz w:val="13"/>
              </w:rPr>
              <w:t>G-3</w:t>
            </w:r>
          </w:p>
        </w:tc>
        <w:tc>
          <w:tcPr>
            <w:tcW w:type="dxa" w:w="2909"/>
          </w:tcPr>
          <w:p>
            <w:pPr>
              <w:spacing w:after="20" w:before="20"/>
            </w:pPr>
            <w:r/>
            <w:r>
              <w:rPr>
                <w:sz w:val="13"/>
              </w:rPr>
              <w:t>Stressed DSCR 1.04x; rate cap only on extension</w:t>
            </w:r>
          </w:p>
        </w:tc>
        <w:tc>
          <w:tcPr>
            <w:tcW w:type="dxa" w:w="806"/>
          </w:tcPr>
          <w:p>
            <w:pPr>
              <w:spacing w:after="20" w:before="20"/>
            </w:pPr>
            <w:r/>
            <w:r>
              <w:rPr>
                <w:sz w:val="13"/>
              </w:rPr>
              <w:t>High</w:t>
            </w:r>
          </w:p>
        </w:tc>
        <w:tc>
          <w:tcPr>
            <w:tcW w:type="dxa" w:w="2722"/>
          </w:tcPr>
          <w:p>
            <w:pPr>
              <w:spacing w:after="20" w:before="20"/>
            </w:pPr>
            <w:r/>
            <w:r>
              <w:rPr>
                <w:sz w:val="13"/>
              </w:rPr>
              <w:t>Inability to refinance at mini-perm maturity</w:t>
            </w:r>
          </w:p>
        </w:tc>
        <w:tc>
          <w:tcPr>
            <w:tcW w:type="dxa" w:w="2016"/>
          </w:tcPr>
          <w:p>
            <w:pPr>
              <w:spacing w:after="20" w:before="20"/>
            </w:pPr>
            <w:r/>
            <w:r>
              <w:rPr>
                <w:sz w:val="13"/>
              </w:rPr>
              <w:t>Require rate cap at mini-perm commencement</w:t>
            </w:r>
          </w:p>
        </w:tc>
      </w:tr>
      <w:tr>
        <w:trPr>
          <w:cantSplit/>
        </w:trPr>
        <w:tc>
          <w:tcPr>
            <w:tcW w:type="dxa" w:w="547"/>
          </w:tcPr>
          <w:p>
            <w:pPr>
              <w:spacing w:after="20" w:before="20"/>
            </w:pPr>
            <w:r/>
            <w:r>
              <w:rPr>
                <w:b/>
                <w:sz w:val="13"/>
              </w:rPr>
              <w:t>H-1</w:t>
            </w:r>
          </w:p>
        </w:tc>
        <w:tc>
          <w:tcPr>
            <w:tcW w:type="dxa" w:w="2909"/>
          </w:tcPr>
          <w:p>
            <w:pPr>
              <w:spacing w:after="20" w:before="20"/>
            </w:pPr>
            <w:r/>
            <w:r>
              <w:rPr>
                <w:sz w:val="13"/>
              </w:rPr>
              <w:t>Interest reserve adequacy estimates conflict ($365,830 vs $565,000 shortfall)</w:t>
            </w:r>
          </w:p>
        </w:tc>
        <w:tc>
          <w:tcPr>
            <w:tcW w:type="dxa" w:w="806"/>
          </w:tcPr>
          <w:p>
            <w:pPr>
              <w:spacing w:after="20" w:before="20"/>
            </w:pPr>
            <w:r/>
            <w:r>
              <w:rPr>
                <w:sz w:val="13"/>
              </w:rPr>
              <w:t>High</w:t>
            </w:r>
          </w:p>
        </w:tc>
        <w:tc>
          <w:tcPr>
            <w:tcW w:type="dxa" w:w="2722"/>
          </w:tcPr>
          <w:p>
            <w:pPr>
              <w:spacing w:after="20" w:before="20"/>
            </w:pPr>
            <w:r/>
            <w:r>
              <w:rPr>
                <w:sz w:val="13"/>
              </w:rPr>
              <w:t>Interest defaults during construction; no cash equity to cure</w:t>
            </w:r>
          </w:p>
        </w:tc>
        <w:tc>
          <w:tcPr>
            <w:tcW w:type="dxa" w:w="2016"/>
          </w:tcPr>
          <w:p>
            <w:pPr>
              <w:spacing w:after="20" w:before="20"/>
            </w:pPr>
            <w:r/>
            <w:r>
              <w:rPr>
                <w:sz w:val="13"/>
              </w:rPr>
              <w:t>Increase reserve to ~$5,600,000 or impose hard replenishment (drafted)</w:t>
            </w:r>
          </w:p>
        </w:tc>
      </w:tr>
      <w:tr>
        <w:trPr>
          <w:cantSplit/>
        </w:trPr>
        <w:tc>
          <w:tcPr>
            <w:tcW w:type="dxa" w:w="547"/>
          </w:tcPr>
          <w:p>
            <w:pPr>
              <w:spacing w:after="20" w:before="20"/>
            </w:pPr>
            <w:r/>
            <w:r>
              <w:rPr>
                <w:b/>
                <w:sz w:val="13"/>
              </w:rPr>
              <w:t>I-1</w:t>
            </w:r>
          </w:p>
        </w:tc>
        <w:tc>
          <w:tcPr>
            <w:tcW w:type="dxa" w:w="2909"/>
          </w:tcPr>
          <w:p>
            <w:pPr>
              <w:spacing w:after="20" w:before="20"/>
            </w:pPr>
            <w:r/>
            <w:r>
              <w:rPr>
                <w:sz w:val="13"/>
              </w:rPr>
              <w:t>Builder’s risk of $34,750,000 against replacement cost of $56.7M–$72.8M</w:t>
            </w:r>
          </w:p>
        </w:tc>
        <w:tc>
          <w:tcPr>
            <w:tcW w:type="dxa" w:w="806"/>
          </w:tcPr>
          <w:p>
            <w:pPr>
              <w:spacing w:after="20" w:before="20"/>
            </w:pPr>
            <w:r/>
            <w:r>
              <w:rPr>
                <w:sz w:val="13"/>
              </w:rPr>
              <w:t>High</w:t>
            </w:r>
          </w:p>
        </w:tc>
        <w:tc>
          <w:tcPr>
            <w:tcW w:type="dxa" w:w="2722"/>
          </w:tcPr>
          <w:p>
            <w:pPr>
              <w:spacing w:after="20" w:before="20"/>
            </w:pPr>
            <w:r/>
            <w:r>
              <w:rPr>
                <w:sz w:val="13"/>
              </w:rPr>
              <w:t>Underinsurance and coinsurance penalty; uninsured loss exceeding the Bank’s collateral</w:t>
            </w:r>
          </w:p>
        </w:tc>
        <w:tc>
          <w:tcPr>
            <w:tcW w:type="dxa" w:w="2016"/>
          </w:tcPr>
          <w:p>
            <w:pPr>
              <w:spacing w:after="20" w:before="20"/>
            </w:pPr>
            <w:r/>
            <w:r>
              <w:rPr>
                <w:sz w:val="13"/>
              </w:rPr>
              <w:t>Insure to full replacement cost (drafted)</w:t>
            </w:r>
          </w:p>
        </w:tc>
      </w:tr>
      <w:tr>
        <w:trPr>
          <w:cantSplit/>
        </w:trPr>
        <w:tc>
          <w:tcPr>
            <w:tcW w:type="dxa" w:w="547"/>
          </w:tcPr>
          <w:p>
            <w:pPr>
              <w:spacing w:after="20" w:before="20"/>
            </w:pPr>
            <w:r/>
            <w:r>
              <w:rPr>
                <w:b/>
                <w:sz w:val="13"/>
              </w:rPr>
              <w:t>I-2</w:t>
            </w:r>
          </w:p>
        </w:tc>
        <w:tc>
          <w:tcPr>
            <w:tcW w:type="dxa" w:w="2909"/>
          </w:tcPr>
          <w:p>
            <w:pPr>
              <w:spacing w:after="20" w:before="20"/>
            </w:pPr>
            <w:r/>
            <w:r>
              <w:rPr>
                <w:sz w:val="13"/>
              </w:rPr>
              <w:t>No property or rental loss insurance for the mini-perm period</w:t>
            </w:r>
          </w:p>
        </w:tc>
        <w:tc>
          <w:tcPr>
            <w:tcW w:type="dxa" w:w="806"/>
          </w:tcPr>
          <w:p>
            <w:pPr>
              <w:spacing w:after="20" w:before="20"/>
            </w:pPr>
            <w:r/>
            <w:r>
              <w:rPr>
                <w:sz w:val="13"/>
              </w:rPr>
              <w:t>High</w:t>
            </w:r>
          </w:p>
        </w:tc>
        <w:tc>
          <w:tcPr>
            <w:tcW w:type="dxa" w:w="2722"/>
          </w:tcPr>
          <w:p>
            <w:pPr>
              <w:spacing w:after="20" w:before="20"/>
            </w:pPr>
            <w:r/>
            <w:r>
              <w:rPr>
                <w:sz w:val="13"/>
              </w:rPr>
              <w:t>Uninsured casualty during lease-up</w:t>
            </w:r>
          </w:p>
        </w:tc>
        <w:tc>
          <w:tcPr>
            <w:tcW w:type="dxa" w:w="2016"/>
          </w:tcPr>
          <w:p>
            <w:pPr>
              <w:spacing w:after="20" w:before="20"/>
            </w:pPr>
            <w:r/>
            <w:r>
              <w:rPr>
                <w:sz w:val="13"/>
              </w:rPr>
              <w:t>Add coverage (drafted)</w:t>
            </w:r>
          </w:p>
        </w:tc>
      </w:tr>
      <w:tr>
        <w:trPr>
          <w:cantSplit/>
        </w:trPr>
        <w:tc>
          <w:tcPr>
            <w:tcW w:type="dxa" w:w="547"/>
          </w:tcPr>
          <w:p>
            <w:pPr>
              <w:spacing w:after="20" w:before="20"/>
            </w:pPr>
            <w:r/>
            <w:r>
              <w:rPr>
                <w:b/>
                <w:sz w:val="13"/>
              </w:rPr>
              <w:t>C-5</w:t>
            </w:r>
          </w:p>
        </w:tc>
        <w:tc>
          <w:tcPr>
            <w:tcW w:type="dxa" w:w="2909"/>
          </w:tcPr>
          <w:p>
            <w:pPr>
              <w:spacing w:after="20" w:before="20"/>
            </w:pPr>
            <w:r/>
            <w:r>
              <w:rPr>
                <w:sz w:val="13"/>
              </w:rPr>
              <w:t>Guarantor concentration: one guaranty equals 103.3% of one guarantor’s net worth</w:t>
            </w:r>
          </w:p>
        </w:tc>
        <w:tc>
          <w:tcPr>
            <w:tcW w:type="dxa" w:w="806"/>
          </w:tcPr>
          <w:p>
            <w:pPr>
              <w:spacing w:after="20" w:before="20"/>
            </w:pPr>
            <w:r/>
            <w:r>
              <w:rPr>
                <w:sz w:val="13"/>
              </w:rPr>
              <w:t>Medium</w:t>
            </w:r>
          </w:p>
        </w:tc>
        <w:tc>
          <w:tcPr>
            <w:tcW w:type="dxa" w:w="2722"/>
          </w:tcPr>
          <w:p>
            <w:pPr>
              <w:spacing w:after="20" w:before="20"/>
            </w:pPr>
            <w:r/>
            <w:r>
              <w:rPr>
                <w:sz w:val="13"/>
              </w:rPr>
              <w:t>Limited practical recovery on the partial guaranty</w:t>
            </w:r>
          </w:p>
        </w:tc>
        <w:tc>
          <w:tcPr>
            <w:tcW w:type="dxa" w:w="2016"/>
          </w:tcPr>
          <w:p>
            <w:pPr>
              <w:spacing w:after="20" w:before="20"/>
            </w:pPr>
            <w:r/>
            <w:r>
              <w:rPr>
                <w:sz w:val="13"/>
              </w:rPr>
              <w:t>Per-guarantor cap or additional guarantor</w:t>
            </w:r>
          </w:p>
        </w:tc>
      </w:tr>
      <w:tr>
        <w:trPr>
          <w:cantSplit/>
        </w:trPr>
        <w:tc>
          <w:tcPr>
            <w:tcW w:type="dxa" w:w="547"/>
          </w:tcPr>
          <w:p>
            <w:pPr>
              <w:spacing w:after="20" w:before="20"/>
            </w:pPr>
            <w:r/>
            <w:r>
              <w:rPr>
                <w:b/>
                <w:sz w:val="13"/>
              </w:rPr>
              <w:t>C-6</w:t>
            </w:r>
          </w:p>
        </w:tc>
        <w:tc>
          <w:tcPr>
            <w:tcW w:type="dxa" w:w="2909"/>
          </w:tcPr>
          <w:p>
            <w:pPr>
              <w:spacing w:after="20" w:before="20"/>
            </w:pPr>
            <w:r/>
            <w:r>
              <w:rPr>
                <w:sz w:val="13"/>
              </w:rPr>
              <w:t>Partial Repayment Guaranty aggregate ambiguous ($11.875M vs $23.75M)</w:t>
            </w:r>
          </w:p>
        </w:tc>
        <w:tc>
          <w:tcPr>
            <w:tcW w:type="dxa" w:w="806"/>
          </w:tcPr>
          <w:p>
            <w:pPr>
              <w:spacing w:after="20" w:before="20"/>
            </w:pPr>
            <w:r/>
            <w:r>
              <w:rPr>
                <w:sz w:val="13"/>
              </w:rPr>
              <w:t>Medium</w:t>
            </w:r>
          </w:p>
        </w:tc>
        <w:tc>
          <w:tcPr>
            <w:tcW w:type="dxa" w:w="2722"/>
          </w:tcPr>
          <w:p>
            <w:pPr>
              <w:spacing w:after="20" w:before="20"/>
            </w:pPr>
            <w:r/>
            <w:r>
              <w:rPr>
                <w:sz w:val="13"/>
              </w:rPr>
              <w:t>Guaranty may be unenforceable as to the excess or under-collected</w:t>
            </w:r>
          </w:p>
        </w:tc>
        <w:tc>
          <w:tcPr>
            <w:tcW w:type="dxa" w:w="2016"/>
          </w:tcPr>
          <w:p>
            <w:pPr>
              <w:spacing w:after="20" w:before="20"/>
            </w:pPr>
            <w:r/>
            <w:r>
              <w:rPr>
                <w:sz w:val="13"/>
              </w:rPr>
              <w:t>State the aggregate cap (drafted in § 14.3)</w:t>
            </w:r>
          </w:p>
        </w:tc>
      </w:tr>
      <w:tr>
        <w:trPr>
          <w:cantSplit/>
        </w:trPr>
        <w:tc>
          <w:tcPr>
            <w:tcW w:type="dxa" w:w="547"/>
          </w:tcPr>
          <w:p>
            <w:pPr>
              <w:spacing w:after="20" w:before="20"/>
            </w:pPr>
            <w:r/>
            <w:r>
              <w:rPr>
                <w:b/>
                <w:sz w:val="13"/>
              </w:rPr>
              <w:t>D-5</w:t>
            </w:r>
          </w:p>
        </w:tc>
        <w:tc>
          <w:tcPr>
            <w:tcW w:type="dxa" w:w="2909"/>
          </w:tcPr>
          <w:p>
            <w:pPr>
              <w:spacing w:after="20" w:before="20"/>
            </w:pPr>
            <w:r/>
            <w:r>
              <w:rPr>
                <w:sz w:val="13"/>
              </w:rPr>
              <w:t>Remediation volume and UST history inconsistent across three documents</w:t>
            </w:r>
          </w:p>
        </w:tc>
        <w:tc>
          <w:tcPr>
            <w:tcW w:type="dxa" w:w="806"/>
          </w:tcPr>
          <w:p>
            <w:pPr>
              <w:spacing w:after="20" w:before="20"/>
            </w:pPr>
            <w:r/>
            <w:r>
              <w:rPr>
                <w:sz w:val="13"/>
              </w:rPr>
              <w:t>Medium</w:t>
            </w:r>
          </w:p>
        </w:tc>
        <w:tc>
          <w:tcPr>
            <w:tcW w:type="dxa" w:w="2722"/>
          </w:tcPr>
          <w:p>
            <w:pPr>
              <w:spacing w:after="20" w:before="20"/>
            </w:pPr>
            <w:r/>
            <w:r>
              <w:rPr>
                <w:sz w:val="13"/>
              </w:rPr>
              <w:t>Reliance letter and NCDEQ file cannot be reconciled</w:t>
            </w:r>
          </w:p>
        </w:tc>
        <w:tc>
          <w:tcPr>
            <w:tcW w:type="dxa" w:w="2016"/>
          </w:tcPr>
          <w:p>
            <w:pPr>
              <w:spacing w:after="20" w:before="20"/>
            </w:pPr>
            <w:r/>
            <w:r>
              <w:rPr>
                <w:sz w:val="13"/>
              </w:rPr>
              <w:t>Consultant clarification letter</w:t>
            </w:r>
          </w:p>
        </w:tc>
      </w:tr>
      <w:tr>
        <w:trPr>
          <w:cantSplit/>
        </w:trPr>
        <w:tc>
          <w:tcPr>
            <w:tcW w:type="dxa" w:w="547"/>
          </w:tcPr>
          <w:p>
            <w:pPr>
              <w:spacing w:after="20" w:before="20"/>
            </w:pPr>
            <w:r/>
            <w:r>
              <w:rPr>
                <w:b/>
                <w:sz w:val="13"/>
              </w:rPr>
              <w:t>D-6</w:t>
            </w:r>
          </w:p>
        </w:tc>
        <w:tc>
          <w:tcPr>
            <w:tcW w:type="dxa" w:w="2909"/>
          </w:tcPr>
          <w:p>
            <w:pPr>
              <w:spacing w:after="20" w:before="20"/>
            </w:pPr>
            <w:r/>
            <w:r>
              <w:rPr>
                <w:sz w:val="13"/>
              </w:rPr>
              <w:t>Phase I shelf life expires April 26, 2025</w:t>
            </w:r>
          </w:p>
        </w:tc>
        <w:tc>
          <w:tcPr>
            <w:tcW w:type="dxa" w:w="806"/>
          </w:tcPr>
          <w:p>
            <w:pPr>
              <w:spacing w:after="20" w:before="20"/>
            </w:pPr>
            <w:r/>
            <w:r>
              <w:rPr>
                <w:sz w:val="13"/>
              </w:rPr>
              <w:t>Medium</w:t>
            </w:r>
          </w:p>
        </w:tc>
        <w:tc>
          <w:tcPr>
            <w:tcW w:type="dxa" w:w="2722"/>
          </w:tcPr>
          <w:p>
            <w:pPr>
              <w:spacing w:after="20" w:before="20"/>
            </w:pPr>
            <w:r/>
            <w:r>
              <w:rPr>
                <w:sz w:val="13"/>
              </w:rPr>
              <w:t>AAI/innocent landowner defense unavailable if closing slips</w:t>
            </w:r>
          </w:p>
        </w:tc>
        <w:tc>
          <w:tcPr>
            <w:tcW w:type="dxa" w:w="2016"/>
          </w:tcPr>
          <w:p>
            <w:pPr>
              <w:spacing w:after="20" w:before="20"/>
            </w:pPr>
            <w:r/>
            <w:r>
              <w:rPr>
                <w:sz w:val="13"/>
              </w:rPr>
              <w:t>Update if closing is delayed</w:t>
            </w:r>
          </w:p>
        </w:tc>
      </w:tr>
      <w:tr>
        <w:trPr>
          <w:cantSplit/>
        </w:trPr>
        <w:tc>
          <w:tcPr>
            <w:tcW w:type="dxa" w:w="547"/>
          </w:tcPr>
          <w:p>
            <w:pPr>
              <w:spacing w:after="20" w:before="20"/>
            </w:pPr>
            <w:r/>
            <w:r>
              <w:rPr>
                <w:b/>
                <w:sz w:val="13"/>
              </w:rPr>
              <w:t>D-7</w:t>
            </w:r>
          </w:p>
        </w:tc>
        <w:tc>
          <w:tcPr>
            <w:tcW w:type="dxa" w:w="2909"/>
          </w:tcPr>
          <w:p>
            <w:pPr>
              <w:spacing w:after="20" w:before="20"/>
            </w:pPr>
            <w:r/>
            <w:r>
              <w:rPr>
                <w:sz w:val="13"/>
              </w:rPr>
              <w:t>No pollution legal liability insurance</w:t>
            </w:r>
          </w:p>
        </w:tc>
        <w:tc>
          <w:tcPr>
            <w:tcW w:type="dxa" w:w="806"/>
          </w:tcPr>
          <w:p>
            <w:pPr>
              <w:spacing w:after="20" w:before="20"/>
            </w:pPr>
            <w:r/>
            <w:r>
              <w:rPr>
                <w:sz w:val="13"/>
              </w:rPr>
              <w:t>Medium</w:t>
            </w:r>
          </w:p>
        </w:tc>
        <w:tc>
          <w:tcPr>
            <w:tcW w:type="dxa" w:w="2722"/>
          </w:tcPr>
          <w:p>
            <w:pPr>
              <w:spacing w:after="20" w:before="20"/>
            </w:pPr>
            <w:r/>
            <w:r>
              <w:rPr>
                <w:sz w:val="13"/>
              </w:rPr>
              <w:t>Uninsured environmental cost overrun</w:t>
            </w:r>
          </w:p>
        </w:tc>
        <w:tc>
          <w:tcPr>
            <w:tcW w:type="dxa" w:w="2016"/>
          </w:tcPr>
          <w:p>
            <w:pPr>
              <w:spacing w:after="20" w:before="20"/>
            </w:pPr>
            <w:r/>
            <w:r>
              <w:rPr>
                <w:sz w:val="13"/>
              </w:rPr>
              <w:t>Evaluate PLL coverage</w:t>
            </w:r>
          </w:p>
        </w:tc>
      </w:tr>
      <w:tr>
        <w:trPr>
          <w:cantSplit/>
        </w:trPr>
        <w:tc>
          <w:tcPr>
            <w:tcW w:type="dxa" w:w="547"/>
          </w:tcPr>
          <w:p>
            <w:pPr>
              <w:spacing w:after="20" w:before="20"/>
            </w:pPr>
            <w:r/>
            <w:r>
              <w:rPr>
                <w:b/>
                <w:sz w:val="13"/>
              </w:rPr>
              <w:t>E-2</w:t>
            </w:r>
          </w:p>
        </w:tc>
        <w:tc>
          <w:tcPr>
            <w:tcW w:type="dxa" w:w="2909"/>
          </w:tcPr>
          <w:p>
            <w:pPr>
              <w:spacing w:after="20" w:before="20"/>
            </w:pPr>
            <w:r/>
            <w:r>
              <w:rPr>
                <w:sz w:val="13"/>
              </w:rPr>
              <w:t>Permitted Exceptions list (4 items) inconsistent with title (13 items plus taxes)</w:t>
            </w:r>
          </w:p>
        </w:tc>
        <w:tc>
          <w:tcPr>
            <w:tcW w:type="dxa" w:w="806"/>
          </w:tcPr>
          <w:p>
            <w:pPr>
              <w:spacing w:after="20" w:before="20"/>
            </w:pPr>
            <w:r/>
            <w:r>
              <w:rPr>
                <w:sz w:val="13"/>
              </w:rPr>
              <w:t>Medium</w:t>
            </w:r>
          </w:p>
        </w:tc>
        <w:tc>
          <w:tcPr>
            <w:tcW w:type="dxa" w:w="2722"/>
          </w:tcPr>
          <w:p>
            <w:pPr>
              <w:spacing w:after="20" w:before="20"/>
            </w:pPr>
            <w:r/>
            <w:r>
              <w:rPr>
                <w:sz w:val="13"/>
              </w:rPr>
              <w:t>Title policy cannot be issued as documented</w:t>
            </w:r>
          </w:p>
        </w:tc>
        <w:tc>
          <w:tcPr>
            <w:tcW w:type="dxa" w:w="2016"/>
          </w:tcPr>
          <w:p>
            <w:pPr>
              <w:spacing w:after="20" w:before="20"/>
            </w:pPr>
            <w:r/>
            <w:r>
              <w:rPr>
                <w:sz w:val="13"/>
              </w:rPr>
              <w:t>Conformed Schedule 2 (drafted)</w:t>
            </w:r>
          </w:p>
        </w:tc>
      </w:tr>
      <w:tr>
        <w:trPr>
          <w:cantSplit/>
        </w:trPr>
        <w:tc>
          <w:tcPr>
            <w:tcW w:type="dxa" w:w="547"/>
          </w:tcPr>
          <w:p>
            <w:pPr>
              <w:spacing w:after="20" w:before="20"/>
            </w:pPr>
            <w:r/>
            <w:r>
              <w:rPr>
                <w:b/>
                <w:sz w:val="13"/>
              </w:rPr>
              <w:t>E-4</w:t>
            </w:r>
          </w:p>
        </w:tc>
        <w:tc>
          <w:tcPr>
            <w:tcW w:type="dxa" w:w="2909"/>
          </w:tcPr>
          <w:p>
            <w:pPr>
              <w:spacing w:after="20" w:before="20"/>
            </w:pPr>
            <w:r/>
            <w:r>
              <w:rPr>
                <w:sz w:val="13"/>
              </w:rPr>
              <w:t>Parcel acreage, orientation, and frontage conflicts across four documents</w:t>
            </w:r>
          </w:p>
        </w:tc>
        <w:tc>
          <w:tcPr>
            <w:tcW w:type="dxa" w:w="806"/>
          </w:tcPr>
          <w:p>
            <w:pPr>
              <w:spacing w:after="20" w:before="20"/>
            </w:pPr>
            <w:r/>
            <w:r>
              <w:rPr>
                <w:sz w:val="13"/>
              </w:rPr>
              <w:t>Medium</w:t>
            </w:r>
          </w:p>
        </w:tc>
        <w:tc>
          <w:tcPr>
            <w:tcW w:type="dxa" w:w="2722"/>
          </w:tcPr>
          <w:p>
            <w:pPr>
              <w:spacing w:after="20" w:before="20"/>
            </w:pPr>
            <w:r/>
            <w:r>
              <w:rPr>
                <w:sz w:val="13"/>
              </w:rPr>
              <w:t>Restricted Area location uncertain; legal description unverified</w:t>
            </w:r>
          </w:p>
        </w:tc>
        <w:tc>
          <w:tcPr>
            <w:tcW w:type="dxa" w:w="2016"/>
          </w:tcPr>
          <w:p>
            <w:pPr>
              <w:spacing w:after="20" w:before="20"/>
            </w:pPr>
            <w:r/>
            <w:r>
              <w:rPr>
                <w:sz w:val="13"/>
              </w:rPr>
              <w:t>ALTA survey controls; re-plot delineation</w:t>
            </w:r>
          </w:p>
        </w:tc>
      </w:tr>
      <w:tr>
        <w:trPr>
          <w:cantSplit/>
        </w:trPr>
        <w:tc>
          <w:tcPr>
            <w:tcW w:type="dxa" w:w="547"/>
          </w:tcPr>
          <w:p>
            <w:pPr>
              <w:spacing w:after="20" w:before="20"/>
            </w:pPr>
            <w:r/>
            <w:r>
              <w:rPr>
                <w:b/>
                <w:sz w:val="13"/>
              </w:rPr>
              <w:t>F-3</w:t>
            </w:r>
          </w:p>
        </w:tc>
        <w:tc>
          <w:tcPr>
            <w:tcW w:type="dxa" w:w="2909"/>
          </w:tcPr>
          <w:p>
            <w:pPr>
              <w:spacing w:after="20" w:before="20"/>
            </w:pPr>
            <w:r/>
            <w:r>
              <w:rPr>
                <w:sz w:val="13"/>
              </w:rPr>
              <w:t>Contingency 3.28% of hard costs</w:t>
            </w:r>
          </w:p>
        </w:tc>
        <w:tc>
          <w:tcPr>
            <w:tcW w:type="dxa" w:w="806"/>
          </w:tcPr>
          <w:p>
            <w:pPr>
              <w:spacing w:after="20" w:before="20"/>
            </w:pPr>
            <w:r/>
            <w:r>
              <w:rPr>
                <w:sz w:val="13"/>
              </w:rPr>
              <w:t>Medium</w:t>
            </w:r>
          </w:p>
        </w:tc>
        <w:tc>
          <w:tcPr>
            <w:tcW w:type="dxa" w:w="2722"/>
          </w:tcPr>
          <w:p>
            <w:pPr>
              <w:spacing w:after="20" w:before="20"/>
            </w:pPr>
            <w:r/>
            <w:r>
              <w:rPr>
                <w:sz w:val="13"/>
              </w:rPr>
              <w:t>Thin for 30-month wood-frame construction</w:t>
            </w:r>
          </w:p>
        </w:tc>
        <w:tc>
          <w:tcPr>
            <w:tcW w:type="dxa" w:w="2016"/>
          </w:tcPr>
          <w:p>
            <w:pPr>
              <w:spacing w:after="20" w:before="20"/>
            </w:pPr>
            <w:r/>
            <w:r>
              <w:rPr>
                <w:sz w:val="13"/>
              </w:rPr>
              <w:t>Confirm change order status; consider 5%</w:t>
            </w:r>
          </w:p>
        </w:tc>
      </w:tr>
      <w:tr>
        <w:trPr>
          <w:cantSplit/>
        </w:trPr>
        <w:tc>
          <w:tcPr>
            <w:tcW w:type="dxa" w:w="547"/>
          </w:tcPr>
          <w:p>
            <w:pPr>
              <w:spacing w:after="20" w:before="20"/>
            </w:pPr>
            <w:r/>
            <w:r>
              <w:rPr>
                <w:b/>
                <w:sz w:val="13"/>
              </w:rPr>
              <w:t>F-4</w:t>
            </w:r>
          </w:p>
        </w:tc>
        <w:tc>
          <w:tcPr>
            <w:tcW w:type="dxa" w:w="2909"/>
          </w:tcPr>
          <w:p>
            <w:pPr>
              <w:spacing w:after="20" w:before="20"/>
            </w:pPr>
            <w:r/>
            <w:r>
              <w:rPr>
                <w:sz w:val="13"/>
              </w:rPr>
              <w:t>“Single advance facility” vs. nine draws vs. unused line fee</w:t>
            </w:r>
          </w:p>
        </w:tc>
        <w:tc>
          <w:tcPr>
            <w:tcW w:type="dxa" w:w="806"/>
          </w:tcPr>
          <w:p>
            <w:pPr>
              <w:spacing w:after="20" w:before="20"/>
            </w:pPr>
            <w:r/>
            <w:r>
              <w:rPr>
                <w:sz w:val="13"/>
              </w:rPr>
              <w:t>Medium</w:t>
            </w:r>
          </w:p>
        </w:tc>
        <w:tc>
          <w:tcPr>
            <w:tcW w:type="dxa" w:w="2722"/>
          </w:tcPr>
          <w:p>
            <w:pPr>
              <w:spacing w:after="20" w:before="20"/>
            </w:pPr>
            <w:r/>
            <w:r>
              <w:rPr>
                <w:sz w:val="13"/>
              </w:rPr>
              <w:t>Facility characterization and fee basis ambiguous</w:t>
            </w:r>
          </w:p>
        </w:tc>
        <w:tc>
          <w:tcPr>
            <w:tcW w:type="dxa" w:w="2016"/>
          </w:tcPr>
          <w:p>
            <w:pPr>
              <w:spacing w:after="20" w:before="20"/>
            </w:pPr>
            <w:r/>
            <w:r>
              <w:rPr>
                <w:sz w:val="13"/>
              </w:rPr>
              <w:t>Clarified in § 2.2; Committee to confirm fee</w:t>
            </w:r>
          </w:p>
        </w:tc>
      </w:tr>
      <w:tr>
        <w:trPr>
          <w:cantSplit/>
        </w:trPr>
        <w:tc>
          <w:tcPr>
            <w:tcW w:type="dxa" w:w="547"/>
          </w:tcPr>
          <w:p>
            <w:pPr>
              <w:spacing w:after="20" w:before="20"/>
            </w:pPr>
            <w:r/>
            <w:r>
              <w:rPr>
                <w:b/>
                <w:sz w:val="13"/>
              </w:rPr>
              <w:t>F-5</w:t>
            </w:r>
          </w:p>
        </w:tc>
        <w:tc>
          <w:tcPr>
            <w:tcW w:type="dxa" w:w="2909"/>
          </w:tcPr>
          <w:p>
            <w:pPr>
              <w:spacing w:after="20" w:before="20"/>
            </w:pPr>
            <w:r/>
            <w:r>
              <w:rPr>
                <w:sz w:val="13"/>
              </w:rPr>
              <w:t>Draw 1 equals 20% of commitment at 0% completion; funds lender costs from proceeds</w:t>
            </w:r>
          </w:p>
        </w:tc>
        <w:tc>
          <w:tcPr>
            <w:tcW w:type="dxa" w:w="806"/>
          </w:tcPr>
          <w:p>
            <w:pPr>
              <w:spacing w:after="20" w:before="20"/>
            </w:pPr>
            <w:r/>
            <w:r>
              <w:rPr>
                <w:sz w:val="13"/>
              </w:rPr>
              <w:t>Medium</w:t>
            </w:r>
          </w:p>
        </w:tc>
        <w:tc>
          <w:tcPr>
            <w:tcW w:type="dxa" w:w="2722"/>
          </w:tcPr>
          <w:p>
            <w:pPr>
              <w:spacing w:after="20" w:before="20"/>
            </w:pPr>
            <w:r/>
            <w:r>
              <w:rPr>
                <w:sz w:val="13"/>
              </w:rPr>
              <w:t>Front-loaded interest and exposure</w:t>
            </w:r>
          </w:p>
        </w:tc>
        <w:tc>
          <w:tcPr>
            <w:tcW w:type="dxa" w:w="2016"/>
          </w:tcPr>
          <w:p>
            <w:pPr>
              <w:spacing w:after="20" w:before="20"/>
            </w:pPr>
            <w:r/>
            <w:r>
              <w:rPr>
                <w:sz w:val="13"/>
              </w:rPr>
              <w:t>Accept with monitoring; confirm borrower pays its own transactional costs</w:t>
            </w:r>
          </w:p>
        </w:tc>
      </w:tr>
      <w:tr>
        <w:trPr>
          <w:cantSplit/>
        </w:trPr>
        <w:tc>
          <w:tcPr>
            <w:tcW w:type="dxa" w:w="547"/>
          </w:tcPr>
          <w:p>
            <w:pPr>
              <w:spacing w:after="20" w:before="20"/>
            </w:pPr>
            <w:r/>
            <w:r>
              <w:rPr>
                <w:b/>
                <w:sz w:val="13"/>
              </w:rPr>
              <w:t>F-7</w:t>
            </w:r>
          </w:p>
        </w:tc>
        <w:tc>
          <w:tcPr>
            <w:tcW w:type="dxa" w:w="2909"/>
          </w:tcPr>
          <w:p>
            <w:pPr>
              <w:spacing w:after="20" w:before="20"/>
            </w:pPr>
            <w:r/>
            <w:r>
              <w:rPr>
                <w:sz w:val="13"/>
              </w:rPr>
              <w:t>No payment and performance bonds required in the record</w:t>
            </w:r>
          </w:p>
        </w:tc>
        <w:tc>
          <w:tcPr>
            <w:tcW w:type="dxa" w:w="806"/>
          </w:tcPr>
          <w:p>
            <w:pPr>
              <w:spacing w:after="20" w:before="20"/>
            </w:pPr>
            <w:r/>
            <w:r>
              <w:rPr>
                <w:sz w:val="13"/>
              </w:rPr>
              <w:t>Medium</w:t>
            </w:r>
          </w:p>
        </w:tc>
        <w:tc>
          <w:tcPr>
            <w:tcW w:type="dxa" w:w="2722"/>
          </w:tcPr>
          <w:p>
            <w:pPr>
              <w:spacing w:after="20" w:before="20"/>
            </w:pPr>
            <w:r/>
            <w:r>
              <w:rPr>
                <w:sz w:val="13"/>
              </w:rPr>
              <w:t>Completion risk on a $34.75M GMP contract</w:t>
            </w:r>
          </w:p>
        </w:tc>
        <w:tc>
          <w:tcPr>
            <w:tcW w:type="dxa" w:w="2016"/>
          </w:tcPr>
          <w:p>
            <w:pPr>
              <w:spacing w:after="20" w:before="20"/>
            </w:pPr>
            <w:r/>
            <w:r>
              <w:rPr>
                <w:sz w:val="13"/>
              </w:rPr>
              <w:t>Require bonds naming the Bank as dual obligee</w:t>
            </w:r>
          </w:p>
        </w:tc>
      </w:tr>
      <w:tr>
        <w:trPr>
          <w:cantSplit/>
        </w:trPr>
        <w:tc>
          <w:tcPr>
            <w:tcW w:type="dxa" w:w="547"/>
          </w:tcPr>
          <w:p>
            <w:pPr>
              <w:spacing w:after="20" w:before="20"/>
            </w:pPr>
            <w:r/>
            <w:r>
              <w:rPr>
                <w:b/>
                <w:sz w:val="13"/>
              </w:rPr>
              <w:t>G-4</w:t>
            </w:r>
          </w:p>
        </w:tc>
        <w:tc>
          <w:tcPr>
            <w:tcW w:type="dxa" w:w="2909"/>
          </w:tcPr>
          <w:p>
            <w:pPr>
              <w:spacing w:after="20" w:before="20"/>
            </w:pPr>
            <w:r/>
            <w:r>
              <w:rPr>
                <w:sz w:val="13"/>
              </w:rPr>
              <w:t>Construction Delay Default measured against a schedule not yet delivered</w:t>
            </w:r>
          </w:p>
        </w:tc>
        <w:tc>
          <w:tcPr>
            <w:tcW w:type="dxa" w:w="806"/>
          </w:tcPr>
          <w:p>
            <w:pPr>
              <w:spacing w:after="20" w:before="20"/>
            </w:pPr>
            <w:r/>
            <w:r>
              <w:rPr>
                <w:sz w:val="13"/>
              </w:rPr>
              <w:t>Medium</w:t>
            </w:r>
          </w:p>
        </w:tc>
        <w:tc>
          <w:tcPr>
            <w:tcW w:type="dxa" w:w="2722"/>
          </w:tcPr>
          <w:p>
            <w:pPr>
              <w:spacing w:after="20" w:before="20"/>
            </w:pPr>
            <w:r/>
            <w:r>
              <w:rPr>
                <w:sz w:val="13"/>
              </w:rPr>
              <w:t>Unenforceable milestone default</w:t>
            </w:r>
          </w:p>
        </w:tc>
        <w:tc>
          <w:tcPr>
            <w:tcW w:type="dxa" w:w="2016"/>
          </w:tcPr>
          <w:p>
            <w:pPr>
              <w:spacing w:after="20" w:before="20"/>
            </w:pPr>
            <w:r/>
            <w:r>
              <w:rPr>
                <w:sz w:val="13"/>
              </w:rPr>
              <w:t>Attach the baseline schedule at closing</w:t>
            </w:r>
          </w:p>
        </w:tc>
      </w:tr>
      <w:tr>
        <w:trPr>
          <w:cantSplit/>
        </w:trPr>
        <w:tc>
          <w:tcPr>
            <w:tcW w:type="dxa" w:w="547"/>
          </w:tcPr>
          <w:p>
            <w:pPr>
              <w:spacing w:after="20" w:before="20"/>
            </w:pPr>
            <w:r/>
            <w:r>
              <w:rPr>
                <w:b/>
                <w:sz w:val="13"/>
              </w:rPr>
              <w:t>I-3</w:t>
            </w:r>
          </w:p>
        </w:tc>
        <w:tc>
          <w:tcPr>
            <w:tcW w:type="dxa" w:w="2909"/>
          </w:tcPr>
          <w:p>
            <w:pPr>
              <w:spacing w:after="20" w:before="20"/>
            </w:pPr>
            <w:r/>
            <w:r>
              <w:rPr>
                <w:sz w:val="13"/>
              </w:rPr>
              <w:t>Architect E&amp;O and contractor pollution coverage not in the Term Sheet</w:t>
            </w:r>
          </w:p>
        </w:tc>
        <w:tc>
          <w:tcPr>
            <w:tcW w:type="dxa" w:w="806"/>
          </w:tcPr>
          <w:p>
            <w:pPr>
              <w:spacing w:after="20" w:before="20"/>
            </w:pPr>
            <w:r/>
            <w:r>
              <w:rPr>
                <w:sz w:val="13"/>
              </w:rPr>
              <w:t>Medium</w:t>
            </w:r>
          </w:p>
        </w:tc>
        <w:tc>
          <w:tcPr>
            <w:tcW w:type="dxa" w:w="2722"/>
          </w:tcPr>
          <w:p>
            <w:pPr>
              <w:spacing w:after="20" w:before="20"/>
            </w:pPr>
            <w:r/>
            <w:r>
              <w:rPr>
                <w:sz w:val="13"/>
              </w:rPr>
              <w:t>Uninsured design and environmental exposure</w:t>
            </w:r>
          </w:p>
        </w:tc>
        <w:tc>
          <w:tcPr>
            <w:tcW w:type="dxa" w:w="2016"/>
          </w:tcPr>
          <w:p>
            <w:pPr>
              <w:spacing w:after="20" w:before="20"/>
            </w:pPr>
            <w:r/>
            <w:r>
              <w:rPr>
                <w:sz w:val="13"/>
              </w:rPr>
              <w:t>Add to insurance requirements (drafted)</w:t>
            </w:r>
          </w:p>
        </w:tc>
      </w:tr>
      <w:tr>
        <w:trPr>
          <w:cantSplit/>
        </w:trPr>
        <w:tc>
          <w:tcPr>
            <w:tcW w:type="dxa" w:w="547"/>
          </w:tcPr>
          <w:p>
            <w:pPr>
              <w:spacing w:after="20" w:before="20"/>
            </w:pPr>
            <w:r/>
            <w:r>
              <w:rPr>
                <w:b/>
                <w:sz w:val="13"/>
              </w:rPr>
              <w:t>J-1</w:t>
            </w:r>
          </w:p>
        </w:tc>
        <w:tc>
          <w:tcPr>
            <w:tcW w:type="dxa" w:w="2909"/>
          </w:tcPr>
          <w:p>
            <w:pPr>
              <w:spacing w:after="20" w:before="20"/>
            </w:pPr>
            <w:r/>
            <w:r>
              <w:rPr>
                <w:sz w:val="13"/>
              </w:rPr>
              <w:t>Credit Memorandum misstates North Carolina foreclosure law</w:t>
            </w:r>
          </w:p>
        </w:tc>
        <w:tc>
          <w:tcPr>
            <w:tcW w:type="dxa" w:w="806"/>
          </w:tcPr>
          <w:p>
            <w:pPr>
              <w:spacing w:after="20" w:before="20"/>
            </w:pPr>
            <w:r/>
            <w:r>
              <w:rPr>
                <w:sz w:val="13"/>
              </w:rPr>
              <w:t>Medium</w:t>
            </w:r>
          </w:p>
        </w:tc>
        <w:tc>
          <w:tcPr>
            <w:tcW w:type="dxa" w:w="2722"/>
          </w:tcPr>
          <w:p>
            <w:pPr>
              <w:spacing w:after="20" w:before="20"/>
            </w:pPr>
            <w:r/>
            <w:r>
              <w:rPr>
                <w:sz w:val="13"/>
              </w:rPr>
              <w:t>Remedy provisions, guaranty structure, and deficiency analysis founded on an incorrect premise</w:t>
            </w:r>
          </w:p>
        </w:tc>
        <w:tc>
          <w:tcPr>
            <w:tcW w:type="dxa" w:w="2016"/>
          </w:tcPr>
          <w:p>
            <w:pPr>
              <w:spacing w:after="20" w:before="20"/>
            </w:pPr>
            <w:r/>
            <w:r>
              <w:rPr>
                <w:sz w:val="13"/>
              </w:rPr>
              <w:t>Corrected in Article 16 (power of sale, Chapter 45, Article 2A)</w:t>
            </w:r>
          </w:p>
        </w:tc>
      </w:tr>
      <w:tr>
        <w:trPr>
          <w:cantSplit/>
        </w:trPr>
        <w:tc>
          <w:tcPr>
            <w:tcW w:type="dxa" w:w="547"/>
          </w:tcPr>
          <w:p>
            <w:pPr>
              <w:spacing w:after="20" w:before="20"/>
            </w:pPr>
            <w:r/>
            <w:r>
              <w:rPr>
                <w:b/>
                <w:sz w:val="13"/>
              </w:rPr>
              <w:t>J-2</w:t>
            </w:r>
          </w:p>
        </w:tc>
        <w:tc>
          <w:tcPr>
            <w:tcW w:type="dxa" w:w="2909"/>
          </w:tcPr>
          <w:p>
            <w:pPr>
              <w:spacing w:after="20" w:before="20"/>
            </w:pPr>
            <w:r/>
            <w:r>
              <w:rPr>
                <w:sz w:val="13"/>
              </w:rPr>
              <w:t>Bad-boy bankruptcy trigger controllable by a mezzanine affiliate</w:t>
            </w:r>
          </w:p>
        </w:tc>
        <w:tc>
          <w:tcPr>
            <w:tcW w:type="dxa" w:w="806"/>
          </w:tcPr>
          <w:p>
            <w:pPr>
              <w:spacing w:after="20" w:before="20"/>
            </w:pPr>
            <w:r/>
            <w:r>
              <w:rPr>
                <w:sz w:val="13"/>
              </w:rPr>
              <w:t>Medium</w:t>
            </w:r>
          </w:p>
        </w:tc>
        <w:tc>
          <w:tcPr>
            <w:tcW w:type="dxa" w:w="2722"/>
          </w:tcPr>
          <w:p>
            <w:pPr>
              <w:spacing w:after="20" w:before="20"/>
            </w:pPr>
            <w:r/>
            <w:r>
              <w:rPr>
                <w:sz w:val="13"/>
              </w:rPr>
              <w:t>Full recourse may never spring; or springs at a party’s election</w:t>
            </w:r>
          </w:p>
        </w:tc>
        <w:tc>
          <w:tcPr>
            <w:tcW w:type="dxa" w:w="2016"/>
          </w:tcPr>
          <w:p>
            <w:pPr>
              <w:spacing w:after="20" w:before="20"/>
            </w:pPr>
            <w:r/>
            <w:r>
              <w:rPr>
                <w:sz w:val="13"/>
              </w:rPr>
              <w:t>Independent Manager authority; springing guaranty</w:t>
            </w:r>
          </w:p>
        </w:tc>
      </w:tr>
      <w:tr>
        <w:trPr>
          <w:cantSplit/>
        </w:trPr>
        <w:tc>
          <w:tcPr>
            <w:tcW w:type="dxa" w:w="547"/>
          </w:tcPr>
          <w:p>
            <w:pPr>
              <w:spacing w:after="20" w:before="20"/>
            </w:pPr>
            <w:r/>
            <w:r>
              <w:rPr>
                <w:b/>
                <w:sz w:val="13"/>
              </w:rPr>
              <w:t>K-1</w:t>
            </w:r>
          </w:p>
        </w:tc>
        <w:tc>
          <w:tcPr>
            <w:tcW w:type="dxa" w:w="2909"/>
          </w:tcPr>
          <w:p>
            <w:pPr>
              <w:spacing w:after="20" w:before="20"/>
            </w:pPr>
            <w:r/>
            <w:r>
              <w:rPr>
                <w:sz w:val="13"/>
              </w:rPr>
              <w:t>Guarantor net worth event of default cross-referenced to the Borrower net worth section</w:t>
            </w:r>
          </w:p>
        </w:tc>
        <w:tc>
          <w:tcPr>
            <w:tcW w:type="dxa" w:w="806"/>
          </w:tcPr>
          <w:p>
            <w:pPr>
              <w:spacing w:after="20" w:before="20"/>
            </w:pPr>
            <w:r/>
            <w:r>
              <w:rPr>
                <w:sz w:val="13"/>
              </w:rPr>
              <w:t>Medium</w:t>
            </w:r>
          </w:p>
        </w:tc>
        <w:tc>
          <w:tcPr>
            <w:tcW w:type="dxa" w:w="2722"/>
          </w:tcPr>
          <w:p>
            <w:pPr>
              <w:spacing w:after="20" w:before="20"/>
            </w:pPr>
            <w:r/>
            <w:r>
              <w:rPr>
                <w:sz w:val="13"/>
              </w:rPr>
              <w:t>Event of default unenforceable as written</w:t>
            </w:r>
          </w:p>
        </w:tc>
        <w:tc>
          <w:tcPr>
            <w:tcW w:type="dxa" w:w="2016"/>
          </w:tcPr>
          <w:p>
            <w:pPr>
              <w:spacing w:after="20" w:before="20"/>
            </w:pPr>
            <w:r/>
            <w:r>
              <w:rPr>
                <w:sz w:val="13"/>
              </w:rPr>
              <w:t>Insert a separate guarantor net worth covenant (drafted)</w:t>
            </w:r>
          </w:p>
        </w:tc>
      </w:tr>
      <w:tr>
        <w:trPr>
          <w:cantSplit/>
        </w:trPr>
        <w:tc>
          <w:tcPr>
            <w:tcW w:type="dxa" w:w="547"/>
          </w:tcPr>
          <w:p>
            <w:pPr>
              <w:spacing w:after="20" w:before="20"/>
            </w:pPr>
            <w:r/>
            <w:r>
              <w:rPr>
                <w:b/>
                <w:sz w:val="13"/>
              </w:rPr>
              <w:t>K-2</w:t>
            </w:r>
          </w:p>
        </w:tc>
        <w:tc>
          <w:tcPr>
            <w:tcW w:type="dxa" w:w="2909"/>
          </w:tcPr>
          <w:p>
            <w:pPr>
              <w:spacing w:after="20" w:before="20"/>
            </w:pPr>
            <w:r/>
            <w:r>
              <w:rPr>
                <w:sz w:val="13"/>
              </w:rPr>
              <w:t>“Single advance facility,” milestone draws, and an unused line fee are mutually inconsistent; the fee is unbudgeted</w:t>
            </w:r>
          </w:p>
        </w:tc>
        <w:tc>
          <w:tcPr>
            <w:tcW w:type="dxa" w:w="806"/>
          </w:tcPr>
          <w:p>
            <w:pPr>
              <w:spacing w:after="20" w:before="20"/>
            </w:pPr>
            <w:r/>
            <w:r>
              <w:rPr>
                <w:sz w:val="13"/>
              </w:rPr>
              <w:t>Medium</w:t>
            </w:r>
          </w:p>
        </w:tc>
        <w:tc>
          <w:tcPr>
            <w:tcW w:type="dxa" w:w="2722"/>
          </w:tcPr>
          <w:p>
            <w:pPr>
              <w:spacing w:after="20" w:before="20"/>
            </w:pPr>
            <w:r/>
            <w:r>
              <w:rPr>
                <w:sz w:val="13"/>
              </w:rPr>
              <w:t>Fee basis ambiguous; approximately $119,000 of fees with no funding source</w:t>
            </w:r>
          </w:p>
        </w:tc>
        <w:tc>
          <w:tcPr>
            <w:tcW w:type="dxa" w:w="2016"/>
          </w:tcPr>
          <w:p>
            <w:pPr>
              <w:spacing w:after="20" w:before="20"/>
            </w:pPr>
            <w:r/>
            <w:r>
              <w:rPr>
                <w:sz w:val="13"/>
              </w:rPr>
              <w:t>Committee to confirm whether the fee is retained; clarified in § 2.2</w:t>
            </w:r>
          </w:p>
        </w:tc>
      </w:tr>
      <w:tr>
        <w:trPr>
          <w:cantSplit/>
        </w:trPr>
        <w:tc>
          <w:tcPr>
            <w:tcW w:type="dxa" w:w="547"/>
          </w:tcPr>
          <w:p>
            <w:pPr>
              <w:spacing w:after="20" w:before="20"/>
            </w:pPr>
            <w:r/>
            <w:r>
              <w:rPr>
                <w:b/>
                <w:sz w:val="13"/>
              </w:rPr>
              <w:t>K-3</w:t>
            </w:r>
          </w:p>
        </w:tc>
        <w:tc>
          <w:tcPr>
            <w:tcW w:type="dxa" w:w="2909"/>
          </w:tcPr>
          <w:p>
            <w:pPr>
              <w:spacing w:after="20" w:before="20"/>
            </w:pPr>
            <w:r/>
            <w:r>
              <w:rPr>
                <w:sz w:val="13"/>
              </w:rPr>
              <w:t>Five-day monetary grace in the Term Sheet but no late charge provision</w:t>
            </w:r>
          </w:p>
        </w:tc>
        <w:tc>
          <w:tcPr>
            <w:tcW w:type="dxa" w:w="806"/>
          </w:tcPr>
          <w:p>
            <w:pPr>
              <w:spacing w:after="20" w:before="20"/>
            </w:pPr>
            <w:r/>
            <w:r>
              <w:rPr>
                <w:sz w:val="13"/>
              </w:rPr>
              <w:t>Medium</w:t>
            </w:r>
          </w:p>
        </w:tc>
        <w:tc>
          <w:tcPr>
            <w:tcW w:type="dxa" w:w="2722"/>
          </w:tcPr>
          <w:p>
            <w:pPr>
              <w:spacing w:after="20" w:before="20"/>
            </w:pPr>
            <w:r/>
            <w:r>
              <w:rPr>
                <w:sz w:val="13"/>
              </w:rPr>
              <w:t>Grace period without pricing of delinquency</w:t>
            </w:r>
          </w:p>
        </w:tc>
        <w:tc>
          <w:tcPr>
            <w:tcW w:type="dxa" w:w="2016"/>
          </w:tcPr>
          <w:p>
            <w:pPr>
              <w:spacing w:after="20" w:before="20"/>
            </w:pPr>
            <w:r/>
            <w:r>
              <w:rPr>
                <w:sz w:val="13"/>
              </w:rPr>
              <w:t>Committee to approve a late charge (drafted, bracketed)</w:t>
            </w:r>
          </w:p>
        </w:tc>
      </w:tr>
      <w:tr>
        <w:trPr>
          <w:cantSplit/>
        </w:trPr>
        <w:tc>
          <w:tcPr>
            <w:tcW w:type="dxa" w:w="547"/>
          </w:tcPr>
          <w:p>
            <w:pPr>
              <w:spacing w:after="20" w:before="20"/>
            </w:pPr>
            <w:r/>
            <w:r>
              <w:rPr>
                <w:b/>
                <w:sz w:val="13"/>
              </w:rPr>
              <w:t>K-4</w:t>
            </w:r>
          </w:p>
        </w:tc>
        <w:tc>
          <w:tcPr>
            <w:tcW w:type="dxa" w:w="2909"/>
          </w:tcPr>
          <w:p>
            <w:pPr>
              <w:spacing w:after="20" w:before="20"/>
            </w:pPr>
            <w:r/>
            <w:r>
              <w:rPr>
                <w:sz w:val="13"/>
              </w:rPr>
              <w:t>Origination fee described as payable at closing, a condition precedent, and fundable from proceeds</w:t>
            </w:r>
          </w:p>
        </w:tc>
        <w:tc>
          <w:tcPr>
            <w:tcW w:type="dxa" w:w="806"/>
          </w:tcPr>
          <w:p>
            <w:pPr>
              <w:spacing w:after="20" w:before="20"/>
            </w:pPr>
            <w:r/>
            <w:r>
              <w:rPr>
                <w:sz w:val="13"/>
              </w:rPr>
              <w:t>Medium</w:t>
            </w:r>
          </w:p>
        </w:tc>
        <w:tc>
          <w:tcPr>
            <w:tcW w:type="dxa" w:w="2722"/>
          </w:tcPr>
          <w:p>
            <w:pPr>
              <w:spacing w:after="20" w:before="20"/>
            </w:pPr>
            <w:r/>
            <w:r>
              <w:rPr>
                <w:sz w:val="13"/>
              </w:rPr>
              <w:t>Circular condition; fee may not be paid</w:t>
            </w:r>
          </w:p>
        </w:tc>
        <w:tc>
          <w:tcPr>
            <w:tcW w:type="dxa" w:w="2016"/>
          </w:tcPr>
          <w:p>
            <w:pPr>
              <w:spacing w:after="20" w:before="20"/>
            </w:pPr>
            <w:r/>
            <w:r>
              <w:rPr>
                <w:sz w:val="13"/>
              </w:rPr>
              <w:t>Fund from the Initial Advance (drafted)</w:t>
            </w:r>
          </w:p>
        </w:tc>
      </w:tr>
      <w:tr>
        <w:trPr>
          <w:cantSplit/>
        </w:trPr>
        <w:tc>
          <w:tcPr>
            <w:tcW w:type="dxa" w:w="547"/>
          </w:tcPr>
          <w:p>
            <w:pPr>
              <w:spacing w:after="20" w:before="20"/>
            </w:pPr>
            <w:r/>
            <w:r>
              <w:rPr>
                <w:b/>
                <w:sz w:val="13"/>
              </w:rPr>
              <w:t>K-5</w:t>
            </w:r>
          </w:p>
        </w:tc>
        <w:tc>
          <w:tcPr>
            <w:tcW w:type="dxa" w:w="2909"/>
          </w:tcPr>
          <w:p>
            <w:pPr>
              <w:spacing w:after="20" w:before="20"/>
            </w:pPr>
            <w:r/>
            <w:r>
              <w:rPr>
                <w:sz w:val="13"/>
              </w:rPr>
              <w:t>Expense deposit described as both non-refundable and refundable; no evidence of payment</w:t>
            </w:r>
          </w:p>
        </w:tc>
        <w:tc>
          <w:tcPr>
            <w:tcW w:type="dxa" w:w="806"/>
          </w:tcPr>
          <w:p>
            <w:pPr>
              <w:spacing w:after="20" w:before="20"/>
            </w:pPr>
            <w:r/>
            <w:r>
              <w:rPr>
                <w:sz w:val="13"/>
              </w:rPr>
              <w:t>Medium</w:t>
            </w:r>
          </w:p>
        </w:tc>
        <w:tc>
          <w:tcPr>
            <w:tcW w:type="dxa" w:w="2722"/>
          </w:tcPr>
          <w:p>
            <w:pPr>
              <w:spacing w:after="20" w:before="20"/>
            </w:pPr>
            <w:r/>
            <w:r>
              <w:rPr>
                <w:sz w:val="13"/>
              </w:rPr>
              <w:t>Dispute over $75,000; unexplained closing credit</w:t>
            </w:r>
          </w:p>
        </w:tc>
        <w:tc>
          <w:tcPr>
            <w:tcW w:type="dxa" w:w="2016"/>
          </w:tcPr>
          <w:p>
            <w:pPr>
              <w:spacing w:after="20" w:before="20"/>
            </w:pPr>
            <w:r/>
            <w:r>
              <w:rPr>
                <w:sz w:val="13"/>
              </w:rPr>
              <w:t>Confirm receipt and the agreed treatment</w:t>
            </w:r>
          </w:p>
        </w:tc>
      </w:tr>
      <w:tr>
        <w:trPr>
          <w:cantSplit/>
        </w:trPr>
        <w:tc>
          <w:tcPr>
            <w:tcW w:type="dxa" w:w="547"/>
          </w:tcPr>
          <w:p>
            <w:pPr>
              <w:spacing w:after="20" w:before="20"/>
            </w:pPr>
            <w:r/>
            <w:r>
              <w:rPr>
                <w:b/>
                <w:sz w:val="13"/>
              </w:rPr>
              <w:t>K-6</w:t>
            </w:r>
          </w:p>
        </w:tc>
        <w:tc>
          <w:tcPr>
            <w:tcW w:type="dxa" w:w="2909"/>
          </w:tcPr>
          <w:p>
            <w:pPr>
              <w:spacing w:after="20" w:before="20"/>
            </w:pPr>
            <w:r/>
            <w:r>
              <w:rPr>
                <w:sz w:val="13"/>
              </w:rPr>
              <w:t>Lender address stated as 215 South Tryon in the Term Sheet and 200 South Tryon in the Phase I ESA</w:t>
            </w:r>
          </w:p>
        </w:tc>
        <w:tc>
          <w:tcPr>
            <w:tcW w:type="dxa" w:w="806"/>
          </w:tcPr>
          <w:p>
            <w:pPr>
              <w:spacing w:after="20" w:before="20"/>
            </w:pPr>
            <w:r/>
            <w:r>
              <w:rPr>
                <w:sz w:val="13"/>
              </w:rPr>
              <w:t>Low</w:t>
            </w:r>
          </w:p>
        </w:tc>
        <w:tc>
          <w:tcPr>
            <w:tcW w:type="dxa" w:w="2722"/>
          </w:tcPr>
          <w:p>
            <w:pPr>
              <w:spacing w:after="20" w:before="20"/>
            </w:pPr>
            <w:r/>
            <w:r>
              <w:rPr>
                <w:sz w:val="13"/>
              </w:rPr>
              <w:t>Notice and reliance-letter discrepancy</w:t>
            </w:r>
          </w:p>
        </w:tc>
        <w:tc>
          <w:tcPr>
            <w:tcW w:type="dxa" w:w="2016"/>
          </w:tcPr>
          <w:p>
            <w:pPr>
              <w:spacing w:after="20" w:before="20"/>
            </w:pPr>
            <w:r/>
            <w:r>
              <w:rPr>
                <w:sz w:val="13"/>
              </w:rPr>
              <w:t>Conform to 215 South Tryon</w:t>
            </w:r>
          </w:p>
        </w:tc>
      </w:tr>
      <w:tr>
        <w:trPr>
          <w:cantSplit/>
        </w:trPr>
        <w:tc>
          <w:tcPr>
            <w:tcW w:type="dxa" w:w="547"/>
          </w:tcPr>
          <w:p>
            <w:pPr>
              <w:spacing w:after="20" w:before="20"/>
            </w:pPr>
            <w:r/>
            <w:r>
              <w:rPr>
                <w:b/>
                <w:sz w:val="13"/>
              </w:rPr>
              <w:t>K-7</w:t>
            </w:r>
          </w:p>
        </w:tc>
        <w:tc>
          <w:tcPr>
            <w:tcW w:type="dxa" w:w="2909"/>
          </w:tcPr>
          <w:p>
            <w:pPr>
              <w:spacing w:after="20" w:before="20"/>
            </w:pPr>
            <w:r/>
            <w:r>
              <w:rPr>
                <w:sz w:val="13"/>
              </w:rPr>
              <w:t>Appraisal file RAS-2024-1147 and Phase I project SEC-2024-1147 are identical</w:t>
            </w:r>
          </w:p>
        </w:tc>
        <w:tc>
          <w:tcPr>
            <w:tcW w:type="dxa" w:w="806"/>
          </w:tcPr>
          <w:p>
            <w:pPr>
              <w:spacing w:after="20" w:before="20"/>
            </w:pPr>
            <w:r/>
            <w:r>
              <w:rPr>
                <w:sz w:val="13"/>
              </w:rPr>
              <w:t>Low</w:t>
            </w:r>
          </w:p>
        </w:tc>
        <w:tc>
          <w:tcPr>
            <w:tcW w:type="dxa" w:w="2722"/>
          </w:tcPr>
          <w:p>
            <w:pPr>
              <w:spacing w:after="20" w:before="20"/>
            </w:pPr>
            <w:r/>
            <w:r>
              <w:rPr>
                <w:sz w:val="13"/>
              </w:rPr>
              <w:t>Records-integrity question</w:t>
            </w:r>
          </w:p>
        </w:tc>
        <w:tc>
          <w:tcPr>
            <w:tcW w:type="dxa" w:w="2016"/>
          </w:tcPr>
          <w:p>
            <w:pPr>
              <w:spacing w:after="20" w:before="20"/>
            </w:pPr>
            <w:r/>
            <w:r>
              <w:rPr>
                <w:sz w:val="13"/>
              </w:rPr>
              <w:t>Confirm with the consultants</w:t>
            </w:r>
          </w:p>
        </w:tc>
      </w:tr>
      <w:tr>
        <w:trPr>
          <w:cantSplit/>
        </w:trPr>
        <w:tc>
          <w:tcPr>
            <w:tcW w:type="dxa" w:w="547"/>
          </w:tcPr>
          <w:p>
            <w:pPr>
              <w:spacing w:after="20" w:before="20"/>
            </w:pPr>
            <w:r/>
            <w:r>
              <w:rPr>
                <w:b/>
                <w:sz w:val="13"/>
              </w:rPr>
              <w:t>E-6</w:t>
            </w:r>
          </w:p>
        </w:tc>
        <w:tc>
          <w:tcPr>
            <w:tcW w:type="dxa" w:w="2909"/>
          </w:tcPr>
          <w:p>
            <w:pPr>
              <w:spacing w:after="20" w:before="20"/>
            </w:pPr>
            <w:r/>
            <w:r>
              <w:rPr>
                <w:sz w:val="13"/>
              </w:rPr>
              <w:t>Title commitment expires June 5, 2025; owner’s policy of $8.9M proposed</w:t>
            </w:r>
          </w:p>
        </w:tc>
        <w:tc>
          <w:tcPr>
            <w:tcW w:type="dxa" w:w="806"/>
          </w:tcPr>
          <w:p>
            <w:pPr>
              <w:spacing w:after="20" w:before="20"/>
            </w:pPr>
            <w:r/>
            <w:r>
              <w:rPr>
                <w:sz w:val="13"/>
              </w:rPr>
              <w:t>Low</w:t>
            </w:r>
          </w:p>
        </w:tc>
        <w:tc>
          <w:tcPr>
            <w:tcW w:type="dxa" w:w="2722"/>
          </w:tcPr>
          <w:p>
            <w:pPr>
              <w:spacing w:after="20" w:before="20"/>
            </w:pPr>
            <w:r/>
            <w:r>
              <w:rPr>
                <w:sz w:val="13"/>
              </w:rPr>
              <w:t>Title must be re-issued if closing slips</w:t>
            </w:r>
          </w:p>
        </w:tc>
        <w:tc>
          <w:tcPr>
            <w:tcW w:type="dxa" w:w="2016"/>
          </w:tcPr>
          <w:p>
            <w:pPr>
              <w:spacing w:after="20" w:before="20"/>
            </w:pPr>
            <w:r/>
            <w:r>
              <w:rPr>
                <w:sz w:val="13"/>
              </w:rPr>
              <w:t>Extend or bring down; confirm owner’s policy need</w:t>
            </w:r>
          </w:p>
        </w:tc>
      </w:tr>
    </w:tbl>
    <w:p>
      <w:pPr>
        <w:spacing w:after="40"/>
      </w:pPr>
    </w:p>
    <w:p>
      <w:pPr>
        <w:keepNext/>
        <w:spacing w:before="280" w:after="100"/>
      </w:pPr>
      <w:r>
        <w:rPr>
          <w:b/>
          <w:color w:val="1F3353"/>
          <w:sz w:val="26"/>
        </w:rPr>
        <w:t>3.  INDEPENDENT RECOMPUTATION</w:t>
      </w:r>
    </w:p>
    <w:p>
      <w:pPr>
        <w:spacing w:after="160"/>
        <w:ind w:left="0" w:firstLine="0"/>
        <w:jc w:val="both"/>
      </w:pPr>
      <w:r>
        <w:rPr>
          <w:i w:val="0"/>
        </w:rPr>
        <w:t>Table 3 records every material figure in the record that we recomputed, the source of the stated figure, our independent computation, and whether the stated figure survives the check. Figures marked “fails” are identified either because the stated figure is arithmetically wrong or because the stated conclusion does not follow from the stated inputs. n/a indicates a non-numerical item. All computations were performed from source inputs (unit counts, rents, square footages, per-square-foot rates, and loan amounts), not from summary totals.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837"/>
        <w:gridCol w:w="1653"/>
        <w:gridCol w:w="1347"/>
        <w:gridCol w:w="2449"/>
        <w:gridCol w:w="1714"/>
      </w:tblGrid>
      <w:tr>
        <w:trPr>
          <w:cantSplit/>
        </w:trPr>
        <w:tc>
          <w:tcPr>
            <w:tcW w:type="dxa" w:w="1837"/>
            <w:shd w:val="clear" w:color="auto" w:fill="1F3353"/>
          </w:tcPr>
          <w:p>
            <w:pPr>
              <w:spacing w:after="20" w:before="20"/>
            </w:pPr>
            <w:r/>
            <w:r>
              <w:rPr>
                <w:b/>
                <w:color w:val="FFFFFF"/>
                <w:sz w:val="13"/>
              </w:rPr>
              <w:t>Metric / figure</w:t>
            </w:r>
          </w:p>
        </w:tc>
        <w:tc>
          <w:tcPr>
            <w:tcW w:type="dxa" w:w="1653"/>
            <w:shd w:val="clear" w:color="auto" w:fill="1F3353"/>
          </w:tcPr>
          <w:p>
            <w:pPr>
              <w:spacing w:after="20" w:before="20"/>
            </w:pPr>
            <w:r/>
            <w:r>
              <w:rPr>
                <w:b/>
                <w:color w:val="FFFFFF"/>
                <w:sz w:val="13"/>
              </w:rPr>
              <w:t>Stated where</w:t>
            </w:r>
          </w:p>
        </w:tc>
        <w:tc>
          <w:tcPr>
            <w:tcW w:type="dxa" w:w="1347"/>
            <w:shd w:val="clear" w:color="auto" w:fill="1F3353"/>
          </w:tcPr>
          <w:p>
            <w:pPr>
              <w:spacing w:after="20" w:before="20"/>
            </w:pPr>
            <w:r/>
            <w:r>
              <w:rPr>
                <w:b/>
                <w:color w:val="FFFFFF"/>
                <w:sz w:val="13"/>
              </w:rPr>
              <w:t>Stated</w:t>
            </w:r>
          </w:p>
        </w:tc>
        <w:tc>
          <w:tcPr>
            <w:tcW w:type="dxa" w:w="2449"/>
            <w:shd w:val="clear" w:color="auto" w:fill="1F3353"/>
          </w:tcPr>
          <w:p>
            <w:pPr>
              <w:spacing w:after="20" w:before="20"/>
            </w:pPr>
            <w:r/>
            <w:r>
              <w:rPr>
                <w:b/>
                <w:color w:val="FFFFFF"/>
                <w:sz w:val="13"/>
              </w:rPr>
              <w:t>Independent computation</w:t>
            </w:r>
          </w:p>
        </w:tc>
        <w:tc>
          <w:tcPr>
            <w:tcW w:type="dxa" w:w="1714"/>
            <w:shd w:val="clear" w:color="auto" w:fill="1F3353"/>
          </w:tcPr>
          <w:p>
            <w:pPr>
              <w:spacing w:after="20" w:before="20"/>
            </w:pPr>
            <w:r/>
            <w:r>
              <w:rPr>
                <w:b/>
                <w:color w:val="FFFFFF"/>
                <w:sz w:val="13"/>
              </w:rPr>
              <w:t>Result</w:t>
            </w:r>
          </w:p>
        </w:tc>
      </w:tr>
      <w:tr>
        <w:trPr>
          <w:cantSplit/>
        </w:trPr>
        <w:tc>
          <w:tcPr>
            <w:tcW w:type="dxa" w:w="1837"/>
          </w:tcPr>
          <w:p>
            <w:pPr>
              <w:spacing w:after="20" w:before="20"/>
            </w:pPr>
            <w:r/>
            <w:r>
              <w:rPr>
                <w:sz w:val="13"/>
              </w:rPr>
              <w:t>Loan-to-cost ratio</w:t>
            </w:r>
          </w:p>
        </w:tc>
        <w:tc>
          <w:tcPr>
            <w:tcW w:type="dxa" w:w="1653"/>
          </w:tcPr>
          <w:p>
            <w:pPr>
              <w:spacing w:after="20" w:before="20"/>
            </w:pPr>
            <w:r/>
            <w:r>
              <w:rPr>
                <w:sz w:val="13"/>
              </w:rPr>
              <w:t>Term Sheet § 6.1; Memo § 5.3</w:t>
            </w:r>
          </w:p>
        </w:tc>
        <w:tc>
          <w:tcPr>
            <w:tcW w:type="dxa" w:w="1347"/>
          </w:tcPr>
          <w:p>
            <w:pPr>
              <w:spacing w:after="20" w:before="20"/>
            </w:pPr>
            <w:r/>
            <w:r>
              <w:rPr>
                <w:sz w:val="13"/>
              </w:rPr>
              <w:t>83.77%</w:t>
            </w:r>
          </w:p>
        </w:tc>
        <w:tc>
          <w:tcPr>
            <w:tcW w:type="dxa" w:w="2449"/>
          </w:tcPr>
          <w:p>
            <w:pPr>
              <w:spacing w:after="20" w:before="20"/>
            </w:pPr>
            <w:r/>
            <w:r>
              <w:rPr>
                <w:sz w:val="13"/>
              </w:rPr>
              <w:t>$47,500,000 ÷ $56,700,000 = 83.774%</w:t>
            </w:r>
          </w:p>
        </w:tc>
        <w:tc>
          <w:tcPr>
            <w:tcW w:type="dxa" w:w="1714"/>
          </w:tcPr>
          <w:p>
            <w:pPr>
              <w:spacing w:after="20" w:before="20"/>
            </w:pPr>
            <w:r/>
            <w:r>
              <w:rPr>
                <w:sz w:val="13"/>
              </w:rPr>
              <w:t>Confirmed — and it exceeds the 80% covenant</w:t>
            </w:r>
          </w:p>
        </w:tc>
      </w:tr>
      <w:tr>
        <w:trPr>
          <w:cantSplit/>
        </w:trPr>
        <w:tc>
          <w:tcPr>
            <w:tcW w:type="dxa" w:w="1837"/>
          </w:tcPr>
          <w:p>
            <w:pPr>
              <w:spacing w:after="20" w:before="20"/>
            </w:pPr>
            <w:r/>
            <w:r>
              <w:rPr>
                <w:sz w:val="13"/>
              </w:rPr>
              <w:t>Maximum loan at 80% LTC</w:t>
            </w:r>
          </w:p>
        </w:tc>
        <w:tc>
          <w:tcPr>
            <w:tcW w:type="dxa" w:w="1653"/>
          </w:tcPr>
          <w:p>
            <w:pPr>
              <w:spacing w:after="20" w:before="20"/>
            </w:pPr>
            <w:r/>
            <w:r>
              <w:rPr>
                <w:sz w:val="13"/>
              </w:rPr>
              <w:t>Memo § 5.3</w:t>
            </w:r>
          </w:p>
        </w:tc>
        <w:tc>
          <w:tcPr>
            <w:tcW w:type="dxa" w:w="1347"/>
          </w:tcPr>
          <w:p>
            <w:pPr>
              <w:spacing w:after="20" w:before="20"/>
            </w:pPr>
            <w:r/>
            <w:r>
              <w:rPr>
                <w:sz w:val="13"/>
              </w:rPr>
              <w:t>$45,360,000</w:t>
            </w:r>
          </w:p>
        </w:tc>
        <w:tc>
          <w:tcPr>
            <w:tcW w:type="dxa" w:w="2449"/>
          </w:tcPr>
          <w:p>
            <w:pPr>
              <w:spacing w:after="20" w:before="20"/>
            </w:pPr>
            <w:r/>
            <w:r>
              <w:rPr>
                <w:sz w:val="13"/>
              </w:rPr>
              <w:t>$56,700,000 × 0.80 = $45,360,000; shortfall $2,140,000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Total Project Costs required for $47.5M at 80% LTC</w:t>
            </w:r>
          </w:p>
        </w:tc>
        <w:tc>
          <w:tcPr>
            <w:tcW w:type="dxa" w:w="1653"/>
          </w:tcPr>
          <w:p>
            <w:pPr>
              <w:spacing w:after="20" w:before="20"/>
            </w:pPr>
            <w:r/>
            <w:r>
              <w:rPr>
                <w:sz w:val="13"/>
              </w:rPr>
              <w:t>Not stated</w:t>
            </w:r>
          </w:p>
        </w:tc>
        <w:tc>
          <w:tcPr>
            <w:tcW w:type="dxa" w:w="1347"/>
          </w:tcPr>
          <w:p>
            <w:pPr>
              <w:spacing w:after="20" w:before="20"/>
            </w:pPr>
            <w:r/>
            <w:r>
              <w:rPr>
                <w:sz w:val="13"/>
              </w:rPr>
              <w:t>—</w:t>
            </w:r>
          </w:p>
        </w:tc>
        <w:tc>
          <w:tcPr>
            <w:tcW w:type="dxa" w:w="2449"/>
          </w:tcPr>
          <w:p>
            <w:pPr>
              <w:spacing w:after="20" w:before="20"/>
            </w:pPr>
            <w:r/>
            <w:r>
              <w:rPr>
                <w:sz w:val="13"/>
              </w:rPr>
              <w:t>$47,500,000 ÷ 0.80 = $59,375,000 (+$2,675,000)</w:t>
            </w:r>
          </w:p>
        </w:tc>
        <w:tc>
          <w:tcPr>
            <w:tcW w:type="dxa" w:w="1714"/>
          </w:tcPr>
          <w:p>
            <w:pPr>
              <w:spacing w:after="20" w:before="20"/>
            </w:pPr>
            <w:r/>
            <w:r>
              <w:rPr>
                <w:sz w:val="13"/>
              </w:rPr>
              <w:t>New — the alternative cure</w:t>
            </w:r>
          </w:p>
        </w:tc>
      </w:tr>
      <w:tr>
        <w:trPr>
          <w:cantSplit/>
        </w:trPr>
        <w:tc>
          <w:tcPr>
            <w:tcW w:type="dxa" w:w="1837"/>
          </w:tcPr>
          <w:p>
            <w:pPr>
              <w:spacing w:after="20" w:before="20"/>
            </w:pPr>
            <w:r/>
            <w:r>
              <w:rPr>
                <w:sz w:val="13"/>
              </w:rPr>
              <w:t>LTV, as-completed</w:t>
            </w:r>
          </w:p>
        </w:tc>
        <w:tc>
          <w:tcPr>
            <w:tcW w:type="dxa" w:w="1653"/>
          </w:tcPr>
          <w:p>
            <w:pPr>
              <w:spacing w:after="20" w:before="20"/>
            </w:pPr>
            <w:r/>
            <w:r>
              <w:rPr>
                <w:sz w:val="13"/>
              </w:rPr>
              <w:t>Term Sheet § 4; Memo § 6.1</w:t>
            </w:r>
          </w:p>
        </w:tc>
        <w:tc>
          <w:tcPr>
            <w:tcW w:type="dxa" w:w="1347"/>
          </w:tcPr>
          <w:p>
            <w:pPr>
              <w:spacing w:after="20" w:before="20"/>
            </w:pPr>
            <w:r/>
            <w:r>
              <w:rPr>
                <w:sz w:val="13"/>
              </w:rPr>
              <w:t>65.25%</w:t>
            </w:r>
          </w:p>
        </w:tc>
        <w:tc>
          <w:tcPr>
            <w:tcW w:type="dxa" w:w="2449"/>
          </w:tcPr>
          <w:p>
            <w:pPr>
              <w:spacing w:after="20" w:before="20"/>
            </w:pPr>
            <w:r/>
            <w:r>
              <w:rPr>
                <w:sz w:val="13"/>
              </w:rPr>
              <w:t>$47,500,000 ÷ $72,800,000 = 65.247%</w:t>
            </w:r>
          </w:p>
        </w:tc>
        <w:tc>
          <w:tcPr>
            <w:tcW w:type="dxa" w:w="1714"/>
          </w:tcPr>
          <w:p>
            <w:pPr>
              <w:spacing w:after="20" w:before="20"/>
            </w:pPr>
            <w:r/>
            <w:r>
              <w:rPr>
                <w:sz w:val="13"/>
              </w:rPr>
              <w:t>Confirmed — and it exceeds the Term Sheet’s 65% cap by $180,000</w:t>
            </w:r>
          </w:p>
        </w:tc>
      </w:tr>
      <w:tr>
        <w:trPr>
          <w:cantSplit/>
        </w:trPr>
        <w:tc>
          <w:tcPr>
            <w:tcW w:type="dxa" w:w="1837"/>
          </w:tcPr>
          <w:p>
            <w:pPr>
              <w:spacing w:after="20" w:before="20"/>
            </w:pPr>
            <w:r/>
            <w:r>
              <w:rPr>
                <w:sz w:val="13"/>
              </w:rPr>
              <w:t>LTV, as-stabilized</w:t>
            </w:r>
          </w:p>
        </w:tc>
        <w:tc>
          <w:tcPr>
            <w:tcW w:type="dxa" w:w="1653"/>
          </w:tcPr>
          <w:p>
            <w:pPr>
              <w:spacing w:after="20" w:before="20"/>
            </w:pPr>
            <w:r/>
            <w:r>
              <w:rPr>
                <w:sz w:val="13"/>
              </w:rPr>
              <w:t>Term Sheet § 4</w:t>
            </w:r>
          </w:p>
        </w:tc>
        <w:tc>
          <w:tcPr>
            <w:tcW w:type="dxa" w:w="1347"/>
          </w:tcPr>
          <w:p>
            <w:pPr>
              <w:spacing w:after="20" w:before="20"/>
            </w:pPr>
            <w:r/>
            <w:r>
              <w:rPr>
                <w:sz w:val="13"/>
              </w:rPr>
              <w:t>62.34%</w:t>
            </w:r>
          </w:p>
        </w:tc>
        <w:tc>
          <w:tcPr>
            <w:tcW w:type="dxa" w:w="2449"/>
          </w:tcPr>
          <w:p>
            <w:pPr>
              <w:spacing w:after="20" w:before="20"/>
            </w:pPr>
            <w:r/>
            <w:r>
              <w:rPr>
                <w:sz w:val="13"/>
              </w:rPr>
              <w:t>$47,500,000 ÷ $76,200,000 = 62.336%</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Maximum loan at 65% as-completed LTV</w:t>
            </w:r>
          </w:p>
        </w:tc>
        <w:tc>
          <w:tcPr>
            <w:tcW w:type="dxa" w:w="1653"/>
          </w:tcPr>
          <w:p>
            <w:pPr>
              <w:spacing w:after="20" w:before="20"/>
            </w:pPr>
            <w:r/>
            <w:r>
              <w:rPr>
                <w:sz w:val="13"/>
              </w:rPr>
              <w:t>Not stated</w:t>
            </w:r>
          </w:p>
        </w:tc>
        <w:tc>
          <w:tcPr>
            <w:tcW w:type="dxa" w:w="1347"/>
          </w:tcPr>
          <w:p>
            <w:pPr>
              <w:spacing w:after="20" w:before="20"/>
            </w:pPr>
            <w:r/>
            <w:r>
              <w:rPr>
                <w:sz w:val="13"/>
              </w:rPr>
              <w:t>—</w:t>
            </w:r>
          </w:p>
        </w:tc>
        <w:tc>
          <w:tcPr>
            <w:tcW w:type="dxa" w:w="2449"/>
          </w:tcPr>
          <w:p>
            <w:pPr>
              <w:spacing w:after="20" w:before="20"/>
            </w:pPr>
            <w:r/>
            <w:r>
              <w:rPr>
                <w:sz w:val="13"/>
              </w:rPr>
              <w:t>$72,800,000 × 0.65 = $47,320,000</w:t>
            </w:r>
          </w:p>
        </w:tc>
        <w:tc>
          <w:tcPr>
            <w:tcW w:type="dxa" w:w="1714"/>
          </w:tcPr>
          <w:p>
            <w:pPr>
              <w:spacing w:after="20" w:before="20"/>
            </w:pPr>
            <w:r/>
            <w:r>
              <w:rPr>
                <w:sz w:val="13"/>
              </w:rPr>
              <w:t>New — $180,000 excess</w:t>
            </w:r>
          </w:p>
        </w:tc>
      </w:tr>
      <w:tr>
        <w:trPr>
          <w:cantSplit/>
        </w:trPr>
        <w:tc>
          <w:tcPr>
            <w:tcW w:type="dxa" w:w="1837"/>
          </w:tcPr>
          <w:p>
            <w:pPr>
              <w:spacing w:after="20" w:before="20"/>
            </w:pPr>
            <w:r/>
            <w:r>
              <w:rPr>
                <w:sz w:val="13"/>
              </w:rPr>
              <w:t>Implied capitalization rate</w:t>
            </w:r>
          </w:p>
        </w:tc>
        <w:tc>
          <w:tcPr>
            <w:tcW w:type="dxa" w:w="1653"/>
          </w:tcPr>
          <w:p>
            <w:pPr>
              <w:spacing w:after="20" w:before="20"/>
            </w:pPr>
            <w:r/>
            <w:r>
              <w:rPr>
                <w:sz w:val="13"/>
              </w:rPr>
              <w:t>Term Sheet § 4; Appraisal § 6.3</w:t>
            </w:r>
          </w:p>
        </w:tc>
        <w:tc>
          <w:tcPr>
            <w:tcW w:type="dxa" w:w="1347"/>
          </w:tcPr>
          <w:p>
            <w:pPr>
              <w:spacing w:after="20" w:before="20"/>
            </w:pPr>
            <w:r/>
            <w:r>
              <w:rPr>
                <w:sz w:val="13"/>
              </w:rPr>
              <w:t>6.40%</w:t>
            </w:r>
          </w:p>
        </w:tc>
        <w:tc>
          <w:tcPr>
            <w:tcW w:type="dxa" w:w="2449"/>
          </w:tcPr>
          <w:p>
            <w:pPr>
              <w:spacing w:after="20" w:before="20"/>
            </w:pPr>
            <w:r/>
            <w:r>
              <w:rPr>
                <w:sz w:val="13"/>
              </w:rPr>
              <w:t>$4,876,800 ÷ $76,200,000 = 6.400%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Residential rental income</w:t>
            </w:r>
          </w:p>
        </w:tc>
        <w:tc>
          <w:tcPr>
            <w:tcW w:type="dxa" w:w="1653"/>
          </w:tcPr>
          <w:p>
            <w:pPr>
              <w:spacing w:after="20" w:before="20"/>
            </w:pPr>
            <w:r/>
            <w:r>
              <w:rPr>
                <w:sz w:val="13"/>
              </w:rPr>
              <w:t>Term Sheet; Appraisal § 7</w:t>
            </w:r>
          </w:p>
        </w:tc>
        <w:tc>
          <w:tcPr>
            <w:tcW w:type="dxa" w:w="1347"/>
          </w:tcPr>
          <w:p>
            <w:pPr>
              <w:spacing w:after="20" w:before="20"/>
            </w:pPr>
            <w:r/>
            <w:r>
              <w:rPr>
                <w:sz w:val="13"/>
              </w:rPr>
              <w:t>$5,712,000</w:t>
            </w:r>
          </w:p>
        </w:tc>
        <w:tc>
          <w:tcPr>
            <w:tcW w:type="dxa" w:w="2449"/>
          </w:tcPr>
          <w:p>
            <w:pPr>
              <w:spacing w:after="20" w:before="20"/>
            </w:pPr>
            <w:r/>
            <w:r>
              <w:rPr>
                <w:sz w:val="13"/>
              </w:rPr>
              <w:t>212 × $2,245 × 12 = $5,711,280</w:t>
            </w:r>
          </w:p>
        </w:tc>
        <w:tc>
          <w:tcPr>
            <w:tcW w:type="dxa" w:w="1714"/>
          </w:tcPr>
          <w:p>
            <w:pPr>
              <w:spacing w:after="20" w:before="20"/>
            </w:pPr>
            <w:r/>
            <w:r>
              <w:rPr>
                <w:sz w:val="13"/>
              </w:rPr>
              <w:t>Differs by $720 (rounding; immaterial)</w:t>
            </w:r>
          </w:p>
        </w:tc>
      </w:tr>
      <w:tr>
        <w:trPr>
          <w:cantSplit/>
        </w:trPr>
        <w:tc>
          <w:tcPr>
            <w:tcW w:type="dxa" w:w="1837"/>
          </w:tcPr>
          <w:p>
            <w:pPr>
              <w:spacing w:after="20" w:before="20"/>
            </w:pPr>
            <w:r/>
            <w:r>
              <w:rPr>
                <w:sz w:val="13"/>
              </w:rPr>
              <w:t>Gross potential income</w:t>
            </w:r>
          </w:p>
        </w:tc>
        <w:tc>
          <w:tcPr>
            <w:tcW w:type="dxa" w:w="1653"/>
          </w:tcPr>
          <w:p>
            <w:pPr>
              <w:spacing w:after="20" w:before="20"/>
            </w:pPr>
            <w:r/>
            <w:r>
              <w:rPr>
                <w:sz w:val="13"/>
              </w:rPr>
              <w:t>Term Sheet; Appraisal § 7</w:t>
            </w:r>
          </w:p>
        </w:tc>
        <w:tc>
          <w:tcPr>
            <w:tcW w:type="dxa" w:w="1347"/>
          </w:tcPr>
          <w:p>
            <w:pPr>
              <w:spacing w:after="20" w:before="20"/>
            </w:pPr>
            <w:r/>
            <w:r>
              <w:rPr>
                <w:sz w:val="13"/>
              </w:rPr>
              <w:t>$6,462,000</w:t>
            </w:r>
          </w:p>
        </w:tc>
        <w:tc>
          <w:tcPr>
            <w:tcW w:type="dxa" w:w="2449"/>
          </w:tcPr>
          <w:p>
            <w:pPr>
              <w:spacing w:after="20" w:before="20"/>
            </w:pPr>
            <w:r/>
            <w:r>
              <w:rPr>
                <w:sz w:val="13"/>
              </w:rPr>
              <w:t>$5,711,280 + $552,000 + $198,000 = $6,461,280</w:t>
            </w:r>
          </w:p>
        </w:tc>
        <w:tc>
          <w:tcPr>
            <w:tcW w:type="dxa" w:w="1714"/>
          </w:tcPr>
          <w:p>
            <w:pPr>
              <w:spacing w:after="20" w:before="20"/>
            </w:pPr>
            <w:r/>
            <w:r>
              <w:rPr>
                <w:sz w:val="13"/>
              </w:rPr>
              <w:t>Differs by $720</w:t>
            </w:r>
          </w:p>
        </w:tc>
      </w:tr>
      <w:tr>
        <w:trPr>
          <w:cantSplit/>
        </w:trPr>
        <w:tc>
          <w:tcPr>
            <w:tcW w:type="dxa" w:w="1837"/>
          </w:tcPr>
          <w:p>
            <w:pPr>
              <w:spacing w:after="20" w:before="20"/>
            </w:pPr>
            <w:r/>
            <w:r>
              <w:rPr>
                <w:sz w:val="13"/>
              </w:rPr>
              <w:t>Retail rental income</w:t>
            </w:r>
          </w:p>
        </w:tc>
        <w:tc>
          <w:tcPr>
            <w:tcW w:type="dxa" w:w="1653"/>
          </w:tcPr>
          <w:p>
            <w:pPr>
              <w:spacing w:after="20" w:before="20"/>
            </w:pPr>
            <w:r/>
            <w:r>
              <w:rPr>
                <w:sz w:val="13"/>
              </w:rPr>
              <w:t>Term Sheet; Appraisal</w:t>
            </w:r>
          </w:p>
        </w:tc>
        <w:tc>
          <w:tcPr>
            <w:tcW w:type="dxa" w:w="1347"/>
          </w:tcPr>
          <w:p>
            <w:pPr>
              <w:spacing w:after="20" w:before="20"/>
            </w:pPr>
            <w:r/>
            <w:r>
              <w:rPr>
                <w:sz w:val="13"/>
              </w:rPr>
              <w:t>$552,000</w:t>
            </w:r>
          </w:p>
        </w:tc>
        <w:tc>
          <w:tcPr>
            <w:tcW w:type="dxa" w:w="2449"/>
          </w:tcPr>
          <w:p>
            <w:pPr>
              <w:spacing w:after="20" w:before="20"/>
            </w:pPr>
            <w:r/>
            <w:r>
              <w:rPr>
                <w:sz w:val="13"/>
              </w:rPr>
              <w:t>18,400 SF × $30.00 = $552,000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Vacancy and credit loss</w:t>
            </w:r>
          </w:p>
        </w:tc>
        <w:tc>
          <w:tcPr>
            <w:tcW w:type="dxa" w:w="1653"/>
          </w:tcPr>
          <w:p>
            <w:pPr>
              <w:spacing w:after="20" w:before="20"/>
            </w:pPr>
            <w:r/>
            <w:r>
              <w:rPr>
                <w:sz w:val="13"/>
              </w:rPr>
              <w:t>Term Sheet; Appraisal § 7</w:t>
            </w:r>
          </w:p>
        </w:tc>
        <w:tc>
          <w:tcPr>
            <w:tcW w:type="dxa" w:w="1347"/>
          </w:tcPr>
          <w:p>
            <w:pPr>
              <w:spacing w:after="20" w:before="20"/>
            </w:pPr>
            <w:r/>
            <w:r>
              <w:rPr>
                <w:sz w:val="13"/>
              </w:rPr>
              <w:t>$323,100</w:t>
            </w:r>
          </w:p>
        </w:tc>
        <w:tc>
          <w:tcPr>
            <w:tcW w:type="dxa" w:w="2449"/>
          </w:tcPr>
          <w:p>
            <w:pPr>
              <w:spacing w:after="20" w:before="20"/>
            </w:pPr>
            <w:r/>
            <w:r>
              <w:rPr>
                <w:sz w:val="13"/>
              </w:rPr>
              <w:t>$6,462,000 × 5.0% = $323,100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Operating expenses</w:t>
            </w:r>
          </w:p>
        </w:tc>
        <w:tc>
          <w:tcPr>
            <w:tcW w:type="dxa" w:w="1653"/>
          </w:tcPr>
          <w:p>
            <w:pPr>
              <w:spacing w:after="20" w:before="20"/>
            </w:pPr>
            <w:r/>
            <w:r>
              <w:rPr>
                <w:sz w:val="13"/>
              </w:rPr>
              <w:t>Appraisal § 7</w:t>
            </w:r>
          </w:p>
        </w:tc>
        <w:tc>
          <w:tcPr>
            <w:tcW w:type="dxa" w:w="1347"/>
          </w:tcPr>
          <w:p>
            <w:pPr>
              <w:spacing w:after="20" w:before="20"/>
            </w:pPr>
            <w:r/>
            <w:r>
              <w:rPr>
                <w:sz w:val="13"/>
              </w:rPr>
              <w:t>$1,262,100</w:t>
            </w:r>
          </w:p>
        </w:tc>
        <w:tc>
          <w:tcPr>
            <w:tcW w:type="dxa" w:w="2449"/>
          </w:tcPr>
          <w:p>
            <w:pPr>
              <w:spacing w:after="20" w:before="20"/>
            </w:pPr>
            <w:r/>
            <w:r>
              <w:rPr>
                <w:sz w:val="13"/>
              </w:rPr>
              <w:t>Sum of nine line items = $1,262,100; property management at 3.5% of EGI = $214,862</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Stabilized NOI</w:t>
            </w:r>
          </w:p>
        </w:tc>
        <w:tc>
          <w:tcPr>
            <w:tcW w:type="dxa" w:w="1653"/>
          </w:tcPr>
          <w:p>
            <w:pPr>
              <w:spacing w:after="20" w:before="20"/>
            </w:pPr>
            <w:r/>
            <w:r>
              <w:rPr>
                <w:sz w:val="13"/>
              </w:rPr>
              <w:t>Term Sheet; Memo; Appraisal</w:t>
            </w:r>
          </w:p>
        </w:tc>
        <w:tc>
          <w:tcPr>
            <w:tcW w:type="dxa" w:w="1347"/>
          </w:tcPr>
          <w:p>
            <w:pPr>
              <w:spacing w:after="20" w:before="20"/>
            </w:pPr>
            <w:r/>
            <w:r>
              <w:rPr>
                <w:sz w:val="13"/>
              </w:rPr>
              <w:t>$4,876,800</w:t>
            </w:r>
          </w:p>
        </w:tc>
        <w:tc>
          <w:tcPr>
            <w:tcW w:type="dxa" w:w="2449"/>
          </w:tcPr>
          <w:p>
            <w:pPr>
              <w:spacing w:after="20" w:before="20"/>
            </w:pPr>
            <w:r/>
            <w:r>
              <w:rPr>
                <w:sz w:val="13"/>
              </w:rPr>
              <w:t>$6,138,900 − $1,262,100 = $4,876,800; expense ratio 20.56%</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Annual interest at 7.85%</w:t>
            </w:r>
          </w:p>
        </w:tc>
        <w:tc>
          <w:tcPr>
            <w:tcW w:type="dxa" w:w="1653"/>
          </w:tcPr>
          <w:p>
            <w:pPr>
              <w:spacing w:after="20" w:before="20"/>
            </w:pPr>
            <w:r/>
            <w:r>
              <w:rPr>
                <w:sz w:val="13"/>
              </w:rPr>
              <w:t>Term Sheet § 4; Memo § 6.1</w:t>
            </w:r>
          </w:p>
        </w:tc>
        <w:tc>
          <w:tcPr>
            <w:tcW w:type="dxa" w:w="1347"/>
          </w:tcPr>
          <w:p>
            <w:pPr>
              <w:spacing w:after="20" w:before="20"/>
            </w:pPr>
            <w:r/>
            <w:r>
              <w:rPr>
                <w:sz w:val="13"/>
              </w:rPr>
              <w:t>$3,728,750</w:t>
            </w:r>
          </w:p>
        </w:tc>
        <w:tc>
          <w:tcPr>
            <w:tcW w:type="dxa" w:w="2449"/>
          </w:tcPr>
          <w:p>
            <w:pPr>
              <w:spacing w:after="20" w:before="20"/>
            </w:pPr>
            <w:r/>
            <w:r>
              <w:rPr>
                <w:sz w:val="13"/>
              </w:rPr>
              <w:t>$47,500,000 × 7.85% = $3,728,750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DSCR (stabilized, interest-only)</w:t>
            </w:r>
          </w:p>
        </w:tc>
        <w:tc>
          <w:tcPr>
            <w:tcW w:type="dxa" w:w="1653"/>
          </w:tcPr>
          <w:p>
            <w:pPr>
              <w:spacing w:after="20" w:before="20"/>
            </w:pPr>
            <w:r/>
            <w:r>
              <w:rPr>
                <w:sz w:val="13"/>
              </w:rPr>
              <w:t>Term Sheet § 4; Memo § 6.1</w:t>
            </w:r>
          </w:p>
        </w:tc>
        <w:tc>
          <w:tcPr>
            <w:tcW w:type="dxa" w:w="1347"/>
          </w:tcPr>
          <w:p>
            <w:pPr>
              <w:spacing w:after="20" w:before="20"/>
            </w:pPr>
            <w:r/>
            <w:r>
              <w:rPr>
                <w:sz w:val="13"/>
              </w:rPr>
              <w:t>1.31x</w:t>
            </w:r>
          </w:p>
        </w:tc>
        <w:tc>
          <w:tcPr>
            <w:tcW w:type="dxa" w:w="2449"/>
          </w:tcPr>
          <w:p>
            <w:pPr>
              <w:spacing w:after="20" w:before="20"/>
            </w:pPr>
            <w:r/>
            <w:r>
              <w:rPr>
                <w:sz w:val="13"/>
              </w:rPr>
              <w:t>$4,876,800 ÷ $3,728,750 = 1.308x</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Stressed DSCR (+200 bps)</w:t>
            </w:r>
          </w:p>
        </w:tc>
        <w:tc>
          <w:tcPr>
            <w:tcW w:type="dxa" w:w="1653"/>
          </w:tcPr>
          <w:p>
            <w:pPr>
              <w:spacing w:after="20" w:before="20"/>
            </w:pPr>
            <w:r/>
            <w:r>
              <w:rPr>
                <w:sz w:val="13"/>
              </w:rPr>
              <w:t>Memo § 6.1</w:t>
            </w:r>
          </w:p>
        </w:tc>
        <w:tc>
          <w:tcPr>
            <w:tcW w:type="dxa" w:w="1347"/>
          </w:tcPr>
          <w:p>
            <w:pPr>
              <w:spacing w:after="20" w:before="20"/>
            </w:pPr>
            <w:r/>
            <w:r>
              <w:rPr>
                <w:sz w:val="13"/>
              </w:rPr>
              <w:t>1.04x</w:t>
            </w:r>
          </w:p>
        </w:tc>
        <w:tc>
          <w:tcPr>
            <w:tcW w:type="dxa" w:w="2449"/>
          </w:tcPr>
          <w:p>
            <w:pPr>
              <w:spacing w:after="20" w:before="20"/>
            </w:pPr>
            <w:r/>
            <w:r>
              <w:rPr>
                <w:sz w:val="13"/>
              </w:rPr>
              <w:t>Rate 9.85%; $4,678,750; $4,876,800 ÷ $4,678,750 = 1.042x</w:t>
            </w:r>
          </w:p>
        </w:tc>
        <w:tc>
          <w:tcPr>
            <w:tcW w:type="dxa" w:w="1714"/>
          </w:tcPr>
          <w:p>
            <w:pPr>
              <w:spacing w:after="20" w:before="20"/>
            </w:pPr>
            <w:r/>
            <w:r>
              <w:rPr>
                <w:sz w:val="13"/>
              </w:rPr>
              <w:t>Confirmed — below the 1.25x minimum</w:t>
            </w:r>
          </w:p>
        </w:tc>
      </w:tr>
      <w:tr>
        <w:trPr>
          <w:cantSplit/>
        </w:trPr>
        <w:tc>
          <w:tcPr>
            <w:tcW w:type="dxa" w:w="1837"/>
          </w:tcPr>
          <w:p>
            <w:pPr>
              <w:spacing w:after="20" w:before="20"/>
            </w:pPr>
            <w:r/>
            <w:r>
              <w:rPr>
                <w:sz w:val="13"/>
              </w:rPr>
              <w:t>DSCR without 14 restricted units</w:t>
            </w:r>
          </w:p>
        </w:tc>
        <w:tc>
          <w:tcPr>
            <w:tcW w:type="dxa" w:w="1653"/>
          </w:tcPr>
          <w:p>
            <w:pPr>
              <w:spacing w:after="20" w:before="20"/>
            </w:pPr>
            <w:r/>
            <w:r>
              <w:rPr>
                <w:sz w:val="13"/>
              </w:rPr>
              <w:t>Memo § 9.5</w:t>
            </w:r>
          </w:p>
        </w:tc>
        <w:tc>
          <w:tcPr>
            <w:tcW w:type="dxa" w:w="1347"/>
          </w:tcPr>
          <w:p>
            <w:pPr>
              <w:spacing w:after="20" w:before="20"/>
            </w:pPr>
            <w:r/>
            <w:r>
              <w:rPr>
                <w:sz w:val="13"/>
              </w:rPr>
              <w:t>1.21x</w:t>
            </w:r>
          </w:p>
        </w:tc>
        <w:tc>
          <w:tcPr>
            <w:tcW w:type="dxa" w:w="2449"/>
          </w:tcPr>
          <w:p>
            <w:pPr>
              <w:spacing w:after="20" w:before="20"/>
            </w:pPr>
            <w:r/>
            <w:r>
              <w:rPr>
                <w:sz w:val="13"/>
              </w:rPr>
              <w:t>14 × $2,245 × 12 = $377,160; NOI $4,499,640 ÷ $3,728,750 = 1.207x</w:t>
            </w:r>
          </w:p>
        </w:tc>
        <w:tc>
          <w:tcPr>
            <w:tcW w:type="dxa" w:w="1714"/>
          </w:tcPr>
          <w:p>
            <w:pPr>
              <w:spacing w:after="20" w:before="20"/>
            </w:pPr>
            <w:r/>
            <w:r>
              <w:rPr>
                <w:sz w:val="13"/>
              </w:rPr>
              <w:t>Confirmed — below the 1.25x minimum</w:t>
            </w:r>
          </w:p>
        </w:tc>
      </w:tr>
      <w:tr>
        <w:trPr>
          <w:cantSplit/>
        </w:trPr>
        <w:tc>
          <w:tcPr>
            <w:tcW w:type="dxa" w:w="1837"/>
          </w:tcPr>
          <w:p>
            <w:pPr>
              <w:spacing w:after="20" w:before="20"/>
            </w:pPr>
            <w:r/>
            <w:r>
              <w:rPr>
                <w:sz w:val="13"/>
              </w:rPr>
              <w:t>Total uses of funds</w:t>
            </w:r>
          </w:p>
        </w:tc>
        <w:tc>
          <w:tcPr>
            <w:tcW w:type="dxa" w:w="1653"/>
          </w:tcPr>
          <w:p>
            <w:pPr>
              <w:spacing w:after="20" w:before="20"/>
            </w:pPr>
            <w:r/>
            <w:r>
              <w:rPr>
                <w:sz w:val="13"/>
              </w:rPr>
              <w:t>Term Sheet § 5.2; Memo § 5.2</w:t>
            </w:r>
          </w:p>
        </w:tc>
        <w:tc>
          <w:tcPr>
            <w:tcW w:type="dxa" w:w="1347"/>
          </w:tcPr>
          <w:p>
            <w:pPr>
              <w:spacing w:after="20" w:before="20"/>
            </w:pPr>
            <w:r/>
            <w:r>
              <w:rPr>
                <w:sz w:val="13"/>
              </w:rPr>
              <w:t>$56,700,000</w:t>
            </w:r>
          </w:p>
        </w:tc>
        <w:tc>
          <w:tcPr>
            <w:tcW w:type="dxa" w:w="2449"/>
          </w:tcPr>
          <w:p>
            <w:pPr>
              <w:spacing w:after="20" w:before="20"/>
            </w:pPr>
            <w:r/>
            <w:r>
              <w:rPr>
                <w:sz w:val="13"/>
              </w:rPr>
              <w:t>$8,200,000 + $34,750,000 + $4,150,000 + $4,850,000 + $475,000 + $2,835,000 + $1,440,000 = $56,700,000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Total sources of funds</w:t>
            </w:r>
          </w:p>
        </w:tc>
        <w:tc>
          <w:tcPr>
            <w:tcW w:type="dxa" w:w="1653"/>
          </w:tcPr>
          <w:p>
            <w:pPr>
              <w:spacing w:after="20" w:before="20"/>
            </w:pPr>
            <w:r/>
            <w:r>
              <w:rPr>
                <w:sz w:val="13"/>
              </w:rPr>
              <w:t>Term Sheet § 5.1; Memo § 5.1</w:t>
            </w:r>
          </w:p>
        </w:tc>
        <w:tc>
          <w:tcPr>
            <w:tcW w:type="dxa" w:w="1347"/>
          </w:tcPr>
          <w:p>
            <w:pPr>
              <w:spacing w:after="20" w:before="20"/>
            </w:pPr>
            <w:r/>
            <w:r>
              <w:rPr>
                <w:sz w:val="13"/>
              </w:rPr>
              <w:t>$56,700,000</w:t>
            </w:r>
          </w:p>
        </w:tc>
        <w:tc>
          <w:tcPr>
            <w:tcW w:type="dxa" w:w="2449"/>
          </w:tcPr>
          <w:p>
            <w:pPr>
              <w:spacing w:after="20" w:before="20"/>
            </w:pPr>
            <w:r/>
            <w:r>
              <w:rPr>
                <w:sz w:val="13"/>
              </w:rPr>
              <w:t>$47,500,000 + $9,200,000 + $0 = $56,700,000</w:t>
            </w:r>
          </w:p>
        </w:tc>
        <w:tc>
          <w:tcPr>
            <w:tcW w:type="dxa" w:w="1714"/>
          </w:tcPr>
          <w:p>
            <w:pPr>
              <w:spacing w:after="20" w:before="20"/>
            </w:pPr>
            <w:r/>
            <w:r>
              <w:rPr>
                <w:sz w:val="13"/>
              </w:rPr>
              <w:t>Foots, but the $8,200,000 land use has no source</w:t>
            </w:r>
          </w:p>
        </w:tc>
      </w:tr>
      <w:tr>
        <w:trPr>
          <w:cantSplit/>
        </w:trPr>
        <w:tc>
          <w:tcPr>
            <w:tcW w:type="dxa" w:w="1837"/>
          </w:tcPr>
          <w:p>
            <w:pPr>
              <w:spacing w:after="20" w:before="20"/>
            </w:pPr>
            <w:r/>
            <w:r>
              <w:rPr>
                <w:sz w:val="13"/>
              </w:rPr>
              <w:t>Developer fee</w:t>
            </w:r>
          </w:p>
        </w:tc>
        <w:tc>
          <w:tcPr>
            <w:tcW w:type="dxa" w:w="1653"/>
          </w:tcPr>
          <w:p>
            <w:pPr>
              <w:spacing w:after="20" w:before="20"/>
            </w:pPr>
            <w:r/>
            <w:r>
              <w:rPr>
                <w:sz w:val="13"/>
              </w:rPr>
              <w:t>Term Sheet; Memo</w:t>
            </w:r>
          </w:p>
        </w:tc>
        <w:tc>
          <w:tcPr>
            <w:tcW w:type="dxa" w:w="1347"/>
          </w:tcPr>
          <w:p>
            <w:pPr>
              <w:spacing w:after="20" w:before="20"/>
            </w:pPr>
            <w:r/>
            <w:r>
              <w:rPr>
                <w:sz w:val="13"/>
              </w:rPr>
              <w:t>$2,835,000</w:t>
            </w:r>
          </w:p>
        </w:tc>
        <w:tc>
          <w:tcPr>
            <w:tcW w:type="dxa" w:w="2449"/>
          </w:tcPr>
          <w:p>
            <w:pPr>
              <w:spacing w:after="20" w:before="20"/>
            </w:pPr>
            <w:r/>
            <w:r>
              <w:rPr>
                <w:sz w:val="13"/>
              </w:rPr>
              <w:t>5.0% of $56,700,000 = $2,835,000; equals 5.26% of costs excluding the fee</w:t>
            </w:r>
          </w:p>
        </w:tc>
        <w:tc>
          <w:tcPr>
            <w:tcW w:type="dxa" w:w="1714"/>
          </w:tcPr>
          <w:p>
            <w:pPr>
              <w:spacing w:after="20" w:before="20"/>
            </w:pPr>
            <w:r/>
            <w:r>
              <w:rPr>
                <w:sz w:val="13"/>
              </w:rPr>
              <w:t>Confirmed; note the circular base</w:t>
            </w:r>
          </w:p>
        </w:tc>
      </w:tr>
      <w:tr>
        <w:trPr>
          <w:cantSplit/>
        </w:trPr>
        <w:tc>
          <w:tcPr>
            <w:tcW w:type="dxa" w:w="1837"/>
          </w:tcPr>
          <w:p>
            <w:pPr>
              <w:spacing w:after="20" w:before="20"/>
            </w:pPr>
            <w:r/>
            <w:r>
              <w:rPr>
                <w:sz w:val="13"/>
              </w:rPr>
              <w:t>Contingency</w:t>
            </w:r>
          </w:p>
        </w:tc>
        <w:tc>
          <w:tcPr>
            <w:tcW w:type="dxa" w:w="1653"/>
          </w:tcPr>
          <w:p>
            <w:pPr>
              <w:spacing w:after="20" w:before="20"/>
            </w:pPr>
            <w:r/>
            <w:r>
              <w:rPr>
                <w:sz w:val="13"/>
              </w:rPr>
              <w:t>Term Sheet; Memo § 5.2</w:t>
            </w:r>
          </w:p>
        </w:tc>
        <w:tc>
          <w:tcPr>
            <w:tcW w:type="dxa" w:w="1347"/>
          </w:tcPr>
          <w:p>
            <w:pPr>
              <w:spacing w:after="20" w:before="20"/>
            </w:pPr>
            <w:r/>
            <w:r>
              <w:rPr>
                <w:sz w:val="13"/>
              </w:rPr>
              <w:t>$1,440,000</w:t>
            </w:r>
          </w:p>
        </w:tc>
        <w:tc>
          <w:tcPr>
            <w:tcW w:type="dxa" w:w="2449"/>
          </w:tcPr>
          <w:p>
            <w:pPr>
              <w:spacing w:after="20" w:before="20"/>
            </w:pPr>
            <w:r/>
            <w:r>
              <w:rPr>
                <w:sz w:val="13"/>
              </w:rPr>
              <w:t>4.144% of hard costs; components: $1,140,000 = 3.28% of hard costs and $300,000 = 7.23% of soft costs</w:t>
            </w:r>
          </w:p>
        </w:tc>
        <w:tc>
          <w:tcPr>
            <w:tcW w:type="dxa" w:w="1714"/>
          </w:tcPr>
          <w:p>
            <w:pPr>
              <w:spacing w:after="20" w:before="20"/>
            </w:pPr>
            <w:r/>
            <w:r>
              <w:rPr>
                <w:sz w:val="13"/>
              </w:rPr>
              <w:t>Confirmed; the Memo’s 4.1% blends hard and soft</w:t>
            </w:r>
          </w:p>
        </w:tc>
      </w:tr>
      <w:tr>
        <w:trPr>
          <w:cantSplit/>
        </w:trPr>
        <w:tc>
          <w:tcPr>
            <w:tcW w:type="dxa" w:w="1837"/>
          </w:tcPr>
          <w:p>
            <w:pPr>
              <w:spacing w:after="20" w:before="20"/>
            </w:pPr>
            <w:r/>
            <w:r>
              <w:rPr>
                <w:sz w:val="13"/>
              </w:rPr>
              <w:t>Origination fee</w:t>
            </w:r>
          </w:p>
        </w:tc>
        <w:tc>
          <w:tcPr>
            <w:tcW w:type="dxa" w:w="1653"/>
          </w:tcPr>
          <w:p>
            <w:pPr>
              <w:spacing w:after="20" w:before="20"/>
            </w:pPr>
            <w:r/>
            <w:r>
              <w:rPr>
                <w:sz w:val="13"/>
              </w:rPr>
              <w:t>Term Sheet § 3.4</w:t>
            </w:r>
          </w:p>
        </w:tc>
        <w:tc>
          <w:tcPr>
            <w:tcW w:type="dxa" w:w="1347"/>
          </w:tcPr>
          <w:p>
            <w:pPr>
              <w:spacing w:after="20" w:before="20"/>
            </w:pPr>
            <w:r/>
            <w:r>
              <w:rPr>
                <w:sz w:val="13"/>
              </w:rPr>
              <w:t>$475,000</w:t>
            </w:r>
          </w:p>
        </w:tc>
        <w:tc>
          <w:tcPr>
            <w:tcW w:type="dxa" w:w="2449"/>
          </w:tcPr>
          <w:p>
            <w:pPr>
              <w:spacing w:after="20" w:before="20"/>
            </w:pPr>
            <w:r/>
            <w:r>
              <w:rPr>
                <w:sz w:val="13"/>
              </w:rPr>
              <w:t>1.00% × $47,500,000 = $475,000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Exit fee</w:t>
            </w:r>
          </w:p>
        </w:tc>
        <w:tc>
          <w:tcPr>
            <w:tcW w:type="dxa" w:w="1653"/>
          </w:tcPr>
          <w:p>
            <w:pPr>
              <w:spacing w:after="20" w:before="20"/>
            </w:pPr>
            <w:r/>
            <w:r>
              <w:rPr>
                <w:sz w:val="13"/>
              </w:rPr>
              <w:t>Term Sheet § 3.4</w:t>
            </w:r>
          </w:p>
        </w:tc>
        <w:tc>
          <w:tcPr>
            <w:tcW w:type="dxa" w:w="1347"/>
          </w:tcPr>
          <w:p>
            <w:pPr>
              <w:spacing w:after="20" w:before="20"/>
            </w:pPr>
            <w:r/>
            <w:r>
              <w:rPr>
                <w:sz w:val="13"/>
              </w:rPr>
              <w:t>0.50% / 0.25%</w:t>
            </w:r>
          </w:p>
        </w:tc>
        <w:tc>
          <w:tcPr>
            <w:tcW w:type="dxa" w:w="2449"/>
          </w:tcPr>
          <w:p>
            <w:pPr>
              <w:spacing w:after="20" w:before="20"/>
            </w:pPr>
            <w:r/>
            <w:r>
              <w:rPr>
                <w:sz w:val="13"/>
              </w:rPr>
              <w:t>$237,500 in construction; $118,750 in the first six mini-perm months</w:t>
            </w:r>
          </w:p>
        </w:tc>
        <w:tc>
          <w:tcPr>
            <w:tcW w:type="dxa" w:w="1714"/>
          </w:tcPr>
          <w:p>
            <w:pPr>
              <w:spacing w:after="20" w:before="20"/>
            </w:pPr>
            <w:r/>
            <w:r>
              <w:rPr>
                <w:sz w:val="13"/>
              </w:rPr>
              <w:t>Confirmed; neither is budgeted</w:t>
            </w:r>
          </w:p>
        </w:tc>
      </w:tr>
      <w:tr>
        <w:trPr>
          <w:cantSplit/>
        </w:trPr>
        <w:tc>
          <w:tcPr>
            <w:tcW w:type="dxa" w:w="1837"/>
          </w:tcPr>
          <w:p>
            <w:pPr>
              <w:spacing w:after="20" w:before="20"/>
            </w:pPr>
            <w:r/>
            <w:r>
              <w:rPr>
                <w:sz w:val="13"/>
              </w:rPr>
              <w:t>Retainage (10% of GMP)</w:t>
            </w:r>
          </w:p>
        </w:tc>
        <w:tc>
          <w:tcPr>
            <w:tcW w:type="dxa" w:w="1653"/>
          </w:tcPr>
          <w:p>
            <w:pPr>
              <w:spacing w:after="20" w:before="20"/>
            </w:pPr>
            <w:r/>
            <w:r>
              <w:rPr>
                <w:sz w:val="13"/>
              </w:rPr>
              <w:t>Term Sheet § 9.1</w:t>
            </w:r>
          </w:p>
        </w:tc>
        <w:tc>
          <w:tcPr>
            <w:tcW w:type="dxa" w:w="1347"/>
          </w:tcPr>
          <w:p>
            <w:pPr>
              <w:spacing w:after="20" w:before="20"/>
            </w:pPr>
            <w:r/>
            <w:r>
              <w:rPr>
                <w:sz w:val="13"/>
              </w:rPr>
              <w:t>$3,475,000</w:t>
            </w:r>
          </w:p>
        </w:tc>
        <w:tc>
          <w:tcPr>
            <w:tcW w:type="dxa" w:w="2449"/>
          </w:tcPr>
          <w:p>
            <w:pPr>
              <w:spacing w:after="20" w:before="20"/>
            </w:pPr>
            <w:r/>
            <w:r>
              <w:rPr>
                <w:sz w:val="13"/>
              </w:rPr>
              <w:t>10% × $34,750,000 = $3,475,000; Term Sheet Draw 9 is $3,275,000 and the Memo calls it 9.4%</w:t>
            </w:r>
          </w:p>
        </w:tc>
        <w:tc>
          <w:tcPr>
            <w:tcW w:type="dxa" w:w="1714"/>
          </w:tcPr>
          <w:p>
            <w:pPr>
              <w:spacing w:after="20" w:before="20"/>
            </w:pPr>
            <w:r/>
            <w:r>
              <w:rPr>
                <w:sz w:val="13"/>
              </w:rPr>
              <w:t>Fails — a $200,000 shortfall in the release amount</w:t>
            </w:r>
          </w:p>
        </w:tc>
      </w:tr>
      <w:tr>
        <w:trPr>
          <w:cantSplit/>
        </w:trPr>
        <w:tc>
          <w:tcPr>
            <w:tcW w:type="dxa" w:w="1837"/>
          </w:tcPr>
          <w:p>
            <w:pPr>
              <w:spacing w:after="20" w:before="20"/>
            </w:pPr>
            <w:r/>
            <w:r>
              <w:rPr>
                <w:sz w:val="13"/>
              </w:rPr>
              <w:t>Draw schedule total</w:t>
            </w:r>
          </w:p>
        </w:tc>
        <w:tc>
          <w:tcPr>
            <w:tcW w:type="dxa" w:w="1653"/>
          </w:tcPr>
          <w:p>
            <w:pPr>
              <w:spacing w:after="20" w:before="20"/>
            </w:pPr>
            <w:r/>
            <w:r>
              <w:rPr>
                <w:sz w:val="13"/>
              </w:rPr>
              <w:t>Term Sheet § 9.2; Memo § 7.1</w:t>
            </w:r>
          </w:p>
        </w:tc>
        <w:tc>
          <w:tcPr>
            <w:tcW w:type="dxa" w:w="1347"/>
          </w:tcPr>
          <w:p>
            <w:pPr>
              <w:spacing w:after="20" w:before="20"/>
            </w:pPr>
            <w:r/>
            <w:r>
              <w:rPr>
                <w:sz w:val="13"/>
              </w:rPr>
              <w:t>$47,500,000</w:t>
            </w:r>
          </w:p>
        </w:tc>
        <w:tc>
          <w:tcPr>
            <w:tcW w:type="dxa" w:w="2449"/>
          </w:tcPr>
          <w:p>
            <w:pPr>
              <w:spacing w:after="20" w:before="20"/>
            </w:pPr>
            <w:r/>
            <w:r>
              <w:rPr>
                <w:sz w:val="13"/>
              </w:rPr>
              <w:t>$9,475,000 + $5,212,500 + $6,950,000 + $6,950,000 + $5,212,500 + $3,475,000 + $3,475,000 + $3,475,000 + $3,275,000 = $47,500,000</w:t>
            </w:r>
          </w:p>
        </w:tc>
        <w:tc>
          <w:tcPr>
            <w:tcW w:type="dxa" w:w="1714"/>
          </w:tcPr>
          <w:p>
            <w:pPr>
              <w:spacing w:after="20" w:before="20"/>
            </w:pPr>
            <w:r/>
            <w:r>
              <w:rPr>
                <w:sz w:val="13"/>
              </w:rPr>
              <w:t>Draw amounts foot</w:t>
            </w:r>
          </w:p>
        </w:tc>
      </w:tr>
      <w:tr>
        <w:trPr>
          <w:cantSplit/>
        </w:trPr>
        <w:tc>
          <w:tcPr>
            <w:tcW w:type="dxa" w:w="1837"/>
          </w:tcPr>
          <w:p>
            <w:pPr>
              <w:spacing w:after="20" w:before="20"/>
            </w:pPr>
            <w:r/>
            <w:r>
              <w:rPr>
                <w:sz w:val="13"/>
              </w:rPr>
              <w:t>Cumulative hard-cost cash under the Borrower’s schedule</w:t>
            </w:r>
          </w:p>
        </w:tc>
        <w:tc>
          <w:tcPr>
            <w:tcW w:type="dxa" w:w="1653"/>
          </w:tcPr>
          <w:p>
            <w:pPr>
              <w:spacing w:after="20" w:before="20"/>
            </w:pPr>
            <w:r/>
            <w:r>
              <w:rPr>
                <w:sz w:val="13"/>
              </w:rPr>
              <w:t>Borrower workbook</w:t>
            </w:r>
          </w:p>
        </w:tc>
        <w:tc>
          <w:tcPr>
            <w:tcW w:type="dxa" w:w="1347"/>
          </w:tcPr>
          <w:p>
            <w:pPr>
              <w:spacing w:after="20" w:before="20"/>
            </w:pPr>
            <w:r/>
            <w:r>
              <w:rPr>
                <w:sz w:val="13"/>
              </w:rPr>
              <w:t>$34,750,000</w:t>
            </w:r>
          </w:p>
        </w:tc>
        <w:tc>
          <w:tcPr>
            <w:tcW w:type="dxa" w:w="2449"/>
          </w:tcPr>
          <w:p>
            <w:pPr>
              <w:spacing w:after="20" w:before="20"/>
            </w:pPr>
            <w:r/>
            <w:r>
              <w:rPr>
                <w:sz w:val="13"/>
              </w:rPr>
              <w:t>Draws 2–8 funded at 100% of gross = $34,750,000, plus Draw 9 “release” of $3,475,000 = $38,225,000</w:t>
            </w:r>
          </w:p>
        </w:tc>
        <w:tc>
          <w:tcPr>
            <w:tcW w:type="dxa" w:w="1714"/>
          </w:tcPr>
          <w:p>
            <w:pPr>
              <w:spacing w:after="20" w:before="20"/>
            </w:pPr>
            <w:r/>
            <w:r>
              <w:rPr>
                <w:sz w:val="13"/>
              </w:rPr>
              <w:t>Fails — $3,475,000 over-advance against the GMP</w:t>
            </w:r>
          </w:p>
        </w:tc>
      </w:tr>
      <w:tr>
        <w:trPr>
          <w:cantSplit/>
        </w:trPr>
        <w:tc>
          <w:tcPr>
            <w:tcW w:type="dxa" w:w="1837"/>
          </w:tcPr>
          <w:p>
            <w:pPr>
              <w:spacing w:after="20" w:before="20"/>
            </w:pPr>
            <w:r/>
            <w:r>
              <w:rPr>
                <w:sz w:val="13"/>
              </w:rPr>
              <w:t>Borrower draw schedule column totals</w:t>
            </w:r>
          </w:p>
        </w:tc>
        <w:tc>
          <w:tcPr>
            <w:tcW w:type="dxa" w:w="1653"/>
          </w:tcPr>
          <w:p>
            <w:pPr>
              <w:spacing w:after="20" w:before="20"/>
            </w:pPr>
            <w:r/>
            <w:r>
              <w:rPr>
                <w:sz w:val="13"/>
              </w:rPr>
              <w:t>Borrower workbook</w:t>
            </w:r>
          </w:p>
        </w:tc>
        <w:tc>
          <w:tcPr>
            <w:tcW w:type="dxa" w:w="1347"/>
          </w:tcPr>
          <w:p>
            <w:pPr>
              <w:spacing w:after="20" w:before="20"/>
            </w:pPr>
            <w:r/>
            <w:r>
              <w:rPr>
                <w:sz w:val="13"/>
              </w:rPr>
              <w:t>$47,500,000</w:t>
            </w:r>
          </w:p>
        </w:tc>
        <w:tc>
          <w:tcPr>
            <w:tcW w:type="dxa" w:w="2449"/>
          </w:tcPr>
          <w:p>
            <w:pPr>
              <w:spacing w:after="20" w:before="20"/>
            </w:pPr>
            <w:r/>
            <w:r>
              <w:rPr>
                <w:sz w:val="13"/>
              </w:rPr>
              <w:t>Cells sum to $48,500,000; Developer Fee cells sum to $923,750; Contingency cells sum to $3,351,250; Retainage cells sum to $(3,475,000)</w:t>
            </w:r>
          </w:p>
        </w:tc>
        <w:tc>
          <w:tcPr>
            <w:tcW w:type="dxa" w:w="1714"/>
          </w:tcPr>
          <w:p>
            <w:pPr>
              <w:spacing w:after="20" w:before="20"/>
            </w:pPr>
            <w:r/>
            <w:r>
              <w:rPr>
                <w:sz w:val="13"/>
              </w:rPr>
              <w:t>Fails — four separate footing errors</w:t>
            </w:r>
          </w:p>
        </w:tc>
      </w:tr>
      <w:tr>
        <w:trPr>
          <w:cantSplit/>
        </w:trPr>
        <w:tc>
          <w:tcPr>
            <w:tcW w:type="dxa" w:w="1837"/>
          </w:tcPr>
          <w:p>
            <w:pPr>
              <w:spacing w:after="20" w:before="20"/>
            </w:pPr>
            <w:r/>
            <w:r>
              <w:rPr>
                <w:sz w:val="13"/>
              </w:rPr>
              <w:t>Borrower draw schedule, Draw 9 row</w:t>
            </w:r>
          </w:p>
        </w:tc>
        <w:tc>
          <w:tcPr>
            <w:tcW w:type="dxa" w:w="1653"/>
          </w:tcPr>
          <w:p>
            <w:pPr>
              <w:spacing w:after="20" w:before="20"/>
            </w:pPr>
            <w:r/>
            <w:r>
              <w:rPr>
                <w:sz w:val="13"/>
              </w:rPr>
              <w:t>Borrower workbook</w:t>
            </w:r>
          </w:p>
        </w:tc>
        <w:tc>
          <w:tcPr>
            <w:tcW w:type="dxa" w:w="1347"/>
          </w:tcPr>
          <w:p>
            <w:pPr>
              <w:spacing w:after="20" w:before="20"/>
            </w:pPr>
            <w:r/>
            <w:r>
              <w:rPr>
                <w:sz w:val="13"/>
              </w:rPr>
              <w:t>$3,275,000</w:t>
            </w:r>
          </w:p>
        </w:tc>
        <w:tc>
          <w:tcPr>
            <w:tcW w:type="dxa" w:w="2449"/>
          </w:tcPr>
          <w:p>
            <w:pPr>
              <w:spacing w:after="20" w:before="20"/>
            </w:pPr>
            <w:r/>
            <w:r>
              <w:rPr>
                <w:sz w:val="13"/>
              </w:rPr>
              <w:t>$3,475,000 − $3,475,000 + $200,000 + $600,000 = $800,000</w:t>
            </w:r>
          </w:p>
        </w:tc>
        <w:tc>
          <w:tcPr>
            <w:tcW w:type="dxa" w:w="1714"/>
          </w:tcPr>
          <w:p>
            <w:pPr>
              <w:spacing w:after="20" w:before="20"/>
            </w:pPr>
            <w:r/>
            <w:r>
              <w:rPr>
                <w:sz w:val="13"/>
              </w:rPr>
              <w:t>Fails — row does not foot</w:t>
            </w:r>
          </w:p>
        </w:tc>
      </w:tr>
      <w:tr>
        <w:trPr>
          <w:cantSplit/>
        </w:trPr>
        <w:tc>
          <w:tcPr>
            <w:tcW w:type="dxa" w:w="1837"/>
          </w:tcPr>
          <w:p>
            <w:pPr>
              <w:spacing w:after="20" w:before="20"/>
            </w:pPr>
            <w:r/>
            <w:r>
              <w:rPr>
                <w:sz w:val="13"/>
              </w:rPr>
              <w:t>Interest reserve — Borrower model at 3.50% SOFR</w:t>
            </w:r>
          </w:p>
        </w:tc>
        <w:tc>
          <w:tcPr>
            <w:tcW w:type="dxa" w:w="1653"/>
          </w:tcPr>
          <w:p>
            <w:pPr>
              <w:spacing w:after="20" w:before="20"/>
            </w:pPr>
            <w:r/>
            <w:r>
              <w:rPr>
                <w:sz w:val="13"/>
              </w:rPr>
              <w:t>Borrower workbook</w:t>
            </w:r>
          </w:p>
        </w:tc>
        <w:tc>
          <w:tcPr>
            <w:tcW w:type="dxa" w:w="1347"/>
          </w:tcPr>
          <w:p>
            <w:pPr>
              <w:spacing w:after="20" w:before="20"/>
            </w:pPr>
            <w:r/>
            <w:r>
              <w:rPr>
                <w:sz w:val="13"/>
              </w:rPr>
              <w:t>$4,628,675</w:t>
            </w:r>
          </w:p>
        </w:tc>
        <w:tc>
          <w:tcPr>
            <w:tcW w:type="dxa" w:w="2449"/>
          </w:tcPr>
          <w:p>
            <w:pPr>
              <w:spacing w:after="20" w:before="20"/>
            </w:pPr>
            <w:r/>
            <w:r>
              <w:rPr>
                <w:sz w:val="13"/>
              </w:rPr>
              <w:t>Model total over 30 months at 6.75% all-in; surplus $221,325</w:t>
            </w:r>
          </w:p>
        </w:tc>
        <w:tc>
          <w:tcPr>
            <w:tcW w:type="dxa" w:w="1714"/>
          </w:tcPr>
          <w:p>
            <w:pPr>
              <w:spacing w:after="20" w:before="20"/>
            </w:pPr>
            <w:r/>
            <w:r>
              <w:rPr>
                <w:sz w:val="13"/>
              </w:rPr>
              <w:t>Arithmetically consistent but uses an 85 bps lower SOFR than the Memo</w:t>
            </w:r>
          </w:p>
        </w:tc>
      </w:tr>
      <w:tr>
        <w:trPr>
          <w:cantSplit/>
        </w:trPr>
        <w:tc>
          <w:tcPr>
            <w:tcW w:type="dxa" w:w="1837"/>
          </w:tcPr>
          <w:p>
            <w:pPr>
              <w:spacing w:after="20" w:before="20"/>
            </w:pPr>
            <w:r/>
            <w:r>
              <w:rPr>
                <w:sz w:val="13"/>
              </w:rPr>
              <w:t>Interest reserve — Borrower model at 4.35% SOFR</w:t>
            </w:r>
          </w:p>
        </w:tc>
        <w:tc>
          <w:tcPr>
            <w:tcW w:type="dxa" w:w="1653"/>
          </w:tcPr>
          <w:p>
            <w:pPr>
              <w:spacing w:after="20" w:before="20"/>
            </w:pPr>
            <w:r/>
            <w:r>
              <w:rPr>
                <w:sz w:val="13"/>
              </w:rPr>
              <w:t>Borrower workbook</w:t>
            </w:r>
          </w:p>
        </w:tc>
        <w:tc>
          <w:tcPr>
            <w:tcW w:type="dxa" w:w="1347"/>
          </w:tcPr>
          <w:p>
            <w:pPr>
              <w:spacing w:after="20" w:before="20"/>
            </w:pPr>
            <w:r/>
            <w:r>
              <w:rPr>
                <w:sz w:val="13"/>
              </w:rPr>
              <w:t>$5,215,830</w:t>
            </w:r>
          </w:p>
        </w:tc>
        <w:tc>
          <w:tcPr>
            <w:tcW w:type="dxa" w:w="2449"/>
          </w:tcPr>
          <w:p>
            <w:pPr>
              <w:spacing w:after="20" w:before="20"/>
            </w:pPr>
            <w:r/>
            <w:r>
              <w:rPr>
                <w:sz w:val="13"/>
              </w:rPr>
              <w:t>Shortfall of $365,830</w:t>
            </w:r>
          </w:p>
        </w:tc>
        <w:tc>
          <w:tcPr>
            <w:tcW w:type="dxa" w:w="1714"/>
          </w:tcPr>
          <w:p>
            <w:pPr>
              <w:spacing w:after="20" w:before="20"/>
            </w:pPr>
            <w:r/>
            <w:r>
              <w:rPr>
                <w:sz w:val="13"/>
              </w:rPr>
              <w:t>Conflicts with the Memo’s $565,000</w:t>
            </w:r>
          </w:p>
        </w:tc>
      </w:tr>
      <w:tr>
        <w:trPr>
          <w:cantSplit/>
        </w:trPr>
        <w:tc>
          <w:tcPr>
            <w:tcW w:type="dxa" w:w="1837"/>
          </w:tcPr>
          <w:p>
            <w:pPr>
              <w:spacing w:after="20" w:before="20"/>
            </w:pPr>
            <w:r/>
            <w:r>
              <w:rPr>
                <w:sz w:val="13"/>
              </w:rPr>
              <w:t>Interest reserve — Memo methodology</w:t>
            </w:r>
          </w:p>
        </w:tc>
        <w:tc>
          <w:tcPr>
            <w:tcW w:type="dxa" w:w="1653"/>
          </w:tcPr>
          <w:p>
            <w:pPr>
              <w:spacing w:after="20" w:before="20"/>
            </w:pPr>
            <w:r/>
            <w:r>
              <w:rPr>
                <w:sz w:val="13"/>
              </w:rPr>
              <w:t>Memo § 6.2</w:t>
            </w:r>
          </w:p>
        </w:tc>
        <w:tc>
          <w:tcPr>
            <w:tcW w:type="dxa" w:w="1347"/>
          </w:tcPr>
          <w:p>
            <w:pPr>
              <w:spacing w:after="20" w:before="20"/>
            </w:pPr>
            <w:r/>
            <w:r>
              <w:rPr>
                <w:sz w:val="13"/>
              </w:rPr>
              <w:t>$5,415,000</w:t>
            </w:r>
          </w:p>
        </w:tc>
        <w:tc>
          <w:tcPr>
            <w:tcW w:type="dxa" w:w="2449"/>
          </w:tcPr>
          <w:p>
            <w:pPr>
              <w:spacing w:after="20" w:before="20"/>
            </w:pPr>
            <w:r/>
            <w:r>
              <w:rPr>
                <w:sz w:val="13"/>
              </w:rPr>
              <w:t>$28,500,000 average balance × 7.60% × 2.5 years = $5,415,000; shortfall $565,000</w:t>
            </w:r>
          </w:p>
        </w:tc>
        <w:tc>
          <w:tcPr>
            <w:tcW w:type="dxa" w:w="1714"/>
          </w:tcPr>
          <w:p>
            <w:pPr>
              <w:spacing w:after="20" w:before="20"/>
            </w:pPr>
            <w:r/>
            <w:r>
              <w:rPr>
                <w:sz w:val="13"/>
              </w:rPr>
              <w:t>Confirmed as arithmetic; methodology differs from the draw-based model by $199,170</w:t>
            </w:r>
          </w:p>
        </w:tc>
      </w:tr>
      <w:tr>
        <w:trPr>
          <w:cantSplit/>
        </w:trPr>
        <w:tc>
          <w:tcPr>
            <w:tcW w:type="dxa" w:w="1837"/>
          </w:tcPr>
          <w:p>
            <w:pPr>
              <w:spacing w:after="20" w:before="20"/>
            </w:pPr>
            <w:r/>
            <w:r>
              <w:rPr>
                <w:sz w:val="13"/>
              </w:rPr>
              <w:t>Guarantor net worth</w:t>
            </w:r>
          </w:p>
        </w:tc>
        <w:tc>
          <w:tcPr>
            <w:tcW w:type="dxa" w:w="1653"/>
          </w:tcPr>
          <w:p>
            <w:pPr>
              <w:spacing w:after="20" w:before="20"/>
            </w:pPr>
            <w:r/>
            <w:r>
              <w:rPr>
                <w:sz w:val="13"/>
              </w:rPr>
              <w:t>Term Sheet § 1.3; Memo § 2.3</w:t>
            </w:r>
          </w:p>
        </w:tc>
        <w:tc>
          <w:tcPr>
            <w:tcW w:type="dxa" w:w="1347"/>
          </w:tcPr>
          <w:p>
            <w:pPr>
              <w:spacing w:after="20" w:before="20"/>
            </w:pPr>
            <w:r/>
            <w:r>
              <w:rPr>
                <w:sz w:val="13"/>
              </w:rPr>
              <w:t>$29,800,000 / $11,500,000</w:t>
            </w:r>
          </w:p>
        </w:tc>
        <w:tc>
          <w:tcPr>
            <w:tcW w:type="dxa" w:w="2449"/>
          </w:tcPr>
          <w:p>
            <w:pPr>
              <w:spacing w:after="20" w:before="20"/>
            </w:pPr>
            <w:r/>
            <w:r>
              <w:rPr>
                <w:sz w:val="13"/>
              </w:rPr>
              <w:t>$6.1M + $19.4M + $4.3M = $29.8M; $3.2M + $6.8M + $1.5M = $11.5M; combined $41.3M</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Guarantor liquidity coverage</w:t>
            </w:r>
          </w:p>
        </w:tc>
        <w:tc>
          <w:tcPr>
            <w:tcW w:type="dxa" w:w="1653"/>
          </w:tcPr>
          <w:p>
            <w:pPr>
              <w:spacing w:after="20" w:before="20"/>
            </w:pPr>
            <w:r/>
            <w:r>
              <w:rPr>
                <w:sz w:val="13"/>
              </w:rPr>
              <w:t>Memo § 2.3.3</w:t>
            </w:r>
          </w:p>
        </w:tc>
        <w:tc>
          <w:tcPr>
            <w:tcW w:type="dxa" w:w="1347"/>
          </w:tcPr>
          <w:p>
            <w:pPr>
              <w:spacing w:after="20" w:before="20"/>
            </w:pPr>
            <w:r/>
            <w:r>
              <w:rPr>
                <w:sz w:val="13"/>
              </w:rPr>
              <w:t>1.86x</w:t>
            </w:r>
          </w:p>
        </w:tc>
        <w:tc>
          <w:tcPr>
            <w:tcW w:type="dxa" w:w="2449"/>
          </w:tcPr>
          <w:p>
            <w:pPr>
              <w:spacing w:after="20" w:before="20"/>
            </w:pPr>
            <w:r/>
            <w:r>
              <w:rPr>
                <w:sz w:val="13"/>
              </w:rPr>
              <w:t>$9,300,000 ÷ $5,000,000 = 1.86x; cushion $4,300,000</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Partial guaranty as % of net worth</w:t>
            </w:r>
          </w:p>
        </w:tc>
        <w:tc>
          <w:tcPr>
            <w:tcW w:type="dxa" w:w="1653"/>
          </w:tcPr>
          <w:p>
            <w:pPr>
              <w:spacing w:after="20" w:before="20"/>
            </w:pPr>
            <w:r/>
            <w:r>
              <w:rPr>
                <w:sz w:val="13"/>
              </w:rPr>
              <w:t>Memo § 2.3.3</w:t>
            </w:r>
          </w:p>
        </w:tc>
        <w:tc>
          <w:tcPr>
            <w:tcW w:type="dxa" w:w="1347"/>
          </w:tcPr>
          <w:p>
            <w:pPr>
              <w:spacing w:after="20" w:before="20"/>
            </w:pPr>
            <w:r/>
            <w:r>
              <w:rPr>
                <w:sz w:val="13"/>
              </w:rPr>
              <w:t>39.8% / 103.3%</w:t>
            </w:r>
          </w:p>
        </w:tc>
        <w:tc>
          <w:tcPr>
            <w:tcW w:type="dxa" w:w="2449"/>
          </w:tcPr>
          <w:p>
            <w:pPr>
              <w:spacing w:after="20" w:before="20"/>
            </w:pPr>
            <w:r/>
            <w:r>
              <w:rPr>
                <w:sz w:val="13"/>
              </w:rPr>
              <w:t>$11,875,000 ÷ $29,800,000 = 39.85%; ÷ $11,500,000 = 103.26%</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Total land area</w:t>
            </w:r>
          </w:p>
        </w:tc>
        <w:tc>
          <w:tcPr>
            <w:tcW w:type="dxa" w:w="1653"/>
          </w:tcPr>
          <w:p>
            <w:pPr>
              <w:spacing w:after="20" w:before="20"/>
            </w:pPr>
            <w:r/>
            <w:r>
              <w:rPr>
                <w:sz w:val="13"/>
              </w:rPr>
              <w:t>All documents</w:t>
            </w:r>
          </w:p>
        </w:tc>
        <w:tc>
          <w:tcPr>
            <w:tcW w:type="dxa" w:w="1347"/>
          </w:tcPr>
          <w:p>
            <w:pPr>
              <w:spacing w:after="20" w:before="20"/>
            </w:pPr>
            <w:r/>
            <w:r>
              <w:rPr>
                <w:sz w:val="13"/>
              </w:rPr>
              <w:t>3.47 acres</w:t>
            </w:r>
          </w:p>
        </w:tc>
        <w:tc>
          <w:tcPr>
            <w:tcW w:type="dxa" w:w="2449"/>
          </w:tcPr>
          <w:p>
            <w:pPr>
              <w:spacing w:after="20" w:before="20"/>
            </w:pPr>
            <w:r/>
            <w:r>
              <w:rPr>
                <w:sz w:val="13"/>
              </w:rPr>
              <w:t>Parcel 1: 298.62′ × 305.41′ = 91,202 SF = 2.094 acres; Parcel 2: 201.88′ × 297.63′ = 60,086 SF = 1.379 acres; total 3.473 acres = 151,153 SF</w:t>
            </w:r>
          </w:p>
        </w:tc>
        <w:tc>
          <w:tcPr>
            <w:tcW w:type="dxa" w:w="1714"/>
          </w:tcPr>
          <w:p>
            <w:pPr>
              <w:spacing w:after="20" w:before="20"/>
            </w:pPr>
            <w:r/>
            <w:r>
              <w:rPr>
                <w:sz w:val="13"/>
              </w:rPr>
              <w:t>Confirmed (and agrees with the Appraisal)</w:t>
            </w:r>
          </w:p>
        </w:tc>
      </w:tr>
      <w:tr>
        <w:trPr>
          <w:cantSplit/>
        </w:trPr>
        <w:tc>
          <w:tcPr>
            <w:tcW w:type="dxa" w:w="1837"/>
          </w:tcPr>
          <w:p>
            <w:pPr>
              <w:spacing w:after="20" w:before="20"/>
            </w:pPr>
            <w:r/>
            <w:r>
              <w:rPr>
                <w:sz w:val="13"/>
              </w:rPr>
              <w:t>Individual parcel acreage</w:t>
            </w:r>
          </w:p>
        </w:tc>
        <w:tc>
          <w:tcPr>
            <w:tcW w:type="dxa" w:w="1653"/>
          </w:tcPr>
          <w:p>
            <w:pPr>
              <w:spacing w:after="20" w:before="20"/>
            </w:pPr>
            <w:r/>
            <w:r>
              <w:rPr>
                <w:sz w:val="13"/>
              </w:rPr>
              <w:t>Title vs. Phase I ESA</w:t>
            </w:r>
          </w:p>
        </w:tc>
        <w:tc>
          <w:tcPr>
            <w:tcW w:type="dxa" w:w="1347"/>
          </w:tcPr>
          <w:p>
            <w:pPr>
              <w:spacing w:after="20" w:before="20"/>
            </w:pPr>
            <w:r/>
            <w:r>
              <w:rPr>
                <w:sz w:val="13"/>
              </w:rPr>
              <w:t>2.09 / 1.38 (title); 1.89 / 1.58 (ESA)</w:t>
            </w:r>
          </w:p>
        </w:tc>
        <w:tc>
          <w:tcPr>
            <w:tcW w:type="dxa" w:w="2449"/>
          </w:tcPr>
          <w:p>
            <w:pPr>
              <w:spacing w:after="20" w:before="20"/>
            </w:pPr>
            <w:r/>
            <w:r>
              <w:rPr>
                <w:sz w:val="13"/>
              </w:rPr>
              <w:t>Metes and bounds support 2.09 / 1.38</w:t>
            </w:r>
          </w:p>
        </w:tc>
        <w:tc>
          <w:tcPr>
            <w:tcW w:type="dxa" w:w="1714"/>
          </w:tcPr>
          <w:p>
            <w:pPr>
              <w:spacing w:after="20" w:before="20"/>
            </w:pPr>
            <w:r/>
            <w:r>
              <w:rPr>
                <w:sz w:val="13"/>
              </w:rPr>
              <w:t>Fails — the ESA figures do not reconcile</w:t>
            </w:r>
          </w:p>
        </w:tc>
      </w:tr>
      <w:tr>
        <w:trPr>
          <w:cantSplit/>
        </w:trPr>
        <w:tc>
          <w:tcPr>
            <w:tcW w:type="dxa" w:w="1837"/>
          </w:tcPr>
          <w:p>
            <w:pPr>
              <w:spacing w:after="20" w:before="20"/>
            </w:pPr>
            <w:r/>
            <w:r>
              <w:rPr>
                <w:sz w:val="13"/>
              </w:rPr>
              <w:t>Foster Street frontage</w:t>
            </w:r>
          </w:p>
        </w:tc>
        <w:tc>
          <w:tcPr>
            <w:tcW w:type="dxa" w:w="1653"/>
          </w:tcPr>
          <w:p>
            <w:pPr>
              <w:spacing w:after="20" w:before="20"/>
            </w:pPr>
            <w:r/>
            <w:r>
              <w:rPr>
                <w:sz w:val="13"/>
              </w:rPr>
              <w:t>Appraisal § 2</w:t>
            </w:r>
          </w:p>
        </w:tc>
        <w:tc>
          <w:tcPr>
            <w:tcW w:type="dxa" w:w="1347"/>
          </w:tcPr>
          <w:p>
            <w:pPr>
              <w:spacing w:after="20" w:before="20"/>
            </w:pPr>
            <w:r/>
            <w:r>
              <w:rPr>
                <w:sz w:val="13"/>
              </w:rPr>
              <w:t>420 feet</w:t>
            </w:r>
          </w:p>
        </w:tc>
        <w:tc>
          <w:tcPr>
            <w:tcW w:type="dxa" w:w="2449"/>
          </w:tcPr>
          <w:p>
            <w:pPr>
              <w:spacing w:after="20" w:before="20"/>
            </w:pPr>
            <w:r/>
            <w:r>
              <w:rPr>
                <w:sz w:val="13"/>
              </w:rPr>
              <w:t>298.62′ + 201.88′ = 500.50 feet</w:t>
            </w:r>
          </w:p>
        </w:tc>
        <w:tc>
          <w:tcPr>
            <w:tcW w:type="dxa" w:w="1714"/>
          </w:tcPr>
          <w:p>
            <w:pPr>
              <w:spacing w:after="20" w:before="20"/>
            </w:pPr>
            <w:r/>
            <w:r>
              <w:rPr>
                <w:sz w:val="13"/>
              </w:rPr>
              <w:t>Fails — 80.5 feet understated</w:t>
            </w:r>
          </w:p>
        </w:tc>
      </w:tr>
      <w:tr>
        <w:trPr>
          <w:cantSplit/>
        </w:trPr>
        <w:tc>
          <w:tcPr>
            <w:tcW w:type="dxa" w:w="1837"/>
          </w:tcPr>
          <w:p>
            <w:pPr>
              <w:spacing w:after="20" w:before="20"/>
            </w:pPr>
            <w:r/>
            <w:r>
              <w:rPr>
                <w:sz w:val="13"/>
              </w:rPr>
              <w:t>Residential unit count</w:t>
            </w:r>
          </w:p>
        </w:tc>
        <w:tc>
          <w:tcPr>
            <w:tcW w:type="dxa" w:w="1653"/>
          </w:tcPr>
          <w:p>
            <w:pPr>
              <w:spacing w:after="20" w:before="20"/>
            </w:pPr>
            <w:r/>
            <w:r>
              <w:rPr>
                <w:sz w:val="13"/>
              </w:rPr>
              <w:t>All documents</w:t>
            </w:r>
          </w:p>
        </w:tc>
        <w:tc>
          <w:tcPr>
            <w:tcW w:type="dxa" w:w="1347"/>
          </w:tcPr>
          <w:p>
            <w:pPr>
              <w:spacing w:after="20" w:before="20"/>
            </w:pPr>
            <w:r/>
            <w:r>
              <w:rPr>
                <w:sz w:val="13"/>
              </w:rPr>
              <w:t>212 (142 + 56 + 14)</w:t>
            </w:r>
          </w:p>
        </w:tc>
        <w:tc>
          <w:tcPr>
            <w:tcW w:type="dxa" w:w="2449"/>
          </w:tcPr>
          <w:p>
            <w:pPr>
              <w:spacing w:after="20" w:before="20"/>
            </w:pPr>
            <w:r/>
            <w:r>
              <w:rPr>
                <w:sz w:val="13"/>
              </w:rPr>
              <w:t>142 + 56 + 14 = 212</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Parking ratio</w:t>
            </w:r>
          </w:p>
        </w:tc>
        <w:tc>
          <w:tcPr>
            <w:tcW w:type="dxa" w:w="1653"/>
          </w:tcPr>
          <w:p>
            <w:pPr>
              <w:spacing w:after="20" w:before="20"/>
            </w:pPr>
            <w:r/>
            <w:r>
              <w:rPr>
                <w:sz w:val="13"/>
              </w:rPr>
              <w:t>Term Sheet; Memo</w:t>
            </w:r>
          </w:p>
        </w:tc>
        <w:tc>
          <w:tcPr>
            <w:tcW w:type="dxa" w:w="1347"/>
          </w:tcPr>
          <w:p>
            <w:pPr>
              <w:spacing w:after="20" w:before="20"/>
            </w:pPr>
            <w:r/>
            <w:r>
              <w:rPr>
                <w:sz w:val="13"/>
              </w:rPr>
              <w:t>1.30 spaces/unit</w:t>
            </w:r>
          </w:p>
        </w:tc>
        <w:tc>
          <w:tcPr>
            <w:tcW w:type="dxa" w:w="2449"/>
          </w:tcPr>
          <w:p>
            <w:pPr>
              <w:spacing w:after="20" w:before="20"/>
            </w:pPr>
            <w:r/>
            <w:r>
              <w:rPr>
                <w:sz w:val="13"/>
              </w:rPr>
              <w:t>276 ÷ 212 = 1.302</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Developer track record</w:t>
            </w:r>
          </w:p>
        </w:tc>
        <w:tc>
          <w:tcPr>
            <w:tcW w:type="dxa" w:w="1653"/>
          </w:tcPr>
          <w:p>
            <w:pPr>
              <w:spacing w:after="20" w:before="20"/>
            </w:pPr>
            <w:r/>
            <w:r>
              <w:rPr>
                <w:sz w:val="13"/>
              </w:rPr>
              <w:t>Memo § 2.1 vs. Appraisal § 3</w:t>
            </w:r>
          </w:p>
        </w:tc>
        <w:tc>
          <w:tcPr>
            <w:tcW w:type="dxa" w:w="1347"/>
          </w:tcPr>
          <w:p>
            <w:pPr>
              <w:spacing w:after="20" w:before="20"/>
            </w:pPr>
            <w:r/>
            <w:r>
              <w:rPr>
                <w:sz w:val="13"/>
              </w:rPr>
              <w:t>~580 units; 4 projects</w:t>
            </w:r>
          </w:p>
        </w:tc>
        <w:tc>
          <w:tcPr>
            <w:tcW w:type="dxa" w:w="2449"/>
          </w:tcPr>
          <w:p>
            <w:pPr>
              <w:spacing w:after="20" w:before="20"/>
            </w:pPr>
            <w:r/>
            <w:r>
              <w:rPr>
                <w:sz w:val="13"/>
              </w:rPr>
              <w:t>84 + 116 + 64 + 92 = 356 units in the four identified projects</w:t>
            </w:r>
          </w:p>
        </w:tc>
        <w:tc>
          <w:tcPr>
            <w:tcW w:type="dxa" w:w="1714"/>
          </w:tcPr>
          <w:p>
            <w:pPr>
              <w:spacing w:after="20" w:before="20"/>
            </w:pPr>
            <w:r/>
            <w:r>
              <w:rPr>
                <w:sz w:val="13"/>
              </w:rPr>
              <w:t>Fails — 224-unit difference between documents</w:t>
            </w:r>
          </w:p>
        </w:tc>
      </w:tr>
      <w:tr>
        <w:trPr>
          <w:cantSplit/>
        </w:trPr>
        <w:tc>
          <w:tcPr>
            <w:tcW w:type="dxa" w:w="1837"/>
          </w:tcPr>
          <w:p>
            <w:pPr>
              <w:spacing w:after="20" w:before="20"/>
            </w:pPr>
            <w:r/>
            <w:r>
              <w:rPr>
                <w:sz w:val="13"/>
              </w:rPr>
              <w:t>Flood zone</w:t>
            </w:r>
          </w:p>
        </w:tc>
        <w:tc>
          <w:tcPr>
            <w:tcW w:type="dxa" w:w="1653"/>
          </w:tcPr>
          <w:p>
            <w:pPr>
              <w:spacing w:after="20" w:before="20"/>
            </w:pPr>
            <w:r/>
            <w:r>
              <w:rPr>
                <w:sz w:val="13"/>
              </w:rPr>
              <w:t>ESA § 2.3; Appraisal § 2</w:t>
            </w:r>
          </w:p>
        </w:tc>
        <w:tc>
          <w:tcPr>
            <w:tcW w:type="dxa" w:w="1347"/>
          </w:tcPr>
          <w:p>
            <w:pPr>
              <w:spacing w:after="20" w:before="20"/>
            </w:pPr>
            <w:r/>
            <w:r>
              <w:rPr>
                <w:sz w:val="13"/>
              </w:rPr>
              <w:t>Zone X (both)</w:t>
            </w:r>
          </w:p>
        </w:tc>
        <w:tc>
          <w:tcPr>
            <w:tcW w:type="dxa" w:w="2449"/>
          </w:tcPr>
          <w:p>
            <w:pPr>
              <w:spacing w:after="20" w:before="20"/>
            </w:pPr>
            <w:r/>
            <w:r>
              <w:rPr>
                <w:sz w:val="13"/>
              </w:rPr>
              <w:t>FIRM panels cited differ: 3720098700J eff. 3/2/2009 (ESA) vs. 3710406400J eff. 5/2/2019 (Appraisal)</w:t>
            </w:r>
          </w:p>
        </w:tc>
        <w:tc>
          <w:tcPr>
            <w:tcW w:type="dxa" w:w="1714"/>
          </w:tcPr>
          <w:p>
            <w:pPr>
              <w:spacing w:after="20" w:before="20"/>
            </w:pPr>
            <w:r/>
            <w:r>
              <w:rPr>
                <w:sz w:val="13"/>
              </w:rPr>
              <w:t>Zone X agreed; panel identification conflicts</w:t>
            </w:r>
          </w:p>
        </w:tc>
      </w:tr>
      <w:tr>
        <w:trPr>
          <w:cantSplit/>
        </w:trPr>
        <w:tc>
          <w:tcPr>
            <w:tcW w:type="dxa" w:w="1837"/>
          </w:tcPr>
          <w:p>
            <w:pPr>
              <w:spacing w:after="20" w:before="20"/>
            </w:pPr>
            <w:r/>
            <w:r>
              <w:rPr>
                <w:sz w:val="13"/>
              </w:rPr>
              <w:t>2024 real estate taxes</w:t>
            </w:r>
          </w:p>
        </w:tc>
        <w:tc>
          <w:tcPr>
            <w:tcW w:type="dxa" w:w="1653"/>
          </w:tcPr>
          <w:p>
            <w:pPr>
              <w:spacing w:after="20" w:before="20"/>
            </w:pPr>
            <w:r/>
            <w:r>
              <w:rPr>
                <w:sz w:val="13"/>
              </w:rPr>
              <w:t>Title § B-II-7</w:t>
            </w:r>
          </w:p>
        </w:tc>
        <w:tc>
          <w:tcPr>
            <w:tcW w:type="dxa" w:w="1347"/>
          </w:tcPr>
          <w:p>
            <w:pPr>
              <w:spacing w:after="20" w:before="20"/>
            </w:pPr>
            <w:r/>
            <w:r>
              <w:rPr>
                <w:sz w:val="13"/>
              </w:rPr>
              <w:t>$29,847.12 + $19,218.44</w:t>
            </w:r>
          </w:p>
        </w:tc>
        <w:tc>
          <w:tcPr>
            <w:tcW w:type="dxa" w:w="2449"/>
          </w:tcPr>
          <w:p>
            <w:pPr>
              <w:spacing w:after="20" w:before="20"/>
            </w:pPr>
            <w:r/>
            <w:r>
              <w:rPr>
                <w:sz w:val="13"/>
              </w:rPr>
              <w:t>$49,065.56</w:t>
            </w:r>
          </w:p>
        </w:tc>
        <w:tc>
          <w:tcPr>
            <w:tcW w:type="dxa" w:w="1714"/>
          </w:tcPr>
          <w:p>
            <w:pPr>
              <w:spacing w:after="20" w:before="20"/>
            </w:pPr>
            <w:r/>
            <w:r>
              <w:rPr>
                <w:sz w:val="13"/>
              </w:rPr>
              <w:t>Confirmed</w:t>
            </w:r>
          </w:p>
        </w:tc>
      </w:tr>
      <w:tr>
        <w:trPr>
          <w:cantSplit/>
        </w:trPr>
        <w:tc>
          <w:tcPr>
            <w:tcW w:type="dxa" w:w="1837"/>
          </w:tcPr>
          <w:p>
            <w:pPr>
              <w:spacing w:after="20" w:before="20"/>
            </w:pPr>
            <w:r/>
            <w:r>
              <w:rPr>
                <w:sz w:val="13"/>
              </w:rPr>
              <w:t>CC&amp;R assessment</w:t>
            </w:r>
          </w:p>
        </w:tc>
        <w:tc>
          <w:tcPr>
            <w:tcW w:type="dxa" w:w="1653"/>
          </w:tcPr>
          <w:p>
            <w:pPr>
              <w:spacing w:after="20" w:before="20"/>
            </w:pPr>
            <w:r/>
            <w:r>
              <w:rPr>
                <w:sz w:val="13"/>
              </w:rPr>
              <w:t>Title § B-II-11</w:t>
            </w:r>
          </w:p>
        </w:tc>
        <w:tc>
          <w:tcPr>
            <w:tcW w:type="dxa" w:w="1347"/>
          </w:tcPr>
          <w:p>
            <w:pPr>
              <w:spacing w:after="20" w:before="20"/>
            </w:pPr>
            <w:r/>
            <w:r>
              <w:rPr>
                <w:sz w:val="13"/>
              </w:rPr>
              <w:t>$0.12/SF of gross building area</w:t>
            </w:r>
          </w:p>
        </w:tc>
        <w:tc>
          <w:tcPr>
            <w:tcW w:type="dxa" w:w="2449"/>
          </w:tcPr>
          <w:p>
            <w:pPr>
              <w:spacing w:after="20" w:before="20"/>
            </w:pPr>
            <w:r/>
            <w:r>
              <w:rPr>
                <w:sz w:val="13"/>
              </w:rPr>
              <w:t>287,500 SF × $0.12 = $34,500 per annum</w:t>
            </w:r>
          </w:p>
        </w:tc>
        <w:tc>
          <w:tcPr>
            <w:tcW w:type="dxa" w:w="1714"/>
          </w:tcPr>
          <w:p>
            <w:pPr>
              <w:spacing w:after="20" w:before="20"/>
            </w:pPr>
            <w:r/>
            <w:r>
              <w:rPr>
                <w:sz w:val="13"/>
              </w:rPr>
              <w:t>Computed — not reflected in the operating expense budget</w:t>
            </w:r>
          </w:p>
        </w:tc>
      </w:tr>
    </w:tbl>
    <w:p>
      <w:pPr>
        <w:spacing w:after="40"/>
      </w:pPr>
    </w:p>
    <w:p>
      <w:pPr>
        <w:keepNext/>
        <w:spacing w:before="280" w:after="100"/>
      </w:pPr>
      <w:r>
        <w:rPr>
          <w:b/>
          <w:color w:val="1F3353"/>
          <w:sz w:val="26"/>
        </w:rPr>
        <w:t>4.  MATERIAL ISSUES AND RECOMMENDED RESOLUTIONS</w:t>
      </w:r>
    </w:p>
    <w:p>
      <w:pPr>
        <w:spacing w:after="160"/>
        <w:ind w:left="0" w:firstLine="0"/>
        <w:jc w:val="both"/>
      </w:pPr>
      <w:r>
        <w:rPr>
          <w:i w:val="0"/>
        </w:rPr>
        <w:t>Each issue below identifies the source documents and provisions in conflict, states the discrepancy as we recomputed it, explains why it matters to the credit or the collateral position, and recommends a resolution. “Where addressed” identifies the section of the draft Loan Agreement that implements the recommendation.</w:t>
      </w:r>
    </w:p>
    <w:p>
      <w:pPr>
        <w:keepNext/>
        <w:spacing w:before="200" w:after="60"/>
      </w:pPr>
      <w:r>
        <w:rPr>
          <w:b/>
          <w:sz w:val="23"/>
        </w:rPr>
        <w:t>A.  Capital structure, equity and leverage</w:t>
      </w:r>
    </w:p>
    <w:p>
      <w:pPr>
        <w:keepNext/>
        <w:spacing w:before="220" w:after="60"/>
      </w:pPr>
      <w:r>
        <w:rPr>
          <w:b/>
          <w:sz w:val="21"/>
        </w:rPr>
        <w:t>A-1.  The Loan cannot satisfy its own 80% loan-to-cost covenant, and the proposed equity escrow does not cure the breach</w:t>
      </w:r>
      <w:r>
        <w:rPr>
          <w:b/>
          <w:color w:val="8B1A1A"/>
          <w:sz w:val="17"/>
        </w:rPr>
        <w:t xml:space="preserve">   [Critical]</w:t>
      </w:r>
    </w:p>
    <w:p>
      <w:pPr>
        <w:spacing w:after="80"/>
        <w:ind w:left="432"/>
        <w:jc w:val="both"/>
      </w:pPr>
      <w:r>
        <w:rPr>
          <w:b/>
          <w:i/>
          <w:sz w:val="19"/>
        </w:rPr>
        <w:t xml:space="preserve">Sources.  </w:t>
      </w:r>
      <w:r>
        <w:rPr>
          <w:sz w:val="19"/>
        </w:rPr>
        <w:t>Term Sheet § 6.1 (maximum LTC 80% of Total Project Costs, tested “at any time during the term”), § 5.2 (Total Project Costs $56,700,000) and § 3.1 (Loan Amount $47,500,000); Credit Memorandum § 5.3 and § 6.1 (LTC 83.77%, reported as “Fail”) and § 10.1.2 (condition of approval: deposit of $2,140,000 in cash into a Bank-controlled equity escrow).</w:t>
      </w:r>
    </w:p>
    <w:p>
      <w:pPr>
        <w:spacing w:after="80"/>
        <w:ind w:left="432"/>
        <w:jc w:val="both"/>
      </w:pPr>
      <w:r>
        <w:rPr>
          <w:b/>
          <w:i/>
          <w:sz w:val="19"/>
        </w:rPr>
        <w:t xml:space="preserve">Discrepancy.  </w:t>
      </w:r>
      <w:r>
        <w:rPr>
          <w:sz w:val="19"/>
        </w:rPr>
        <w:t>$47,500,000 ÷ $56,700,000 = 83.774%. At an 80% maximum, Total Project Costs of $56,700,000 support a senior loan of $45,360,000, so the Loan exceeds the covenant by $2,140,000 (3.77 percentage points). The Credit Memorandum acknowledges the exceedance but proposes an equity escrow as the cure. An escrow deposit changes neither the numerator (the Loan Amount) nor the denominator (Total Project Costs), so the ratio remains 83.77% after the deposit. The escrow would only affect the ratio if (a) the Loan Amount were correspondingly reduced, or (b) Total Project Costs were increased by the amount of additional costs the equity funds, which requires Total Project Costs of $59,375,000 ($47,500,000 ÷ 0.80) — a $2,675,000 increase.</w:t>
      </w:r>
    </w:p>
    <w:p>
      <w:pPr>
        <w:spacing w:after="80"/>
        <w:ind w:left="432"/>
        <w:jc w:val="both"/>
      </w:pPr>
      <w:r>
        <w:rPr>
          <w:b/>
          <w:i/>
          <w:sz w:val="19"/>
        </w:rPr>
        <w:t xml:space="preserve">Impact.  </w:t>
      </w:r>
      <w:r>
        <w:rPr>
          <w:sz w:val="19"/>
        </w:rPr>
        <w:t>The covenant is breached on the Closing Date and at all times thereafter, including at substantial completion when the Loan is fully drawn. The compliance certificate required as a closing condition (drafted at § 3.1(w)) cannot be given truthfully, and every draw condition that incorporates the LTC test is unsatisfiable. A lender that closes a loan knowing a financial covenant is breached, and later declares a default on that covenant, faces waiver, estoppel and lender-liability arguments, and an examiner would treat it as an unapproved policy exception.</w:t>
      </w:r>
    </w:p>
    <w:p>
      <w:pPr>
        <w:spacing w:after="80"/>
        <w:ind w:left="432"/>
        <w:jc w:val="both"/>
      </w:pPr>
      <w:r>
        <w:rPr>
          <w:b/>
          <w:i/>
          <w:sz w:val="19"/>
        </w:rPr>
        <w:t xml:space="preserve">Recommendation.  </w:t>
      </w:r>
      <w:r>
        <w:rPr>
          <w:sz w:val="19"/>
        </w:rPr>
        <w:t>We recommend one of two resolutions, in order of preference. (1) Reduce the Commitment to $45,360,000 and require a verified cash Equity Contribution of $2,140,000, bringing sources to $45,360,000 + $9,200,000 + $2,140,000 = $56,700,000. This is the only arithmetic cure that preserves the 80% policy limit, it matches the $2,140,000 the Credit Memorandum already conditioned, and it forces real cash into the structure. (2) Retain the Loan at $47,500,000 and increase Total Project Costs to not less than $59,375,000 by adding the omitted items identified in Issue F-2 (which we estimate at not less than $1.7 million) and the interest reserve increase in Issue H-1 (approximately $750,000), funding the increment with verified cash equity of not less than $2,675,000. Option (2) also improves the LTV, funds the omitted costs, and enlarges the interest reserve. If the Committee elects to keep the Loan at $47,500,000 without new equity, it should record an express policy exception at 83.77% and conform § 6.1 of the Term Sheet and the compliance certificate, and it should expect to defend the exception at the next examination.</w:t>
      </w:r>
    </w:p>
    <w:p>
      <w:pPr>
        <w:spacing w:after="80"/>
        <w:ind w:left="432"/>
        <w:jc w:val="both"/>
      </w:pPr>
      <w:r>
        <w:rPr>
          <w:b/>
          <w:i/>
          <w:sz w:val="19"/>
        </w:rPr>
        <w:t xml:space="preserve">Where addressed.  </w:t>
      </w:r>
      <w:r>
        <w:rPr>
          <w:sz w:val="19"/>
        </w:rPr>
        <w:t>§ 2.1 (automatic commitment reduction), § 5.4 (equity first), § 9.1 (covenant with the arithmetic disclosed), Schedule 3 Part 2, and Schedule 5.</w:t>
      </w:r>
    </w:p>
    <w:p>
      <w:pPr>
        <w:keepNext/>
        <w:spacing w:before="220" w:after="60"/>
      </w:pPr>
      <w:r>
        <w:rPr>
          <w:b/>
          <w:sz w:val="21"/>
        </w:rPr>
        <w:t>A-2.  As-completed loan-to-value is 65.25% against a 65% maximum, and the Credit Memorandum silently applies a 70% policy maximum</w:t>
      </w:r>
      <w:r>
        <w:rPr>
          <w:b/>
          <w:color w:val="8B1A1A"/>
          <w:sz w:val="17"/>
        </w:rPr>
        <w:t xml:space="preserve">   [Critical]</w:t>
      </w:r>
    </w:p>
    <w:p>
      <w:pPr>
        <w:spacing w:after="80"/>
        <w:ind w:left="432"/>
        <w:jc w:val="both"/>
      </w:pPr>
      <w:r>
        <w:rPr>
          <w:b/>
          <w:i/>
          <w:sz w:val="19"/>
        </w:rPr>
        <w:t xml:space="preserve">Sources.  </w:t>
      </w:r>
      <w:r>
        <w:rPr>
          <w:sz w:val="19"/>
        </w:rPr>
        <w:t>Term Sheet § 4 (“The Lender’s maximum loan-to-value ratio shall not exceed 65% on an as-completed basis”) and § 6.2 (65% as-completed and 65% as-stabilized); Credit Memorandum § 6.1 (LTV as-completed 65.25%, “Bank Policy” shown as “Max 70%”, status “Pass”).</w:t>
      </w:r>
    </w:p>
    <w:p>
      <w:pPr>
        <w:spacing w:after="80"/>
        <w:ind w:left="432"/>
        <w:jc w:val="both"/>
      </w:pPr>
      <w:r>
        <w:rPr>
          <w:b/>
          <w:i/>
          <w:sz w:val="19"/>
        </w:rPr>
        <w:t xml:space="preserve">Discrepancy.  </w:t>
      </w:r>
      <w:r>
        <w:rPr>
          <w:sz w:val="19"/>
        </w:rPr>
        <w:t>$47,500,000 ÷ $72,800,000 = 65.247%. 65% of $72,800,000 is $47,320,000, so the Loan exceeds the as-completed LTV cap by $180,000. The Credit Memorandum measures the ratio against a 70% maximum that does not appear in the Term Sheet and does not disclose the substitution. The as-stabilized ratio (62.34% against 65%) is compliant.</w:t>
      </w:r>
    </w:p>
    <w:p>
      <w:pPr>
        <w:spacing w:after="80"/>
        <w:ind w:left="432"/>
        <w:jc w:val="both"/>
      </w:pPr>
      <w:r>
        <w:rPr>
          <w:b/>
          <w:i/>
          <w:sz w:val="19"/>
        </w:rPr>
        <w:t xml:space="preserve">Impact.  </w:t>
      </w:r>
      <w:r>
        <w:rPr>
          <w:sz w:val="19"/>
        </w:rPr>
        <w:t>This is a second covenant breached at closing. It also reveals that the Term Sheet and the credit approval are applying different credit policies to the same loan, which is the kind of inconsistency that produces findings in an OCC commercial real estate portfolio review.</w:t>
      </w:r>
    </w:p>
    <w:p>
      <w:pPr>
        <w:spacing w:after="80"/>
        <w:ind w:left="432"/>
        <w:jc w:val="both"/>
      </w:pPr>
      <w:r>
        <w:rPr>
          <w:b/>
          <w:i/>
          <w:sz w:val="19"/>
        </w:rPr>
        <w:t xml:space="preserve">Recommendation.  </w:t>
      </w:r>
      <w:r>
        <w:rPr>
          <w:sz w:val="19"/>
        </w:rPr>
        <w:t>Conform both documents to the Term Sheet’s 65% maximum. If resolution (1) in Issue A-1 is adopted, the $45,360,000 commitment produces an as-completed LTV of 62.31% and this issue disappears. If the Loan remains at $47,500,000, either the Commitment must be reduced by $180,000 to $47,320,000 or the Committee must approve 65.25% as an exception and confirm which policy maximum governs.</w:t>
      </w:r>
    </w:p>
    <w:p>
      <w:pPr>
        <w:spacing w:after="80"/>
        <w:ind w:left="432"/>
        <w:jc w:val="both"/>
      </w:pPr>
      <w:r>
        <w:rPr>
          <w:b/>
          <w:i/>
          <w:sz w:val="19"/>
        </w:rPr>
        <w:t xml:space="preserve">Where addressed.  </w:t>
      </w:r>
      <w:r>
        <w:rPr>
          <w:sz w:val="19"/>
        </w:rPr>
        <w:t>§ 9.2 (covenant retained at 65%, with the computation disclosed) and Schedule 5.</w:t>
      </w:r>
    </w:p>
    <w:p>
      <w:pPr>
        <w:keepNext/>
        <w:spacing w:before="220" w:after="60"/>
      </w:pPr>
      <w:r>
        <w:rPr>
          <w:b/>
          <w:sz w:val="21"/>
        </w:rPr>
        <w:t>A-3.  The land is not Borrower equity: the Borrower’s own budget funds the $8,200,000 land cost from Mezzanine Loan proceeds</w:t>
      </w:r>
      <w:r>
        <w:rPr>
          <w:b/>
          <w:color w:val="8B1A1A"/>
          <w:sz w:val="17"/>
        </w:rPr>
        <w:t xml:space="preserve">   [Critical]</w:t>
      </w:r>
    </w:p>
    <w:p>
      <w:pPr>
        <w:spacing w:after="80"/>
        <w:ind w:left="432"/>
        <w:jc w:val="both"/>
      </w:pPr>
      <w:r>
        <w:rPr>
          <w:b/>
          <w:i/>
          <w:sz w:val="19"/>
        </w:rPr>
        <w:t xml:space="preserve">Sources.  </w:t>
      </w:r>
      <w:r>
        <w:rPr>
          <w:sz w:val="19"/>
        </w:rPr>
        <w:t>Term Sheet § 5.1 (“Borrower Equity (land previously acquired): $0”) and § 5.2 (“The land … is contributed to the Project as the Borrower’s equity”); Credit Memorandum § 5.1 (“The land acquisition cost of $8,200,000 was funded from prior capital calls from members, including contributions from Brightleaf Investors Group LLC”) and § 9.1 (“the land … providing embedded equity”); Borrower’s Detailed Budget, line 1.01 (“Land Acquisition … Funded by Mezzanine Loan $8,200,000”; note: “Previously closed; funded by mezzanine loan proceeds and member capital calls”); Organizational Chart § 1.3 (“Total member equity to date: $8,200,000”; “Brightleaf Investors Group LLC: $0 cash to date”).</w:t>
      </w:r>
    </w:p>
    <w:p>
      <w:pPr>
        <w:spacing w:after="80"/>
        <w:ind w:left="432"/>
        <w:jc w:val="both"/>
      </w:pPr>
      <w:r>
        <w:rPr>
          <w:b/>
          <w:i/>
          <w:sz w:val="19"/>
        </w:rPr>
        <w:t xml:space="preserve">Discrepancy.  </w:t>
      </w:r>
      <w:r>
        <w:rPr>
          <w:sz w:val="19"/>
        </w:rPr>
        <w:t>The documents cannot all be correct. The Term Sheet treats the land as contributed equity but shows Borrower equity of $0. The Credit Memorandum treats the land as the only equity and says it was funded by capital calls from all three members. The Organizational Chart says it was contributed solely by Ms. Vasquez-Torres, with the other two members contributing nothing. The Borrower’s own budget says the $8,200,000 land cost is funded by Mezzanine Loan proceeds. On the Borrower’s own allocation, senior debt of $47,500,000 plus mezzanine debt of $9,200,000 equals Total Project Costs of $56,700,000 exactly — 100% leverage with no equity anywhere in the stack.</w:t>
      </w:r>
    </w:p>
    <w:p>
      <w:pPr>
        <w:spacing w:after="80"/>
        <w:ind w:left="432"/>
        <w:jc w:val="both"/>
      </w:pPr>
      <w:r>
        <w:rPr>
          <w:b/>
          <w:i/>
          <w:sz w:val="19"/>
        </w:rPr>
        <w:t xml:space="preserve">Impact.  </w:t>
      </w:r>
      <w:r>
        <w:rPr>
          <w:sz w:val="19"/>
        </w:rPr>
        <w:t>This is the central credit issue in the file. It means the Bank’s protection is value-based only: the entire $56,700,000 of cost is debt, so any decline in value from cost places the senior lender in a loss position, and the sponsor has no cash at risk and therefore no economic incentive to fund overruns or an interest shortfall. It also converts the mezzanine position from subordinated debt into what is functionally a refinancing of the sponsor’s land basis. Finally, if the Borrower fails within the applicable look-back period, a trustee would examine the land valuation, the contribution, and the $9,200,000 distribution to the sponsor’s benefit as potential constructive-fraud or preference transfers.</w:t>
      </w:r>
    </w:p>
    <w:p>
      <w:pPr>
        <w:spacing w:after="80"/>
        <w:ind w:left="432"/>
        <w:jc w:val="both"/>
      </w:pPr>
      <w:r>
        <w:rPr>
          <w:b/>
          <w:i/>
          <w:sz w:val="19"/>
        </w:rPr>
        <w:t xml:space="preserve">Recommendation.  </w:t>
      </w:r>
      <w:r>
        <w:rPr>
          <w:sz w:val="19"/>
        </w:rPr>
        <w:t>(1) Require a traced source-of-funds schedule supported by bank records and the closing statement for the 2023 acquisition, identifying precisely who paid the $8,200,000 and when. (2) Require the $2,140,000 verified cash Equity Contribution, with a lender-controlled escrow and a source certification that excludes the mezzanine lender, Brightleaf Investors Group LLC, and Mr. Chen (already drafted at § 3.1(b)). (3) Prohibit application of any Mezzanine Loan proceeds to land reimbursement or to any fee payable to the Borrower or its members, and consider requiring that the mezzanine proceeds be deposited with the Bank and applied solely to construction costs. (4) Require a solvency certificate and a fraudulent-transfer opinion from Borrower’s counsel at closing.</w:t>
      </w:r>
    </w:p>
    <w:p>
      <w:pPr>
        <w:spacing w:after="80"/>
        <w:ind w:left="432"/>
        <w:jc w:val="both"/>
      </w:pPr>
      <w:r>
        <w:rPr>
          <w:b/>
          <w:i/>
          <w:sz w:val="19"/>
        </w:rPr>
        <w:t xml:space="preserve">Where addressed.  </w:t>
      </w:r>
      <w:r>
        <w:rPr>
          <w:sz w:val="19"/>
        </w:rPr>
        <w:t>§ 5.4, § 5.13 (Developer Fee), § 18.3 (mezzanine fees and distributions), Schedule 3 Parts 2 and 3, and Schedule 3-A.</w:t>
      </w:r>
    </w:p>
    <w:p>
      <w:pPr>
        <w:keepNext/>
        <w:spacing w:before="220" w:after="60"/>
      </w:pPr>
      <w:r>
        <w:rPr>
          <w:b/>
          <w:sz w:val="21"/>
        </w:rPr>
        <w:t>A-4.  $1,000,000 of the Developer Fee is funded from Mezzanine Loan proceeds at closing</w:t>
      </w:r>
      <w:r>
        <w:rPr>
          <w:b/>
          <w:color w:val="9A5B00"/>
          <w:sz w:val="17"/>
        </w:rPr>
        <w:t xml:space="preserve">   [High]</w:t>
      </w:r>
    </w:p>
    <w:p>
      <w:pPr>
        <w:spacing w:after="80"/>
        <w:ind w:left="432"/>
        <w:jc w:val="both"/>
      </w:pPr>
      <w:r>
        <w:rPr>
          <w:b/>
          <w:i/>
          <w:sz w:val="19"/>
        </w:rPr>
        <w:t xml:space="preserve">Sources.  </w:t>
      </w:r>
      <w:r>
        <w:rPr>
          <w:sz w:val="19"/>
        </w:rPr>
        <w:t>Borrower’s Detailed Budget, line 5.01 (Developer Fee $2,835,000: $1,835,000 senior, $1,000,000 mezzanine); Term Sheet § 14 (no Distributions during the Construction Period other than the Developer Fee) and § 5.2 (Developer Fee as a use of funds).</w:t>
      </w:r>
    </w:p>
    <w:p>
      <w:pPr>
        <w:spacing w:after="80"/>
        <w:ind w:left="432"/>
        <w:jc w:val="both"/>
      </w:pPr>
      <w:r>
        <w:rPr>
          <w:b/>
          <w:i/>
          <w:sz w:val="19"/>
        </w:rPr>
        <w:t xml:space="preserve">Discrepancy.  </w:t>
      </w:r>
      <w:r>
        <w:rPr>
          <w:sz w:val="19"/>
        </w:rPr>
        <w:t>The Developer Fee is a payment to the Borrower, which is owned by the same individuals who guarantee the Loan. Funding it with borrowed money at closing is a distribution of loan proceeds to the sponsor — economically identical to a dividend — and it is the second component (with the land reimbursement) of the $9,200,000 of mezzanine proceeds that reaches the sponsor rather than the Project. None of the $9,200,000 of mezzanine money is applied to construction.</w:t>
      </w:r>
    </w:p>
    <w:p>
      <w:pPr>
        <w:spacing w:after="80"/>
        <w:ind w:left="432"/>
        <w:jc w:val="both"/>
      </w:pPr>
      <w:r>
        <w:rPr>
          <w:b/>
          <w:i/>
          <w:sz w:val="19"/>
        </w:rPr>
        <w:t xml:space="preserve">Impact.  </w:t>
      </w:r>
      <w:r>
        <w:rPr>
          <w:sz w:val="19"/>
        </w:rPr>
        <w:t>The Bank finances the sponsor’s fee at closing, which reduces the equity cushion to zero and increases the amount at risk. If the Project fails, the Bank will be met with the argument that $1,000,000 of the proceeds was paid out to the Borrower rather than invested in the collateral.</w:t>
      </w:r>
    </w:p>
    <w:p>
      <w:pPr>
        <w:spacing w:after="80"/>
        <w:ind w:left="432"/>
        <w:jc w:val="both"/>
      </w:pPr>
      <w:r>
        <w:rPr>
          <w:b/>
          <w:i/>
          <w:sz w:val="19"/>
        </w:rPr>
        <w:t xml:space="preserve">Recommendation.  </w:t>
      </w:r>
      <w:r>
        <w:rPr>
          <w:sz w:val="19"/>
        </w:rPr>
        <w:t>Defer the Developer Fee in its entirety. Permit payment only from demonstrated cost savings after all hard costs, soft costs, and reserves are funded, in installments, with no Default and no projected overrun, and subject to the Bank’s right to redirect it to cure an overrun or an interest shortfall (drafted). Delete the $1,000,000 mezzanine allocation; if the arithmetic requires that $1,000,000 to be funded by someone, it should be funded by verified equity, not by the mezzanine lender.</w:t>
      </w:r>
    </w:p>
    <w:p>
      <w:pPr>
        <w:spacing w:after="80"/>
        <w:ind w:left="432"/>
        <w:jc w:val="both"/>
      </w:pPr>
      <w:r>
        <w:rPr>
          <w:b/>
          <w:i/>
          <w:sz w:val="19"/>
        </w:rPr>
        <w:t xml:space="preserve">Where addressed.  </w:t>
      </w:r>
      <w:r>
        <w:rPr>
          <w:sz w:val="19"/>
        </w:rPr>
        <w:t>§ 5.13 and § 18.3; the Developer Fee is also removed from the Retainage Release line in Schedule 4.</w:t>
      </w:r>
    </w:p>
    <w:p>
      <w:pPr>
        <w:keepNext/>
        <w:spacing w:before="220" w:after="60"/>
      </w:pPr>
      <w:r>
        <w:rPr>
          <w:b/>
          <w:sz w:val="21"/>
        </w:rPr>
        <w:t>A-5.  The record gives three different acquisition dates and two different contribution narratives for the land</w:t>
      </w:r>
      <w:r>
        <w:rPr>
          <w:b/>
          <w:color w:val="9A5B00"/>
          <w:sz w:val="17"/>
        </w:rPr>
        <w:t xml:space="preserve">   [High]</w:t>
      </w:r>
    </w:p>
    <w:p>
      <w:pPr>
        <w:spacing w:after="80"/>
        <w:ind w:left="432"/>
        <w:jc w:val="both"/>
      </w:pPr>
      <w:r>
        <w:rPr>
          <w:b/>
          <w:i/>
          <w:sz w:val="19"/>
        </w:rPr>
        <w:t xml:space="preserve">Sources.  </w:t>
      </w:r>
      <w:r>
        <w:rPr>
          <w:sz w:val="19"/>
        </w:rPr>
        <w:t>Phase I ESA § 2.2 (“Harborview Capital Partners LLC acquired the Subject Property in 2022”); Title Commitment Schedule A § 5 and § 6 (Special Warranty Deed dated June 12, 2023, recorded in Book 7598, Pages 443 and 445, from Foster Street Properties LLC to Harborview Capital Partners LLC); Appraisal § 6.1 (“the price paid by Harborview Capital Partners LLC in early 2024”); Organizational Chart § 1.3 and Operating Agreement § 5.1 (“originally acquired by Ms. Vasquez-Torres in a transaction funded from her personal resources and subsequently contributed to the Borrower upon formation” — formation being March 14, 2019); Credit Memorandum § 2.2 (acquired by Ms. Vasquez-Torres “on behalf of the Borrower” through capital calls from all three members).</w:t>
      </w:r>
    </w:p>
    <w:p>
      <w:pPr>
        <w:spacing w:after="80"/>
        <w:ind w:left="432"/>
        <w:jc w:val="both"/>
      </w:pPr>
      <w:r>
        <w:rPr>
          <w:b/>
          <w:i/>
          <w:sz w:val="19"/>
        </w:rPr>
        <w:t xml:space="preserve">Discrepancy.  </w:t>
      </w:r>
      <w:r>
        <w:rPr>
          <w:sz w:val="19"/>
        </w:rPr>
        <w:t>The recorded deed establishes that title passed directly from a third party (Foster Street Properties LLC) to the Borrower on June 12, 2023. That is inconsistent with (a) a 2022 acquisition, (b) an “early 2024” acquisition, and (c) a personal acquisition by Ms. Vasquez-Torres followed by a contribution to the Borrower upon formation in 2019 — the Borrower did not own the Property until 2023.</w:t>
      </w:r>
    </w:p>
    <w:p>
      <w:pPr>
        <w:spacing w:after="80"/>
        <w:ind w:left="432"/>
        <w:jc w:val="both"/>
      </w:pPr>
      <w:r>
        <w:rPr>
          <w:b/>
          <w:i/>
          <w:sz w:val="19"/>
        </w:rPr>
        <w:t xml:space="preserve">Impact.  </w:t>
      </w:r>
      <w:r>
        <w:rPr>
          <w:sz w:val="19"/>
        </w:rPr>
        <w:t>The Bank cannot verify that it is receiving the equity contribution the credit approval assumes, or from whom. The operating agreement recital, if inaccurate, undermines the Borrower’s capital accounts and the 62% interest that supports Ms. Vasquez-Torres’s control position. In an insolvency within the relevant look-back period, the date and terms of the land transfer will be examined closely.</w:t>
      </w:r>
    </w:p>
    <w:p>
      <w:pPr>
        <w:spacing w:after="80"/>
        <w:ind w:left="432"/>
        <w:jc w:val="both"/>
      </w:pPr>
      <w:r>
        <w:rPr>
          <w:b/>
          <w:i/>
          <w:sz w:val="19"/>
        </w:rPr>
        <w:t xml:space="preserve">Recommendation.  </w:t>
      </w:r>
      <w:r>
        <w:rPr>
          <w:sz w:val="19"/>
        </w:rPr>
        <w:t>Obtain the recorded deed and the 2023 closing statement (settlement statement and wire confirmations), the Borrower’s general ledger and capital accounts from formation through closing, any contribution or assignment instrument, and a title company affidavit of parties in possession. If the land was in fact purchased by the Borrower in 2023 with third-party debt (the Triangle Commercial Bank deed of trust), the “contribution” characterization should be abandoned and the capital stack re-presented honestly.</w:t>
      </w:r>
    </w:p>
    <w:p>
      <w:pPr>
        <w:spacing w:after="80"/>
        <w:ind w:left="432"/>
        <w:jc w:val="both"/>
      </w:pPr>
      <w:r>
        <w:rPr>
          <w:b/>
          <w:i/>
          <w:sz w:val="19"/>
        </w:rPr>
        <w:t xml:space="preserve">Where addressed.  </w:t>
      </w:r>
      <w:r>
        <w:rPr>
          <w:sz w:val="19"/>
        </w:rPr>
        <w:t>Schedule 3-A (§ 6.1(e) requires a certified statement of all capital contributions).</w:t>
      </w:r>
    </w:p>
    <w:p>
      <w:pPr>
        <w:keepNext/>
        <w:spacing w:before="220" w:after="60"/>
      </w:pPr>
      <w:r>
        <w:rPr>
          <w:b/>
          <w:sz w:val="21"/>
        </w:rPr>
        <w:t>A-6.  The sources and uses statement foots only because the $8,200,000 land use has no corresponding source</w:t>
      </w:r>
      <w:r>
        <w:rPr>
          <w:b/>
          <w:color w:val="9A5B00"/>
          <w:sz w:val="17"/>
        </w:rPr>
        <w:t xml:space="preserve">   [High]</w:t>
      </w:r>
    </w:p>
    <w:p>
      <w:pPr>
        <w:spacing w:after="80"/>
        <w:ind w:left="432"/>
        <w:jc w:val="both"/>
      </w:pPr>
      <w:r>
        <w:rPr>
          <w:b/>
          <w:i/>
          <w:sz w:val="19"/>
        </w:rPr>
        <w:t xml:space="preserve">Sources.  </w:t>
      </w:r>
      <w:r>
        <w:rPr>
          <w:sz w:val="19"/>
        </w:rPr>
        <w:t>Term Sheet §§ 5.1–5.2; Credit Memorandum §§ 5.1–5.2; Borrower’s “Summary” tab.</w:t>
      </w:r>
    </w:p>
    <w:p>
      <w:pPr>
        <w:spacing w:after="80"/>
        <w:ind w:left="432"/>
        <w:jc w:val="both"/>
      </w:pPr>
      <w:r>
        <w:rPr>
          <w:b/>
          <w:i/>
          <w:sz w:val="19"/>
        </w:rPr>
        <w:t xml:space="preserve">Discrepancy.  </w:t>
      </w:r>
      <w:r>
        <w:rPr>
          <w:sz w:val="19"/>
        </w:rPr>
        <w:t>Sources of $47,500,000 + $9,200,000 + $0 = $56,700,000 are presented as exactly equal to uses of $56,700,000, which include the $8,200,000 land cost. Because the land was paid before closing, one of two presentations must be correct, and neither is the one presented: either the land is an in-kind source (making total sources $64,900,000, which exceeds uses by $8,200,000 and implies an unallocated $8,200,000 of debt proceeds), or the current financing does not fund the land (making uses $48,500,000 against sources of $56,700,000, an $8,200,000 excess of borrowings over cash needs). Cash needs net of land are $48,500,000 and committed debt is $56,700,000; the $8,200,000 difference is exactly the land cost, which is the arithmetic signature of a reimbursement of the sponsor’s land basis.</w:t>
      </w:r>
    </w:p>
    <w:p>
      <w:pPr>
        <w:spacing w:after="80"/>
        <w:ind w:left="432"/>
        <w:jc w:val="both"/>
      </w:pPr>
      <w:r>
        <w:rPr>
          <w:b/>
          <w:i/>
          <w:sz w:val="19"/>
        </w:rPr>
        <w:t xml:space="preserve">Impact.  </w:t>
      </w:r>
      <w:r>
        <w:rPr>
          <w:sz w:val="19"/>
        </w:rPr>
        <w:t>The Bank’s own approval documents carry a sources and uses that does not reconcile. Any LTC, equity or leverage conclusion drawn from it is unreliable.</w:t>
      </w:r>
    </w:p>
    <w:p>
      <w:pPr>
        <w:spacing w:after="80"/>
        <w:ind w:left="432"/>
        <w:jc w:val="both"/>
      </w:pPr>
      <w:r>
        <w:rPr>
          <w:b/>
          <w:i/>
          <w:sz w:val="19"/>
        </w:rPr>
        <w:t xml:space="preserve">Recommendation.  </w:t>
      </w:r>
      <w:r>
        <w:rPr>
          <w:sz w:val="19"/>
        </w:rPr>
        <w:t>Require a corrected, signed sources and uses that either (a) shows the land as an in-kind equity source and shows the $8,200,000 of debt proceeds allocated to identifiable costs, or (b) eliminates the land from the uses (it is already paid) and shows cash sources equal to $48,500,000, with the $8,200,000 of senior/mezzanine commitments permanently reduced.</w:t>
      </w:r>
    </w:p>
    <w:p>
      <w:pPr>
        <w:spacing w:after="80"/>
        <w:ind w:left="432"/>
        <w:jc w:val="both"/>
      </w:pPr>
      <w:r>
        <w:rPr>
          <w:b/>
          <w:i/>
          <w:sz w:val="19"/>
        </w:rPr>
        <w:t xml:space="preserve">Where addressed.  </w:t>
      </w:r>
      <w:r>
        <w:rPr>
          <w:sz w:val="19"/>
        </w:rPr>
        <w:t>Schedule 3 Parts 1 and 2.</w:t>
      </w:r>
    </w:p>
    <w:p>
      <w:pPr>
        <w:keepNext/>
        <w:spacing w:before="220" w:after="60"/>
      </w:pPr>
      <w:r>
        <w:rPr>
          <w:b/>
          <w:sz w:val="21"/>
        </w:rPr>
        <w:t>A-7.  The equity escrow leaves $2,140,000 of undrawn commitment available to be drawn later, restoring 83.77% leverage</w:t>
      </w:r>
      <w:r>
        <w:rPr>
          <w:b/>
          <w:color w:val="9A5B00"/>
          <w:sz w:val="17"/>
        </w:rPr>
        <w:t xml:space="preserve">   [High]</w:t>
      </w:r>
    </w:p>
    <w:p>
      <w:pPr>
        <w:spacing w:after="80"/>
        <w:ind w:left="432"/>
        <w:jc w:val="both"/>
      </w:pPr>
      <w:r>
        <w:rPr>
          <w:b/>
          <w:i/>
          <w:sz w:val="19"/>
        </w:rPr>
        <w:t xml:space="preserve">Sources.  </w:t>
      </w:r>
      <w:r>
        <w:rPr>
          <w:sz w:val="19"/>
        </w:rPr>
        <w:t>Credit Memorandum § 10.1.2 and § 10.2.8 (equity first, escrow disbursed before advances).</w:t>
      </w:r>
    </w:p>
    <w:p>
      <w:pPr>
        <w:spacing w:after="80"/>
        <w:ind w:left="432"/>
        <w:jc w:val="both"/>
      </w:pPr>
      <w:r>
        <w:rPr>
          <w:b/>
          <w:i/>
          <w:sz w:val="19"/>
        </w:rPr>
        <w:t xml:space="preserve">Discrepancy.  </w:t>
      </w:r>
      <w:r>
        <w:rPr>
          <w:sz w:val="19"/>
        </w:rPr>
        <w:t>If $2,140,000 of equity is applied to Project Costs first, the Loan would be drawn to $45,360,000, but the Commitment remains $47,500,000. The undrawn $2,140,000 remains an obligatory advance (each advance being secured with the same priority as the initial advance under the deed of trust and the future-advances endorsement). The Borrower can, and on a cost overrun would, draw it.</w:t>
      </w:r>
    </w:p>
    <w:p>
      <w:pPr>
        <w:spacing w:after="80"/>
        <w:ind w:left="432"/>
        <w:jc w:val="both"/>
      </w:pPr>
      <w:r>
        <w:rPr>
          <w:b/>
          <w:i/>
          <w:sz w:val="19"/>
        </w:rPr>
        <w:t xml:space="preserve">Impact.  </w:t>
      </w:r>
      <w:r>
        <w:rPr>
          <w:sz w:val="19"/>
        </w:rPr>
        <w:t>The escrow creates the appearance of 80% leverage without binding the Borrower to it.</w:t>
      </w:r>
    </w:p>
    <w:p>
      <w:pPr>
        <w:spacing w:after="80"/>
        <w:ind w:left="432"/>
        <w:jc w:val="both"/>
      </w:pPr>
      <w:r>
        <w:rPr>
          <w:b/>
          <w:i/>
          <w:sz w:val="19"/>
        </w:rPr>
        <w:t xml:space="preserve">Recommendation.  </w:t>
      </w:r>
      <w:r>
        <w:rPr>
          <w:sz w:val="19"/>
        </w:rPr>
        <w:t>Reduce the Commitment permanently by the amount of the Equity Contribution (drafted as an automatic reduction in § 2.1), and instruct the title company to issue the future-advances endorsement on that basis.</w:t>
      </w:r>
    </w:p>
    <w:p>
      <w:pPr>
        <w:spacing w:after="80"/>
        <w:ind w:left="432"/>
        <w:jc w:val="both"/>
      </w:pPr>
      <w:r>
        <w:rPr>
          <w:b/>
          <w:i/>
          <w:sz w:val="19"/>
        </w:rPr>
        <w:t xml:space="preserve">Where addressed.  </w:t>
      </w:r>
      <w:r>
        <w:rPr>
          <w:sz w:val="19"/>
        </w:rPr>
        <w:t>§ 2.1 and § 13.6.</w:t>
      </w:r>
    </w:p>
    <w:p>
      <w:pPr>
        <w:keepNext/>
        <w:spacing w:before="200" w:after="60"/>
      </w:pPr>
      <w:r>
        <w:rPr>
          <w:b/>
          <w:sz w:val="23"/>
        </w:rPr>
        <w:t>B.  Borrower financial strength</w:t>
      </w:r>
    </w:p>
    <w:p>
      <w:pPr>
        <w:keepNext/>
        <w:spacing w:before="220" w:after="60"/>
      </w:pPr>
      <w:r>
        <w:rPr>
          <w:b/>
          <w:sz w:val="21"/>
        </w:rPr>
        <w:t>B-1.  The $12,000,000 Borrower net worth covenant cannot be satisfied after closing, and the stated $14,200,000 net worth is unsupported by the record</w:t>
      </w:r>
      <w:r>
        <w:rPr>
          <w:b/>
          <w:color w:val="8B1A1A"/>
          <w:sz w:val="17"/>
        </w:rPr>
        <w:t xml:space="preserve">   [Critical]</w:t>
      </w:r>
    </w:p>
    <w:p>
      <w:pPr>
        <w:spacing w:after="80"/>
        <w:ind w:left="432"/>
        <w:jc w:val="both"/>
      </w:pPr>
      <w:r>
        <w:rPr>
          <w:b/>
          <w:i/>
          <w:sz w:val="19"/>
        </w:rPr>
        <w:t xml:space="preserve">Sources.  </w:t>
      </w:r>
      <w:r>
        <w:rPr>
          <w:sz w:val="19"/>
        </w:rPr>
        <w:t>Term Sheet § 6.4 and § 13; Credit Memorandum § 2.1 (“current net worth … approximately $14,200,000 … cushion of approximately $2,200,000 above the covenant minimum”) and § 10.3 (covenant as an ongoing requirement); Organizational Chart § 1.1 (net worth “based on the book value of its assets and liabilities”) and § 1.3 (total member equity to date $8,200,000).</w:t>
      </w:r>
    </w:p>
    <w:p>
      <w:pPr>
        <w:spacing w:after="80"/>
        <w:ind w:left="432"/>
        <w:jc w:val="both"/>
      </w:pPr>
      <w:r>
        <w:rPr>
          <w:b/>
          <w:i/>
          <w:sz w:val="19"/>
        </w:rPr>
        <w:t xml:space="preserve">Discrepancy.  </w:t>
      </w:r>
      <w:r>
        <w:rPr>
          <w:sz w:val="19"/>
        </w:rPr>
        <w:t>After closing and full draw, the Borrower’s assets are the Project at cost ($56,700,000) and its liabilities are the senior Loan plus the Mezzanine Loan ($56,700,000). Book net worth is therefore approximately zero. Before closing, the only documented contributed capital is the $8,200,000 land interest; adding capitalized pre-closing costs and subtracting the Triangle Commercial Bank obligation (balance unknown), net worth cannot approach $14,200,000. The stated figure implies either an unrealized revaluation of the land — which the Appraisal ($8,900,000) and the county assessment ($7,250,000) do not support — or contributions for which no document exists.</w:t>
      </w:r>
    </w:p>
    <w:p>
      <w:pPr>
        <w:spacing w:after="80"/>
        <w:ind w:left="432"/>
        <w:jc w:val="both"/>
      </w:pPr>
      <w:r>
        <w:rPr>
          <w:b/>
          <w:i/>
          <w:sz w:val="19"/>
        </w:rPr>
        <w:t xml:space="preserve">Impact.  </w:t>
      </w:r>
      <w:r>
        <w:rPr>
          <w:sz w:val="19"/>
        </w:rPr>
        <w:t>The covenant will be breached at the first annual test (120 days after the first fiscal year end following closing), creating a default the Bank may not wish to enforce and giving the Borrower an argument that the covenant was commercially impossible from inception. Additionally, the representation that the financial statements fairly present the Borrower’s condition (§ 6.1(g)) would be untrue when made if the $14.2 million figure is carried forward.</w:t>
      </w:r>
    </w:p>
    <w:p>
      <w:pPr>
        <w:spacing w:after="80"/>
        <w:ind w:left="432"/>
        <w:jc w:val="both"/>
      </w:pPr>
      <w:r>
        <w:rPr>
          <w:b/>
          <w:i/>
          <w:sz w:val="19"/>
        </w:rPr>
        <w:t xml:space="preserve">Recommendation.  </w:t>
      </w:r>
      <w:r>
        <w:rPr>
          <w:sz w:val="19"/>
        </w:rPr>
        <w:t>Replace the covenant with an equity-value test that excludes the Project debt — that is, net worth measured by valuing the Property at the most recent as-completed or as-stabilized value and excluding the Loan and the Mezzanine Loan (bracketed alternative in § 9.4) — or reduce the covenant to a nominal amount and rely on the Interest Reserve, the equity escrow, and the guaranties for protection. In either case, require at closing a balance sheet reconciled to the capital accounts and to recorded debt, certified by the Managing Member, and replace the annual audited financial statement requirement with reviewed statements (an audit of a single-asset SPE with no operations adds cost without information value).</w:t>
      </w:r>
    </w:p>
    <w:p>
      <w:pPr>
        <w:spacing w:after="80"/>
        <w:ind w:left="432"/>
        <w:jc w:val="both"/>
      </w:pPr>
      <w:r>
        <w:rPr>
          <w:b/>
          <w:i/>
          <w:sz w:val="19"/>
        </w:rPr>
        <w:t xml:space="preserve">Where addressed.  </w:t>
      </w:r>
      <w:r>
        <w:rPr>
          <w:sz w:val="19"/>
        </w:rPr>
        <w:t>§ 9.4 (with the bracketed alternative), § 3.1(q), and Schedule 7.</w:t>
      </w:r>
    </w:p>
    <w:p>
      <w:pPr>
        <w:keepNext/>
        <w:spacing w:before="200" w:after="60"/>
      </w:pPr>
      <w:r>
        <w:rPr>
          <w:b/>
          <w:sz w:val="23"/>
        </w:rPr>
        <w:t>C.  Membership interests, pledges, guaranties and control</w:t>
      </w:r>
    </w:p>
    <w:p>
      <w:pPr>
        <w:keepNext/>
        <w:spacing w:before="220" w:after="60"/>
      </w:pPr>
      <w:r>
        <w:rPr>
          <w:b/>
          <w:sz w:val="21"/>
        </w:rPr>
        <w:t>C-1.  Both loans are documented as holding a first-priority pledge of 100% of the membership interests</w:t>
      </w:r>
      <w:r>
        <w:rPr>
          <w:b/>
          <w:color w:val="8B1A1A"/>
          <w:sz w:val="17"/>
        </w:rPr>
        <w:t xml:space="preserve">   [Critical]</w:t>
      </w:r>
    </w:p>
    <w:p>
      <w:pPr>
        <w:spacing w:after="80"/>
        <w:ind w:left="432"/>
        <w:jc w:val="both"/>
      </w:pPr>
      <w:r>
        <w:rPr>
          <w:b/>
          <w:i/>
          <w:sz w:val="19"/>
        </w:rPr>
        <w:t xml:space="preserve">Sources.  </w:t>
      </w:r>
      <w:r>
        <w:rPr>
          <w:sz w:val="19"/>
        </w:rPr>
        <w:t>Term Sheet § 8 (pledge of 100% of membership interests as senior collateral) and § 1.4 (mezzanine loan “secured by a pledge of 100% of the membership interests”); Credit Memorandum § 4.2 and § 9.4 (identifies the conflict; recommends senior first priority, mezzanine second); Organizational Chart § 1.2 and § 2.5 (mezzanine lender “currently holds a pledge of 100% of the membership interests”; the operating agreement has no priority mechanism).</w:t>
      </w:r>
    </w:p>
    <w:p>
      <w:pPr>
        <w:spacing w:after="80"/>
        <w:ind w:left="432"/>
        <w:jc w:val="both"/>
      </w:pPr>
      <w:r>
        <w:rPr>
          <w:b/>
          <w:i/>
          <w:sz w:val="19"/>
        </w:rPr>
        <w:t xml:space="preserve">Discrepancy.  </w:t>
      </w:r>
      <w:r>
        <w:rPr>
          <w:sz w:val="19"/>
        </w:rPr>
        <w:t>Two lenders cannot each hold a first-priority security interest in the same collateral. The Term Sheet allocates first priority to the senior lender; the mezzanine loan documents (not in the record) allocate first priority to the mezzanine lender; the intercreditor agreement that would rank them has been “negotiated but is not yet executed” (Organizational Chart § 1.2).</w:t>
      </w:r>
    </w:p>
    <w:p>
      <w:pPr>
        <w:spacing w:after="80"/>
        <w:ind w:left="432"/>
        <w:jc w:val="both"/>
      </w:pPr>
      <w:r>
        <w:rPr>
          <w:b/>
          <w:i/>
          <w:sz w:val="19"/>
        </w:rPr>
        <w:t xml:space="preserve">Impact.  </w:t>
      </w:r>
      <w:r>
        <w:rPr>
          <w:sz w:val="19"/>
        </w:rPr>
        <w:t>Absent a signed intercreditor agreement, the Bank does not have the collateral position its approval describes, and a default would produce a priority contest at the worst possible time. There are also two practical problems that the Credit Memorandum does not address. First, perfection against individual pledgors requires UCC-1 filings not with the Secretary of State but with the register of deeds of the county of each individual’s residence (Durham County for Ms. Vasquez-Torres, Orange County for Mr. Osei), while the LLC pledgor (Brightleaf Investors Group LLC) requires Secretary of State filing. Second, LLC interests are uncertificated; perfection by control requires either certificates delivered to the secured party or a control agreement, and this operating agreement provides for neither.</w:t>
      </w:r>
    </w:p>
    <w:p>
      <w:pPr>
        <w:spacing w:after="80"/>
        <w:ind w:left="432"/>
        <w:jc w:val="both"/>
      </w:pPr>
      <w:r>
        <w:rPr>
          <w:b/>
          <w:i/>
          <w:sz w:val="19"/>
        </w:rPr>
        <w:t xml:space="preserve">Recommendation.  </w:t>
      </w:r>
      <w:r>
        <w:rPr>
          <w:sz w:val="19"/>
        </w:rPr>
        <w:t>Adopt the Credit Memorandum’s preferred structure — senior first priority, mezzanine second — and implement it properly: (a) amend the operating agreement to provide for certificated membership interests and to authorize the pledges expressly; (b) require delivery of the original certificates with undated transfer powers in favor of the Bank; (c) file UCC-1s in the correct offices for each pledgor (and obtain UCC-3 subordination of the mezzanine lender’s filings); (d) obtain an account control agreement over any distribution account; (e) provide that voting rights pass to the Bank only after a default; and (f) if the intercreditor agreement cannot be executed by the closing date, fall back to the Credit Memorandum’s alternative of relying on the real property collateral alone and delete the pledge from the collateral package so that the documents match the deal.</w:t>
      </w:r>
    </w:p>
    <w:p>
      <w:pPr>
        <w:spacing w:after="80"/>
        <w:ind w:left="432"/>
        <w:jc w:val="both"/>
      </w:pPr>
      <w:r>
        <w:rPr>
          <w:b/>
          <w:i/>
          <w:sz w:val="19"/>
        </w:rPr>
        <w:t xml:space="preserve">Where addressed.  </w:t>
      </w:r>
      <w:r>
        <w:rPr>
          <w:sz w:val="19"/>
        </w:rPr>
        <w:t>§ 13.1 (collateral), § 18.2 (intercreditor as a non-waivable condition), and § 3.1(c).</w:t>
      </w:r>
    </w:p>
    <w:p>
      <w:pPr>
        <w:keepNext/>
        <w:spacing w:before="220" w:after="60"/>
      </w:pPr>
      <w:r>
        <w:rPr>
          <w:b/>
          <w:sz w:val="21"/>
        </w:rPr>
        <w:t>C-2.  The pledge requires the consent of the member whose affiliate holds the competing pledge</w:t>
      </w:r>
      <w:r>
        <w:rPr>
          <w:b/>
          <w:color w:val="9A5B00"/>
          <w:sz w:val="17"/>
        </w:rPr>
        <w:t xml:space="preserve">   [High]</w:t>
      </w:r>
    </w:p>
    <w:p>
      <w:pPr>
        <w:spacing w:after="80"/>
        <w:ind w:left="432"/>
        <w:jc w:val="both"/>
      </w:pPr>
      <w:r>
        <w:rPr>
          <w:b/>
          <w:i/>
          <w:sz w:val="19"/>
        </w:rPr>
        <w:t xml:space="preserve">Sources.  </w:t>
      </w:r>
      <w:r>
        <w:rPr>
          <w:sz w:val="19"/>
        </w:rPr>
        <w:t>Organizational Chart § 2.5 (Operating Agreement § 9.1: no pledge of a membership interest without the written consent of the Managing Member and members holding 75%); § 2.2 (Operating Agreement § 3.2: 75% approval for any financing over $1,000,000 and for any amendment).</w:t>
      </w:r>
    </w:p>
    <w:p>
      <w:pPr>
        <w:spacing w:after="80"/>
        <w:ind w:left="432"/>
        <w:jc w:val="both"/>
      </w:pPr>
      <w:r>
        <w:rPr>
          <w:b/>
          <w:i/>
          <w:sz w:val="19"/>
        </w:rPr>
        <w:t xml:space="preserve">Discrepancy.  </w:t>
      </w:r>
      <w:r>
        <w:rPr>
          <w:sz w:val="19"/>
        </w:rPr>
        <w:t>A first-priority pledge to the Bank requires the consent of members holding 75% — which necessarily includes Brightleaf Investors Group LLC, whose affiliate is the mezzanine lender that would be subordinated by that consent. The Term Sheet lists member resolutions as a closing condition but does not identify this consent or the fact that a third party controls it.</w:t>
      </w:r>
    </w:p>
    <w:p>
      <w:pPr>
        <w:spacing w:after="80"/>
        <w:ind w:left="432"/>
        <w:jc w:val="both"/>
      </w:pPr>
      <w:r>
        <w:rPr>
          <w:b/>
          <w:i/>
          <w:sz w:val="19"/>
        </w:rPr>
        <w:t xml:space="preserve">Impact.  </w:t>
      </w:r>
      <w:r>
        <w:rPr>
          <w:sz w:val="19"/>
        </w:rPr>
        <w:t>A closing condition is controlled by the subordinate lender’s affiliate. If that consent is conditioned or delayed, closing fails; if it is given informally, the pledge may be voidable.</w:t>
      </w:r>
    </w:p>
    <w:p>
      <w:pPr>
        <w:spacing w:after="80"/>
        <w:ind w:left="432"/>
        <w:jc w:val="both"/>
      </w:pPr>
      <w:r>
        <w:rPr>
          <w:b/>
          <w:i/>
          <w:sz w:val="19"/>
        </w:rPr>
        <w:t xml:space="preserve">Recommendation.  </w:t>
      </w:r>
      <w:r>
        <w:rPr>
          <w:sz w:val="19"/>
        </w:rPr>
        <w:t>Obtain executed, unconditional written consents from all three members at or before closing, and an amendment to the operating agreement (approved by 75% of the members) that (a) authorizes the senior pledge as a permitted pledge with first priority, (b) waives the consent requirements for the Loan Documents and all actions required thereunder, and (c) adds the Independent Manager and separateness covenants.</w:t>
      </w:r>
    </w:p>
    <w:p>
      <w:pPr>
        <w:spacing w:after="80"/>
        <w:ind w:left="432"/>
        <w:jc w:val="both"/>
      </w:pPr>
      <w:r>
        <w:rPr>
          <w:b/>
          <w:i/>
          <w:sz w:val="19"/>
        </w:rPr>
        <w:t xml:space="preserve">Where addressed.  </w:t>
      </w:r>
      <w:r>
        <w:rPr>
          <w:sz w:val="19"/>
        </w:rPr>
        <w:t>§ 3.1(n) and § 8.1(e).</w:t>
      </w:r>
    </w:p>
    <w:p>
      <w:pPr>
        <w:keepNext/>
        <w:spacing w:before="220" w:after="60"/>
      </w:pPr>
      <w:r>
        <w:rPr>
          <w:b/>
          <w:sz w:val="21"/>
        </w:rPr>
        <w:t>C-3.  A 75% supermajority gives the mezzanine lender’s affiliate a veto over bankruptcy, refinancing and any amendment</w:t>
      </w:r>
      <w:r>
        <w:rPr>
          <w:b/>
          <w:color w:val="8B1A1A"/>
          <w:sz w:val="17"/>
        </w:rPr>
        <w:t xml:space="preserve">   [Critical]</w:t>
      </w:r>
    </w:p>
    <w:p>
      <w:pPr>
        <w:spacing w:after="80"/>
        <w:ind w:left="432"/>
        <w:jc w:val="both"/>
      </w:pPr>
      <w:r>
        <w:rPr>
          <w:b/>
          <w:i/>
          <w:sz w:val="19"/>
        </w:rPr>
        <w:t xml:space="preserve">Sources.  </w:t>
      </w:r>
      <w:r>
        <w:rPr>
          <w:sz w:val="19"/>
        </w:rPr>
        <w:t>Organizational Chart § 2.2 (Operating Agreement § 3.2), and the Organizational Chart’s own analysis: Ms. Vasquez-Torres (62%) plus Mr. Osei (10%) hold 72%, below the 75% threshold, so “Brightleaf Investors Group LLC holds an effective veto right over major decisions”; Credit Memorandum § 9.3 (independent manager as “the single most important structural safeguard against a bad-faith bankruptcy filing”).</w:t>
      </w:r>
    </w:p>
    <w:p>
      <w:pPr>
        <w:spacing w:after="80"/>
        <w:ind w:left="432"/>
        <w:jc w:val="both"/>
      </w:pPr>
      <w:r>
        <w:rPr>
          <w:b/>
          <w:i/>
          <w:sz w:val="19"/>
        </w:rPr>
        <w:t xml:space="preserve">Discrepancy.  </w:t>
      </w:r>
      <w:r>
        <w:rPr>
          <w:sz w:val="19"/>
        </w:rPr>
        <w:t>The Credit Memorandum assumes that an independent manager will control the bankruptcy decision. Under the operating agreement as it exists, a voluntary bankruptcy filing requires 75% member approval, which cannot be obtained without Brightleaf Investors Group LLC — an affiliate of the mezzanine lender through Mr. Chen. The same 75% threshold governs any refinancing over $1,000,000, any amendment to the operating agreement (including the SPE amendments the Bank requires as a condition of closing), any admission of a new member, and any sale of the Project.</w:t>
      </w:r>
    </w:p>
    <w:p>
      <w:pPr>
        <w:spacing w:after="80"/>
        <w:ind w:left="432"/>
        <w:jc w:val="both"/>
      </w:pPr>
      <w:r>
        <w:rPr>
          <w:b/>
          <w:i/>
          <w:sz w:val="19"/>
        </w:rPr>
        <w:t xml:space="preserve">Impact.  </w:t>
      </w:r>
      <w:r>
        <w:rPr>
          <w:sz w:val="19"/>
        </w:rPr>
        <w:t>The bankruptcy-remoteness structure the Bank is paying for does not exist: the party that decides whether the Borrower files is an affiliate of the subordinate lender, whose interests in a workout diverge from the Bank’s. The Bank also cannot compel the Borrower to amend its operating agreement without the affiliate’s consent, and cannot obtain a consensual refinancing or sale in a workout without it.</w:t>
      </w:r>
    </w:p>
    <w:p>
      <w:pPr>
        <w:spacing w:after="80"/>
        <w:ind w:left="432"/>
        <w:jc w:val="both"/>
      </w:pPr>
      <w:r>
        <w:rPr>
          <w:b/>
          <w:i/>
          <w:sz w:val="19"/>
        </w:rPr>
        <w:t xml:space="preserve">Recommendation.  </w:t>
      </w:r>
      <w:r>
        <w:rPr>
          <w:sz w:val="19"/>
        </w:rPr>
        <w:t>Amend the operating agreement, with 75% approval obtained as a closing condition, so that (a) the bankruptcy and insolvency decisions rest solely with the Independent Manager, (b) member approval is not required for any action required under the Loan Documents, (c) the 75% threshold does not apply to a refinancing with, or a sale approved by, the Bank, and (d) Brightleaf Investors Group LLC delivers an irrevocable proxy or a direct consent agreement enforceable by the Bank. If Brightleaf will not consent, the Bank should treat the SPE structure as unavailable and re-price or decline.</w:t>
      </w:r>
    </w:p>
    <w:p>
      <w:pPr>
        <w:spacing w:after="80"/>
        <w:ind w:left="432"/>
        <w:jc w:val="both"/>
      </w:pPr>
      <w:r>
        <w:rPr>
          <w:b/>
          <w:i/>
          <w:sz w:val="19"/>
        </w:rPr>
        <w:t xml:space="preserve">Where addressed.  </w:t>
      </w:r>
      <w:r>
        <w:rPr>
          <w:sz w:val="19"/>
        </w:rPr>
        <w:t>§ 11.6 (Independent Manager), § 8.1(e) (operating agreement amendments), § 3.1(n), and § 15.1(p).</w:t>
      </w:r>
    </w:p>
    <w:p>
      <w:pPr>
        <w:keepNext/>
        <w:spacing w:before="220" w:after="60"/>
      </w:pPr>
      <w:r>
        <w:rPr>
          <w:b/>
          <w:sz w:val="21"/>
        </w:rPr>
        <w:t>C-4.  A 28% equity holder contributed no capital, holds a blocking vote, and controls the mezzanine lender</w:t>
      </w:r>
      <w:r>
        <w:rPr>
          <w:b/>
          <w:color w:val="9A5B00"/>
          <w:sz w:val="17"/>
        </w:rPr>
        <w:t xml:space="preserve">   [High]</w:t>
      </w:r>
    </w:p>
    <w:p>
      <w:pPr>
        <w:spacing w:after="80"/>
        <w:ind w:left="432"/>
        <w:jc w:val="both"/>
      </w:pPr>
      <w:r>
        <w:rPr>
          <w:b/>
          <w:i/>
          <w:sz w:val="19"/>
        </w:rPr>
        <w:t xml:space="preserve">Sources.  </w:t>
      </w:r>
      <w:r>
        <w:rPr>
          <w:sz w:val="19"/>
        </w:rPr>
        <w:t>Organizational Chart § 1.3 and § 2.3 (Brightleaf Investors Group LLC “shall make an initial capital contribution of Zero Dollars ($0)” in consideration of “its commitment to arrange third-party mezzanine financing”); Credit Memorandum § 2.2, § 4.4 and § 9.3 (common control through Mr. Chen; substantive consolidation risk).</w:t>
      </w:r>
    </w:p>
    <w:p>
      <w:pPr>
        <w:spacing w:after="80"/>
        <w:ind w:left="432"/>
        <w:jc w:val="both"/>
      </w:pPr>
      <w:r>
        <w:rPr>
          <w:b/>
          <w:i/>
          <w:sz w:val="19"/>
        </w:rPr>
        <w:t xml:space="preserve">Discrepancy.  </w:t>
      </w:r>
      <w:r>
        <w:rPr>
          <w:sz w:val="19"/>
        </w:rPr>
        <w:t>The 28% member’s economic return comes from mezzanine interest (12.50% fixed, paid-in-kind during construction per the Credit Memorandum), not from residual equity. Its capital contribution is zero, it is not a guarantor, and it holds the swing vote on major decisions. Economically this is closer to a preferred-return joint venture partner than to a lender behind a common equity holder.</w:t>
      </w:r>
    </w:p>
    <w:p>
      <w:pPr>
        <w:spacing w:after="80"/>
        <w:ind w:left="432"/>
        <w:jc w:val="both"/>
      </w:pPr>
      <w:r>
        <w:rPr>
          <w:b/>
          <w:i/>
          <w:sz w:val="19"/>
        </w:rPr>
        <w:t xml:space="preserve">Impact.  </w:t>
      </w:r>
      <w:r>
        <w:rPr>
          <w:sz w:val="19"/>
        </w:rPr>
        <w:t>The Bank’s subordinate lender and blocking equity holder are the same economic actor. In a workout, that actor’s return is maximized by protecting its 12.50% position rather than the collateral, and its consent will be required for any restructuring.</w:t>
      </w:r>
    </w:p>
    <w:p>
      <w:pPr>
        <w:spacing w:after="80"/>
        <w:ind w:left="432"/>
        <w:jc w:val="both"/>
      </w:pPr>
      <w:r>
        <w:rPr>
          <w:b/>
          <w:i/>
          <w:sz w:val="19"/>
        </w:rPr>
        <w:t xml:space="preserve">Recommendation.  </w:t>
      </w:r>
      <w:r>
        <w:rPr>
          <w:sz w:val="19"/>
        </w:rPr>
        <w:t>Require one of: (a) an equity commitment letter from Brightleaf Investors Group LLC obligating it to fund its pro rata share (28%) of capital calls and cost overruns, secured by a pledge of its membership interest; (b) a springing guaranty from Mr. Chen or Brightleaf for a defined amount; or (c) re-underwriting that treats the mezzanine as equity, which would reduce the senior loan to a loan-to-cost of approximately 65% of the combined capital. Also obtain a substantive consolidation analysis (the non-consolidation opinion required at § 3.1(o)) addressed specifically to the Brightleaf entities.</w:t>
      </w:r>
    </w:p>
    <w:p>
      <w:pPr>
        <w:spacing w:after="80"/>
        <w:ind w:left="432"/>
        <w:jc w:val="both"/>
      </w:pPr>
      <w:r>
        <w:rPr>
          <w:b/>
          <w:i/>
          <w:sz w:val="19"/>
        </w:rPr>
        <w:t xml:space="preserve">Where addressed.  </w:t>
      </w:r>
      <w:r>
        <w:rPr>
          <w:sz w:val="19"/>
        </w:rPr>
        <w:t>Article 18, § 8.1(f) (affiliate transactions), and § 3.1(o).</w:t>
      </w:r>
    </w:p>
    <w:p>
      <w:pPr>
        <w:keepNext/>
        <w:spacing w:before="220" w:after="60"/>
      </w:pPr>
      <w:r>
        <w:rPr>
          <w:b/>
          <w:sz w:val="21"/>
        </w:rPr>
        <w:t>C-5.  The partial repayment guaranty equals 103.3% of one guarantor’s net worth and exceeds both guarantors’ liquid assets combined</w:t>
      </w:r>
      <w:r>
        <w:rPr>
          <w:b/>
          <w:color w:val="1F3353"/>
          <w:sz w:val="17"/>
        </w:rPr>
        <w:t xml:space="preserve">   [Medium]</w:t>
      </w:r>
    </w:p>
    <w:p>
      <w:pPr>
        <w:spacing w:after="80"/>
        <w:ind w:left="432"/>
        <w:jc w:val="both"/>
      </w:pPr>
      <w:r>
        <w:rPr>
          <w:b/>
          <w:i/>
          <w:sz w:val="19"/>
        </w:rPr>
        <w:t xml:space="preserve">Sources.  </w:t>
      </w:r>
      <w:r>
        <w:rPr>
          <w:sz w:val="19"/>
        </w:rPr>
        <w:t>Term Sheet §§ 1.3, 6.5 and 7.3; Credit Memorandum § 2.3.3.</w:t>
      </w:r>
    </w:p>
    <w:p>
      <w:pPr>
        <w:spacing w:after="80"/>
        <w:ind w:left="432"/>
        <w:jc w:val="both"/>
      </w:pPr>
      <w:r>
        <w:rPr>
          <w:b/>
          <w:i/>
          <w:sz w:val="19"/>
        </w:rPr>
        <w:t xml:space="preserve">Discrepancy.  </w:t>
      </w:r>
      <w:r>
        <w:rPr>
          <w:sz w:val="19"/>
        </w:rPr>
        <w:t>Each guarantor is jointly and severally liable for $11,875,000. Against Mr. Osei’s $11,500,000 net worth (of which $6,800,000 is real estate and only $3,200,000 is liquid), the guaranty equals 103.3% of net worth and 371% of his liquid assets. Combined liquid assets are $9,300,000, which is less than the $11,875,000 guaranteed amount. Because the same liquidity must satisfy the $5,000,000 covenant, a guaranty call and a covenant breach would occur simultaneously.</w:t>
      </w:r>
    </w:p>
    <w:p>
      <w:pPr>
        <w:spacing w:after="80"/>
        <w:ind w:left="432"/>
        <w:jc w:val="both"/>
      </w:pPr>
      <w:r>
        <w:rPr>
          <w:b/>
          <w:i/>
          <w:sz w:val="19"/>
        </w:rPr>
        <w:t xml:space="preserve">Impact.  </w:t>
      </w:r>
      <w:r>
        <w:rPr>
          <w:sz w:val="19"/>
        </w:rPr>
        <w:t>Recovery on the partial guaranty in a default is realistically limited to liquid assets of roughly $9,300,000, and collection would require litigation against two individuals over illiquid real estate.</w:t>
      </w:r>
    </w:p>
    <w:p>
      <w:pPr>
        <w:spacing w:after="80"/>
        <w:ind w:left="432"/>
        <w:jc w:val="both"/>
      </w:pPr>
      <w:r>
        <w:rPr>
          <w:b/>
          <w:i/>
          <w:sz w:val="19"/>
        </w:rPr>
        <w:t xml:space="preserve">Recommendation.  </w:t>
      </w:r>
      <w:r>
        <w:rPr>
          <w:sz w:val="19"/>
        </w:rPr>
        <w:t>Consider a per-guarantor liability cap tied to verified liquid assets (for example, $6,000,000 for Ms. Vasquez-Torres and $3,500,000 for Mr. Osei, in the aggregate not exceeding $11,875,000), or accept the joint and several structure and rely on the completion and carry guaranties for the construction risk. In either case obtain current personal financial statements, two years of tax returns, and a credit report for each guarantor before closing, and require the liquidity certificate to exclude pledged and non-marketable assets (drafted at § 9.5).</w:t>
      </w:r>
    </w:p>
    <w:p>
      <w:pPr>
        <w:spacing w:after="80"/>
        <w:ind w:left="432"/>
        <w:jc w:val="both"/>
      </w:pPr>
      <w:r>
        <w:rPr>
          <w:b/>
          <w:i/>
          <w:sz w:val="19"/>
        </w:rPr>
        <w:t xml:space="preserve">Where addressed.  </w:t>
      </w:r>
      <w:r>
        <w:rPr>
          <w:sz w:val="19"/>
        </w:rPr>
        <w:t>§ 14.3, § 9.5, and § 3.1(q).</w:t>
      </w:r>
    </w:p>
    <w:p>
      <w:pPr>
        <w:keepNext/>
        <w:spacing w:before="220" w:after="60"/>
      </w:pPr>
      <w:r>
        <w:rPr>
          <w:b/>
          <w:sz w:val="21"/>
        </w:rPr>
        <w:t>C-6.  The aggregate amount of the partial repayment guaranty is ambiguous</w:t>
      </w:r>
      <w:r>
        <w:rPr>
          <w:b/>
          <w:color w:val="1F3353"/>
          <w:sz w:val="17"/>
        </w:rPr>
        <w:t xml:space="preserve">   [Medium]</w:t>
      </w:r>
    </w:p>
    <w:p>
      <w:pPr>
        <w:spacing w:after="80"/>
        <w:ind w:left="432"/>
        <w:jc w:val="both"/>
      </w:pPr>
      <w:r>
        <w:rPr>
          <w:b/>
          <w:i/>
          <w:sz w:val="19"/>
        </w:rPr>
        <w:t xml:space="preserve">Sources.  </w:t>
      </w:r>
      <w:r>
        <w:rPr>
          <w:sz w:val="19"/>
        </w:rPr>
        <w:t>Term Sheet § 7.3 (“in the amount of 25% of the Loan Amount (25% × $47,500,000 = $11,875,000) … joint and several, meaning that each Guarantor shall be individually liable for the full guaranteed amount”); Credit Memorandum § 4.3 (“$11,875,000 per guarantor”).</w:t>
      </w:r>
    </w:p>
    <w:p>
      <w:pPr>
        <w:spacing w:after="80"/>
        <w:ind w:left="432"/>
        <w:jc w:val="both"/>
      </w:pPr>
      <w:r>
        <w:rPr>
          <w:b/>
          <w:i/>
          <w:sz w:val="19"/>
        </w:rPr>
        <w:t xml:space="preserve">Discrepancy.  </w:t>
      </w:r>
      <w:r>
        <w:rPr>
          <w:sz w:val="19"/>
        </w:rPr>
        <w:t>The phrase “each Guarantor shall be individually liable for the full guaranteed amount” can be read as $11,875,000 per guarantor ($23,750,000 in the aggregate) or as $11,875,000 in the aggregate for which each is jointly and severally liable. The Credit Memorandum’s “per guarantor” language supports the former; the 25%-of-Loan-Amount economic term supports the latter.</w:t>
      </w:r>
    </w:p>
    <w:p>
      <w:pPr>
        <w:spacing w:after="80"/>
        <w:ind w:left="432"/>
        <w:jc w:val="both"/>
      </w:pPr>
      <w:r>
        <w:rPr>
          <w:b/>
          <w:i/>
          <w:sz w:val="19"/>
        </w:rPr>
        <w:t xml:space="preserve">Impact.  </w:t>
      </w:r>
      <w:r>
        <w:rPr>
          <w:sz w:val="19"/>
        </w:rPr>
        <w:t>A court may construe the ambiguity against the drafter and enforce only the lower amount, or the Bank may under-collect. Either way the credit is not enforceable as approved.</w:t>
      </w:r>
    </w:p>
    <w:p>
      <w:pPr>
        <w:spacing w:after="80"/>
        <w:ind w:left="432"/>
        <w:jc w:val="both"/>
      </w:pPr>
      <w:r>
        <w:rPr>
          <w:b/>
          <w:i/>
          <w:sz w:val="19"/>
        </w:rPr>
        <w:t xml:space="preserve">Recommendation.  </w:t>
      </w:r>
      <w:r>
        <w:rPr>
          <w:sz w:val="19"/>
        </w:rPr>
        <w:t>State the aggregate cap expressly and provide that recoveries from the guarantors in the aggregate may not exceed $11,875,000 (drafted).</w:t>
      </w:r>
    </w:p>
    <w:p>
      <w:pPr>
        <w:spacing w:after="80"/>
        <w:ind w:left="432"/>
        <w:jc w:val="both"/>
      </w:pPr>
      <w:r>
        <w:rPr>
          <w:b/>
          <w:i/>
          <w:sz w:val="19"/>
        </w:rPr>
        <w:t xml:space="preserve">Where addressed.  </w:t>
      </w:r>
      <w:r>
        <w:rPr>
          <w:sz w:val="19"/>
        </w:rPr>
        <w:t>§ 14.3.</w:t>
      </w:r>
    </w:p>
    <w:p>
      <w:pPr>
        <w:keepNext/>
        <w:spacing w:before="200" w:after="60"/>
      </w:pPr>
      <w:r>
        <w:rPr>
          <w:b/>
          <w:sz w:val="23"/>
        </w:rPr>
        <w:t>D.  Environmental matters</w:t>
      </w:r>
    </w:p>
    <w:p>
      <w:pPr>
        <w:keepNext/>
        <w:spacing w:before="220" w:after="60"/>
      </w:pPr>
      <w:r>
        <w:rPr>
          <w:b/>
          <w:sz w:val="21"/>
        </w:rPr>
        <w:t>D-1.  The NCDEQ land use restriction prohibits residential use of 0.38 acres, and the plans place 14 residential units above that area</w:t>
      </w:r>
      <w:r>
        <w:rPr>
          <w:b/>
          <w:color w:val="8B1A1A"/>
          <w:sz w:val="17"/>
        </w:rPr>
        <w:t xml:space="preserve">   [Critical]</w:t>
      </w:r>
    </w:p>
    <w:p>
      <w:pPr>
        <w:spacing w:after="80"/>
        <w:ind w:left="432"/>
        <w:jc w:val="both"/>
      </w:pPr>
      <w:r>
        <w:rPr>
          <w:b/>
          <w:i/>
          <w:sz w:val="19"/>
        </w:rPr>
        <w:t xml:space="preserve">Sources.  </w:t>
      </w:r>
      <w:r>
        <w:rPr>
          <w:sz w:val="19"/>
        </w:rPr>
        <w:t>Phase I ESA § 1, § 7 (Condition 2) and § 8.5; Credit Memorandum § 8.2 and § 9.5 (quantifies the impact) and § 10.1.7; Term Sheet § 17; Appraisal § 8 and Extraordinary Assumption 7.</w:t>
      </w:r>
    </w:p>
    <w:p>
      <w:pPr>
        <w:spacing w:after="80"/>
        <w:ind w:left="432"/>
        <w:jc w:val="both"/>
      </w:pPr>
      <w:r>
        <w:rPr>
          <w:b/>
          <w:i/>
          <w:sz w:val="19"/>
        </w:rPr>
        <w:t xml:space="preserve">Discrepancy.  </w:t>
      </w:r>
      <w:r>
        <w:rPr>
          <w:sz w:val="19"/>
        </w:rPr>
        <w:t>The NFA Letter states that the NFA determination “is contingent upon the restriction of future use of the affected area to non-residential (commercial or industrial) purposes” and that any change to residential use “would require additional investigation and/or remediation … and a modification to this NFA determination would need to be obtained from NCDEQ prior to such change in use.” The Credit Memorandum states that the plans place 14 residential units above that area. The Phase I ESA expressly declines to verify the overlay (because it requires the floor plans to be overlaid on the delineation map) and classifies the condition as a “business environmental risk.” Two documents understate the problem: the Term Sheet § 17 recites only the vapor mitigation condition and does not mention the use restriction at all, and the Appraisal states that it has not adjusted value for the restriction and expresses no view on the legality of the residential use.</w:t>
      </w:r>
    </w:p>
    <w:p>
      <w:pPr>
        <w:spacing w:after="80"/>
        <w:ind w:left="432"/>
        <w:jc w:val="both"/>
      </w:pPr>
      <w:r>
        <w:rPr>
          <w:b/>
          <w:i/>
          <w:sz w:val="19"/>
        </w:rPr>
        <w:t xml:space="preserve">Impact.  </w:t>
      </w:r>
      <w:r>
        <w:rPr>
          <w:sz w:val="19"/>
        </w:rPr>
        <w:t>The Credit Memorandum’s own arithmetic shows the effect: removing 14 units at the $2,245 average rent reduces stabilized NOI by $377,160 to $4,499,640 and reduces DSCR from 1.31x to 1.21x, below the 1.25x minimum. If the City refuses certificates of occupancy for those units, the Project cannot service the Loan at the underwritten coverage. The absence of any adjustment in the Appraisal means the as-completed value of $72,800,000 and the resulting 65.25% LTV may be overstated as well. There is also a documentation risk: because the Term Sheet recites only the vapor condition, the Borrower could later argue that the Bank knew of and accepted the residential program.</w:t>
      </w:r>
    </w:p>
    <w:p>
      <w:pPr>
        <w:spacing w:after="80"/>
        <w:ind w:left="432"/>
        <w:jc w:val="both"/>
      </w:pPr>
      <w:r>
        <w:rPr>
          <w:b/>
          <w:i/>
          <w:sz w:val="19"/>
        </w:rPr>
        <w:t xml:space="preserve">Recommendation.  </w:t>
      </w:r>
      <w:r>
        <w:rPr>
          <w:sz w:val="19"/>
        </w:rPr>
        <w:t>Resolve one of three ways before closing: (a) obtain an NCDEQ modification to the NFA Letter permitting residential use above the affected area subject to the vapor mitigation system; (b) redesign to eliminate residential occupancy above the Restricted Area and provide updated projections and an updated appraisal; or (c) obtain a written NCDEQ determination that residential use above the grade-level restricted area is permitted with engineering controls. If the Committee elects to defer (the Credit Memorandum would allow deferral to the advance stage), then: hold back all advances allocable to work within or above the Restricted Area (drafted), make occupancy of any residential space above the Restricted Area a draw condition, correct the Term Sheet § 17 recital in the definitive documents, and obtain an environmental counsel opinion on the scope of the restriction. We also recommend re-plotting the 0.38-acre delineation on the survey before the holdback is administered, because the Phase I ESA’s site orientation conflicts with the recorded descriptions (Issue E-4).</w:t>
      </w:r>
    </w:p>
    <w:p>
      <w:pPr>
        <w:spacing w:after="80"/>
        <w:ind w:left="432"/>
        <w:jc w:val="both"/>
      </w:pPr>
      <w:r>
        <w:rPr>
          <w:b/>
          <w:i/>
          <w:sz w:val="19"/>
        </w:rPr>
        <w:t xml:space="preserve">Where addressed.  </w:t>
      </w:r>
      <w:r>
        <w:rPr>
          <w:sz w:val="19"/>
        </w:rPr>
        <w:t>§ 4.3 (Restricted Area holdback), § 8.1(j), § 10.2(b), § 10.5 (delineation), and Schedule 8.</w:t>
      </w:r>
    </w:p>
    <w:p>
      <w:pPr>
        <w:keepNext/>
        <w:spacing w:before="220" w:after="60"/>
      </w:pPr>
      <w:r>
        <w:rPr>
          <w:b/>
          <w:sz w:val="21"/>
        </w:rPr>
        <w:t>D-2.  The deed notice required by the NFA Letter was due November 29, 2024, is not on the December 5, 2024 title commitment, and the Appraisal states that it is recorded</w:t>
      </w:r>
      <w:r>
        <w:rPr>
          <w:b/>
          <w:color w:val="8B1A1A"/>
          <w:sz w:val="17"/>
        </w:rPr>
        <w:t xml:space="preserve">   [Critical]</w:t>
      </w:r>
    </w:p>
    <w:p>
      <w:pPr>
        <w:spacing w:after="80"/>
        <w:ind w:left="432"/>
        <w:jc w:val="both"/>
      </w:pPr>
      <w:r>
        <w:rPr>
          <w:b/>
          <w:i/>
          <w:sz w:val="19"/>
        </w:rPr>
        <w:t xml:space="preserve">Sources.  </w:t>
      </w:r>
      <w:r>
        <w:rPr>
          <w:sz w:val="19"/>
        </w:rPr>
        <w:t>Phase I ESA § 7 (Condition 4: notice to be recorded within 60 days of September 30, 2024) and § 8.1 (“the required deed notice had not yet been recorded” and the NFA conditions “have not been fully implemented”); Title Commitment Schedule B-II (no environmental declaration of land use restriction listed) and Note 5 (environmental matters outside the scope of the commitment); Appraisal § 8 (“This land use restriction is memorialized in a Declaration of Land Use Restrictions recorded at the Durham County Register of Deeds”).</w:t>
      </w:r>
    </w:p>
    <w:p>
      <w:pPr>
        <w:spacing w:after="80"/>
        <w:ind w:left="432"/>
        <w:jc w:val="both"/>
      </w:pPr>
      <w:r>
        <w:rPr>
          <w:b/>
          <w:i/>
          <w:sz w:val="19"/>
        </w:rPr>
        <w:t xml:space="preserve">Discrepancy.  </w:t>
      </w:r>
      <w:r>
        <w:rPr>
          <w:sz w:val="19"/>
        </w:rPr>
        <w:t>Three sources, three positions. The NFA Letter required recording by November 29, 2024. The consultant reported on October 28, 2024 that it had not been recorded. The title commitment effective December 5, 2024 — six days after the deadline — does not show it in Schedule B-II. The Appraisal asserts that it is recorded. Because a recorded land use restriction would appear as an exception on a title commitment covering the same registry, the Appraisal’s statement is not supported by the record.</w:t>
      </w:r>
    </w:p>
    <w:p>
      <w:pPr>
        <w:spacing w:after="80"/>
        <w:ind w:left="432"/>
        <w:jc w:val="both"/>
      </w:pPr>
      <w:r>
        <w:rPr>
          <w:b/>
          <w:i/>
          <w:sz w:val="19"/>
        </w:rPr>
        <w:t xml:space="preserve">Impact.  </w:t>
      </w:r>
      <w:r>
        <w:rPr>
          <w:sz w:val="19"/>
        </w:rPr>
        <w:t>Either the Borrower failed a condition of its NFA determination, exposing the Project to a reopened regulatory file and to the loss of the closure that supports the entire development program, or the title commitment is incomplete. Either way the Bank is asked to fund against an environmental status it has not verified. A recorded restriction that is not a Permitted Exception would also be excepted from the title policy, with a corresponding effect on marketability and value.</w:t>
      </w:r>
    </w:p>
    <w:p>
      <w:pPr>
        <w:spacing w:after="80"/>
        <w:ind w:left="432"/>
        <w:jc w:val="both"/>
      </w:pPr>
      <w:r>
        <w:rPr>
          <w:b/>
          <w:i/>
          <w:sz w:val="19"/>
        </w:rPr>
        <w:t xml:space="preserve">Recommendation.  </w:t>
      </w:r>
      <w:r>
        <w:rPr>
          <w:sz w:val="19"/>
        </w:rPr>
        <w:t>Before closing: (a) obtain a current title bring-down and, if recorded, a copy of the instrument; (b) if not recorded, require recording before closing in a form acceptable to the Bank and to the title company, and obtain written NCDEQ confirmation that recording after the deadline does not impair the NFA determination; (c) add the recorded instrument to the Permitted Exceptions (drafted); and (d) require a specific representation as to the recordation status (drafted at § 6.1(o)(e)) so that the Bank’s file records what was known at closing. The Appraisal’s statement should be corrected by the appraiser or disregarded.</w:t>
      </w:r>
    </w:p>
    <w:p>
      <w:pPr>
        <w:spacing w:after="80"/>
        <w:ind w:left="432"/>
        <w:jc w:val="both"/>
      </w:pPr>
      <w:r>
        <w:rPr>
          <w:b/>
          <w:i/>
          <w:sz w:val="19"/>
        </w:rPr>
        <w:t xml:space="preserve">Where addressed.  </w:t>
      </w:r>
      <w:r>
        <w:rPr>
          <w:sz w:val="19"/>
        </w:rPr>
        <w:t>§ 3.1(f), § 6.1(o), § 10.2(d), Schedule 2, and Schedule 8.</w:t>
      </w:r>
    </w:p>
    <w:p>
      <w:pPr>
        <w:keepNext/>
        <w:spacing w:before="220" w:after="60"/>
      </w:pPr>
      <w:r>
        <w:rPr>
          <w:b/>
          <w:sz w:val="21"/>
        </w:rPr>
        <w:t>D-3.  The required soil vapor mitigation system has not been designed, is not separately costed, and carries a hard NCDEQ reporting deadline</w:t>
      </w:r>
      <w:r>
        <w:rPr>
          <w:b/>
          <w:color w:val="9A5B00"/>
          <w:sz w:val="17"/>
        </w:rPr>
        <w:t xml:space="preserve">   [High]</w:t>
      </w:r>
    </w:p>
    <w:p>
      <w:pPr>
        <w:spacing w:after="80"/>
        <w:ind w:left="432"/>
        <w:jc w:val="both"/>
      </w:pPr>
      <w:r>
        <w:rPr>
          <w:b/>
          <w:i/>
          <w:sz w:val="19"/>
        </w:rPr>
        <w:t xml:space="preserve">Sources.  </w:t>
      </w:r>
      <w:r>
        <w:rPr>
          <w:sz w:val="19"/>
        </w:rPr>
        <w:t>Phase I ESA § 7 (Condition 1: passive sub-slab depressurization system designed by a North Carolina licensed professional engineer, with as-built drawings and a performance verification report submitted to NCDEQ within 90 days after completion of the building foundation); Borrower’s Detailed Budget line 2.08 (“Includes soil vapor mitigation system per NCDEQ NFA requirements” within the $3,590,000 parking structure line); Appraisal § 8 (states that the cost is included in the hard cost budget).</w:t>
      </w:r>
    </w:p>
    <w:p>
      <w:pPr>
        <w:spacing w:after="80"/>
        <w:ind w:left="432"/>
        <w:jc w:val="both"/>
      </w:pPr>
      <w:r>
        <w:rPr>
          <w:b/>
          <w:i/>
          <w:sz w:val="19"/>
        </w:rPr>
        <w:t xml:space="preserve">Discrepancy.  </w:t>
      </w:r>
      <w:r>
        <w:rPr>
          <w:sz w:val="19"/>
        </w:rPr>
        <w:t>No design, specification, or separate cost appears anywhere in the record. The system cost is embedded in the parking structure line with no identified amount, so neither the Bank nor the inspector can verify that it is funded.</w:t>
      </w:r>
    </w:p>
    <w:p>
      <w:pPr>
        <w:spacing w:after="80"/>
        <w:ind w:left="432"/>
        <w:jc w:val="both"/>
      </w:pPr>
      <w:r>
        <w:rPr>
          <w:b/>
          <w:i/>
          <w:sz w:val="19"/>
        </w:rPr>
        <w:t xml:space="preserve">Impact.  </w:t>
      </w:r>
      <w:r>
        <w:rPr>
          <w:sz w:val="19"/>
        </w:rPr>
        <w:t>The 90-day post-foundation submission deadline will fall in the middle of construction, and failure to meet it is an NFA violation and a default. If the system is underfunded, the cost becomes a change order or an overrun funded by the guarantors.</w:t>
      </w:r>
    </w:p>
    <w:p>
      <w:pPr>
        <w:spacing w:after="80"/>
        <w:ind w:left="432"/>
        <w:jc w:val="both"/>
      </w:pPr>
      <w:r>
        <w:rPr>
          <w:b/>
          <w:i/>
          <w:sz w:val="19"/>
        </w:rPr>
        <w:t xml:space="preserve">Recommendation.  </w:t>
      </w:r>
      <w:r>
        <w:rPr>
          <w:sz w:val="19"/>
        </w:rPr>
        <w:t>Require the PE design and NCDEQ-compliant specification before closing, a separately identified budget line item (with confirmation that the $3,590,000 parking line includes it), incorporation into the GMP contract scope and the inspector’s milestone checklist, and a draw condition tied to timely NCDEQ submission.</w:t>
      </w:r>
    </w:p>
    <w:p>
      <w:pPr>
        <w:spacing w:after="80"/>
        <w:ind w:left="432"/>
        <w:jc w:val="both"/>
      </w:pPr>
      <w:r>
        <w:rPr>
          <w:b/>
          <w:i/>
          <w:sz w:val="19"/>
        </w:rPr>
        <w:t xml:space="preserve">Where addressed.  </w:t>
      </w:r>
      <w:r>
        <w:rPr>
          <w:sz w:val="19"/>
        </w:rPr>
        <w:t>§ 3.1(k), § 10.2(a), § 4.1(m), and Schedule 8.</w:t>
      </w:r>
    </w:p>
    <w:p>
      <w:pPr>
        <w:keepNext/>
        <w:spacing w:before="220" w:after="60"/>
      </w:pPr>
      <w:r>
        <w:rPr>
          <w:b/>
          <w:sz w:val="21"/>
        </w:rPr>
        <w:t>D-4.  The NCDEQ-approved soil management plan must be in place before any subsurface work in the affected area, and NCDEQ review time is not in the schedule</w:t>
      </w:r>
      <w:r>
        <w:rPr>
          <w:b/>
          <w:color w:val="9A5B00"/>
          <w:sz w:val="17"/>
        </w:rPr>
        <w:t xml:space="preserve">   [High]</w:t>
      </w:r>
    </w:p>
    <w:p>
      <w:pPr>
        <w:spacing w:after="80"/>
        <w:ind w:left="432"/>
        <w:jc w:val="both"/>
      </w:pPr>
      <w:r>
        <w:rPr>
          <w:b/>
          <w:i/>
          <w:sz w:val="19"/>
        </w:rPr>
        <w:t xml:space="preserve">Sources.  </w:t>
      </w:r>
      <w:r>
        <w:rPr>
          <w:sz w:val="19"/>
        </w:rPr>
        <w:t>Phase I ESA § 7 (Condition 3) and Recommendation 4; Term Sheet § 17 (silent); Credit Memorandum § 10.1.7 (silent).</w:t>
      </w:r>
    </w:p>
    <w:p>
      <w:pPr>
        <w:spacing w:after="80"/>
        <w:ind w:left="432"/>
        <w:jc w:val="both"/>
      </w:pPr>
      <w:r>
        <w:rPr>
          <w:b/>
          <w:i/>
          <w:sz w:val="19"/>
        </w:rPr>
        <w:t xml:space="preserve">Discrepancy.  </w:t>
      </w:r>
      <w:r>
        <w:rPr>
          <w:sz w:val="19"/>
        </w:rPr>
        <w:t>The NFA Letter requires that a soil management plan be submitted to and approved by NCDEQ before any construction activity involving subsurface disturbance within the affected area. Construction of the podium and foundations will necessarily involve that disturbance, yet the plan is not in the record, is not a listed closing condition in the Term Sheet or the Credit Memorandum, and no approval timeline is built into the 30-month schedule.</w:t>
      </w:r>
    </w:p>
    <w:p>
      <w:pPr>
        <w:spacing w:after="80"/>
        <w:ind w:left="432"/>
        <w:jc w:val="both"/>
      </w:pPr>
      <w:r>
        <w:rPr>
          <w:b/>
          <w:i/>
          <w:sz w:val="19"/>
        </w:rPr>
        <w:t xml:space="preserve">Impact.  </w:t>
      </w:r>
      <w:r>
        <w:rPr>
          <w:sz w:val="19"/>
        </w:rPr>
        <w:t>A construction start that is otherwise ready can be delayed pending agency approval, which consumes schedule float against a construction maturity date that already precedes the projected completion date by three days (Issue G-1).</w:t>
      </w:r>
    </w:p>
    <w:p>
      <w:pPr>
        <w:spacing w:after="80"/>
        <w:ind w:left="432"/>
        <w:jc w:val="both"/>
      </w:pPr>
      <w:r>
        <w:rPr>
          <w:b/>
          <w:i/>
          <w:sz w:val="19"/>
        </w:rPr>
        <w:t xml:space="preserve">Recommendation.  </w:t>
      </w:r>
      <w:r>
        <w:rPr>
          <w:sz w:val="19"/>
        </w:rPr>
        <w:t>Submit the plan now and make NCDEQ approval a closing condition; incorporate the plan into the GMP contract by change order; require written acknowledgment from the contractor and all subcontractors; and confirm that the baseline schedule reflects the approval timeline.</w:t>
      </w:r>
    </w:p>
    <w:p>
      <w:pPr>
        <w:spacing w:after="80"/>
        <w:ind w:left="432"/>
        <w:jc w:val="both"/>
      </w:pPr>
      <w:r>
        <w:rPr>
          <w:b/>
          <w:i/>
          <w:sz w:val="19"/>
        </w:rPr>
        <w:t xml:space="preserve">Where addressed.  </w:t>
      </w:r>
      <w:r>
        <w:rPr>
          <w:sz w:val="19"/>
        </w:rPr>
        <w:t>§ 3.1(k), § 10.2(c), § 5.7(d), and Schedule 8.</w:t>
      </w:r>
    </w:p>
    <w:p>
      <w:pPr>
        <w:keepNext/>
        <w:spacing w:before="220" w:after="60"/>
      </w:pPr>
      <w:r>
        <w:rPr>
          <w:b/>
          <w:sz w:val="21"/>
        </w:rPr>
        <w:t>D-5.  The remediation volume and the UST history are stated differently in three documents</w:t>
      </w:r>
      <w:r>
        <w:rPr>
          <w:b/>
          <w:color w:val="1F3353"/>
          <w:sz w:val="17"/>
        </w:rPr>
        <w:t xml:space="preserve">   [Medium]</w:t>
      </w:r>
    </w:p>
    <w:p>
      <w:pPr>
        <w:spacing w:after="80"/>
        <w:ind w:left="432"/>
        <w:jc w:val="both"/>
      </w:pPr>
      <w:r>
        <w:rPr>
          <w:b/>
          <w:i/>
          <w:sz w:val="19"/>
        </w:rPr>
        <w:t xml:space="preserve">Sources.  </w:t>
      </w:r>
      <w:r>
        <w:rPr>
          <w:sz w:val="19"/>
        </w:rPr>
        <w:t>Phase I ESA § 6.1 (“approximately 1,200 cubic yards of soil were excavated”), § 2.2 (2,000-gallon diesel tank installed circa 1972 for a backup generator, “reportedly decommissioned and removed in approximately 1998”) and § 5.2 (TPH-DRO maximum 847 mg/kg; benzene maximum 0.42 mg/kg); Credit Memorandum § 8.2 (“approximately 340 cubic yards”); Appraisal § 8 (“approximately 320 cubic yards”, and “removal and proper disposal of the former UST” as part of the 2024 remediation, describing a tank “originally installed in the 1950s … used for the storage of heating oil … not in active use since approximately 1988”).</w:t>
      </w:r>
    </w:p>
    <w:p>
      <w:pPr>
        <w:spacing w:after="80"/>
        <w:ind w:left="432"/>
        <w:jc w:val="both"/>
      </w:pPr>
      <w:r>
        <w:rPr>
          <w:b/>
          <w:i/>
          <w:sz w:val="19"/>
        </w:rPr>
        <w:t xml:space="preserve">Discrepancy.  </w:t>
      </w:r>
      <w:r>
        <w:rPr>
          <w:sz w:val="19"/>
        </w:rPr>
        <w:t>The excavation volume is stated as 1,200, 340 and 320 cubic yards. The tank is variously a 1972 diesel tank removed around 1998 and a 1950s heating-oil tank removed in 2024. The phase I ESA is the primary technical source and the only one describing the NCDEQ file review; the Appraisal is outside its competence on this point.</w:t>
      </w:r>
    </w:p>
    <w:p>
      <w:pPr>
        <w:spacing w:after="80"/>
        <w:ind w:left="432"/>
        <w:jc w:val="both"/>
      </w:pPr>
      <w:r>
        <w:rPr>
          <w:b/>
          <w:i/>
          <w:sz w:val="19"/>
        </w:rPr>
        <w:t xml:space="preserve">Impact.  </w:t>
      </w:r>
      <w:r>
        <w:rPr>
          <w:sz w:val="19"/>
        </w:rPr>
        <w:t>The Bank’s environmental file is internally inconsistent. This does not change the covenant requirements, but it undermines reliance on the consultant’s work product and would be a poor exhibit in any later dispute over what the Bank knew. The 1,200 cubic-yard figure also suggests a larger excavation (and therefore a larger disturbed area) than the 0.38-acre delineation implies, which matters for the soil management plan.</w:t>
      </w:r>
    </w:p>
    <w:p>
      <w:pPr>
        <w:spacing w:after="80"/>
        <w:ind w:left="432"/>
        <w:jc w:val="both"/>
      </w:pPr>
      <w:r>
        <w:rPr>
          <w:b/>
          <w:i/>
          <w:sz w:val="19"/>
        </w:rPr>
        <w:t xml:space="preserve">Recommendation.  </w:t>
      </w:r>
      <w:r>
        <w:rPr>
          <w:sz w:val="19"/>
        </w:rPr>
        <w:t>Obtain a short clarification letter from Sentinel Environmental Consulting LLC, addressed to the Bank, reconciling the volumes and the tank history and confirming the delineated area; correct the Credit Memorandum and disregard the Appraisal’s environmental narrative except as a cross-reference; and confirm that the NCDEQ file (Site ID IHSB-24-1203) reflects the correct volume.</w:t>
      </w:r>
    </w:p>
    <w:p>
      <w:pPr>
        <w:spacing w:after="80"/>
        <w:ind w:left="432"/>
        <w:jc w:val="both"/>
      </w:pPr>
      <w:r>
        <w:rPr>
          <w:b/>
          <w:i/>
          <w:sz w:val="19"/>
        </w:rPr>
        <w:t xml:space="preserve">Where addressed.  </w:t>
      </w:r>
      <w:r>
        <w:rPr>
          <w:sz w:val="19"/>
        </w:rPr>
        <w:t>Schedule 8 (note) and § 10.3.</w:t>
      </w:r>
    </w:p>
    <w:p>
      <w:pPr>
        <w:keepNext/>
        <w:spacing w:before="220" w:after="60"/>
      </w:pPr>
      <w:r>
        <w:rPr>
          <w:b/>
          <w:sz w:val="21"/>
        </w:rPr>
        <w:t>D-6.  The Phase I ESA shelf life and reliance letter must be managed against a closing that may slip</w:t>
      </w:r>
      <w:r>
        <w:rPr>
          <w:b/>
          <w:color w:val="1F3353"/>
          <w:sz w:val="17"/>
        </w:rPr>
        <w:t xml:space="preserve">   [Medium]</w:t>
      </w:r>
    </w:p>
    <w:p>
      <w:pPr>
        <w:spacing w:after="80"/>
        <w:ind w:left="432"/>
        <w:jc w:val="both"/>
      </w:pPr>
      <w:r>
        <w:rPr>
          <w:b/>
          <w:i/>
          <w:sz w:val="19"/>
        </w:rPr>
        <w:t xml:space="preserve">Sources.  </w:t>
      </w:r>
      <w:r>
        <w:rPr>
          <w:sz w:val="19"/>
        </w:rPr>
        <w:t>Phase I ESA § 9 and Recommendation 7 (180-day shelf life to April 26, 2025 under 40 C.F.R. § 312.20(c)); § 11 and Appendix G (reliance letter dated October 28, 2024, not included in the excerpt); Term Sheet § 11 (Phase I ESA as a condition precedent).</w:t>
      </w:r>
    </w:p>
    <w:p>
      <w:pPr>
        <w:spacing w:after="80"/>
        <w:ind w:left="432"/>
        <w:jc w:val="both"/>
      </w:pPr>
      <w:r>
        <w:rPr>
          <w:b/>
          <w:i/>
          <w:sz w:val="19"/>
        </w:rPr>
        <w:t xml:space="preserve">Discrepancy.  </w:t>
      </w:r>
      <w:r>
        <w:rPr>
          <w:sz w:val="19"/>
        </w:rPr>
        <w:t>The reliance letter is referenced but was not delivered with the record, and the report has a hard shelf life that expires ten weeks after the target closing date.</w:t>
      </w:r>
    </w:p>
    <w:p>
      <w:pPr>
        <w:spacing w:after="80"/>
        <w:ind w:left="432"/>
        <w:jc w:val="both"/>
      </w:pPr>
      <w:r>
        <w:rPr>
          <w:b/>
          <w:i/>
          <w:sz w:val="19"/>
        </w:rPr>
        <w:t xml:space="preserve">Impact.  </w:t>
      </w:r>
      <w:r>
        <w:rPr>
          <w:sz w:val="19"/>
        </w:rPr>
        <w:t>If closing is delayed, the Bank loses the All Appropriate Inquiries basis for the innocent-landowner and bona fide prospective purchaser defenses, and its reliance on the consultant is unconfirmed.</w:t>
      </w:r>
    </w:p>
    <w:p>
      <w:pPr>
        <w:spacing w:after="80"/>
        <w:ind w:left="432"/>
        <w:jc w:val="both"/>
      </w:pPr>
      <w:r>
        <w:rPr>
          <w:b/>
          <w:i/>
          <w:sz w:val="19"/>
        </w:rPr>
        <w:t xml:space="preserve">Recommendation.  </w:t>
      </w:r>
      <w:r>
        <w:rPr>
          <w:sz w:val="19"/>
        </w:rPr>
        <w:t>Obtain the executed reliance letter now; calendar April 26, 2025 and require an updated Phase I ESA (or a documented update per 40 C.F.R. § 312.20(c)(2)) if closing occurs later; note that the $12,500 limitation of liability in the consultant’s engagement limits recovery, which supports obtaining pollution legal liability insurance (Issue D-7).</w:t>
      </w:r>
    </w:p>
    <w:p>
      <w:pPr>
        <w:spacing w:after="80"/>
        <w:ind w:left="432"/>
        <w:jc w:val="both"/>
      </w:pPr>
      <w:r>
        <w:rPr>
          <w:b/>
          <w:i/>
          <w:sz w:val="19"/>
        </w:rPr>
        <w:t xml:space="preserve">Where addressed.  </w:t>
      </w:r>
      <w:r>
        <w:rPr>
          <w:sz w:val="19"/>
        </w:rPr>
        <w:t>§ 3.1(j), § 10.3, and Schedule 8.</w:t>
      </w:r>
    </w:p>
    <w:p>
      <w:pPr>
        <w:keepNext/>
        <w:spacing w:before="220" w:after="60"/>
      </w:pPr>
      <w:r>
        <w:rPr>
          <w:b/>
          <w:sz w:val="21"/>
        </w:rPr>
        <w:t>D-7.  No pollution legal liability insurance is required</w:t>
      </w:r>
      <w:r>
        <w:rPr>
          <w:b/>
          <w:color w:val="1F3353"/>
          <w:sz w:val="17"/>
        </w:rPr>
        <w:t xml:space="preserve">   [Medium]</w:t>
      </w:r>
    </w:p>
    <w:p>
      <w:pPr>
        <w:spacing w:after="80"/>
        <w:ind w:left="432"/>
        <w:jc w:val="both"/>
      </w:pPr>
      <w:r>
        <w:rPr>
          <w:b/>
          <w:i/>
          <w:sz w:val="19"/>
        </w:rPr>
        <w:t xml:space="preserve">Sources.  </w:t>
      </w:r>
      <w:r>
        <w:rPr>
          <w:sz w:val="19"/>
        </w:rPr>
        <w:t>Phase I ESA Recommendation 6 (suggests evaluating a PLL policy); Term Sheet § 19 and Credit Memorandum § 8.1 (no PLL or contractor’s pollution coverage required).</w:t>
      </w:r>
    </w:p>
    <w:p>
      <w:pPr>
        <w:spacing w:after="80"/>
        <w:ind w:left="432"/>
        <w:jc w:val="both"/>
      </w:pPr>
      <w:r>
        <w:rPr>
          <w:b/>
          <w:i/>
          <w:sz w:val="19"/>
        </w:rPr>
        <w:t xml:space="preserve">Discrepancy.  </w:t>
      </w:r>
      <w:r>
        <w:rPr>
          <w:sz w:val="19"/>
        </w:rPr>
        <w:t>The Bank is lending against a site with residual contamination above residential standards, an unverified deed notice, an unbuilt vapor mitigation system, and a use restriction that the building program may violate, with a consultant whose liability is capped at its $12,500 fee. No environmental insurance is required.</w:t>
      </w:r>
    </w:p>
    <w:p>
      <w:pPr>
        <w:spacing w:after="80"/>
        <w:ind w:left="432"/>
        <w:jc w:val="both"/>
      </w:pPr>
      <w:r>
        <w:rPr>
          <w:b/>
          <w:i/>
          <w:sz w:val="19"/>
        </w:rPr>
        <w:t xml:space="preserve">Recommendation.  </w:t>
      </w:r>
      <w:r>
        <w:rPr>
          <w:sz w:val="19"/>
        </w:rPr>
        <w:t>Require (a) contractor’s pollution liability coverage of not less than $2,000,000 covering the Restricted Area work under the soil management plan, and (b) evaluation of a pollution legal liability policy in an amount and with a term acceptable to the Bank, with the Bank named as loss payee and additional insured (drafted at (a); (b) remains an open item for the Committee).</w:t>
      </w:r>
    </w:p>
    <w:p>
      <w:pPr>
        <w:spacing w:after="80"/>
        <w:ind w:left="432"/>
        <w:jc w:val="both"/>
      </w:pPr>
      <w:r>
        <w:rPr>
          <w:b/>
          <w:i/>
          <w:sz w:val="19"/>
        </w:rPr>
        <w:t xml:space="preserve">Where addressed.  </w:t>
      </w:r>
      <w:r>
        <w:rPr>
          <w:sz w:val="19"/>
        </w:rPr>
        <w:t>§ 12.1(g) and Schedule 6.</w:t>
      </w:r>
    </w:p>
    <w:p>
      <w:pPr>
        <w:keepNext/>
        <w:spacing w:before="200" w:after="60"/>
      </w:pPr>
      <w:r>
        <w:rPr>
          <w:b/>
          <w:sz w:val="23"/>
        </w:rPr>
        <w:t>E.  Title and survey</w:t>
      </w:r>
    </w:p>
    <w:p>
      <w:pPr>
        <w:keepNext/>
        <w:spacing w:before="220" w:after="60"/>
      </w:pPr>
      <w:r>
        <w:rPr>
          <w:b/>
          <w:sz w:val="21"/>
        </w:rPr>
        <w:t>E-1.  An unreleased 2018 deed of trust securing $3,400,000 remains of record, its balance is unknown, and there is no source of funds to pay it</w:t>
      </w:r>
      <w:r>
        <w:rPr>
          <w:b/>
          <w:color w:val="8B1A1A"/>
          <w:sz w:val="17"/>
        </w:rPr>
        <w:t xml:space="preserve">   [Critical]</w:t>
      </w:r>
    </w:p>
    <w:p>
      <w:pPr>
        <w:spacing w:after="80"/>
        <w:ind w:left="432"/>
        <w:jc w:val="both"/>
      </w:pPr>
      <w:r>
        <w:rPr>
          <w:b/>
          <w:i/>
          <w:sz w:val="19"/>
        </w:rPr>
        <w:t xml:space="preserve">Sources.  </w:t>
      </w:r>
      <w:r>
        <w:rPr>
          <w:sz w:val="19"/>
        </w:rPr>
        <w:t>Title Commitment Schedule B-I Requirement 4 and Schedule B-II Item 10, including the Title Officer’s note that Borrower’s counsel advised by letter dated November 22, 2024 that the debt “has been partially repaid and that the remaining outstanding balance will be satisfied in full at or prior to closing from the Borrower’s own funds or from closing proceeds,” and that the Company “has not independently verified the outstanding balance”; Credit Memorandum § 2.2 and § 9.7; Term Sheet § 18.</w:t>
      </w:r>
    </w:p>
    <w:p>
      <w:pPr>
        <w:spacing w:after="80"/>
        <w:ind w:left="432"/>
        <w:jc w:val="both"/>
      </w:pPr>
      <w:r>
        <w:rPr>
          <w:b/>
          <w:i/>
          <w:sz w:val="19"/>
        </w:rPr>
        <w:t xml:space="preserve">Discrepancy.  </w:t>
      </w:r>
      <w:r>
        <w:rPr>
          <w:sz w:val="19"/>
        </w:rPr>
        <w:t>The deed of trust from Foster Street Properties LLC (predecessor in title) to Triangle Commercial Bank, dated September 14, 2018, securing $3,400,000, is still of record. No payoff letter, balance statement, or cancellation is in the file. The Credit Memorandum says it will be paid at closing “from the proceeds of the senior construction loan or from borrower funds,” but the sources and uses contain no line item for it and the Borrower is contributing $0 in cash. Total sources equal total uses exactly; there is no slack.</w:t>
      </w:r>
    </w:p>
    <w:p>
      <w:pPr>
        <w:spacing w:after="80"/>
        <w:ind w:left="432"/>
        <w:jc w:val="both"/>
      </w:pPr>
      <w:r>
        <w:rPr>
          <w:b/>
          <w:i/>
          <w:sz w:val="19"/>
        </w:rPr>
        <w:t xml:space="preserve">Impact.  </w:t>
      </w:r>
      <w:r>
        <w:rPr>
          <w:sz w:val="19"/>
        </w:rPr>
        <w:t>Closing cannot occur with a first-priority deed of trust until this lien is released. If any material balance remains, the transaction is underfunded by that amount, and the LTC and equity analysis must be re-run. If the balance is large, the necessary increase in Total Project Costs or equity changes the loan sizing that the Committee has approved.</w:t>
      </w:r>
    </w:p>
    <w:p>
      <w:pPr>
        <w:spacing w:after="80"/>
        <w:ind w:left="432"/>
        <w:jc w:val="both"/>
      </w:pPr>
      <w:r>
        <w:rPr>
          <w:b/>
          <w:i/>
          <w:sz w:val="19"/>
        </w:rPr>
        <w:t xml:space="preserve">Recommendation.  </w:t>
      </w:r>
      <w:r>
        <w:rPr>
          <w:sz w:val="19"/>
        </w:rPr>
        <w:t>Obtain a payoff letter dated within 30 days of closing, together with the underlying note and any modification or assumption documents (the Borrower’s liability for the debt must be established: the deed is a special warranty deed and the Borrower may have taken subject to, rather than assuming, the lien). Escrow the payoff through the title company, record a cancellation in the form required by N.C.G.S. § 45-37, obtain a bring-down confirming recordation, and require the title policy to be issued without the exception. If a balance remains, add it to the uses and fund it with verified equity, and re-test LTC and LTV.</w:t>
      </w:r>
    </w:p>
    <w:p>
      <w:pPr>
        <w:spacing w:after="80"/>
        <w:ind w:left="432"/>
        <w:jc w:val="both"/>
      </w:pPr>
      <w:r>
        <w:rPr>
          <w:b/>
          <w:i/>
          <w:sz w:val="19"/>
        </w:rPr>
        <w:t xml:space="preserve">Where addressed.  </w:t>
      </w:r>
      <w:r>
        <w:rPr>
          <w:sz w:val="19"/>
        </w:rPr>
        <w:t>§ 3.1(e) and § 13.2.</w:t>
      </w:r>
    </w:p>
    <w:p>
      <w:pPr>
        <w:keepNext/>
        <w:spacing w:before="220" w:after="60"/>
      </w:pPr>
      <w:r>
        <w:rPr>
          <w:b/>
          <w:sz w:val="21"/>
        </w:rPr>
        <w:t>E-2.  The Term Sheet’s four-item Permitted Exceptions list cannot be reconciled with the title commitment’s thirteen exceptions</w:t>
      </w:r>
      <w:r>
        <w:rPr>
          <w:b/>
          <w:color w:val="1F3353"/>
          <w:sz w:val="17"/>
        </w:rPr>
        <w:t xml:space="preserve">   [Medium]</w:t>
      </w:r>
    </w:p>
    <w:p>
      <w:pPr>
        <w:spacing w:after="80"/>
        <w:ind w:left="432"/>
        <w:jc w:val="both"/>
      </w:pPr>
      <w:r>
        <w:rPr>
          <w:b/>
          <w:i/>
          <w:sz w:val="19"/>
        </w:rPr>
        <w:t xml:space="preserve">Sources.  </w:t>
      </w:r>
      <w:r>
        <w:rPr>
          <w:sz w:val="19"/>
        </w:rPr>
        <w:t>Term Sheet § 18 (four Permitted Exceptions; “all other exceptions shown on Schedule B-II … including but not limited to any prior deeds of trust, shall be removed, released, or otherwise satisfied”); Title Commitment Schedule B-II (thirteen numbered exceptions plus special items); Credit Memorandum § 10.1.5 (“subject only to approved standard title exceptions as determined by the Bank and its counsel”).</w:t>
      </w:r>
    </w:p>
    <w:p>
      <w:pPr>
        <w:spacing w:after="80"/>
        <w:ind w:left="432"/>
        <w:jc w:val="both"/>
      </w:pPr>
      <w:r>
        <w:rPr>
          <w:b/>
          <w:i/>
          <w:sz w:val="19"/>
        </w:rPr>
        <w:t xml:space="preserve">Discrepancy.  </w:t>
      </w:r>
      <w:r>
        <w:rPr>
          <w:sz w:val="19"/>
        </w:rPr>
        <w:t>Three of the title exceptions cannot be removed at all: 2025 ad valorem taxes not yet due (Item 7), the Unified Development Ordinance and MU-D zoning (Item 12), and parties in possession (Item 13, which can be deleted only with a survey and an affidavit of possession). The Term Sheet does not list them, and it does not mention that the recorded environmental deed notice, once recorded, will also appear as an exception.</w:t>
      </w:r>
    </w:p>
    <w:p>
      <w:pPr>
        <w:spacing w:after="80"/>
        <w:ind w:left="432"/>
        <w:jc w:val="both"/>
      </w:pPr>
      <w:r>
        <w:rPr>
          <w:b/>
          <w:i/>
          <w:sz w:val="19"/>
        </w:rPr>
        <w:t xml:space="preserve">Impact.  </w:t>
      </w:r>
      <w:r>
        <w:rPr>
          <w:sz w:val="19"/>
        </w:rPr>
        <w:t>A title policy cannot be issued on the Term Sheet’s terms, so the closing condition as written is impossible to satisfy, which invites a waiver at the closing table and a policy that does not match the loan documents.</w:t>
      </w:r>
    </w:p>
    <w:p>
      <w:pPr>
        <w:spacing w:after="80"/>
        <w:ind w:left="432"/>
        <w:jc w:val="both"/>
      </w:pPr>
      <w:r>
        <w:rPr>
          <w:b/>
          <w:i/>
          <w:sz w:val="19"/>
        </w:rPr>
        <w:t xml:space="preserve">Recommendation.  </w:t>
      </w:r>
      <w:r>
        <w:rPr>
          <w:sz w:val="19"/>
        </w:rPr>
        <w:t>Adopt Schedule 2 as drafted, which conforms the Permitted Exceptions to the title commitment, provides for deletion of the standard survey exceptions on delivery of the Survey and affidavits, preserves the mechanics’ lien exception only with an ALTA 9 endorsement, and expressly carves out the Triangle Commercial Bank deed of trust and the environmental deed notice.</w:t>
      </w:r>
    </w:p>
    <w:p>
      <w:pPr>
        <w:spacing w:after="80"/>
        <w:ind w:left="432"/>
        <w:jc w:val="both"/>
      </w:pPr>
      <w:r>
        <w:rPr>
          <w:b/>
          <w:i/>
          <w:sz w:val="19"/>
        </w:rPr>
        <w:t xml:space="preserve">Where addressed.  </w:t>
      </w:r>
      <w:r>
        <w:rPr>
          <w:sz w:val="19"/>
        </w:rPr>
        <w:t>Schedule 2 and § 13.2.</w:t>
      </w:r>
    </w:p>
    <w:p>
      <w:pPr>
        <w:keepNext/>
        <w:spacing w:before="220" w:after="60"/>
      </w:pPr>
      <w:r>
        <w:rPr>
          <w:b/>
          <w:sz w:val="21"/>
        </w:rPr>
        <w:t>E-3.  Demolition and remediation work performed in August and September 2024 may prime the Bank’s deed of trust under N.C.G.S. § 44A-10</w:t>
      </w:r>
      <w:r>
        <w:rPr>
          <w:b/>
          <w:color w:val="8B1A1A"/>
          <w:sz w:val="17"/>
        </w:rPr>
        <w:t xml:space="preserve">   [Critical]</w:t>
      </w:r>
    </w:p>
    <w:p>
      <w:pPr>
        <w:spacing w:after="80"/>
        <w:ind w:left="432"/>
        <w:jc w:val="both"/>
      </w:pPr>
      <w:r>
        <w:rPr>
          <w:b/>
          <w:i/>
          <w:sz w:val="19"/>
        </w:rPr>
        <w:t xml:space="preserve">Sources.  </w:t>
      </w:r>
      <w:r>
        <w:rPr>
          <w:sz w:val="19"/>
        </w:rPr>
        <w:t>Title Commitment Note 4 (mechanic’s lien priority and the recommendation for owner and contractor affidavits); Phase I ESA § 1 and § 2.2 (demolition completed August 2024; remediation completed September 2024; pre-demolition hazardous materials survey by Southern Environmental Services Inc. in July 2024); Appraisal § 3 (the GMP contract “has been executed and a copy was provided to the appraiser”).</w:t>
      </w:r>
    </w:p>
    <w:p>
      <w:pPr>
        <w:spacing w:after="80"/>
        <w:ind w:left="432"/>
        <w:jc w:val="both"/>
      </w:pPr>
      <w:r>
        <w:rPr>
          <w:b/>
          <w:i/>
          <w:sz w:val="19"/>
        </w:rPr>
        <w:t xml:space="preserve">Discrepancy.  </w:t>
      </w:r>
      <w:r>
        <w:rPr>
          <w:sz w:val="19"/>
        </w:rPr>
        <w:t>Neither the Term Sheet nor the Credit Memorandum addresses the fact that substantial work has already been performed on the Property. Under N.C.G.S. § 44A-10, a claim of lien relates back to the first furnishing of labor or materials, so claims by the demolition contractor, the remediation consultant, the hazardous materials surveyor, and any architect or engineer who performed pre-closing services could take priority over a deed of trust recorded at closing. The Appraisal also indicates that the construction contract has already been executed, which raises the same issue for the contractor if it has mobilized or stored materials.</w:t>
      </w:r>
    </w:p>
    <w:p>
      <w:pPr>
        <w:spacing w:after="80"/>
        <w:ind w:left="432"/>
        <w:jc w:val="both"/>
      </w:pPr>
      <w:r>
        <w:rPr>
          <w:b/>
          <w:i/>
          <w:sz w:val="19"/>
        </w:rPr>
        <w:t xml:space="preserve">Impact.  </w:t>
      </w:r>
      <w:r>
        <w:rPr>
          <w:sz w:val="19"/>
        </w:rPr>
        <w:t>Loss of lien priority is not insurable except through specific title endorsements that require waivers and affidavits. If a pre-closing claimant perfects a lien, the Bank’s collateral position is impaired and the title policy will not cover it.</w:t>
      </w:r>
    </w:p>
    <w:p>
      <w:pPr>
        <w:spacing w:after="80"/>
        <w:ind w:left="432"/>
        <w:jc w:val="both"/>
      </w:pPr>
      <w:r>
        <w:rPr>
          <w:b/>
          <w:i/>
          <w:sz w:val="19"/>
        </w:rPr>
        <w:t xml:space="preserve">Recommendation.  </w:t>
      </w:r>
      <w:r>
        <w:rPr>
          <w:sz w:val="19"/>
        </w:rPr>
        <w:t>As a condition of closing: (a) obtain unconditional lien waivers and releases from every person that has furnished labor, materials, or services, including the demolition contractor, Sentinel Environmental Consulting LLC, Southern Environmental Services Inc., and Architect; (b) obtain an owner’s affidavit and a contractor’s affidavit of no work performed and no materials furnished under the construction contract (or, if work has begun, full waivers and a title endorsement); (c) obtain an ALTA 9 endorsement and a pending-disbursement endorsement; and (d) covenant that no work will commence before the deed of trust is recorded.</w:t>
      </w:r>
    </w:p>
    <w:p>
      <w:pPr>
        <w:spacing w:after="80"/>
        <w:ind w:left="432"/>
        <w:jc w:val="both"/>
      </w:pPr>
      <w:r>
        <w:rPr>
          <w:b/>
          <w:i/>
          <w:sz w:val="19"/>
        </w:rPr>
        <w:t xml:space="preserve">Where addressed.  </w:t>
      </w:r>
      <w:r>
        <w:rPr>
          <w:sz w:val="19"/>
        </w:rPr>
        <w:t>§ 3.1(r), § 13.4, and § 6.1(p).</w:t>
      </w:r>
    </w:p>
    <w:p>
      <w:pPr>
        <w:keepNext/>
        <w:spacing w:before="220" w:after="60"/>
      </w:pPr>
      <w:r>
        <w:rPr>
          <w:b/>
          <w:sz w:val="21"/>
        </w:rPr>
        <w:t>E-4.  Parcel acreage, site orientation, and street frontage differ across four documents</w:t>
      </w:r>
      <w:r>
        <w:rPr>
          <w:b/>
          <w:color w:val="1F3353"/>
          <w:sz w:val="17"/>
        </w:rPr>
        <w:t xml:space="preserve">   [Medium]</w:t>
      </w:r>
    </w:p>
    <w:p>
      <w:pPr>
        <w:spacing w:after="80"/>
        <w:ind w:left="432"/>
        <w:jc w:val="both"/>
      </w:pPr>
      <w:r>
        <w:rPr>
          <w:b/>
          <w:i/>
          <w:sz w:val="19"/>
        </w:rPr>
        <w:t xml:space="preserve">Sources.  </w:t>
      </w:r>
      <w:r>
        <w:rPr>
          <w:sz w:val="19"/>
        </w:rPr>
        <w:t>Title Commitment Schedule A § 6 (Parcel 1, 2.09 acres; Parcel 2, 1.38 acres; metes and bounds); Phase I ESA § 1, § 2.1 and Figure 3 (1.89 and 1.58 acres; “the site fronts Foster Street to the north”; Parcel 2 described as the “eastern parcel”); Appraisal § 2 (“approximately 420 feet of frontage along Foster Street on the western boundary”; 3.47 acres / 151,153 square feet).</w:t>
      </w:r>
    </w:p>
    <w:p>
      <w:pPr>
        <w:spacing w:after="80"/>
        <w:ind w:left="432"/>
        <w:jc w:val="both"/>
      </w:pPr>
      <w:r>
        <w:rPr>
          <w:b/>
          <w:i/>
          <w:sz w:val="19"/>
        </w:rPr>
        <w:t xml:space="preserve">Recomputation.  </w:t>
      </w:r>
      <w:r>
        <w:rPr>
          <w:sz w:val="19"/>
        </w:rPr>
        <w:t>Parcel 1: 298.62′ × 305.41′ = 91,202 SF = 2.094 acres. Parcel 2: 201.88′ × 297.63′ = 60,086 SF = 1.379 acres. Combined: 3.473 acres = 151,153 SF, which matches the Appraisal. The deeds also establish that Foster Street runs along the western boundary of both parcels (the first call of each description runs along “the eastern right-of-way margin of Foster Street”), that Parcel 2 lies south of Parcel 1, and that combined frontage is 500.50 feet, not 420 feet.</w:t>
      </w:r>
    </w:p>
    <w:p>
      <w:pPr>
        <w:spacing w:after="80"/>
        <w:ind w:left="432"/>
        <w:jc w:val="both"/>
      </w:pPr>
      <w:r>
        <w:rPr>
          <w:b/>
          <w:i/>
          <w:sz w:val="19"/>
        </w:rPr>
        <w:t xml:space="preserve">Impact.  </w:t>
      </w:r>
      <w:r>
        <w:rPr>
          <w:sz w:val="19"/>
        </w:rPr>
        <w:t>The Phase I ESA’s orientation and parcel descriptions are inconsistent with record title. Because the restriction is parcel- and area-specific, an administrator cannot determine which corner of which parcel is restricted, nor which units sit above it, until the delineation is re-plotted on a survey. The Appraisal’s frontage figure is also wrong, although it does not affect value directly.</w:t>
      </w:r>
    </w:p>
    <w:p>
      <w:pPr>
        <w:spacing w:after="80"/>
        <w:ind w:left="432"/>
        <w:jc w:val="both"/>
      </w:pPr>
      <w:r>
        <w:rPr>
          <w:b/>
          <w:i/>
          <w:sz w:val="19"/>
        </w:rPr>
        <w:t xml:space="preserve">Recommendation.  </w:t>
      </w:r>
      <w:r>
        <w:rPr>
          <w:sz w:val="19"/>
        </w:rPr>
        <w:t>Require the ALTA/NSPS survey with the Table A items listed in § 13.5, including a boundary and acreage certification; require the surveyor’s reconciliation of the deed acreage to the surveyed acreage; require the delineation overlay under § 10.5; and obtain a corrective letter from the consultant. Exhibit A to the draft uses the recorded descriptions and flags the discrepancy rather than adopting either set of acreage figures.</w:t>
      </w:r>
    </w:p>
    <w:p>
      <w:pPr>
        <w:spacing w:after="80"/>
        <w:ind w:left="432"/>
        <w:jc w:val="both"/>
      </w:pPr>
      <w:r>
        <w:rPr>
          <w:b/>
          <w:i/>
          <w:sz w:val="19"/>
        </w:rPr>
        <w:t xml:space="preserve">Where addressed.  </w:t>
      </w:r>
      <w:r>
        <w:rPr>
          <w:sz w:val="19"/>
        </w:rPr>
        <w:t>§ 13.5, § 10.5, and Exhibit A.</w:t>
      </w:r>
    </w:p>
    <w:p>
      <w:pPr>
        <w:keepNext/>
        <w:spacing w:before="220" w:after="60"/>
      </w:pPr>
      <w:r>
        <w:rPr>
          <w:b/>
          <w:sz w:val="21"/>
        </w:rPr>
        <w:t>E-5.  The Appraisal states that historic district architectural review approval has been obtained; the title officer reports no evidence of submission or approval</w:t>
      </w:r>
      <w:r>
        <w:rPr>
          <w:b/>
          <w:color w:val="8B1A1A"/>
          <w:sz w:val="17"/>
        </w:rPr>
        <w:t xml:space="preserve">   [Critical]</w:t>
      </w:r>
    </w:p>
    <w:p>
      <w:pPr>
        <w:spacing w:after="80"/>
        <w:ind w:left="432"/>
        <w:jc w:val="both"/>
      </w:pPr>
      <w:r>
        <w:rPr>
          <w:b/>
          <w:i/>
          <w:sz w:val="19"/>
        </w:rPr>
        <w:t xml:space="preserve">Sources.  </w:t>
      </w:r>
      <w:r>
        <w:rPr>
          <w:sz w:val="19"/>
        </w:rPr>
        <w:t>Appraisal § 2 (“the architectural design has been reviewed and approved by the Brightleaf Historic District Association in accordance with the CC&amp;Rs”); Title Commitment Schedule B-II Item 11 and the Title Officer’s note (“The Company has not received evidence that the current project plans … have been submitted to or approved by the Brightleaf Historic District Association Architectural Review Committee”); Credit Memorandum § 9.8 and § 10.1.14 (treat approval as outstanding).</w:t>
      </w:r>
    </w:p>
    <w:p>
      <w:pPr>
        <w:spacing w:after="80"/>
        <w:ind w:left="432"/>
        <w:jc w:val="both"/>
      </w:pPr>
      <w:r>
        <w:rPr>
          <w:b/>
          <w:i/>
          <w:sz w:val="19"/>
        </w:rPr>
        <w:t xml:space="preserve">Discrepancy.  </w:t>
      </w:r>
      <w:r>
        <w:rPr>
          <w:sz w:val="19"/>
        </w:rPr>
        <w:t>A direct contradiction. The Declaration (recorded in Book 6984, Page 1155, as amended in Book 7102, Page 388) requires submission of all development plans to the Architectural Review Committee at least 90 days before construction, requires written approval (or deemed approval after 60 days of complete submission) as a condition to any building permit application, and gives the Association and any property owner the right to seek injunctive relief to stop unapproved construction.</w:t>
      </w:r>
    </w:p>
    <w:p>
      <w:pPr>
        <w:spacing w:after="80"/>
        <w:ind w:left="432"/>
        <w:jc w:val="both"/>
      </w:pPr>
      <w:r>
        <w:rPr>
          <w:b/>
          <w:i/>
          <w:sz w:val="19"/>
        </w:rPr>
        <w:t xml:space="preserve">Impact.  </w:t>
      </w:r>
      <w:r>
        <w:rPr>
          <w:sz w:val="19"/>
        </w:rPr>
        <w:t>If approval is not in place, the City can be expected to withhold the building permit and the Association can enjoin construction, which would be an immediate and expensive stoppage on a project whose construction maturity date already precedes its completion date. Reliance on the Appraisal’s statement would be misplaced: the appraiser’s scope did not include a title or covenant review.</w:t>
      </w:r>
    </w:p>
    <w:p>
      <w:pPr>
        <w:spacing w:after="80"/>
        <w:ind w:left="432"/>
        <w:jc w:val="both"/>
      </w:pPr>
      <w:r>
        <w:rPr>
          <w:b/>
          <w:i/>
          <w:sz w:val="19"/>
        </w:rPr>
        <w:t xml:space="preserve">Recommendation.  </w:t>
      </w:r>
      <w:r>
        <w:rPr>
          <w:sz w:val="19"/>
        </w:rPr>
        <w:t>Obtain a copy of the ARC approval letter, or a certificate of the Association that the 60-day deemed-approval period has run on a complete submission (with the submission date and the completeness determination documented). Also obtain an estoppel or letter from the Association confirming no default, no pending enforcement, and no unsatisfied conditions of approval, and confirm that no owner within the district has asserted an objection.</w:t>
      </w:r>
    </w:p>
    <w:p>
      <w:pPr>
        <w:spacing w:after="80"/>
        <w:ind w:left="432"/>
        <w:jc w:val="both"/>
      </w:pPr>
      <w:r>
        <w:rPr>
          <w:b/>
          <w:i/>
          <w:sz w:val="19"/>
        </w:rPr>
        <w:t xml:space="preserve">Where addressed.  </w:t>
      </w:r>
      <w:r>
        <w:rPr>
          <w:sz w:val="19"/>
        </w:rPr>
        <w:t>§ 3.1(g), § 7.1(k), and § 8.1(h).</w:t>
      </w:r>
    </w:p>
    <w:p>
      <w:pPr>
        <w:keepNext/>
        <w:spacing w:before="220" w:after="60"/>
      </w:pPr>
      <w:r>
        <w:rPr>
          <w:b/>
          <w:sz w:val="21"/>
        </w:rPr>
        <w:t>E-6.  The title commitment expires June 5, 2025 and the owner’s policy amount and cost allocation are unconfirmed</w:t>
      </w:r>
      <w:r>
        <w:rPr>
          <w:b/>
          <w:color w:val="555555"/>
          <w:sz w:val="17"/>
        </w:rPr>
        <w:t xml:space="preserve">   [Low]</w:t>
      </w:r>
    </w:p>
    <w:p>
      <w:pPr>
        <w:spacing w:after="80"/>
        <w:ind w:left="432"/>
        <w:jc w:val="both"/>
      </w:pPr>
      <w:r>
        <w:rPr>
          <w:b/>
          <w:i/>
          <w:sz w:val="19"/>
        </w:rPr>
        <w:t xml:space="preserve">Sources.  </w:t>
      </w:r>
      <w:r>
        <w:rPr>
          <w:sz w:val="19"/>
        </w:rPr>
        <w:t>Title Commitment Note 1 (expiration six months after December 5, 2024); Schedule A (loan policy $47,500,000; owner’s policy $8,900,000 to Borrower); Borrower’s Detailed Budget line 3.07 (title insurance and recording $245,000 funded by the senior Loan).</w:t>
      </w:r>
    </w:p>
    <w:p>
      <w:pPr>
        <w:spacing w:after="80"/>
        <w:ind w:left="432"/>
        <w:jc w:val="both"/>
      </w:pPr>
      <w:r>
        <w:rPr>
          <w:b/>
          <w:i/>
          <w:sz w:val="19"/>
        </w:rPr>
        <w:t xml:space="preserve">Discrepancy.  </w:t>
      </w:r>
      <w:r>
        <w:rPr>
          <w:sz w:val="19"/>
        </w:rPr>
        <w:t>The commitment expires roughly three months after the target closing, which is adequate if closing occurs on time but not if it slips. The budget funds title premiums, including the owner’s policy, from loan proceeds, although the Term Sheet obligates the Borrower to pay title costs (§ 21.5) and the Loan Amount is the insured amount that matters to the Bank.</w:t>
      </w:r>
    </w:p>
    <w:p>
      <w:pPr>
        <w:spacing w:after="80"/>
        <w:ind w:left="432"/>
        <w:jc w:val="both"/>
      </w:pPr>
      <w:r>
        <w:rPr>
          <w:b/>
          <w:i/>
          <w:sz w:val="19"/>
        </w:rPr>
        <w:t xml:space="preserve">Recommendation.  </w:t>
      </w:r>
      <w:r>
        <w:rPr>
          <w:sz w:val="19"/>
        </w:rPr>
        <w:t>Require an extension or re-issuance if closing occurs after May 1, 2025. Confirm whether the Borrower intends to purchase an owner’s policy at its own expense; if the premium is funded from loan proceeds it should appear as an identified budget line, and the Bank should not fund an owner’s policy that benefits only the Borrower without Committee awareness.</w:t>
      </w:r>
    </w:p>
    <w:p>
      <w:pPr>
        <w:spacing w:after="80"/>
        <w:ind w:left="432"/>
        <w:jc w:val="both"/>
      </w:pPr>
      <w:r>
        <w:rPr>
          <w:b/>
          <w:i/>
          <w:sz w:val="19"/>
        </w:rPr>
        <w:t xml:space="preserve">Where addressed.  </w:t>
      </w:r>
      <w:r>
        <w:rPr>
          <w:sz w:val="19"/>
        </w:rPr>
        <w:t>Schedule 3, line 3.07; § 13.3.</w:t>
      </w:r>
    </w:p>
    <w:p>
      <w:pPr>
        <w:keepNext/>
        <w:spacing w:before="200" w:after="60"/>
      </w:pPr>
      <w:r>
        <w:rPr>
          <w:b/>
          <w:sz w:val="23"/>
        </w:rPr>
        <w:t>F.  Construction budget and draw schedule</w:t>
      </w:r>
    </w:p>
    <w:p>
      <w:pPr>
        <w:keepNext/>
        <w:spacing w:before="220" w:after="60"/>
      </w:pPr>
      <w:r>
        <w:rPr>
          <w:b/>
          <w:sz w:val="21"/>
        </w:rPr>
        <w:t>F-1.  The Borrower’s draw schedule does not withhold retainage, over-advances hard costs by $3,475,000, and contains four separate footing errors</w:t>
      </w:r>
      <w:r>
        <w:rPr>
          <w:b/>
          <w:color w:val="9A5B00"/>
          <w:sz w:val="17"/>
        </w:rPr>
        <w:t xml:space="preserve">   [High]</w:t>
      </w:r>
    </w:p>
    <w:p>
      <w:pPr>
        <w:spacing w:after="80"/>
        <w:ind w:left="432"/>
        <w:jc w:val="both"/>
      </w:pPr>
      <w:r>
        <w:rPr>
          <w:b/>
          <w:i/>
          <w:sz w:val="19"/>
        </w:rPr>
        <w:t xml:space="preserve">Sources.  </w:t>
      </w:r>
      <w:r>
        <w:rPr>
          <w:sz w:val="19"/>
        </w:rPr>
        <w:t>Borrower’s “Draw Schedule” tab, Section 1, dated January 8, 2025; Term Sheet § 9.1 (10% retainage on all hard cost disbursements, held by the Lender) and § 9.2 (Draw 9 “Retainage Release” $3,275,000); Credit Memorandum § 7.1 (“The retainage amount of $3,275,000 represents approximately 9.4% of the hard construction cost GMP”).</w:t>
      </w:r>
    </w:p>
    <w:p>
      <w:pPr>
        <w:spacing w:after="80"/>
        <w:ind w:left="432"/>
        <w:jc w:val="both"/>
      </w:pPr>
      <w:r>
        <w:rPr>
          <w:b/>
          <w:i/>
          <w:sz w:val="19"/>
        </w:rPr>
        <w:t xml:space="preserve">Discrepancy.  </w:t>
      </w:r>
      <w:r>
        <w:rPr>
          <w:sz w:val="19"/>
        </w:rPr>
        <w:t>The schedule presents four columns for each draw (gross hard cost, retainage, net, total draw), but the total draw for Draws 2 through 8 equals the gross amount in every case, so no retainage is actually withheld. Cumulative hard-cost funding is therefore $34,750,000 through Draw 8 plus a further $3,475,000 of “retainage release” at Draw 9 = $38,225,000 against a Guaranteed Maximum Price of $34,750,000: a $3,475,000 over-advance. Separately, the TOTAL row reports $47,500,000 although its cells sum to $48,500,000; the Developer Fee column cells sum to $923,750 against a stated $2,835,000; the Contingency column cells sum to $3,351,250 against a stated $1,440,000; the Retainage column cells sum to $(3,475,000) against a stated $0; and the Draw 9 row does not foot ($3,475,000 − $3,475,000 + $200,000 + $600,000 = $800,000 against a stated $3,275,000). Finally, the Term Sheet and the Credit Memorandum treat the retainage as 10% of the GMP ($3,475,000) but provide a release of $3,275,000, a $200,000 shortfall, and the Credit Memorandum rationalizes the difference by describing the release as 9.4% without noting the inconsistency.</w:t>
      </w:r>
    </w:p>
    <w:p>
      <w:pPr>
        <w:spacing w:after="80"/>
        <w:ind w:left="432"/>
        <w:jc w:val="both"/>
      </w:pPr>
      <w:r>
        <w:rPr>
          <w:b/>
          <w:i/>
          <w:sz w:val="19"/>
        </w:rPr>
        <w:t xml:space="preserve">Impact.  </w:t>
      </w:r>
      <w:r>
        <w:rPr>
          <w:sz w:val="19"/>
        </w:rPr>
        <w:t>The schedule, if used to fund the loan, would disburse $3,475,000 more for hard costs than the contract price supports, and would do so by relabeling retained funds as Developer Fee and Contingency within the same draw lines. That the Term Sheet’s Draw 9 is stated as $3,275,000 — precisely the sum of the senior-funded Developer Fee ($1,835,000) and the Contingency ($1,440,000) — is consistent with the retainage line having been used to fund those two items. That is the mechanism by which the appearance of reconciliation is achieved. The Borrower also cannot prepare a compliant draw request or an accurate budget reconciliation from a document that does not foot.</w:t>
      </w:r>
    </w:p>
    <w:p>
      <w:pPr>
        <w:spacing w:after="80"/>
        <w:ind w:left="432"/>
        <w:jc w:val="both"/>
      </w:pPr>
      <w:r>
        <w:rPr>
          <w:b/>
          <w:i/>
          <w:sz w:val="19"/>
        </w:rPr>
        <w:t xml:space="preserve">Recommendation.  </w:t>
      </w:r>
      <w:r>
        <w:rPr>
          <w:sz w:val="19"/>
        </w:rPr>
        <w:t>Do not approve the schedule. Require a corrected schedule before closing, and adopt the restated Schedule 4 to the Loan Agreement, which withholds 10% Retainage from each hard-cost advance, separates the Developer Fee (conditional, subordinate) and the Contingency (drawn only against approved change orders) from the Retainage Release, and reconciles to $47,500,000 of commitment with $34,750,000 of hard-cost funding. Require the Construction Inspector to reconcile every draw to the GMP schedule of values and to confirm that no amount allocable to retained work is being disbursed.</w:t>
      </w:r>
    </w:p>
    <w:p>
      <w:pPr>
        <w:spacing w:after="80"/>
        <w:ind w:left="432"/>
        <w:jc w:val="both"/>
      </w:pPr>
      <w:r>
        <w:rPr>
          <w:b/>
          <w:i/>
          <w:sz w:val="19"/>
        </w:rPr>
        <w:t xml:space="preserve">Where addressed.  </w:t>
      </w:r>
      <w:r>
        <w:rPr>
          <w:sz w:val="19"/>
        </w:rPr>
        <w:t>Schedule 4 (restated, with reconciliation table), § 5.3, § 5.8, and § 5.13.</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800"/>
        <w:gridCol w:w="2160"/>
        <w:gridCol w:w="2232"/>
        <w:gridCol w:w="1440"/>
        <w:gridCol w:w="1296"/>
      </w:tblGrid>
      <w:tr>
        <w:trPr>
          <w:cantSplit/>
        </w:trPr>
        <w:tc>
          <w:tcPr>
            <w:tcW w:type="dxa" w:w="1800"/>
            <w:shd w:val="clear" w:color="auto" w:fill="1F3353"/>
          </w:tcPr>
          <w:p>
            <w:pPr>
              <w:spacing w:after="20" w:before="20"/>
            </w:pPr>
            <w:r/>
            <w:r>
              <w:rPr>
                <w:b/>
                <w:color w:val="FFFFFF"/>
                <w:sz w:val="16"/>
              </w:rPr>
              <w:t>Draw</w:t>
            </w:r>
          </w:p>
        </w:tc>
        <w:tc>
          <w:tcPr>
            <w:tcW w:type="dxa" w:w="2160"/>
            <w:shd w:val="clear" w:color="auto" w:fill="1F3353"/>
          </w:tcPr>
          <w:p>
            <w:pPr>
              <w:spacing w:after="20" w:before="20"/>
            </w:pPr>
            <w:r/>
            <w:r>
              <w:rPr>
                <w:b/>
                <w:color w:val="FFFFFF"/>
                <w:sz w:val="16"/>
              </w:rPr>
              <w:t>Borrower’s schedule: total draw</w:t>
            </w:r>
          </w:p>
        </w:tc>
        <w:tc>
          <w:tcPr>
            <w:tcW w:type="dxa" w:w="2232"/>
            <w:shd w:val="clear" w:color="auto" w:fill="1F3353"/>
          </w:tcPr>
          <w:p>
            <w:pPr>
              <w:spacing w:after="20" w:before="20"/>
            </w:pPr>
            <w:r/>
            <w:r>
              <w:rPr>
                <w:b/>
                <w:color w:val="FFFFFF"/>
                <w:sz w:val="16"/>
              </w:rPr>
              <w:t>Retainage actually withheld</w:t>
            </w:r>
          </w:p>
        </w:tc>
        <w:tc>
          <w:tcPr>
            <w:tcW w:type="dxa" w:w="1440"/>
            <w:shd w:val="clear" w:color="auto" w:fill="1F3353"/>
          </w:tcPr>
          <w:p>
            <w:pPr>
              <w:spacing w:after="20" w:before="20"/>
            </w:pPr>
            <w:r/>
            <w:r>
              <w:rPr>
                <w:b/>
                <w:color w:val="FFFFFF"/>
                <w:sz w:val="16"/>
              </w:rPr>
              <w:t>Restated: total advance</w:t>
            </w:r>
          </w:p>
        </w:tc>
        <w:tc>
          <w:tcPr>
            <w:tcW w:type="dxa" w:w="1296"/>
            <w:shd w:val="clear" w:color="auto" w:fill="1F3353"/>
          </w:tcPr>
          <w:p>
            <w:pPr>
              <w:spacing w:after="20" w:before="20"/>
            </w:pPr>
            <w:r/>
            <w:r>
              <w:rPr>
                <w:b/>
                <w:color w:val="FFFFFF"/>
                <w:sz w:val="16"/>
              </w:rPr>
              <w:t>Cumulative (restated)</w:t>
            </w:r>
          </w:p>
        </w:tc>
      </w:tr>
      <w:tr>
        <w:trPr>
          <w:cantSplit/>
        </w:trPr>
        <w:tc>
          <w:tcPr>
            <w:tcW w:type="dxa" w:w="1800"/>
          </w:tcPr>
          <w:p>
            <w:pPr>
              <w:spacing w:after="20" w:before="20"/>
            </w:pPr>
            <w:r/>
            <w:r>
              <w:rPr>
                <w:sz w:val="16"/>
              </w:rPr>
              <w:t>1 — Closing</w:t>
            </w:r>
          </w:p>
        </w:tc>
        <w:tc>
          <w:tcPr>
            <w:tcW w:type="dxa" w:w="2160"/>
          </w:tcPr>
          <w:p>
            <w:pPr>
              <w:spacing w:after="20" w:before="20"/>
              <w:jc w:val="right"/>
            </w:pPr>
            <w:r/>
            <w:r>
              <w:rPr>
                <w:sz w:val="16"/>
              </w:rPr>
              <w:t>$9,475,000</w:t>
            </w:r>
          </w:p>
        </w:tc>
        <w:tc>
          <w:tcPr>
            <w:tcW w:type="dxa" w:w="2232"/>
          </w:tcPr>
          <w:p>
            <w:pPr>
              <w:spacing w:after="20" w:before="20"/>
            </w:pPr>
            <w:r/>
            <w:r>
              <w:rPr>
                <w:sz w:val="16"/>
              </w:rPr>
              <w:t>n/a</w:t>
            </w:r>
          </w:p>
        </w:tc>
        <w:tc>
          <w:tcPr>
            <w:tcW w:type="dxa" w:w="1440"/>
          </w:tcPr>
          <w:p>
            <w:pPr>
              <w:spacing w:after="20" w:before="20"/>
              <w:jc w:val="right"/>
            </w:pPr>
            <w:r/>
            <w:r>
              <w:rPr>
                <w:sz w:val="16"/>
              </w:rPr>
              <w:t>$9,475,000</w:t>
            </w:r>
          </w:p>
        </w:tc>
        <w:tc>
          <w:tcPr>
            <w:tcW w:type="dxa" w:w="1296"/>
          </w:tcPr>
          <w:p>
            <w:pPr>
              <w:spacing w:after="20" w:before="20"/>
              <w:jc w:val="right"/>
            </w:pPr>
            <w:r/>
            <w:r>
              <w:rPr>
                <w:sz w:val="16"/>
              </w:rPr>
              <w:t>$9,475,000</w:t>
            </w:r>
          </w:p>
        </w:tc>
      </w:tr>
      <w:tr>
        <w:trPr>
          <w:cantSplit/>
        </w:trPr>
        <w:tc>
          <w:tcPr>
            <w:tcW w:type="dxa" w:w="1800"/>
          </w:tcPr>
          <w:p>
            <w:pPr>
              <w:spacing w:after="20" w:before="20"/>
            </w:pPr>
            <w:r/>
            <w:r>
              <w:rPr>
                <w:sz w:val="16"/>
              </w:rPr>
              <w:t>2 through 8 — Hard costs</w:t>
            </w:r>
          </w:p>
        </w:tc>
        <w:tc>
          <w:tcPr>
            <w:tcW w:type="dxa" w:w="2160"/>
          </w:tcPr>
          <w:p>
            <w:pPr>
              <w:spacing w:after="20" w:before="20"/>
              <w:jc w:val="right"/>
            </w:pPr>
            <w:r/>
            <w:r>
              <w:rPr>
                <w:sz w:val="16"/>
              </w:rPr>
              <w:t>$34,750,000</w:t>
            </w:r>
          </w:p>
        </w:tc>
        <w:tc>
          <w:tcPr>
            <w:tcW w:type="dxa" w:w="2232"/>
          </w:tcPr>
          <w:p>
            <w:pPr>
              <w:spacing w:after="20" w:before="20"/>
            </w:pPr>
            <w:r/>
            <w:r>
              <w:rPr>
                <w:sz w:val="16"/>
              </w:rPr>
              <w:t>$0</w:t>
            </w:r>
          </w:p>
        </w:tc>
        <w:tc>
          <w:tcPr>
            <w:tcW w:type="dxa" w:w="1440"/>
          </w:tcPr>
          <w:p>
            <w:pPr>
              <w:spacing w:after="20" w:before="20"/>
              <w:jc w:val="right"/>
            </w:pPr>
            <w:r/>
            <w:r>
              <w:rPr>
                <w:sz w:val="16"/>
              </w:rPr>
              <w:t>$31,275,000</w:t>
            </w:r>
          </w:p>
        </w:tc>
        <w:tc>
          <w:tcPr>
            <w:tcW w:type="dxa" w:w="1296"/>
          </w:tcPr>
          <w:p>
            <w:pPr>
              <w:spacing w:after="20" w:before="20"/>
              <w:jc w:val="right"/>
            </w:pPr>
            <w:r/>
            <w:r>
              <w:rPr>
                <w:sz w:val="16"/>
              </w:rPr>
              <w:t>$40,750,000</w:t>
            </w:r>
          </w:p>
        </w:tc>
      </w:tr>
      <w:tr>
        <w:trPr>
          <w:cantSplit/>
        </w:trPr>
        <w:tc>
          <w:tcPr>
            <w:tcW w:type="dxa" w:w="1800"/>
          </w:tcPr>
          <w:p>
            <w:pPr>
              <w:spacing w:after="20" w:before="20"/>
            </w:pPr>
            <w:r/>
            <w:r>
              <w:rPr>
                <w:sz w:val="16"/>
              </w:rPr>
              <w:t>9 — “Retainage Release”</w:t>
            </w:r>
          </w:p>
        </w:tc>
        <w:tc>
          <w:tcPr>
            <w:tcW w:type="dxa" w:w="2160"/>
          </w:tcPr>
          <w:p>
            <w:pPr>
              <w:spacing w:after="20" w:before="20"/>
              <w:jc w:val="right"/>
            </w:pPr>
            <w:r/>
            <w:r>
              <w:rPr>
                <w:sz w:val="16"/>
              </w:rPr>
              <w:t>$3,275,000</w:t>
            </w:r>
          </w:p>
        </w:tc>
        <w:tc>
          <w:tcPr>
            <w:tcW w:type="dxa" w:w="2232"/>
          </w:tcPr>
          <w:p>
            <w:pPr>
              <w:spacing w:after="20" w:before="20"/>
            </w:pPr>
            <w:r/>
            <w:r>
              <w:rPr>
                <w:sz w:val="16"/>
              </w:rPr>
              <w:t>$(3,475,000) shown but re-advanced</w:t>
            </w:r>
          </w:p>
        </w:tc>
        <w:tc>
          <w:tcPr>
            <w:tcW w:type="dxa" w:w="1440"/>
          </w:tcPr>
          <w:p>
            <w:pPr>
              <w:spacing w:after="20" w:before="20"/>
              <w:jc w:val="right"/>
            </w:pPr>
            <w:r/>
            <w:r>
              <w:rPr>
                <w:sz w:val="16"/>
              </w:rPr>
              <w:t>$3,475,000</w:t>
            </w:r>
          </w:p>
        </w:tc>
        <w:tc>
          <w:tcPr>
            <w:tcW w:type="dxa" w:w="1296"/>
          </w:tcPr>
          <w:p>
            <w:pPr>
              <w:spacing w:after="20" w:before="20"/>
              <w:jc w:val="right"/>
            </w:pPr>
            <w:r/>
            <w:r>
              <w:rPr>
                <w:sz w:val="16"/>
              </w:rPr>
              <w:t>$44,225,000</w:t>
            </w:r>
          </w:p>
        </w:tc>
      </w:tr>
      <w:tr>
        <w:trPr>
          <w:cantSplit/>
        </w:trPr>
        <w:tc>
          <w:tcPr>
            <w:tcW w:type="dxa" w:w="1800"/>
          </w:tcPr>
          <w:p>
            <w:pPr>
              <w:spacing w:after="20" w:before="20"/>
            </w:pPr>
            <w:r/>
            <w:r>
              <w:rPr>
                <w:sz w:val="16"/>
              </w:rPr>
              <w:t>10 — Developer Fee</w:t>
            </w:r>
          </w:p>
        </w:tc>
        <w:tc>
          <w:tcPr>
            <w:tcW w:type="dxa" w:w="2160"/>
          </w:tcPr>
          <w:p>
            <w:pPr>
              <w:spacing w:after="20" w:before="20"/>
              <w:jc w:val="right"/>
            </w:pPr>
            <w:r/>
            <w:r>
              <w:rPr>
                <w:sz w:val="16"/>
              </w:rPr>
              <w:t>embedded in Draws 6–9</w:t>
            </w:r>
          </w:p>
        </w:tc>
        <w:tc>
          <w:tcPr>
            <w:tcW w:type="dxa" w:w="2232"/>
          </w:tcPr>
          <w:p>
            <w:pPr>
              <w:spacing w:after="20" w:before="20"/>
            </w:pPr>
            <w:r/>
            <w:r>
              <w:rPr>
                <w:sz w:val="16"/>
              </w:rPr>
              <w:t>n/a</w:t>
            </w:r>
          </w:p>
        </w:tc>
        <w:tc>
          <w:tcPr>
            <w:tcW w:type="dxa" w:w="1440"/>
          </w:tcPr>
          <w:p>
            <w:pPr>
              <w:spacing w:after="20" w:before="20"/>
              <w:jc w:val="right"/>
            </w:pPr>
            <w:r/>
            <w:r>
              <w:rPr>
                <w:sz w:val="16"/>
              </w:rPr>
              <w:t>$1,835,000</w:t>
            </w:r>
          </w:p>
        </w:tc>
        <w:tc>
          <w:tcPr>
            <w:tcW w:type="dxa" w:w="1296"/>
          </w:tcPr>
          <w:p>
            <w:pPr>
              <w:spacing w:after="20" w:before="20"/>
              <w:jc w:val="right"/>
            </w:pPr>
            <w:r/>
            <w:r>
              <w:rPr>
                <w:sz w:val="16"/>
              </w:rPr>
              <w:t>$46,060,000</w:t>
            </w:r>
          </w:p>
        </w:tc>
      </w:tr>
      <w:tr>
        <w:trPr>
          <w:cantSplit/>
        </w:trPr>
        <w:tc>
          <w:tcPr>
            <w:tcW w:type="dxa" w:w="1800"/>
          </w:tcPr>
          <w:p>
            <w:pPr>
              <w:spacing w:after="20" w:before="20"/>
            </w:pPr>
            <w:r/>
            <w:r>
              <w:rPr>
                <w:sz w:val="16"/>
              </w:rPr>
              <w:t>11 — Contingency</w:t>
            </w:r>
          </w:p>
        </w:tc>
        <w:tc>
          <w:tcPr>
            <w:tcW w:type="dxa" w:w="2160"/>
          </w:tcPr>
          <w:p>
            <w:pPr>
              <w:spacing w:after="20" w:before="20"/>
              <w:jc w:val="right"/>
            </w:pPr>
            <w:r/>
            <w:r>
              <w:rPr>
                <w:sz w:val="16"/>
              </w:rPr>
              <w:t>embedded in Draws 2–9</w:t>
            </w:r>
          </w:p>
        </w:tc>
        <w:tc>
          <w:tcPr>
            <w:tcW w:type="dxa" w:w="2232"/>
          </w:tcPr>
          <w:p>
            <w:pPr>
              <w:spacing w:after="20" w:before="20"/>
            </w:pPr>
            <w:r/>
            <w:r>
              <w:rPr>
                <w:sz w:val="16"/>
              </w:rPr>
              <w:t>n/a</w:t>
            </w:r>
          </w:p>
        </w:tc>
        <w:tc>
          <w:tcPr>
            <w:tcW w:type="dxa" w:w="1440"/>
          </w:tcPr>
          <w:p>
            <w:pPr>
              <w:spacing w:after="20" w:before="20"/>
              <w:jc w:val="right"/>
            </w:pPr>
            <w:r/>
            <w:r>
              <w:rPr>
                <w:sz w:val="16"/>
              </w:rPr>
              <w:t>$1,440,000</w:t>
            </w:r>
          </w:p>
        </w:tc>
        <w:tc>
          <w:tcPr>
            <w:tcW w:type="dxa" w:w="1296"/>
          </w:tcPr>
          <w:p>
            <w:pPr>
              <w:spacing w:after="20" w:before="20"/>
              <w:jc w:val="right"/>
            </w:pPr>
            <w:r/>
            <w:r>
              <w:rPr>
                <w:sz w:val="16"/>
              </w:rPr>
              <w:t>$47,500,000</w:t>
            </w:r>
          </w:p>
        </w:tc>
      </w:tr>
      <w:tr>
        <w:trPr>
          <w:cantSplit/>
        </w:trPr>
        <w:tc>
          <w:tcPr>
            <w:tcW w:type="dxa" w:w="1800"/>
            <w:shd w:val="clear" w:color="auto" w:fill="EDEDED"/>
          </w:tcPr>
          <w:p>
            <w:pPr>
              <w:spacing w:after="20" w:before="20"/>
            </w:pPr>
            <w:r/>
            <w:r>
              <w:rPr>
                <w:b/>
                <w:sz w:val="16"/>
              </w:rPr>
              <w:t>Total</w:t>
            </w:r>
          </w:p>
        </w:tc>
        <w:tc>
          <w:tcPr>
            <w:tcW w:type="dxa" w:w="2160"/>
            <w:shd w:val="clear" w:color="auto" w:fill="EDEDED"/>
          </w:tcPr>
          <w:p>
            <w:pPr>
              <w:spacing w:after="20" w:before="20"/>
              <w:jc w:val="right"/>
            </w:pPr>
            <w:r/>
            <w:r>
              <w:rPr>
                <w:b/>
                <w:sz w:val="16"/>
              </w:rPr>
              <w:t>$47,500,000 (cells sum to $48,500,000)</w:t>
            </w:r>
          </w:p>
        </w:tc>
        <w:tc>
          <w:tcPr>
            <w:tcW w:type="dxa" w:w="2232"/>
            <w:shd w:val="clear" w:color="auto" w:fill="EDEDED"/>
          </w:tcPr>
          <w:p>
            <w:pPr>
              <w:spacing w:after="20" w:before="20"/>
            </w:pPr>
            <w:r/>
            <w:r>
              <w:rPr>
                <w:b/>
                <w:sz w:val="16"/>
              </w:rPr>
              <w:t>—</w:t>
            </w:r>
          </w:p>
        </w:tc>
        <w:tc>
          <w:tcPr>
            <w:tcW w:type="dxa" w:w="1440"/>
            <w:shd w:val="clear" w:color="auto" w:fill="EDEDED"/>
          </w:tcPr>
          <w:p>
            <w:pPr>
              <w:spacing w:after="20" w:before="20"/>
              <w:jc w:val="right"/>
            </w:pPr>
            <w:r/>
            <w:r>
              <w:rPr>
                <w:b/>
                <w:sz w:val="16"/>
              </w:rPr>
              <w:t>$47,500,000</w:t>
            </w:r>
          </w:p>
        </w:tc>
        <w:tc>
          <w:tcPr>
            <w:tcW w:type="dxa" w:w="1296"/>
            <w:shd w:val="clear" w:color="auto" w:fill="EDEDED"/>
          </w:tcPr>
          <w:p>
            <w:pPr>
              <w:spacing w:after="20" w:before="20"/>
              <w:jc w:val="right"/>
            </w:pPr>
            <w:r/>
            <w:r>
              <w:rPr>
                <w:b/>
                <w:sz w:val="16"/>
              </w:rPr>
              <w:t>—</w:t>
            </w:r>
          </w:p>
        </w:tc>
      </w:tr>
    </w:tbl>
    <w:p>
      <w:pPr>
        <w:spacing w:after="40"/>
      </w:pPr>
    </w:p>
    <w:p>
      <w:pPr>
        <w:keepNext/>
        <w:spacing w:before="220" w:after="60"/>
      </w:pPr>
      <w:r>
        <w:rPr>
          <w:b/>
          <w:sz w:val="21"/>
        </w:rPr>
        <w:t>F-2.  At least $1.7 million of required costs are not in the Approved Budget</w:t>
      </w:r>
      <w:r>
        <w:rPr>
          <w:b/>
          <w:color w:val="9A5B00"/>
          <w:sz w:val="17"/>
        </w:rPr>
        <w:t xml:space="preserve">   [High]</w:t>
      </w:r>
    </w:p>
    <w:p>
      <w:pPr>
        <w:spacing w:after="80"/>
        <w:ind w:left="432"/>
        <w:jc w:val="both"/>
      </w:pPr>
      <w:r>
        <w:rPr>
          <w:b/>
          <w:i/>
          <w:sz w:val="19"/>
        </w:rPr>
        <w:t xml:space="preserve">Sources.  </w:t>
      </w:r>
      <w:r>
        <w:rPr>
          <w:sz w:val="19"/>
        </w:rPr>
        <w:t>Borrower’s Detailed Budget (all tabs); Term Sheet §§ 3.4 (exit fee and unused line fee), 21.5 (Borrower pays Lender’s costs); Appraisal § 6.1 (demolition and remediation costs of approximately $680,000); Phase I ESA § 6.3 (remediation cost approximately $485,000); Title Commitment Schedule B-I Requirement 4 (Triangle Commercial Bank payoff).</w:t>
      </w:r>
    </w:p>
    <w:p>
      <w:pPr>
        <w:spacing w:after="80"/>
        <w:ind w:left="432"/>
        <w:jc w:val="both"/>
      </w:pPr>
      <w:r>
        <w:rPr>
          <w:b/>
          <w:i/>
          <w:sz w:val="19"/>
        </w:rPr>
        <w:t xml:space="preserve">Recomputation.  </w:t>
      </w:r>
      <w:r>
        <w:rPr>
          <w:sz w:val="19"/>
        </w:rPr>
        <w:t>Unbudgeted items we can quantify: unused line fee of approximately $119,000 (0.25% per annum on an assumed average undrawn balance of $19,000,000 over 2.5 years); exit fee of $237,500 if repaid during construction or $118,750 if repaid in the first six months of the mini-perm; pre-closing demolition and remediation of approximately $680,000 (or $485,000 of remediation alone), which are Project costs incurred before closing and outside the budget; and the interest reserve shortfall of $365,830 to $565,000 (Issue H-1). Items we cannot quantify from the record: the Triangle Commercial Bank payoff, retail tenant improvements (line 2.07 is core and shell only), and leasing commissions.</w:t>
      </w:r>
    </w:p>
    <w:p>
      <w:pPr>
        <w:spacing w:after="80"/>
        <w:ind w:left="432"/>
        <w:jc w:val="both"/>
      </w:pPr>
      <w:r>
        <w:rPr>
          <w:b/>
          <w:i/>
          <w:sz w:val="19"/>
        </w:rPr>
        <w:t xml:space="preserve">Impact.  </w:t>
      </w:r>
      <w:r>
        <w:rPr>
          <w:sz w:val="19"/>
        </w:rPr>
        <w:t>Each of these is a cost the Borrower must pay. With zero cash equity, each becomes either an overrun funded by the guarantors or an unfunded obligation that impairs completion. The pre-closing costs also bear on whether the stated Total Project Cost of $56,700,000 is a true all-in cost.</w:t>
      </w:r>
    </w:p>
    <w:p>
      <w:pPr>
        <w:spacing w:after="80"/>
        <w:ind w:left="432"/>
        <w:jc w:val="both"/>
      </w:pPr>
      <w:r>
        <w:rPr>
          <w:b/>
          <w:i/>
          <w:sz w:val="19"/>
        </w:rPr>
        <w:t xml:space="preserve">Recommendation.  </w:t>
      </w:r>
      <w:r>
        <w:rPr>
          <w:sz w:val="19"/>
        </w:rPr>
        <w:t>Add the quantifiable items to Total Project Costs, fund them with verified equity, and update the sources and uses. As noted in Issue A-1, this both cures the LTC breach and funds the reserve shortfall. Require the Borrower to confirm in writing that the budget is complete and that no material cost is omitted.</w:t>
      </w:r>
    </w:p>
    <w:p>
      <w:pPr>
        <w:spacing w:after="80"/>
        <w:ind w:left="432"/>
        <w:jc w:val="both"/>
      </w:pPr>
      <w:r>
        <w:rPr>
          <w:b/>
          <w:i/>
          <w:sz w:val="19"/>
        </w:rPr>
        <w:t xml:space="preserve">Where addressed.  </w:t>
      </w:r>
      <w:r>
        <w:rPr>
          <w:sz w:val="19"/>
        </w:rPr>
        <w:t>Schedule 3 (note identifying omitted costs) and § 9.1 (Total Project Costs defined to include actually incurred costs).</w:t>
      </w:r>
    </w:p>
    <w:p>
      <w:pPr>
        <w:keepNext/>
        <w:spacing w:before="220" w:after="60"/>
      </w:pPr>
      <w:r>
        <w:rPr>
          <w:b/>
          <w:sz w:val="21"/>
        </w:rPr>
        <w:t>F-3.  The contingency is 3.28% of hard costs for a 30-month wood-frame project in a historic district</w:t>
      </w:r>
      <w:r>
        <w:rPr>
          <w:b/>
          <w:color w:val="1F3353"/>
          <w:sz w:val="17"/>
        </w:rPr>
        <w:t xml:space="preserve">   [Medium]</w:t>
      </w:r>
    </w:p>
    <w:p>
      <w:pPr>
        <w:spacing w:after="80"/>
        <w:ind w:left="432"/>
        <w:jc w:val="both"/>
      </w:pPr>
      <w:r>
        <w:rPr>
          <w:b/>
          <w:i/>
          <w:sz w:val="19"/>
        </w:rPr>
        <w:t xml:space="preserve">Sources.  </w:t>
      </w:r>
      <w:r>
        <w:rPr>
          <w:sz w:val="19"/>
        </w:rPr>
        <w:t>Borrower’s Detailed Budget lines 6.01–6.02 ($1,140,000 hard cost contingency; $300,000 soft cost contingency); Credit Memorandum § 5.2 (describes the total $1,440,000 as “approximately 4.1% of hard construction costs”); Appraisal § 3 (Type III-A wood-frame superstructure over a reinforced concrete podium on driven piles).</w:t>
      </w:r>
    </w:p>
    <w:p>
      <w:pPr>
        <w:spacing w:after="80"/>
        <w:ind w:left="432"/>
        <w:jc w:val="both"/>
      </w:pPr>
      <w:r>
        <w:rPr>
          <w:b/>
          <w:i/>
          <w:sz w:val="19"/>
        </w:rPr>
        <w:t xml:space="preserve">Discrepancy.  </w:t>
      </w:r>
      <w:r>
        <w:rPr>
          <w:sz w:val="19"/>
        </w:rPr>
        <w:t>The $1,440,000 total is 4.14% of hard costs only if the soft cost component is counted against hard costs. Measured properly, the hard cost contingency is 3.28% and the soft cost contingency is 7.23% of soft costs. The Credit Memorandum’s presentation blends the two and overstates hard cost coverage.</w:t>
      </w:r>
    </w:p>
    <w:p>
      <w:pPr>
        <w:spacing w:after="80"/>
        <w:ind w:left="432"/>
        <w:jc w:val="both"/>
      </w:pPr>
      <w:r>
        <w:rPr>
          <w:b/>
          <w:i/>
          <w:sz w:val="19"/>
        </w:rPr>
        <w:t xml:space="preserve">Impact.  </w:t>
      </w:r>
      <w:r>
        <w:rPr>
          <w:sz w:val="19"/>
        </w:rPr>
        <w:t>Wood-frame construction over a podium on driven piles, in a historic district subject to architectural review, is a higher-change-order profile than the 3.3% contingency implies. An underfunded contingency becomes a guarantor obligation.</w:t>
      </w:r>
    </w:p>
    <w:p>
      <w:pPr>
        <w:spacing w:after="80"/>
        <w:ind w:left="432"/>
        <w:jc w:val="both"/>
      </w:pPr>
      <w:r>
        <w:rPr>
          <w:b/>
          <w:i/>
          <w:sz w:val="19"/>
        </w:rPr>
        <w:t xml:space="preserve">Recommendation.  </w:t>
      </w:r>
      <w:r>
        <w:rPr>
          <w:sz w:val="19"/>
        </w:rPr>
        <w:t>Confirm with the Borrower and Contractor that no change orders are pending or anticipated and that the GMP includes all site conditions; consider increasing the hard cost contingency to 5% ($1,737,500, an increase of $297,500) funded by equity, which further improves LTC under Issue A-1 option (2).</w:t>
      </w:r>
    </w:p>
    <w:p>
      <w:pPr>
        <w:spacing w:after="80"/>
        <w:ind w:left="432"/>
        <w:jc w:val="both"/>
      </w:pPr>
      <w:r>
        <w:rPr>
          <w:b/>
          <w:i/>
          <w:sz w:val="19"/>
        </w:rPr>
        <w:t xml:space="preserve">Where addressed.  </w:t>
      </w:r>
      <w:r>
        <w:rPr>
          <w:sz w:val="19"/>
        </w:rPr>
        <w:t>Schedule 3, lines 6.01–6.02; § 5.6 (overruns) and § 5.7 (change orders).</w:t>
      </w:r>
    </w:p>
    <w:p>
      <w:pPr>
        <w:keepNext/>
        <w:spacing w:before="220" w:after="60"/>
      </w:pPr>
      <w:r>
        <w:rPr>
          <w:b/>
          <w:sz w:val="21"/>
        </w:rPr>
        <w:t>F-4.  The Loan is described as a “single advance facility,” funded in nine draws, with an unused line fee</w:t>
      </w:r>
      <w:r>
        <w:rPr>
          <w:b/>
          <w:color w:val="1F3353"/>
          <w:sz w:val="17"/>
        </w:rPr>
        <w:t xml:space="preserve">   [Medium]</w:t>
      </w:r>
    </w:p>
    <w:p>
      <w:pPr>
        <w:spacing w:after="80"/>
        <w:ind w:left="432"/>
        <w:jc w:val="both"/>
      </w:pPr>
      <w:r>
        <w:rPr>
          <w:b/>
          <w:i/>
          <w:sz w:val="19"/>
        </w:rPr>
        <w:t xml:space="preserve">Sources.  </w:t>
      </w:r>
      <w:r>
        <w:rPr>
          <w:sz w:val="19"/>
        </w:rPr>
        <w:t>Term Sheet § 3.1 (“structured as a single advance facility, with loan proceeds to be disbursed in accordance with the approved draw schedule”), § 3.4 (unused line fee of 0.25% on the average daily undrawn commitment) and § 9.2 (nine milestone draws); Credit Memorandum § 4.1.</w:t>
      </w:r>
    </w:p>
    <w:p>
      <w:pPr>
        <w:spacing w:after="80"/>
        <w:ind w:left="432"/>
        <w:jc w:val="both"/>
      </w:pPr>
      <w:r>
        <w:rPr>
          <w:b/>
          <w:i/>
          <w:sz w:val="19"/>
        </w:rPr>
        <w:t xml:space="preserve">Discrepancy.  </w:t>
      </w:r>
      <w:r>
        <w:rPr>
          <w:sz w:val="19"/>
        </w:rPr>
        <w:t>The three provisions describe different facilities: a single-advance loan has no undrawn commitment and no milestone draws; an unused line fee is a revolving-credit concept.</w:t>
      </w:r>
    </w:p>
    <w:p>
      <w:pPr>
        <w:spacing w:after="80"/>
        <w:ind w:left="432"/>
        <w:jc w:val="both"/>
      </w:pPr>
      <w:r>
        <w:rPr>
          <w:b/>
          <w:i/>
          <w:sz w:val="19"/>
        </w:rPr>
        <w:t xml:space="preserve">Impact.  </w:t>
      </w:r>
      <w:r>
        <w:rPr>
          <w:sz w:val="19"/>
        </w:rPr>
        <w:t>Ambiguity in the fee basis and in whether undrawn amounts must be advanced on demand.</w:t>
      </w:r>
    </w:p>
    <w:p>
      <w:pPr>
        <w:spacing w:after="80"/>
        <w:ind w:left="432"/>
        <w:jc w:val="both"/>
      </w:pPr>
      <w:r>
        <w:rPr>
          <w:b/>
          <w:i/>
          <w:sz w:val="19"/>
        </w:rPr>
        <w:t xml:space="preserve">Recommendation.  </w:t>
      </w:r>
      <w:r>
        <w:rPr>
          <w:sz w:val="19"/>
        </w:rPr>
        <w:t>Confirm with the Committee whether the unused line fee is intended. The draft treats the commitment as non-revolving, advances in milestone draws, and preserves the fee on the average undrawn commitment (§ 2.2). If the fee is not intended, delete § 2.6(c) and confirm the deletion in the credit approval, since the fee is not in the Approved Budget either way (Issue F-2).</w:t>
      </w:r>
    </w:p>
    <w:p>
      <w:pPr>
        <w:spacing w:after="80"/>
        <w:ind w:left="432"/>
        <w:jc w:val="both"/>
      </w:pPr>
      <w:r>
        <w:rPr>
          <w:b/>
          <w:i/>
          <w:sz w:val="19"/>
        </w:rPr>
        <w:t xml:space="preserve">Where addressed.  </w:t>
      </w:r>
      <w:r>
        <w:rPr>
          <w:sz w:val="19"/>
        </w:rPr>
        <w:t>§ 2.2 and § 2.6(c).</w:t>
      </w:r>
    </w:p>
    <w:p>
      <w:pPr>
        <w:keepNext/>
        <w:spacing w:before="220" w:after="60"/>
      </w:pPr>
      <w:r>
        <w:rPr>
          <w:b/>
          <w:sz w:val="21"/>
        </w:rPr>
        <w:t>F-5.  Draw 1 equals 20% of the commitment at 0% completion and funds the Bank’s own transaction costs</w:t>
      </w:r>
      <w:r>
        <w:rPr>
          <w:b/>
          <w:color w:val="1F3353"/>
          <w:sz w:val="17"/>
        </w:rPr>
        <w:t xml:space="preserve">   [Medium]</w:t>
      </w:r>
    </w:p>
    <w:p>
      <w:pPr>
        <w:spacing w:after="80"/>
        <w:ind w:left="432"/>
        <w:jc w:val="both"/>
      </w:pPr>
      <w:r>
        <w:rPr>
          <w:b/>
          <w:i/>
          <w:sz w:val="19"/>
        </w:rPr>
        <w:t xml:space="preserve">Sources.  </w:t>
      </w:r>
      <w:r>
        <w:rPr>
          <w:sz w:val="19"/>
        </w:rPr>
        <w:t>Term Sheet § 9.2 (Draw 1 $9,475,000 at 0% complete); Borrower’s Detailed Budget lines 3.04 (lender legal and title $310,000) and 3.07 (title and recording $245,000), funded by the senior Loan.</w:t>
      </w:r>
    </w:p>
    <w:p>
      <w:pPr>
        <w:spacing w:after="80"/>
        <w:ind w:left="432"/>
        <w:jc w:val="both"/>
      </w:pPr>
      <w:r>
        <w:rPr>
          <w:b/>
          <w:i/>
          <w:sz w:val="19"/>
        </w:rPr>
        <w:t xml:space="preserve">Recomputation.  </w:t>
      </w:r>
      <w:r>
        <w:rPr>
          <w:sz w:val="19"/>
        </w:rPr>
        <w:t>Draw 1 is $9,475,000 of the $47,500,000 commitment, or 19.95%, advanced before any work is performed, comprising soft costs of $4,150,000 (of which $555,000 is the Bank’s own legal and title cost), the interest reserve of $4,850,000, and the origination fee of $475,000. On an all-in construction rate of 6.75%, Draw 1 alone accrues approximately $53,300 of interest per month.</w:t>
      </w:r>
    </w:p>
    <w:p>
      <w:pPr>
        <w:spacing w:after="80"/>
        <w:ind w:left="432"/>
        <w:jc w:val="both"/>
      </w:pPr>
      <w:r>
        <w:rPr>
          <w:b/>
          <w:i/>
          <w:sz w:val="19"/>
        </w:rPr>
        <w:t xml:space="preserve">Impact.  </w:t>
      </w:r>
      <w:r>
        <w:rPr>
          <w:sz w:val="19"/>
        </w:rPr>
        <w:t>The front-loaded draw raises the average outstanding balance above a linear assumption and therefore raises the interest cost, which is part of why the reserve analysis is sensitive to the draw curve.</w:t>
      </w:r>
    </w:p>
    <w:p>
      <w:pPr>
        <w:spacing w:after="80"/>
        <w:ind w:left="432"/>
        <w:jc w:val="both"/>
      </w:pPr>
      <w:r>
        <w:rPr>
          <w:b/>
          <w:i/>
          <w:sz w:val="19"/>
        </w:rPr>
        <w:t xml:space="preserve">Recommendation.  </w:t>
      </w:r>
      <w:r>
        <w:rPr>
          <w:sz w:val="19"/>
        </w:rPr>
        <w:t>Accept the structure as consistent with the Term Sheet, but consider escrowing the soft cost portion and reimbursing against invoices, and require the Borrower to pay its own transactional costs from equity rather than financing the Bank’s fees. If that change is made, the interest reserve requirement decreases correspondingly.</w:t>
      </w:r>
    </w:p>
    <w:p>
      <w:pPr>
        <w:spacing w:after="80"/>
        <w:ind w:left="432"/>
        <w:jc w:val="both"/>
      </w:pPr>
      <w:r>
        <w:rPr>
          <w:b/>
          <w:i/>
          <w:sz w:val="19"/>
        </w:rPr>
        <w:t xml:space="preserve">Where addressed.  </w:t>
      </w:r>
      <w:r>
        <w:rPr>
          <w:sz w:val="19"/>
        </w:rPr>
        <w:t>§ 5.1 and Schedule 4, Draw 1.</w:t>
      </w:r>
    </w:p>
    <w:p>
      <w:pPr>
        <w:keepNext/>
        <w:spacing w:before="220" w:after="60"/>
      </w:pPr>
      <w:r>
        <w:rPr>
          <w:b/>
          <w:sz w:val="21"/>
        </w:rPr>
        <w:t>F-6.  The GMP contract is reported as already executed, although its execution is also a closing condition</w:t>
      </w:r>
      <w:r>
        <w:rPr>
          <w:b/>
          <w:color w:val="9A5B00"/>
          <w:sz w:val="17"/>
        </w:rPr>
        <w:t xml:space="preserve">   [High]</w:t>
      </w:r>
    </w:p>
    <w:p>
      <w:pPr>
        <w:spacing w:after="80"/>
        <w:ind w:left="432"/>
        <w:jc w:val="both"/>
      </w:pPr>
      <w:r>
        <w:rPr>
          <w:b/>
          <w:i/>
          <w:sz w:val="19"/>
        </w:rPr>
        <w:t xml:space="preserve">Sources.  </w:t>
      </w:r>
      <w:r>
        <w:rPr>
          <w:sz w:val="19"/>
        </w:rPr>
        <w:t>Appraisal § 3 (“The GMP contract has been executed and a copy was provided to the appraiser for review”); Term Sheet § 11 and Credit Memorandum § 10.1.8 (execution and delivery of the construction contract as a condition precedent); Borrower’s Detailed Budget line 2.01 (site work including demolition, which has already occurred).</w:t>
      </w:r>
    </w:p>
    <w:p>
      <w:pPr>
        <w:spacing w:after="80"/>
        <w:ind w:left="432"/>
        <w:jc w:val="both"/>
      </w:pPr>
      <w:r>
        <w:rPr>
          <w:b/>
          <w:i/>
          <w:sz w:val="19"/>
        </w:rPr>
        <w:t xml:space="preserve">Discrepancy.  </w:t>
      </w:r>
      <w:r>
        <w:rPr>
          <w:sz w:val="19"/>
        </w:rPr>
        <w:t>If the contract is executed, the closing condition is either already satisfied or was never unmet; more importantly, execution may mean mobilization, procurement, or stored materials, which compounds the lien relation-back problem in Issue E-3.</w:t>
      </w:r>
    </w:p>
    <w:p>
      <w:pPr>
        <w:spacing w:after="80"/>
        <w:ind w:left="432"/>
        <w:jc w:val="both"/>
      </w:pPr>
      <w:r>
        <w:rPr>
          <w:b/>
          <w:i/>
          <w:sz w:val="19"/>
        </w:rPr>
        <w:t xml:space="preserve">Impact.  </w:t>
      </w:r>
      <w:r>
        <w:rPr>
          <w:sz w:val="19"/>
        </w:rPr>
        <w:t>The Bank does not know whether work has commenced or costs have been incurred under a contract it has not seen, approved, or received by collateral assignment.</w:t>
      </w:r>
    </w:p>
    <w:p>
      <w:pPr>
        <w:spacing w:after="80"/>
        <w:ind w:left="432"/>
        <w:jc w:val="both"/>
      </w:pPr>
      <w:r>
        <w:rPr>
          <w:b/>
          <w:i/>
          <w:sz w:val="19"/>
        </w:rPr>
        <w:t xml:space="preserve">Recommendation.  </w:t>
      </w:r>
      <w:r>
        <w:rPr>
          <w:sz w:val="19"/>
        </w:rPr>
        <w:t>Obtain the fully executed contract with all exhibits and the schedule of values, confirm the execution date and the status of any work, materials, or long-lead procurement, and condition closing on delivery of the collateral assignment, the contractor’s consent, and the waivers described in Issue E-3.</w:t>
      </w:r>
    </w:p>
    <w:p>
      <w:pPr>
        <w:spacing w:after="80"/>
        <w:ind w:left="432"/>
        <w:jc w:val="both"/>
      </w:pPr>
      <w:r>
        <w:rPr>
          <w:b/>
          <w:i/>
          <w:sz w:val="19"/>
        </w:rPr>
        <w:t xml:space="preserve">Where addressed.  </w:t>
      </w:r>
      <w:r>
        <w:rPr>
          <w:sz w:val="19"/>
        </w:rPr>
        <w:t>§ 3.1(l) and § 13.4.</w:t>
      </w:r>
    </w:p>
    <w:p>
      <w:pPr>
        <w:keepNext/>
        <w:spacing w:before="220" w:after="60"/>
      </w:pPr>
      <w:r>
        <w:rPr>
          <w:b/>
          <w:sz w:val="21"/>
        </w:rPr>
        <w:t>F-7.  No payment or performance bonds are required anywhere in the record</w:t>
      </w:r>
      <w:r>
        <w:rPr>
          <w:b/>
          <w:color w:val="1F3353"/>
          <w:sz w:val="17"/>
        </w:rPr>
        <w:t xml:space="preserve">   [Medium]</w:t>
      </w:r>
    </w:p>
    <w:p>
      <w:pPr>
        <w:spacing w:after="80"/>
        <w:ind w:left="432"/>
        <w:jc w:val="both"/>
      </w:pPr>
      <w:r>
        <w:rPr>
          <w:b/>
          <w:i/>
          <w:sz w:val="19"/>
        </w:rPr>
        <w:t xml:space="preserve">Sources.  </w:t>
      </w:r>
      <w:r>
        <w:rPr>
          <w:sz w:val="19"/>
        </w:rPr>
        <w:t>Term Sheet §§ 8 and 11 (collateral assignment of the construction contract; no bond requirement); Credit Memorandum § 9.8 (recommends verifying the contractor’s “financial strength and payment and performance bonding capacity” but does not require bonds).</w:t>
      </w:r>
    </w:p>
    <w:p>
      <w:pPr>
        <w:spacing w:after="80"/>
        <w:ind w:left="432"/>
        <w:jc w:val="both"/>
      </w:pPr>
      <w:r>
        <w:rPr>
          <w:b/>
          <w:i/>
          <w:sz w:val="19"/>
        </w:rPr>
        <w:t xml:space="preserve">Discrepancy.  </w:t>
      </w:r>
      <w:r>
        <w:rPr>
          <w:sz w:val="19"/>
        </w:rPr>
        <w:t>A $34,750,000 GMP contract with a single general contractor is the principal construction risk in the transaction, and the record contains no bonding requirement and no contractor financial information.</w:t>
      </w:r>
    </w:p>
    <w:p>
      <w:pPr>
        <w:spacing w:after="80"/>
        <w:ind w:left="432"/>
        <w:jc w:val="both"/>
      </w:pPr>
      <w:r>
        <w:rPr>
          <w:b/>
          <w:i/>
          <w:sz w:val="19"/>
        </w:rPr>
        <w:t xml:space="preserve">Impact.  </w:t>
      </w:r>
      <w:r>
        <w:rPr>
          <w:sz w:val="19"/>
        </w:rPr>
        <w:t>If the contractor fails, the completion guaranty bears the entire burden of completing the work, and the guarantors’ net worth is the Bank’s only recourse.</w:t>
      </w:r>
    </w:p>
    <w:p>
      <w:pPr>
        <w:spacing w:after="80"/>
        <w:ind w:left="432"/>
        <w:jc w:val="both"/>
      </w:pPr>
      <w:r>
        <w:rPr>
          <w:b/>
          <w:i/>
          <w:sz w:val="19"/>
        </w:rPr>
        <w:t xml:space="preserve">Recommendation.  </w:t>
      </w:r>
      <w:r>
        <w:rPr>
          <w:sz w:val="19"/>
        </w:rPr>
        <w:t>Require payment and performance bonds in the full GMP amount, naming the Bank as dual obligee, issued by a surety rated A- VIII or better, and require the contractor’s most recent audited financial statements, a current balance sheet, and evidence of aggregate bonding capacity (§ 5.10).</w:t>
      </w:r>
    </w:p>
    <w:p>
      <w:pPr>
        <w:spacing w:after="80"/>
        <w:ind w:left="432"/>
        <w:jc w:val="both"/>
      </w:pPr>
      <w:r>
        <w:rPr>
          <w:b/>
          <w:i/>
          <w:sz w:val="19"/>
        </w:rPr>
        <w:t xml:space="preserve">Where addressed.  </w:t>
      </w:r>
      <w:r>
        <w:rPr>
          <w:sz w:val="19"/>
        </w:rPr>
        <w:t>§ 5.10 and Schedule 6.</w:t>
      </w:r>
    </w:p>
    <w:p>
      <w:pPr>
        <w:keepNext/>
        <w:spacing w:before="200" w:after="60"/>
      </w:pPr>
      <w:r>
        <w:rPr>
          <w:b/>
          <w:sz w:val="23"/>
        </w:rPr>
        <w:t>G.  Schedule and covenant mechanics</w:t>
      </w:r>
    </w:p>
    <w:p>
      <w:pPr>
        <w:keepNext/>
        <w:spacing w:before="220" w:after="60"/>
      </w:pPr>
      <w:r>
        <w:rPr>
          <w:b/>
          <w:sz w:val="21"/>
        </w:rPr>
        <w:t>G-1.  The construction maturity date precedes the projected substantial completion date by three days</w:t>
      </w:r>
      <w:r>
        <w:rPr>
          <w:b/>
          <w:color w:val="9A5B00"/>
          <w:sz w:val="17"/>
        </w:rPr>
        <w:t xml:space="preserve">   [High]</w:t>
      </w:r>
    </w:p>
    <w:p>
      <w:pPr>
        <w:spacing w:after="80"/>
        <w:ind w:left="432"/>
        <w:jc w:val="both"/>
      </w:pPr>
      <w:r>
        <w:rPr>
          <w:b/>
          <w:i/>
          <w:sz w:val="19"/>
        </w:rPr>
        <w:t xml:space="preserve">Sources.  </w:t>
      </w:r>
      <w:r>
        <w:rPr>
          <w:sz w:val="19"/>
        </w:rPr>
        <w:t>Term Sheet § 3.2 (Construction Maturity Date August 28, 2027, being 30 months from a February 28, 2025 closing) and § 7.1 (Completion Guaranty requires completion “on or before the Construction Maturity Date of August 28, 2027”); Term Sheet § 2 and Appraisal § 3 (projected substantial completion August 31, 2027); Credit Memorandum § 9.6 (identifies the three-day gap but treats it as a matter for mitigation).</w:t>
      </w:r>
    </w:p>
    <w:p>
      <w:pPr>
        <w:spacing w:after="80"/>
        <w:ind w:left="432"/>
        <w:jc w:val="both"/>
      </w:pPr>
      <w:r>
        <w:rPr>
          <w:b/>
          <w:i/>
          <w:sz w:val="19"/>
        </w:rPr>
        <w:t xml:space="preserve">Discrepancy.  </w:t>
      </w:r>
      <w:r>
        <w:rPr>
          <w:sz w:val="19"/>
        </w:rPr>
        <w:t>The Project’s own schedule completes after the date on which the loan matures and after which the Completion Guaranty requires completion. The Borrower’s draw schedule places the substantial completion draw in August 2027 and the retainage release in October 2027, after maturity.</w:t>
      </w:r>
    </w:p>
    <w:p>
      <w:pPr>
        <w:spacing w:after="80"/>
        <w:ind w:left="432"/>
        <w:jc w:val="both"/>
      </w:pPr>
      <w:r>
        <w:rPr>
          <w:b/>
          <w:i/>
          <w:sz w:val="19"/>
        </w:rPr>
        <w:t xml:space="preserve">Impact.  </w:t>
      </w:r>
      <w:r>
        <w:rPr>
          <w:sz w:val="19"/>
        </w:rPr>
        <w:t>The Completion Guaranty is breached at inception on the Project’s own schedule, and any delay of even one day produces a maturity default during the period in which the mini-perm is supposed to provide a buffer. A guaranty that is in default before construction begins is of little value and invites litigation over whether the guarantors were ever obligated.</w:t>
      </w:r>
    </w:p>
    <w:p>
      <w:pPr>
        <w:spacing w:after="80"/>
        <w:ind w:left="432"/>
        <w:jc w:val="both"/>
      </w:pPr>
      <w:r>
        <w:rPr>
          <w:b/>
          <w:i/>
          <w:sz w:val="19"/>
        </w:rPr>
        <w:t xml:space="preserve">Recommendation.  </w:t>
      </w:r>
      <w:r>
        <w:rPr>
          <w:sz w:val="19"/>
        </w:rPr>
        <w:t>Conform the documents. Either extend the Construction Period so that the Construction Maturity Date is not earlier than the projected substantial completion date plus a realistic contingency (we suggest November 30, 2027, or 33 months from closing), or state the guaranteed completion date as the later of the Construction Maturity Date and the approved baseline schedule completion date. Do not close with a Completion Guaranty that the Project’s own schedule cannot satisfy.</w:t>
      </w:r>
    </w:p>
    <w:p>
      <w:pPr>
        <w:spacing w:after="80"/>
        <w:ind w:left="432"/>
        <w:jc w:val="both"/>
      </w:pPr>
      <w:r>
        <w:rPr>
          <w:b/>
          <w:i/>
          <w:sz w:val="19"/>
        </w:rPr>
        <w:t xml:space="preserve">Where addressed.  </w:t>
      </w:r>
      <w:r>
        <w:rPr>
          <w:sz w:val="19"/>
        </w:rPr>
        <w:t>§ 14.1 (with a conforming paragraph) and § 1.1 (Construction Maturity Date).</w:t>
      </w:r>
    </w:p>
    <w:p>
      <w:pPr>
        <w:keepNext/>
        <w:spacing w:before="220" w:after="60"/>
      </w:pPr>
      <w:r>
        <w:rPr>
          <w:b/>
          <w:sz w:val="21"/>
        </w:rPr>
        <w:t>G-2.  The DSCR covenant cannot be tested as written at the start of the mini-perm period</w:t>
      </w:r>
      <w:r>
        <w:rPr>
          <w:b/>
          <w:color w:val="9A5B00"/>
          <w:sz w:val="17"/>
        </w:rPr>
        <w:t xml:space="preserve">   [High]</w:t>
      </w:r>
    </w:p>
    <w:p>
      <w:pPr>
        <w:spacing w:after="80"/>
        <w:ind w:left="432"/>
        <w:jc w:val="both"/>
      </w:pPr>
      <w:r>
        <w:rPr>
          <w:b/>
          <w:i/>
          <w:sz w:val="19"/>
        </w:rPr>
        <w:t xml:space="preserve">Sources.  </w:t>
      </w:r>
      <w:r>
        <w:rPr>
          <w:sz w:val="19"/>
        </w:rPr>
        <w:t>Term Sheet § 6.3 (“tested at the commencement of the Mini-Perm Period and annually thereafter based on actual trailing twelve-month net operating income”); Credit Memorandum § 6.1 and § 11(c); Appraisal § 6.3 (stabilization projected for approximately May 2028); Term Sheet § 2 (substantial completion August 31, 2027).</w:t>
      </w:r>
    </w:p>
    <w:p>
      <w:pPr>
        <w:spacing w:after="80"/>
        <w:ind w:left="432"/>
        <w:jc w:val="both"/>
      </w:pPr>
      <w:r>
        <w:rPr>
          <w:b/>
          <w:i/>
          <w:sz w:val="19"/>
        </w:rPr>
        <w:t xml:space="preserve">Discrepancy.  </w:t>
      </w:r>
      <w:r>
        <w:rPr>
          <w:sz w:val="19"/>
        </w:rPr>
        <w:t>The mini-perm period begins August 29, 2027, immediately after construction completion. There is no trailing twelve-month operating history, and the Appraisal does not project stabilization until May 2028. A literal application of the covenant produces a DSCR of zero and an Event of Default on the first day of the mini-perm period.</w:t>
      </w:r>
    </w:p>
    <w:p>
      <w:pPr>
        <w:spacing w:after="80"/>
        <w:ind w:left="432"/>
        <w:jc w:val="both"/>
      </w:pPr>
      <w:r>
        <w:rPr>
          <w:b/>
          <w:i/>
          <w:sz w:val="19"/>
        </w:rPr>
        <w:t xml:space="preserve">Impact.  </w:t>
      </w:r>
      <w:r>
        <w:rPr>
          <w:sz w:val="19"/>
        </w:rPr>
        <w:t>An automatic default at the moment the construction period ends is the worst possible timing: it converts the intended buffer into a trigger and would permit the Bank to accelerate at the point where the Borrower most needs the mini-perm to perform.</w:t>
      </w:r>
    </w:p>
    <w:p>
      <w:pPr>
        <w:spacing w:after="80"/>
        <w:ind w:left="432"/>
        <w:jc w:val="both"/>
      </w:pPr>
      <w:r>
        <w:rPr>
          <w:b/>
          <w:i/>
          <w:sz w:val="19"/>
        </w:rPr>
        <w:t xml:space="preserve">Recommendation.  </w:t>
      </w:r>
      <w:r>
        <w:rPr>
          <w:sz w:val="19"/>
        </w:rPr>
        <w:t>Test on a projected basis at the commencement of the mini-perm period, using projected stabilized NOI and interest-only debt service at the then-current rate, and perform the first actual trailing twelve-month test at the end of the twelfth full month after the final certificate of occupancy (drafted). Consider a lower interim threshold during lease-up (for example 1.15x) with a cash sweep or cash management trigger.</w:t>
      </w:r>
    </w:p>
    <w:p>
      <w:pPr>
        <w:spacing w:after="80"/>
        <w:ind w:left="432"/>
        <w:jc w:val="both"/>
      </w:pPr>
      <w:r>
        <w:rPr>
          <w:b/>
          <w:i/>
          <w:sz w:val="19"/>
        </w:rPr>
        <w:t xml:space="preserve">Where addressed.  </w:t>
      </w:r>
      <w:r>
        <w:rPr>
          <w:sz w:val="19"/>
        </w:rPr>
        <w:t>§ 9.3 and Schedule 5.</w:t>
      </w:r>
    </w:p>
    <w:p>
      <w:pPr>
        <w:keepNext/>
        <w:spacing w:before="220" w:after="60"/>
      </w:pPr>
      <w:r>
        <w:rPr>
          <w:b/>
          <w:sz w:val="21"/>
        </w:rPr>
        <w:t>G-3.  Stressed coverage is 1.04x and an interest rate cap is required only if the extension is exercised</w:t>
      </w:r>
      <w:r>
        <w:rPr>
          <w:b/>
          <w:color w:val="9A5B00"/>
          <w:sz w:val="17"/>
        </w:rPr>
        <w:t xml:space="preserve">   [High]</w:t>
      </w:r>
    </w:p>
    <w:p>
      <w:pPr>
        <w:spacing w:after="80"/>
        <w:ind w:left="432"/>
        <w:jc w:val="both"/>
      </w:pPr>
      <w:r>
        <w:rPr>
          <w:b/>
          <w:i/>
          <w:sz w:val="19"/>
        </w:rPr>
        <w:t xml:space="preserve">Sources.  </w:t>
      </w:r>
      <w:r>
        <w:rPr>
          <w:sz w:val="19"/>
        </w:rPr>
        <w:t>Credit Memorandum § 6.1 (stressed DSCR 1.04x at a 9.85% rate) and § 11(f) (cap required as a condition of the extension only); Term Sheet § 3.2 (extension option).</w:t>
      </w:r>
    </w:p>
    <w:p>
      <w:pPr>
        <w:spacing w:after="80"/>
        <w:ind w:left="432"/>
        <w:jc w:val="both"/>
      </w:pPr>
      <w:r>
        <w:rPr>
          <w:b/>
          <w:i/>
          <w:sz w:val="19"/>
        </w:rPr>
        <w:t xml:space="preserve">Discrepancy.  </w:t>
      </w:r>
      <w:r>
        <w:rPr>
          <w:sz w:val="19"/>
        </w:rPr>
        <w:t>A 200-basis-point increase in SOFR takes coverage to 1.04x, below the 1.25x minimum, and the Loan is a floating-rate facility for its entire term. Protection is required only at the extension, which is 18 months after the construction maturity date.</w:t>
      </w:r>
    </w:p>
    <w:p>
      <w:pPr>
        <w:spacing w:after="80"/>
        <w:ind w:left="432"/>
        <w:jc w:val="both"/>
      </w:pPr>
      <w:r>
        <w:rPr>
          <w:b/>
          <w:i/>
          <w:sz w:val="19"/>
        </w:rPr>
        <w:t xml:space="preserve">Impact.  </w:t>
      </w:r>
      <w:r>
        <w:rPr>
          <w:sz w:val="19"/>
        </w:rPr>
        <w:t>The Borrower may be unable to refinance at mini-perm maturity precisely because of rate movement, which is the risk the mini-perm period is intended to bridge.</w:t>
      </w:r>
    </w:p>
    <w:p>
      <w:pPr>
        <w:spacing w:after="80"/>
        <w:ind w:left="432"/>
        <w:jc w:val="both"/>
      </w:pPr>
      <w:r>
        <w:rPr>
          <w:b/>
          <w:i/>
          <w:sz w:val="19"/>
        </w:rPr>
        <w:t xml:space="preserve">Recommendation.  </w:t>
      </w:r>
      <w:r>
        <w:rPr>
          <w:sz w:val="19"/>
        </w:rPr>
        <w:t>Require an interest rate cap from the commencement of the mini-perm period (not only on extension), with a strike at or about the then-current rate plus 200 basis points, from a counterparty rated A- or better, collaterally assigned to the Bank (drafted for extension; extend to mini-perm commencement).</w:t>
      </w:r>
    </w:p>
    <w:p>
      <w:pPr>
        <w:spacing w:after="80"/>
        <w:ind w:left="432"/>
        <w:jc w:val="both"/>
      </w:pPr>
      <w:r>
        <w:rPr>
          <w:b/>
          <w:i/>
          <w:sz w:val="19"/>
        </w:rPr>
        <w:t xml:space="preserve">Where addressed.  </w:t>
      </w:r>
      <w:r>
        <w:rPr>
          <w:sz w:val="19"/>
        </w:rPr>
        <w:t>§ 7.1(n) and § 22.1(f).</w:t>
      </w:r>
    </w:p>
    <w:p>
      <w:pPr>
        <w:keepNext/>
        <w:spacing w:before="220" w:after="60"/>
      </w:pPr>
      <w:r>
        <w:rPr>
          <w:b/>
          <w:sz w:val="21"/>
        </w:rPr>
        <w:t>G-4.  The construction delay default is measured against a schedule that has not been delivered</w:t>
      </w:r>
      <w:r>
        <w:rPr>
          <w:b/>
          <w:color w:val="1F3353"/>
          <w:sz w:val="17"/>
        </w:rPr>
        <w:t xml:space="preserve">   [Medium]</w:t>
      </w:r>
    </w:p>
    <w:p>
      <w:pPr>
        <w:spacing w:after="80"/>
        <w:ind w:left="432"/>
        <w:jc w:val="both"/>
      </w:pPr>
      <w:r>
        <w:rPr>
          <w:b/>
          <w:i/>
          <w:sz w:val="19"/>
        </w:rPr>
        <w:t xml:space="preserve">Sources.  </w:t>
      </w:r>
      <w:r>
        <w:rPr>
          <w:sz w:val="19"/>
        </w:rPr>
        <w:t>Term Sheet § 15 (“Construction Delay Default shall be deemed to occur if the Project is more than ninety (90) days behind the approved construction schedule”); Credit Memorandum § 7.2 (schedule updates required monthly).</w:t>
      </w:r>
    </w:p>
    <w:p>
      <w:pPr>
        <w:spacing w:after="80"/>
        <w:ind w:left="432"/>
        <w:jc w:val="both"/>
      </w:pPr>
      <w:r>
        <w:rPr>
          <w:b/>
          <w:i/>
          <w:sz w:val="19"/>
        </w:rPr>
        <w:t xml:space="preserve">Discrepancy.  </w:t>
      </w:r>
      <w:r>
        <w:rPr>
          <w:sz w:val="19"/>
        </w:rPr>
        <w:t>No construction schedule is in the record, and no provision makes the delivery and approval of a baseline schedule a closing condition. The milestone draw schedule in § 9.2 of the Term Sheet is a funding schedule, not a critical path schedule.</w:t>
      </w:r>
    </w:p>
    <w:p>
      <w:pPr>
        <w:spacing w:after="80"/>
        <w:ind w:left="432"/>
        <w:jc w:val="both"/>
      </w:pPr>
      <w:r>
        <w:rPr>
          <w:b/>
          <w:i/>
          <w:sz w:val="19"/>
        </w:rPr>
        <w:t xml:space="preserve">Impact.  </w:t>
      </w:r>
      <w:r>
        <w:rPr>
          <w:sz w:val="19"/>
        </w:rPr>
        <w:t>The delay default is unenforceable without a baseline.</w:t>
      </w:r>
    </w:p>
    <w:p>
      <w:pPr>
        <w:spacing w:after="80"/>
        <w:ind w:left="432"/>
        <w:jc w:val="both"/>
      </w:pPr>
      <w:r>
        <w:rPr>
          <w:b/>
          <w:i/>
          <w:sz w:val="19"/>
        </w:rPr>
        <w:t xml:space="preserve">Recommendation.  </w:t>
      </w:r>
      <w:r>
        <w:rPr>
          <w:sz w:val="19"/>
        </w:rPr>
        <w:t>Require delivery and Bank approval of a baseline CPM schedule at closing, attach it as a schedule to the Loan Agreement, and measure the 90-day threshold against it.</w:t>
      </w:r>
    </w:p>
    <w:p>
      <w:pPr>
        <w:spacing w:after="80"/>
        <w:ind w:left="432"/>
        <w:jc w:val="both"/>
      </w:pPr>
      <w:r>
        <w:rPr>
          <w:b/>
          <w:i/>
          <w:sz w:val="19"/>
        </w:rPr>
        <w:t xml:space="preserve">Where addressed.  </w:t>
      </w:r>
      <w:r>
        <w:rPr>
          <w:sz w:val="19"/>
        </w:rPr>
        <w:t>§ 15.1(g) and § 3.1.</w:t>
      </w:r>
    </w:p>
    <w:p>
      <w:pPr>
        <w:keepNext/>
        <w:spacing w:before="200" w:after="60"/>
      </w:pPr>
      <w:r>
        <w:rPr>
          <w:b/>
          <w:sz w:val="23"/>
        </w:rPr>
        <w:t>H.  Interest reserve</w:t>
      </w:r>
    </w:p>
    <w:p>
      <w:pPr>
        <w:keepNext/>
        <w:spacing w:before="220" w:after="60"/>
      </w:pPr>
      <w:r>
        <w:rPr>
          <w:b/>
          <w:sz w:val="21"/>
        </w:rPr>
        <w:t>H-1.  The two interest reserve analyses disagree, and the Borrower’s conclusion depends on a SOFR assumption 85 basis points below the rate used in the credit approval</w:t>
      </w:r>
      <w:r>
        <w:rPr>
          <w:b/>
          <w:color w:val="9A5B00"/>
          <w:sz w:val="17"/>
        </w:rPr>
        <w:t xml:space="preserve">   [High]</w:t>
      </w:r>
    </w:p>
    <w:p>
      <w:pPr>
        <w:spacing w:after="80"/>
        <w:ind w:left="432"/>
        <w:jc w:val="both"/>
      </w:pPr>
      <w:r>
        <w:rPr>
          <w:b/>
          <w:i/>
          <w:sz w:val="19"/>
        </w:rPr>
        <w:t xml:space="preserve">Sources.  </w:t>
      </w:r>
      <w:r>
        <w:rPr>
          <w:sz w:val="19"/>
        </w:rPr>
        <w:t>Term Sheet § 10 and § 5.2 ($4,850,000 reserve); Credit Memorandum § 6.2 (shortfall of approximately $565,000; at +100 bps, approximately $1,278,000); Borrower’s “Draw Schedule” tab, Section 2 (SOFR assumed at 3.50%; total interest $4,628,675; surplus $221,325; concluded “APPEARS ADEQUATE”), and its own sensitivity table (at 4.35% SOFR: total interest $5,215,830, shortfall $365,830).</w:t>
      </w:r>
    </w:p>
    <w:p>
      <w:pPr>
        <w:spacing w:after="80"/>
        <w:ind w:left="432"/>
        <w:jc w:val="both"/>
      </w:pPr>
      <w:r>
        <w:rPr>
          <w:b/>
          <w:i/>
          <w:sz w:val="19"/>
        </w:rPr>
        <w:t xml:space="preserve">Recomputation.  </w:t>
      </w:r>
      <w:r>
        <w:rPr>
          <w:sz w:val="19"/>
        </w:rPr>
        <w:t>The Bank’s methodology (average balance of $28,500,000 × 7.60% × 2.5 years) produces $5,415,000 of interest and a $565,000 shortfall. The Borrower’s draw-by-draw model, run at the same 7.60% rate, produces $5,215,830 and a $365,830 shortfall. The $199,170 difference is attributable to methodology (flat average balance versus a month-by-month balance curve), not to any dispute about rates. Both conclusions contradict the Borrower’s headline result, which assumes 3.50% SOFR rather than the 4.35% current rate that the Credit Memorandum itself uses.</w:t>
      </w:r>
    </w:p>
    <w:p>
      <w:pPr>
        <w:spacing w:after="80"/>
        <w:ind w:left="432"/>
        <w:jc w:val="both"/>
      </w:pPr>
      <w:r>
        <w:rPr>
          <w:b/>
          <w:i/>
          <w:sz w:val="19"/>
        </w:rPr>
        <w:t xml:space="preserve">Impact.  </w:t>
      </w:r>
      <w:r>
        <w:rPr>
          <w:sz w:val="19"/>
        </w:rPr>
        <w:t>On the Bank’s own analysis the reserve is short by between $366,000 and $565,000 at today’s rate, and by approximately $1,278,000 at a rate 100 basis points higher. With zero cash equity (Issue A-3), a shortfall becomes a payment default during construction, a cross-default under the mezzanine loan, and a guarantor call.</w:t>
      </w:r>
    </w:p>
    <w:p>
      <w:pPr>
        <w:spacing w:after="80"/>
        <w:ind w:left="432"/>
        <w:jc w:val="both"/>
      </w:pPr>
      <w:r>
        <w:rPr>
          <w:b/>
          <w:i/>
          <w:sz w:val="19"/>
        </w:rPr>
        <w:t xml:space="preserve">Recommendation.  </w:t>
      </w:r>
      <w:r>
        <w:rPr>
          <w:sz w:val="19"/>
        </w:rPr>
        <w:t>Adopt a single methodology: the draw-based model at the greater of the current SOFR and 4.35%, tested at each draw against projected costs through the earlier of the next draw and 90 days (drafted). Size the reserve to the higher of the two estimates plus a cushion — approximately $5,600,000, an increase of $750,000 — and fund the increase with verified equity, which also improves LTC under Issue A-1 option (2). Retain the hard replenishment covenant (five Business Days) and make failure to fund a shortfall an immediate Event of Default. Do not accept a reserve analysis that depends on a rate 85 basis points below current market.</w:t>
      </w:r>
    </w:p>
    <w:p>
      <w:pPr>
        <w:spacing w:after="80"/>
        <w:ind w:left="432"/>
        <w:jc w:val="both"/>
      </w:pPr>
      <w:r>
        <w:rPr>
          <w:b/>
          <w:i/>
          <w:sz w:val="19"/>
        </w:rPr>
        <w:t xml:space="preserve">Where addressed.  </w:t>
      </w:r>
      <w:r>
        <w:rPr>
          <w:sz w:val="19"/>
        </w:rPr>
        <w:t>§ 5.5 (a) through (f), Exhibit D (adequacy certificate), and Schedule 3, line 4.01.</w:t>
      </w:r>
    </w:p>
    <w:p>
      <w:pPr>
        <w:keepNext/>
        <w:spacing w:before="200" w:after="60"/>
      </w:pPr>
      <w:r>
        <w:rPr>
          <w:b/>
          <w:sz w:val="23"/>
        </w:rPr>
        <w:t>I.  Insurance</w:t>
      </w:r>
    </w:p>
    <w:p>
      <w:pPr>
        <w:keepNext/>
        <w:spacing w:before="220" w:after="60"/>
      </w:pPr>
      <w:r>
        <w:rPr>
          <w:b/>
          <w:sz w:val="21"/>
        </w:rPr>
        <w:t>I-1.  Builder’s risk is required only in the amount of the hard costs, while the completed improvements are worth $56.7 million to $72.8 million</w:t>
      </w:r>
      <w:r>
        <w:rPr>
          <w:b/>
          <w:color w:val="9A5B00"/>
          <w:sz w:val="17"/>
        </w:rPr>
        <w:t xml:space="preserve">   [High]</w:t>
      </w:r>
    </w:p>
    <w:p>
      <w:pPr>
        <w:spacing w:after="80"/>
        <w:ind w:left="432"/>
        <w:jc w:val="both"/>
      </w:pPr>
      <w:r>
        <w:rPr>
          <w:b/>
          <w:i/>
          <w:sz w:val="19"/>
        </w:rPr>
        <w:t xml:space="preserve">Sources.  </w:t>
      </w:r>
      <w:r>
        <w:rPr>
          <w:sz w:val="19"/>
        </w:rPr>
        <w:t>Term Sheet § 19 and § 11, and Credit Memorandum § 8.1 (“In an amount not less than the total hard construction costs ($34,750,000), on an all-risk, replacement cost basis”); Appraisal § 10 (as-completed value $72,800,000; $253.22 per square foot of gross building area); Borrower’s Detailed Budget line 3.09 (builder’s risk premium $210,000).</w:t>
      </w:r>
    </w:p>
    <w:p>
      <w:pPr>
        <w:spacing w:after="80"/>
        <w:ind w:left="432"/>
        <w:jc w:val="both"/>
      </w:pPr>
      <w:r>
        <w:rPr>
          <w:b/>
          <w:i/>
          <w:sz w:val="19"/>
        </w:rPr>
        <w:t xml:space="preserve">Discrepancy.  </w:t>
      </w:r>
      <w:r>
        <w:rPr>
          <w:sz w:val="19"/>
        </w:rPr>
        <w:t>The requirement is internally contradictory: an all-risk policy on a replacement cost basis must insure the replacement cost of the improvements, which includes soft costs, fees, and the developer’s profit, not merely the hard cost contract price. Total Project Costs are $56,700,000 and the as-completed value is $72,800,000, so insuring to $34,750,000 leaves between $22 million and $38 million uninsured and, if the policy contains a coinsurance clause, imports a penalty on every partial loss.</w:t>
      </w:r>
    </w:p>
    <w:p>
      <w:pPr>
        <w:spacing w:after="80"/>
        <w:ind w:left="432"/>
        <w:jc w:val="both"/>
      </w:pPr>
      <w:r>
        <w:rPr>
          <w:b/>
          <w:i/>
          <w:sz w:val="19"/>
        </w:rPr>
        <w:t xml:space="preserve">Impact.  </w:t>
      </w:r>
      <w:r>
        <w:rPr>
          <w:sz w:val="19"/>
        </w:rPr>
        <w:t>An uninsured or underinsured casualty during construction is the classic construction-lender loss: the collateral is destroyed, the loan is not repaid, and the guarantors are asked to fund a rebuild they did not insure.</w:t>
      </w:r>
    </w:p>
    <w:p>
      <w:pPr>
        <w:spacing w:after="80"/>
        <w:ind w:left="432"/>
        <w:jc w:val="both"/>
      </w:pPr>
      <w:r>
        <w:rPr>
          <w:b/>
          <w:i/>
          <w:sz w:val="19"/>
        </w:rPr>
        <w:t xml:space="preserve">Recommendation.  </w:t>
      </w:r>
      <w:r>
        <w:rPr>
          <w:sz w:val="19"/>
        </w:rPr>
        <w:t>Require builder’s risk in an amount not less than the full replacement cost of the completed improvements (not less than $56,700,000 in any event), including soft costs, with a coinsurance waiver, an agreed-amount endorsement, and a deductible not exceeding $25,000 without the Bank’s consent (drafted).</w:t>
      </w:r>
    </w:p>
    <w:p>
      <w:pPr>
        <w:spacing w:after="80"/>
        <w:ind w:left="432"/>
        <w:jc w:val="both"/>
      </w:pPr>
      <w:r>
        <w:rPr>
          <w:b/>
          <w:i/>
          <w:sz w:val="19"/>
        </w:rPr>
        <w:t xml:space="preserve">Where addressed.  </w:t>
      </w:r>
      <w:r>
        <w:rPr>
          <w:sz w:val="19"/>
        </w:rPr>
        <w:t>§ 12.1(a) and Schedule 6.</w:t>
      </w:r>
    </w:p>
    <w:p>
      <w:pPr>
        <w:keepNext/>
        <w:spacing w:before="220" w:after="60"/>
      </w:pPr>
      <w:r>
        <w:rPr>
          <w:b/>
          <w:sz w:val="21"/>
        </w:rPr>
        <w:t>I-2.  There is no property or rental loss insurance requirement for the twelve-month mini-perm period</w:t>
      </w:r>
      <w:r>
        <w:rPr>
          <w:b/>
          <w:color w:val="9A5B00"/>
          <w:sz w:val="17"/>
        </w:rPr>
        <w:t xml:space="preserve">   [High]</w:t>
      </w:r>
    </w:p>
    <w:p>
      <w:pPr>
        <w:spacing w:after="80"/>
        <w:ind w:left="432"/>
        <w:jc w:val="both"/>
      </w:pPr>
      <w:r>
        <w:rPr>
          <w:b/>
          <w:i/>
          <w:sz w:val="19"/>
        </w:rPr>
        <w:t xml:space="preserve">Sources.  </w:t>
      </w:r>
      <w:r>
        <w:rPr>
          <w:sz w:val="19"/>
        </w:rPr>
        <w:t>Term Sheet § 19 (coverages listed: builder’s risk, commercial general liability, umbrella, workers’ compensation, and “such other insurance”); Credit Memorandum § 8.1 (same).</w:t>
      </w:r>
    </w:p>
    <w:p>
      <w:pPr>
        <w:spacing w:after="80"/>
        <w:ind w:left="432"/>
        <w:jc w:val="both"/>
      </w:pPr>
      <w:r>
        <w:rPr>
          <w:b/>
          <w:i/>
          <w:sz w:val="19"/>
        </w:rPr>
        <w:t xml:space="preserve">Discrepancy.  </w:t>
      </w:r>
      <w:r>
        <w:rPr>
          <w:sz w:val="19"/>
        </w:rPr>
        <w:t>Builder’s risk covers the construction period. Nothing in the record requires permanent property insurance or business income and rental loss insurance once the building is complete, which is precisely when the Bank is relying on leases for repayment.</w:t>
      </w:r>
    </w:p>
    <w:p>
      <w:pPr>
        <w:spacing w:after="80"/>
        <w:ind w:left="432"/>
        <w:jc w:val="both"/>
      </w:pPr>
      <w:r>
        <w:rPr>
          <w:b/>
          <w:i/>
          <w:sz w:val="19"/>
        </w:rPr>
        <w:t xml:space="preserve">Impact.  </w:t>
      </w:r>
      <w:r>
        <w:rPr>
          <w:sz w:val="19"/>
        </w:rPr>
        <w:t>A casualty in the first year of operation could eliminate the income stream that services the Loan, in a period when there is no equity cushion to absorb the interruption.</w:t>
      </w:r>
    </w:p>
    <w:p>
      <w:pPr>
        <w:spacing w:after="80"/>
        <w:ind w:left="432"/>
        <w:jc w:val="both"/>
      </w:pPr>
      <w:r>
        <w:rPr>
          <w:b/>
          <w:i/>
          <w:sz w:val="19"/>
        </w:rPr>
        <w:t xml:space="preserve">Recommendation.  </w:t>
      </w:r>
      <w:r>
        <w:rPr>
          <w:sz w:val="19"/>
        </w:rPr>
        <w:t>Require, from substantial completion through maturity, special-form property insurance at full insurable value and business income and rental loss insurance covering not less than twelve months of NOI and continuing expenses, both naming the Bank as mortgagee and loss payee (drafted).</w:t>
      </w:r>
    </w:p>
    <w:p>
      <w:pPr>
        <w:spacing w:after="80"/>
        <w:ind w:left="432"/>
        <w:jc w:val="both"/>
      </w:pPr>
      <w:r>
        <w:rPr>
          <w:b/>
          <w:i/>
          <w:sz w:val="19"/>
        </w:rPr>
        <w:t xml:space="preserve">Where addressed.  </w:t>
      </w:r>
      <w:r>
        <w:rPr>
          <w:sz w:val="19"/>
        </w:rPr>
        <w:t>§ 12.1(e) and Schedule 6.</w:t>
      </w:r>
    </w:p>
    <w:p>
      <w:pPr>
        <w:keepNext/>
        <w:spacing w:before="220" w:after="60"/>
      </w:pPr>
      <w:r>
        <w:rPr>
          <w:b/>
          <w:sz w:val="21"/>
        </w:rPr>
        <w:t>I-3.  Architect’s professional liability and contractor’s pollution coverage are not required in the Term Sheet, and the flood zone panel identification conflicts</w:t>
      </w:r>
      <w:r>
        <w:rPr>
          <w:b/>
          <w:color w:val="1F3353"/>
          <w:sz w:val="17"/>
        </w:rPr>
        <w:t xml:space="preserve">   [Medium]</w:t>
      </w:r>
    </w:p>
    <w:p>
      <w:pPr>
        <w:spacing w:after="80"/>
        <w:ind w:left="432"/>
        <w:jc w:val="both"/>
      </w:pPr>
      <w:r>
        <w:rPr>
          <w:b/>
          <w:i/>
          <w:sz w:val="19"/>
        </w:rPr>
        <w:t xml:space="preserve">Sources.  </w:t>
      </w:r>
      <w:r>
        <w:rPr>
          <w:sz w:val="19"/>
        </w:rPr>
        <w:t>Term Sheet § 19 (no professional liability or pollution coverage); Credit Memorandum § 8.1 (architect’s E&amp;O of $2,000,000, omitted from the Term Sheet); Phase I ESA § 2.3 (Zone X, FIRM panel 3720098700J, effective March 2, 2009); Appraisal § 2 (Zone X, panel 3710406400J, effective May 2, 2019).</w:t>
      </w:r>
    </w:p>
    <w:p>
      <w:pPr>
        <w:spacing w:after="80"/>
        <w:ind w:left="432"/>
        <w:jc w:val="both"/>
      </w:pPr>
      <w:r>
        <w:rPr>
          <w:b/>
          <w:i/>
          <w:sz w:val="19"/>
        </w:rPr>
        <w:t xml:space="preserve">Discrepancy.  </w:t>
      </w:r>
      <w:r>
        <w:rPr>
          <w:sz w:val="19"/>
        </w:rPr>
        <w:t>The Bank is taking a collateral assignment of the architect’s agreement and the plans but does not require the architect to carry professional liability insurance, and it is financing work in a contaminated area without contractor pollution coverage. The two documents agree on Zone X but cite different FIRM panels and effective dates, so at least one is stale.</w:t>
      </w:r>
    </w:p>
    <w:p>
      <w:pPr>
        <w:spacing w:after="80"/>
        <w:ind w:left="432"/>
        <w:jc w:val="both"/>
      </w:pPr>
      <w:r>
        <w:rPr>
          <w:b/>
          <w:i/>
          <w:sz w:val="19"/>
        </w:rPr>
        <w:t xml:space="preserve">Impact.  </w:t>
      </w:r>
      <w:r>
        <w:rPr>
          <w:sz w:val="19"/>
        </w:rPr>
        <w:t>Design defects and pollution incidents during the restricted area work would be uninsured.</w:t>
      </w:r>
    </w:p>
    <w:p>
      <w:pPr>
        <w:spacing w:after="80"/>
        <w:ind w:left="432"/>
        <w:jc w:val="both"/>
      </w:pPr>
      <w:r>
        <w:rPr>
          <w:b/>
          <w:i/>
          <w:sz w:val="19"/>
        </w:rPr>
        <w:t xml:space="preserve">Recommendation.  </w:t>
      </w:r>
      <w:r>
        <w:rPr>
          <w:sz w:val="19"/>
        </w:rPr>
        <w:t>Require architect’s E&amp;O of not less than $2,000,000 for the term plus three years, and contractor’s pollution liability of not less than $2,000,000 for the restricted area work. Obtain a current flood zone determination from a recognized vendor and confirm that no portion of the Property is in a Special Flood Hazard Area (if it is, flood insurance is mandatory under the Bank’s regulatory obligations).</w:t>
      </w:r>
    </w:p>
    <w:p>
      <w:pPr>
        <w:spacing w:after="80"/>
        <w:ind w:left="432"/>
        <w:jc w:val="both"/>
      </w:pPr>
      <w:r>
        <w:rPr>
          <w:b/>
          <w:i/>
          <w:sz w:val="19"/>
        </w:rPr>
        <w:t xml:space="preserve">Where addressed.  </w:t>
      </w:r>
      <w:r>
        <w:rPr>
          <w:sz w:val="19"/>
        </w:rPr>
        <w:t>§ 12.1(f) and (g) and Schedule 6.</w:t>
      </w:r>
    </w:p>
    <w:p>
      <w:pPr>
        <w:keepNext/>
        <w:spacing w:before="200" w:after="60"/>
      </w:pPr>
      <w:r>
        <w:rPr>
          <w:b/>
          <w:sz w:val="23"/>
        </w:rPr>
        <w:t>J.  Legal and enforceability issues</w:t>
      </w:r>
    </w:p>
    <w:p>
      <w:pPr>
        <w:keepNext/>
        <w:spacing w:before="220" w:after="60"/>
      </w:pPr>
      <w:r>
        <w:rPr>
          <w:b/>
          <w:sz w:val="21"/>
        </w:rPr>
        <w:t>J-1.  The Credit Memorandum mischaracterizes North Carolina foreclosure law</w:t>
      </w:r>
      <w:r>
        <w:rPr>
          <w:b/>
          <w:color w:val="1F3353"/>
          <w:sz w:val="17"/>
        </w:rPr>
        <w:t xml:space="preserve">   [Medium]</w:t>
      </w:r>
    </w:p>
    <w:p>
      <w:pPr>
        <w:spacing w:after="80"/>
        <w:ind w:left="432"/>
        <w:jc w:val="both"/>
      </w:pPr>
      <w:r>
        <w:rPr>
          <w:b/>
          <w:i/>
          <w:sz w:val="19"/>
        </w:rPr>
        <w:t xml:space="preserve">Sources.  </w:t>
      </w:r>
      <w:r>
        <w:rPr>
          <w:sz w:val="19"/>
        </w:rPr>
        <w:t>Credit Memorandum § 4.3 (“North Carolina is a judicial foreclosure state and … deficiency judgments following foreclosure are subject to the fair price confirmation hearing requirements of N.C.G.S. § 45-21.36”); Term Sheet § 16 (foreclosure “in accordance with the laws of the State of North Carolina”).</w:t>
      </w:r>
    </w:p>
    <w:p>
      <w:pPr>
        <w:spacing w:after="80"/>
        <w:ind w:left="432"/>
        <w:jc w:val="both"/>
      </w:pPr>
      <w:r>
        <w:rPr>
          <w:b/>
          <w:i/>
          <w:sz w:val="19"/>
        </w:rPr>
        <w:t xml:space="preserve">Discrepancy.  </w:t>
      </w:r>
      <w:r>
        <w:rPr>
          <w:sz w:val="19"/>
        </w:rPr>
        <w:t>North Carolina deeds of trust are ordinarily enforced by a non-judicial power-of-sale proceeding conducted before the clerk of superior court under Article 2A of Chapter 45 of the North Carolina General Statutes (N.C.G.S. §§ 45-21.1 through 45-21.33). A deficiency is pursued in a separate civil action and is limited by the fair-price provisions of N.C.G.S. § 45-21.36, which permit the court to credit the debtor with the fair market value of the property where the foreclosure price was inadequate. The credit approval’s premise — that a judicial foreclosure with fair-price confirmation is the primary remedy — is incorrect.</w:t>
      </w:r>
    </w:p>
    <w:p>
      <w:pPr>
        <w:spacing w:after="80"/>
        <w:ind w:left="432"/>
        <w:jc w:val="both"/>
      </w:pPr>
      <w:r>
        <w:rPr>
          <w:b/>
          <w:i/>
          <w:sz w:val="19"/>
        </w:rPr>
        <w:t xml:space="preserve">Impact.  </w:t>
      </w:r>
      <w:r>
        <w:rPr>
          <w:sz w:val="19"/>
        </w:rPr>
        <w:t>The error matters to three things the credit approval relies on: the speed of the Bank’s remedy (a power-of-sale foreclosure is faster than a judicial action), the enforceability of the guaranties (which are separate obligations and are not limited by the anti-deficiency framework, subject to the fair-price credit on any deficiency), and the structure of any springing full-recourse carve-out.</w:t>
      </w:r>
    </w:p>
    <w:p>
      <w:pPr>
        <w:spacing w:after="80"/>
        <w:ind w:left="432"/>
        <w:jc w:val="both"/>
      </w:pPr>
      <w:r>
        <w:rPr>
          <w:b/>
          <w:i/>
          <w:sz w:val="19"/>
        </w:rPr>
        <w:t xml:space="preserve">Recommendation.  </w:t>
      </w:r>
      <w:r>
        <w:rPr>
          <w:sz w:val="19"/>
        </w:rPr>
        <w:t>Correct the credit memorandum and confirm with North Carolina counsel that (a) the deed of trust contains a valid power of sale and appoints a trustee, (b) the guaranties are enforceable as independent obligations with the waivers drafted (including waiver of the right to require the Bank to pursue the collateral first), and (c) the Bank’s election of remedies is preserved. The draft provides for both power-of-sale and judicial foreclosure alternatives and for a deficiency action subject to § 45-21.36 (§ 16.1(4)).</w:t>
      </w:r>
    </w:p>
    <w:p>
      <w:pPr>
        <w:spacing w:after="80"/>
        <w:ind w:left="432"/>
        <w:jc w:val="both"/>
      </w:pPr>
      <w:r>
        <w:rPr>
          <w:b/>
          <w:i/>
          <w:sz w:val="19"/>
        </w:rPr>
        <w:t xml:space="preserve">Where addressed.  </w:t>
      </w:r>
      <w:r>
        <w:rPr>
          <w:sz w:val="19"/>
        </w:rPr>
        <w:t>Article 16 and § 14.5.</w:t>
      </w:r>
    </w:p>
    <w:p>
      <w:pPr>
        <w:keepNext/>
        <w:spacing w:before="220" w:after="60"/>
      </w:pPr>
      <w:r>
        <w:rPr>
          <w:b/>
          <w:sz w:val="21"/>
        </w:rPr>
        <w:t>J-2.  The “bad boy” full-recourse trigger for a voluntary bankruptcy filing is controlled by an affiliate of the mezzanine lender</w:t>
      </w:r>
      <w:r>
        <w:rPr>
          <w:b/>
          <w:color w:val="1F3353"/>
          <w:sz w:val="17"/>
        </w:rPr>
        <w:t xml:space="preserve">   [Medium]</w:t>
      </w:r>
    </w:p>
    <w:p>
      <w:pPr>
        <w:spacing w:after="80"/>
        <w:ind w:left="432"/>
        <w:jc w:val="both"/>
      </w:pPr>
      <w:r>
        <w:rPr>
          <w:b/>
          <w:i/>
          <w:sz w:val="19"/>
        </w:rPr>
        <w:t xml:space="preserve">Sources.  </w:t>
      </w:r>
      <w:r>
        <w:rPr>
          <w:sz w:val="19"/>
        </w:rPr>
        <w:t>Term Sheet § 7.3 (full-recourse carve-outs including “voluntary bankruptcy”); Credit Memorandum § 9.3 (independent manager as the safeguard against a bad-faith filing); Organizational Chart § 2.2 (75% member approval required for a voluntary bankruptcy filing, with Brightleaf Investors Group LLC holding the swing vote).</w:t>
      </w:r>
    </w:p>
    <w:p>
      <w:pPr>
        <w:spacing w:after="80"/>
        <w:ind w:left="432"/>
        <w:jc w:val="both"/>
      </w:pPr>
      <w:r>
        <w:rPr>
          <w:b/>
          <w:i/>
          <w:sz w:val="19"/>
        </w:rPr>
        <w:t xml:space="preserve">Discrepancy.  </w:t>
      </w:r>
      <w:r>
        <w:rPr>
          <w:sz w:val="19"/>
        </w:rPr>
        <w:t>The most valuable recourse trigger in the guaranty package can only be activated by a filing that requires the consent of the affiliate of the subordinate lender. Either the Borrower cannot file voluntarily at all (which is protective, but not for the reason the documents assume), or it files only with that affiliate’s consent, in which case the Bank’s full-recourse remedy depends on a third party’s decision.</w:t>
      </w:r>
    </w:p>
    <w:p>
      <w:pPr>
        <w:spacing w:after="80"/>
        <w:ind w:left="432"/>
        <w:jc w:val="both"/>
      </w:pPr>
      <w:r>
        <w:rPr>
          <w:b/>
          <w:i/>
          <w:sz w:val="19"/>
        </w:rPr>
        <w:t xml:space="preserve">Impact.  </w:t>
      </w:r>
      <w:r>
        <w:rPr>
          <w:sz w:val="19"/>
        </w:rPr>
        <w:t>The guaranty structure’s most important protection is not within the Borrower’s control and may be unavailable when needed, while an involuntary or collusive filing by the affiliate raises its own risks.</w:t>
      </w:r>
    </w:p>
    <w:p>
      <w:pPr>
        <w:spacing w:after="80"/>
        <w:ind w:left="432"/>
        <w:jc w:val="both"/>
      </w:pPr>
      <w:r>
        <w:rPr>
          <w:b/>
          <w:i/>
          <w:sz w:val="19"/>
        </w:rPr>
        <w:t xml:space="preserve">Recommendation.  </w:t>
      </w:r>
      <w:r>
        <w:rPr>
          <w:sz w:val="19"/>
        </w:rPr>
        <w:t>Vest the bankruptcy decision solely in the Independent Manager (drafted at § 11.6), require the Independent Manager’s affirmative vote for any filing, and retain the springing full-recourse trigger for any voluntary filing, collusive filing, or failure to contest an involuntary filing (§ 14.4(b)).</w:t>
      </w:r>
    </w:p>
    <w:p>
      <w:pPr>
        <w:spacing w:after="80"/>
        <w:ind w:left="432"/>
        <w:jc w:val="both"/>
      </w:pPr>
      <w:r>
        <w:rPr>
          <w:b/>
          <w:i/>
          <w:sz w:val="19"/>
        </w:rPr>
        <w:t xml:space="preserve">Where addressed.  </w:t>
      </w:r>
      <w:r>
        <w:rPr>
          <w:sz w:val="19"/>
        </w:rPr>
        <w:t>§ 11.4, § 11.6, and § 14.4.</w:t>
      </w:r>
    </w:p>
    <w:p>
      <w:pPr>
        <w:keepNext/>
        <w:spacing w:before="200" w:after="60"/>
      </w:pPr>
      <w:r>
        <w:rPr>
          <w:b/>
          <w:sz w:val="23"/>
        </w:rPr>
        <w:t>K.  Term Sheet and Credit Memorandum mechanics</w:t>
      </w:r>
    </w:p>
    <w:p>
      <w:pPr>
        <w:keepNext/>
        <w:spacing w:before="220" w:after="60"/>
      </w:pPr>
      <w:r>
        <w:rPr>
          <w:b/>
          <w:sz w:val="21"/>
        </w:rPr>
        <w:t>K-1.  The event of default for guarantor net worth cross-references the Borrower net worth section</w:t>
      </w:r>
      <w:r>
        <w:rPr>
          <w:b/>
          <w:color w:val="1F3353"/>
          <w:sz w:val="17"/>
        </w:rPr>
        <w:t xml:space="preserve">   [Medium]</w:t>
      </w:r>
    </w:p>
    <w:p>
      <w:pPr>
        <w:spacing w:after="80"/>
        <w:ind w:left="432"/>
        <w:jc w:val="both"/>
      </w:pPr>
      <w:r>
        <w:rPr>
          <w:b/>
          <w:i/>
          <w:sz w:val="19"/>
        </w:rPr>
        <w:t xml:space="preserve">Sources.  </w:t>
      </w:r>
      <w:r>
        <w:rPr>
          <w:sz w:val="19"/>
        </w:rPr>
        <w:t>Term Sheet § 15 (“Any Guarantor’s net worth falls below the minimum threshold set forth in Section 6.4”); Term Sheet § 6.4 (Borrower net worth of $12,000,000) and § 6.5 (guarantor liquidity of $5,000,000); Credit Memorandum § 6.1 and § 10.3 (no guarantor net worth covenant).</w:t>
      </w:r>
    </w:p>
    <w:p>
      <w:pPr>
        <w:spacing w:after="80"/>
        <w:ind w:left="432"/>
        <w:jc w:val="both"/>
      </w:pPr>
      <w:r>
        <w:rPr>
          <w:b/>
          <w:i/>
          <w:sz w:val="19"/>
        </w:rPr>
        <w:t xml:space="preserve">Discrepancy.  </w:t>
      </w:r>
      <w:r>
        <w:rPr>
          <w:sz w:val="19"/>
        </w:rPr>
        <w:t>Section 6.4 sets the Borrower’s net worth, not the Guarantors’. No guarantor net worth covenant exists anywhere in the record, so the event of default refers to a threshold that has never been established.</w:t>
      </w:r>
    </w:p>
    <w:p>
      <w:pPr>
        <w:spacing w:after="80"/>
        <w:ind w:left="432"/>
        <w:jc w:val="both"/>
      </w:pPr>
      <w:r>
        <w:rPr>
          <w:b/>
          <w:i/>
          <w:sz w:val="19"/>
        </w:rPr>
        <w:t xml:space="preserve">Impact.  </w:t>
      </w:r>
      <w:r>
        <w:rPr>
          <w:sz w:val="19"/>
        </w:rPr>
        <w:t>The default is unenforceable as written.</w:t>
      </w:r>
    </w:p>
    <w:p>
      <w:pPr>
        <w:spacing w:after="80"/>
        <w:ind w:left="432"/>
        <w:jc w:val="both"/>
      </w:pPr>
      <w:r>
        <w:rPr>
          <w:b/>
          <w:i/>
          <w:sz w:val="19"/>
        </w:rPr>
        <w:t xml:space="preserve">Recommendation.  </w:t>
      </w:r>
      <w:r>
        <w:rPr>
          <w:sz w:val="19"/>
        </w:rPr>
        <w:t>Insert an express guarantor net worth covenant. We suggest a $10,000,000 minimum per guarantor and a $2,500,000 minimum per guarantor liquidity test in addition to the $5,000,000 combined test (drafted), subject to Committee confirmation of the levels.</w:t>
      </w:r>
    </w:p>
    <w:p>
      <w:pPr>
        <w:spacing w:after="80"/>
        <w:ind w:left="432"/>
        <w:jc w:val="both"/>
      </w:pPr>
      <w:r>
        <w:rPr>
          <w:b/>
          <w:i/>
          <w:sz w:val="19"/>
        </w:rPr>
        <w:t xml:space="preserve">Where addressed.  </w:t>
      </w:r>
      <w:r>
        <w:rPr>
          <w:sz w:val="19"/>
        </w:rPr>
        <w:t>§ 15.1(n) and § 9.5.</w:t>
      </w:r>
    </w:p>
    <w:p>
      <w:pPr>
        <w:keepNext/>
        <w:spacing w:before="220" w:after="60"/>
      </w:pPr>
      <w:r>
        <w:rPr>
          <w:b/>
          <w:sz w:val="21"/>
        </w:rPr>
        <w:t>K-2.  The unused line fee and the exit fee are not funded by any source</w:t>
      </w:r>
      <w:r>
        <w:rPr>
          <w:b/>
          <w:color w:val="1F3353"/>
          <w:sz w:val="17"/>
        </w:rPr>
        <w:t xml:space="preserve">   [Medium]</w:t>
      </w:r>
    </w:p>
    <w:p>
      <w:pPr>
        <w:spacing w:after="80"/>
        <w:ind w:left="432"/>
        <w:jc w:val="both"/>
      </w:pPr>
      <w:r>
        <w:rPr>
          <w:b/>
          <w:i/>
          <w:sz w:val="19"/>
        </w:rPr>
        <w:t xml:space="preserve">Sources.  </w:t>
      </w:r>
      <w:r>
        <w:rPr>
          <w:sz w:val="19"/>
        </w:rPr>
        <w:t>Term Sheet § 3.4; Credit Memorandum § 4.1; Borrower’s Detailed Budget (no line item for either fee).</w:t>
      </w:r>
    </w:p>
    <w:p>
      <w:pPr>
        <w:spacing w:after="80"/>
        <w:ind w:left="432"/>
        <w:jc w:val="both"/>
      </w:pPr>
      <w:r>
        <w:rPr>
          <w:b/>
          <w:i/>
          <w:sz w:val="19"/>
        </w:rPr>
        <w:t xml:space="preserve">Recomputation.  </w:t>
      </w:r>
      <w:r>
        <w:rPr>
          <w:sz w:val="19"/>
        </w:rPr>
        <w:t>Unused line fee: 0.25% per annum on an assumed average undrawn balance of approximately $19,000,000 for 2.5 years = approximately $119,000. Exit fee: 0.50% of $47,500,000 = $237,500, or 0.25% = $118,750.</w:t>
      </w:r>
    </w:p>
    <w:p>
      <w:pPr>
        <w:spacing w:after="80"/>
        <w:ind w:left="432"/>
        <w:jc w:val="both"/>
      </w:pPr>
      <w:r>
        <w:rPr>
          <w:b/>
          <w:i/>
          <w:sz w:val="19"/>
        </w:rPr>
        <w:t xml:space="preserve">Impact.  </w:t>
      </w:r>
      <w:r>
        <w:rPr>
          <w:sz w:val="19"/>
        </w:rPr>
        <w:t>Both fees must be paid from the Borrower’s own funds in an environment where the Borrower has no cash equity and the budget has no allowance.</w:t>
      </w:r>
    </w:p>
    <w:p>
      <w:pPr>
        <w:spacing w:after="80"/>
        <w:ind w:left="432"/>
        <w:jc w:val="both"/>
      </w:pPr>
      <w:r>
        <w:rPr>
          <w:b/>
          <w:i/>
          <w:sz w:val="19"/>
        </w:rPr>
        <w:t xml:space="preserve">Recommendation.  </w:t>
      </w:r>
      <w:r>
        <w:rPr>
          <w:sz w:val="19"/>
        </w:rPr>
        <w:t>Add both fees to Total Project Costs (with equity funding) or confirm that the Borrower will pay them from other sources, and confirm in the credit file that they are not being financed.</w:t>
      </w:r>
    </w:p>
    <w:p>
      <w:pPr>
        <w:spacing w:after="80"/>
        <w:ind w:left="432"/>
        <w:jc w:val="both"/>
      </w:pPr>
      <w:r>
        <w:rPr>
          <w:b/>
          <w:i/>
          <w:sz w:val="19"/>
        </w:rPr>
        <w:t xml:space="preserve">Where addressed.  </w:t>
      </w:r>
      <w:r>
        <w:rPr>
          <w:sz w:val="19"/>
        </w:rPr>
        <w:t>§ 2.6 and Schedule 3 (note).</w:t>
      </w:r>
    </w:p>
    <w:p>
      <w:pPr>
        <w:keepNext/>
        <w:spacing w:before="220" w:after="60"/>
      </w:pPr>
      <w:r>
        <w:rPr>
          <w:b/>
          <w:sz w:val="21"/>
        </w:rPr>
        <w:t>K-3.  The Term Sheet provides a five-day monetary grace period but no late charge, and the draft requires Committee approval of one</w:t>
      </w:r>
      <w:r>
        <w:rPr>
          <w:b/>
          <w:color w:val="1F3353"/>
          <w:sz w:val="17"/>
        </w:rPr>
        <w:t xml:space="preserve">   [Medium]</w:t>
      </w:r>
    </w:p>
    <w:p>
      <w:pPr>
        <w:spacing w:after="80"/>
        <w:ind w:left="432"/>
        <w:jc w:val="both"/>
      </w:pPr>
      <w:r>
        <w:rPr>
          <w:b/>
          <w:i/>
          <w:sz w:val="19"/>
        </w:rPr>
        <w:t xml:space="preserve">Sources.  </w:t>
      </w:r>
      <w:r>
        <w:rPr>
          <w:sz w:val="19"/>
        </w:rPr>
        <w:t>Term Sheet § 15 (five-day grace for monetary defaults); Term Sheet § 3.3 (default rate of contract rate plus 5.00%); no late charge provision anywhere in the record.</w:t>
      </w:r>
    </w:p>
    <w:p>
      <w:pPr>
        <w:spacing w:after="80"/>
        <w:ind w:left="432"/>
        <w:jc w:val="both"/>
      </w:pPr>
      <w:r>
        <w:rPr>
          <w:b/>
          <w:i/>
          <w:sz w:val="19"/>
        </w:rPr>
        <w:t xml:space="preserve">Discrepancy.  </w:t>
      </w:r>
      <w:r>
        <w:rPr>
          <w:sz w:val="19"/>
        </w:rPr>
        <w:t>A grace period without a late charge means a payment eight days late and a payment one day late are priced identically until the default rate attaches.</w:t>
      </w:r>
    </w:p>
    <w:p>
      <w:pPr>
        <w:spacing w:after="80"/>
        <w:ind w:left="432"/>
        <w:jc w:val="both"/>
      </w:pPr>
      <w:r>
        <w:rPr>
          <w:b/>
          <w:i/>
          <w:sz w:val="19"/>
        </w:rPr>
        <w:t xml:space="preserve">Impact.  </w:t>
      </w:r>
      <w:r>
        <w:rPr>
          <w:sz w:val="19"/>
        </w:rPr>
        <w:t>Weak delinquency management and an uneconomic incentive to pay late.</w:t>
      </w:r>
    </w:p>
    <w:p>
      <w:pPr>
        <w:spacing w:after="80"/>
        <w:ind w:left="432"/>
        <w:jc w:val="both"/>
      </w:pPr>
      <w:r>
        <w:rPr>
          <w:b/>
          <w:i/>
          <w:sz w:val="19"/>
        </w:rPr>
        <w:t xml:space="preserve">Recommendation.  </w:t>
      </w:r>
      <w:r>
        <w:rPr>
          <w:sz w:val="19"/>
        </w:rPr>
        <w:t>Approve a late charge of 5.00% of the overdue amount after the fifth Business Day (drafted at § 2.7 and bracketed because it is a new economic term), and confirm that the five-day grace period runs in days rather than Business Days as the Term Sheet states.</w:t>
      </w:r>
    </w:p>
    <w:p>
      <w:pPr>
        <w:spacing w:after="80"/>
        <w:ind w:left="432"/>
        <w:jc w:val="both"/>
      </w:pPr>
      <w:r>
        <w:rPr>
          <w:b/>
          <w:i/>
          <w:sz w:val="19"/>
        </w:rPr>
        <w:t xml:space="preserve">Where addressed.  </w:t>
      </w:r>
      <w:r>
        <w:rPr>
          <w:sz w:val="19"/>
        </w:rPr>
        <w:t>§ 2.7 and § 15.1(a).</w:t>
      </w:r>
    </w:p>
    <w:p>
      <w:pPr>
        <w:keepNext/>
        <w:spacing w:before="220" w:after="60"/>
      </w:pPr>
      <w:r>
        <w:rPr>
          <w:b/>
          <w:sz w:val="21"/>
        </w:rPr>
        <w:t>K-4.  The origination fee is described as payable at closing, as a condition precedent, and as fundable from loan proceeds</w:t>
      </w:r>
      <w:r>
        <w:rPr>
          <w:b/>
          <w:color w:val="1F3353"/>
          <w:sz w:val="17"/>
        </w:rPr>
        <w:t xml:space="preserve">   [Medium]</w:t>
      </w:r>
    </w:p>
    <w:p>
      <w:pPr>
        <w:spacing w:after="80"/>
        <w:ind w:left="432"/>
        <w:jc w:val="both"/>
      </w:pPr>
      <w:r>
        <w:rPr>
          <w:b/>
          <w:i/>
          <w:sz w:val="19"/>
        </w:rPr>
        <w:t xml:space="preserve">Sources.  </w:t>
      </w:r>
      <w:r>
        <w:rPr>
          <w:sz w:val="19"/>
        </w:rPr>
        <w:t>Term Sheet § 3.4 (“payable in full at closing. The origination fee may be funded from Loan proceeds”) and § 11 (“Payment of the origination fee in the amount of $475,000” as a condition precedent to closing); Credit Memorandum § 10.1.16.</w:t>
      </w:r>
    </w:p>
    <w:p>
      <w:pPr>
        <w:spacing w:after="80"/>
        <w:ind w:left="432"/>
        <w:jc w:val="both"/>
      </w:pPr>
      <w:r>
        <w:rPr>
          <w:b/>
          <w:i/>
          <w:sz w:val="19"/>
        </w:rPr>
        <w:t xml:space="preserve">Discrepancy.  </w:t>
      </w:r>
      <w:r>
        <w:rPr>
          <w:sz w:val="19"/>
        </w:rPr>
        <w:t>A condition precedent to closing cannot be paid out of closing proceeds. Read literally, the Borrower must pay $475,000 before the Loan closes, which it cannot do with zero cash equity.</w:t>
      </w:r>
    </w:p>
    <w:p>
      <w:pPr>
        <w:spacing w:after="80"/>
        <w:ind w:left="432"/>
        <w:jc w:val="both"/>
      </w:pPr>
      <w:r>
        <w:rPr>
          <w:b/>
          <w:i/>
          <w:sz w:val="19"/>
        </w:rPr>
        <w:t xml:space="preserve">Impact.  </w:t>
      </w:r>
      <w:r>
        <w:rPr>
          <w:sz w:val="19"/>
        </w:rPr>
        <w:t>An unsatisfiable condition, typically waived at the closing table without documentation.</w:t>
      </w:r>
    </w:p>
    <w:p>
      <w:pPr>
        <w:spacing w:after="80"/>
        <w:ind w:left="432"/>
        <w:jc w:val="both"/>
      </w:pPr>
      <w:r>
        <w:rPr>
          <w:b/>
          <w:i/>
          <w:sz w:val="19"/>
        </w:rPr>
        <w:t xml:space="preserve">Recommendation.  </w:t>
      </w:r>
      <w:r>
        <w:rPr>
          <w:sz w:val="19"/>
        </w:rPr>
        <w:t>Adopt the funded-from-proceeds construction: the fee is earned at closing and retained by the Bank from the Initial Advance (drafted at § 2.6(a)), and delete the separate condition precedent.</w:t>
      </w:r>
    </w:p>
    <w:p>
      <w:pPr>
        <w:spacing w:after="80"/>
        <w:ind w:left="432"/>
        <w:jc w:val="both"/>
      </w:pPr>
      <w:r>
        <w:rPr>
          <w:b/>
          <w:i/>
          <w:sz w:val="19"/>
        </w:rPr>
        <w:t xml:space="preserve">Where addressed.  </w:t>
      </w:r>
      <w:r>
        <w:rPr>
          <w:sz w:val="19"/>
        </w:rPr>
        <w:t>§ 2.6(a).</w:t>
      </w:r>
    </w:p>
    <w:p>
      <w:pPr>
        <w:keepNext/>
        <w:spacing w:before="220" w:after="60"/>
      </w:pPr>
      <w:r>
        <w:rPr>
          <w:b/>
          <w:sz w:val="21"/>
        </w:rPr>
        <w:t>K-5.  The $75,000 expense deposit is described as both non-refundable and refundable, and there is no evidence it was paid</w:t>
      </w:r>
      <w:r>
        <w:rPr>
          <w:b/>
          <w:color w:val="1F3353"/>
          <w:sz w:val="17"/>
        </w:rPr>
        <w:t xml:space="preserve">   [Medium]</w:t>
      </w:r>
    </w:p>
    <w:p>
      <w:pPr>
        <w:spacing w:after="80"/>
        <w:ind w:left="432"/>
        <w:jc w:val="both"/>
      </w:pPr>
      <w:r>
        <w:rPr>
          <w:b/>
          <w:i/>
          <w:sz w:val="19"/>
        </w:rPr>
        <w:t xml:space="preserve">Sources.  </w:t>
      </w:r>
      <w:r>
        <w:rPr>
          <w:sz w:val="19"/>
        </w:rPr>
        <w:t>Term Sheet § 22 (“non-refundable expense deposit … if the Loan does not close for any reason, any unused portion of the expense deposit shall be returned to the Borrower”) and § 23 (“the non-refundable expense deposit of $75,000”, due by January 17, 2025).</w:t>
      </w:r>
    </w:p>
    <w:p>
      <w:pPr>
        <w:spacing w:after="80"/>
        <w:ind w:left="432"/>
        <w:jc w:val="both"/>
      </w:pPr>
      <w:r>
        <w:rPr>
          <w:b/>
          <w:i/>
          <w:sz w:val="19"/>
        </w:rPr>
        <w:t xml:space="preserve">Discrepancy.  </w:t>
      </w:r>
      <w:r>
        <w:rPr>
          <w:sz w:val="19"/>
        </w:rPr>
        <w:t>The deposit cannot be both non-refundable and refundable net of expenses; the refundability provision controls in substance. The record contains no evidence that the deposit was wired, and no closing credit is reflected in the budget.</w:t>
      </w:r>
    </w:p>
    <w:p>
      <w:pPr>
        <w:spacing w:after="80"/>
        <w:ind w:left="432"/>
        <w:jc w:val="both"/>
      </w:pPr>
      <w:r>
        <w:rPr>
          <w:b/>
          <w:i/>
          <w:sz w:val="19"/>
        </w:rPr>
        <w:t xml:space="preserve">Impact.  </w:t>
      </w:r>
      <w:r>
        <w:rPr>
          <w:sz w:val="19"/>
        </w:rPr>
        <w:t>A dispute over $75,000 and an unexplained closing statement item; also a question whether the Term Sheet was accepted in accordance with its own terms (the acceptance condition required the deposit).</w:t>
      </w:r>
    </w:p>
    <w:p>
      <w:pPr>
        <w:spacing w:after="80"/>
        <w:ind w:left="432"/>
        <w:jc w:val="both"/>
      </w:pPr>
      <w:r>
        <w:rPr>
          <w:b/>
          <w:i/>
          <w:sz w:val="19"/>
        </w:rPr>
        <w:t xml:space="preserve">Recommendation.  </w:t>
      </w:r>
      <w:r>
        <w:rPr>
          <w:sz w:val="19"/>
        </w:rPr>
        <w:t>Confirm receipt and, if paid, reflect it as a credit at closing against the expenses otherwise payable. Amend the definitive documents so that the term sheet’s surviving provisions are stated consistently. Confirm that acceptance was otherwise effective.</w:t>
      </w:r>
    </w:p>
    <w:p>
      <w:pPr>
        <w:spacing w:after="80"/>
        <w:ind w:left="432"/>
        <w:jc w:val="both"/>
      </w:pPr>
      <w:r>
        <w:rPr>
          <w:b/>
          <w:i/>
          <w:sz w:val="19"/>
        </w:rPr>
        <w:t xml:space="preserve">Where addressed.  </w:t>
      </w:r>
      <w:r>
        <w:rPr>
          <w:sz w:val="19"/>
        </w:rPr>
        <w:t>§ 21.3 and § 1.3.</w:t>
      </w:r>
    </w:p>
    <w:p>
      <w:pPr>
        <w:keepNext/>
        <w:spacing w:before="220" w:after="60"/>
      </w:pPr>
      <w:r>
        <w:rPr>
          <w:b/>
          <w:sz w:val="21"/>
        </w:rPr>
        <w:t>K-6.  The Lender’s address differs between the Term Sheet and the environmental report</w:t>
      </w:r>
      <w:r>
        <w:rPr>
          <w:b/>
          <w:color w:val="555555"/>
          <w:sz w:val="17"/>
        </w:rPr>
        <w:t xml:space="preserve">   [Low]</w:t>
      </w:r>
    </w:p>
    <w:p>
      <w:pPr>
        <w:spacing w:after="80"/>
        <w:ind w:left="432"/>
        <w:jc w:val="both"/>
      </w:pPr>
      <w:r>
        <w:rPr>
          <w:b/>
          <w:i/>
          <w:sz w:val="19"/>
        </w:rPr>
        <w:t xml:space="preserve">Sources.  </w:t>
      </w:r>
      <w:r>
        <w:rPr>
          <w:sz w:val="19"/>
        </w:rPr>
        <w:t>Term Sheet § 1.1 (215 South Tryon Street, 18th Floor, Charlotte, North Carolina 28202); Appraisal cover (215 South Tryon); Phase I ESA cover page (“Pinnacle Savings Bank, N.A. (as Intended Reliance Party / Lender), 200 South Tryon Street, 18th Floor, Charlotte, North Carolina 28202”).</w:t>
      </w:r>
    </w:p>
    <w:p>
      <w:pPr>
        <w:spacing w:after="80"/>
        <w:ind w:left="432"/>
        <w:jc w:val="both"/>
      </w:pPr>
      <w:r>
        <w:rPr>
          <w:b/>
          <w:i/>
          <w:sz w:val="19"/>
        </w:rPr>
        <w:t xml:space="preserve">Discrepancy.  </w:t>
      </w:r>
      <w:r>
        <w:rPr>
          <w:sz w:val="19"/>
        </w:rPr>
        <w:t>215 versus 200 South Tryon Street. The reliance letter is addressed to the wrong address if the consultant used the ESA cover page.</w:t>
      </w:r>
    </w:p>
    <w:p>
      <w:pPr>
        <w:spacing w:after="80"/>
        <w:ind w:left="432"/>
        <w:jc w:val="both"/>
      </w:pPr>
      <w:r>
        <w:rPr>
          <w:b/>
          <w:i/>
          <w:sz w:val="19"/>
        </w:rPr>
        <w:t xml:space="preserve">Impact.  </w:t>
      </w:r>
      <w:r>
        <w:rPr>
          <w:sz w:val="19"/>
        </w:rPr>
        <w:t>Minor, but it affects the notice provisions and could be raised as a defect in reliance.</w:t>
      </w:r>
    </w:p>
    <w:p>
      <w:pPr>
        <w:spacing w:after="80"/>
        <w:ind w:left="432"/>
        <w:jc w:val="both"/>
      </w:pPr>
      <w:r>
        <w:rPr>
          <w:b/>
          <w:i/>
          <w:sz w:val="19"/>
        </w:rPr>
        <w:t xml:space="preserve">Recommendation.  </w:t>
      </w:r>
      <w:r>
        <w:rPr>
          <w:sz w:val="19"/>
        </w:rPr>
        <w:t>Conform all documents to 215 South Tryon Street and require the reliance letter to identify the correct entity address.</w:t>
      </w:r>
    </w:p>
    <w:p>
      <w:pPr>
        <w:spacing w:after="80"/>
        <w:ind w:left="432"/>
        <w:jc w:val="both"/>
      </w:pPr>
      <w:r>
        <w:rPr>
          <w:b/>
          <w:i/>
          <w:sz w:val="19"/>
        </w:rPr>
        <w:t xml:space="preserve">Where addressed.  </w:t>
      </w:r>
      <w:r>
        <w:rPr>
          <w:sz w:val="19"/>
        </w:rPr>
        <w:t>§ 19.1.</w:t>
      </w:r>
    </w:p>
    <w:p>
      <w:pPr>
        <w:keepNext/>
        <w:spacing w:before="220" w:after="60"/>
      </w:pPr>
      <w:r>
        <w:rPr>
          <w:b/>
          <w:sz w:val="21"/>
        </w:rPr>
        <w:t>K-7.  Records-integrity and document-production items in the record</w:t>
      </w:r>
      <w:r>
        <w:rPr>
          <w:b/>
          <w:color w:val="555555"/>
          <w:sz w:val="17"/>
        </w:rPr>
        <w:t xml:space="preserve">   [Low]</w:t>
      </w:r>
    </w:p>
    <w:p>
      <w:pPr>
        <w:spacing w:after="80"/>
        <w:ind w:left="432"/>
        <w:jc w:val="both"/>
      </w:pPr>
      <w:r>
        <w:rPr>
          <w:b/>
          <w:i/>
          <w:sz w:val="19"/>
        </w:rPr>
        <w:t xml:space="preserve">Sources.  </w:t>
      </w:r>
      <w:r>
        <w:rPr>
          <w:sz w:val="19"/>
        </w:rPr>
        <w:t>Appraisal (file reference RAS-2024-1147) and Phase I ESA (Sentinel Project No. SEC-2024-1147): identical numeric suffix; Credit Memorandum and Phase I ESA both contain the drafting placeholder “Right-click to update Table of Contents”; Title Commitment Note 6 gives the escrow officer’s email as plangley@crestviewtitle.com for Aldersgate Title &amp; Escrow Inc.; Credit Memorandum § 2.1 reports approximately 580 residential units and 65,000 square feet of commercial space in four prior projects, while the Appraisal § 3 lists the same four projects with 356 units (84 + 116 + 64 + 92).</w:t>
      </w:r>
    </w:p>
    <w:p>
      <w:pPr>
        <w:spacing w:after="80"/>
        <w:ind w:left="432"/>
        <w:jc w:val="both"/>
      </w:pPr>
      <w:r>
        <w:rPr>
          <w:b/>
          <w:i/>
          <w:sz w:val="19"/>
        </w:rPr>
        <w:t xml:space="preserve">Discrepancy.  </w:t>
      </w:r>
      <w:r>
        <w:rPr>
          <w:sz w:val="19"/>
        </w:rPr>
        <w:t>Cosmetic defects with substantive implications: the identical file-number suffix raises a question whether the documents were prepared from a common template or mislabeled; the retained Word field instruction indicates that the documents were not reviewed in final form before delivery; the email domain does not match the title company’s name; and the developer track record differs by 224 units between the Bank’s credit approval and the appraiser’s report.</w:t>
      </w:r>
    </w:p>
    <w:p>
      <w:pPr>
        <w:spacing w:after="80"/>
        <w:ind w:left="432"/>
        <w:jc w:val="both"/>
      </w:pPr>
      <w:r>
        <w:rPr>
          <w:b/>
          <w:i/>
          <w:sz w:val="19"/>
        </w:rPr>
        <w:t xml:space="preserve">Impact.  </w:t>
      </w:r>
      <w:r>
        <w:rPr>
          <w:sz w:val="19"/>
        </w:rPr>
        <w:t>Individually minor. Collectively they indicate that the record was assembled without a consistency review, which is consistent with the substantive inconsistencies documented above, and the track record discrepancy goes to a credit judgment the Committee made.</w:t>
      </w:r>
    </w:p>
    <w:p>
      <w:pPr>
        <w:spacing w:after="80"/>
        <w:ind w:left="432"/>
        <w:jc w:val="both"/>
      </w:pPr>
      <w:r>
        <w:rPr>
          <w:b/>
          <w:i/>
          <w:sz w:val="19"/>
        </w:rPr>
        <w:t xml:space="preserve">Recommendation.  </w:t>
      </w:r>
      <w:r>
        <w:rPr>
          <w:sz w:val="19"/>
        </w:rPr>
        <w:t>Obtain clean, final versions of the Credit Memorandum and the Phase I ESA for the loan file; confirm with the appraiser and the consultant that the file numbers are correct; confirm the title officer’s correct email domain; and obtain from the Borrower a schedule of completed projects with unit counts and cost so the track record can be verified on a consistent basis.</w:t>
      </w:r>
    </w:p>
    <w:p>
      <w:pPr>
        <w:spacing w:after="80"/>
        <w:ind w:left="432"/>
        <w:jc w:val="both"/>
      </w:pPr>
      <w:r>
        <w:rPr>
          <w:b/>
          <w:i/>
          <w:sz w:val="19"/>
        </w:rPr>
        <w:t xml:space="preserve">Where addressed.  </w:t>
      </w:r>
      <w:r>
        <w:rPr>
          <w:sz w:val="19"/>
        </w:rPr>
        <w:t>Not a drafting item; for the loan file.</w:t>
      </w:r>
    </w:p>
    <w:p>
      <w:pPr>
        <w:keepNext/>
        <w:spacing w:before="200" w:after="60"/>
      </w:pPr>
      <w:r>
        <w:rPr>
          <w:b/>
          <w:sz w:val="23"/>
        </w:rPr>
        <w:t>L.  Missing documents and open diligence</w:t>
      </w:r>
    </w:p>
    <w:p>
      <w:pPr>
        <w:keepNext/>
        <w:spacing w:before="220" w:after="60"/>
      </w:pPr>
      <w:r>
        <w:rPr>
          <w:b/>
          <w:sz w:val="21"/>
        </w:rPr>
        <w:t>L-1.  Documents required to close, or to support a conclusion already in the credit approval, are not in the record</w:t>
      </w:r>
      <w:r>
        <w:rPr>
          <w:b/>
          <w:color w:val="9A5B00"/>
          <w:sz w:val="17"/>
        </w:rPr>
        <w:t xml:space="preserve">   [High]</w:t>
      </w:r>
    </w:p>
    <w:p>
      <w:pPr>
        <w:spacing w:after="80"/>
        <w:ind w:left="432"/>
        <w:jc w:val="both"/>
      </w:pPr>
      <w:r>
        <w:rPr>
          <w:b/>
          <w:i/>
          <w:sz w:val="19"/>
        </w:rPr>
        <w:t xml:space="preserve">Sources.  </w:t>
      </w:r>
      <w:r>
        <w:rPr>
          <w:sz w:val="19"/>
        </w:rPr>
        <w:t>Term Sheet §§ 11, 18 and 21; Credit Memorandum § 10.1; Title Commitment Schedule B-I; Phase I ESA Appendix G.</w:t>
      </w:r>
    </w:p>
    <w:p>
      <w:pPr>
        <w:spacing w:after="80"/>
        <w:ind w:left="432"/>
        <w:jc w:val="both"/>
      </w:pPr>
      <w:r>
        <w:rPr>
          <w:b/>
          <w:i/>
          <w:sz w:val="19"/>
        </w:rPr>
        <w:t xml:space="preserve">Discrepancy.  </w:t>
      </w:r>
      <w:r>
        <w:rPr>
          <w:sz w:val="19"/>
        </w:rPr>
        <w:t>The following are referenced or required but absent: (1) ALTA/NSPS survey with Table A items; (2) zoning compliance letter from the City of Durham; (3) written ARC approval or certificate of deemed approval; (4) executed GMP contract, schedule of values, contractor’s consent to assignment, and payment and performance bonds; (5) architect’s agreement and consent; (6) intercreditor agreement (described as negotiated but unexecuted); (7) amended operating agreement with SPE covenants and an independent manager; (8) non-consolidation opinion; (9) Phase II investigation report (only summarized); (10) the NFA Letter itself (only summarized); (11) Sentinel reliance letter; (12) Triangle Commercial Bank payoff letter and the underlying loan documents; (13) UCC, tax lien and judgment searches; (14) Borrower financial statements and the reconciliation of the $14,200,000 net worth; (15) Guarantor personal financial statements, tax returns and credit reports; (16) insurance certificates, binders and endorsements; (17) property management agreement; (18) construction inspector engagement; (19) baseline construction schedule; (20) interest rate cap terms; (21) evidence of the $75,000 expense deposit; and (22) the legal description exhibit to the Term Sheet.</w:t>
      </w:r>
    </w:p>
    <w:p>
      <w:pPr>
        <w:spacing w:after="80"/>
        <w:ind w:left="432"/>
        <w:jc w:val="both"/>
      </w:pPr>
      <w:r>
        <w:rPr>
          <w:b/>
          <w:i/>
          <w:sz w:val="19"/>
        </w:rPr>
        <w:t xml:space="preserve">Impact.  </w:t>
      </w:r>
      <w:r>
        <w:rPr>
          <w:sz w:val="19"/>
        </w:rPr>
        <w:t>Eighteen of these are conditions to closing under the draft; several (survey, ARC approval, payoff letter, operating agreement amendment) are analytically necessary before the Bank can conclude that its collateral position exists.</w:t>
      </w:r>
    </w:p>
    <w:p>
      <w:pPr>
        <w:spacing w:after="80"/>
        <w:ind w:left="432"/>
        <w:jc w:val="both"/>
      </w:pPr>
      <w:r>
        <w:rPr>
          <w:b/>
          <w:i/>
          <w:sz w:val="19"/>
        </w:rPr>
        <w:t xml:space="preserve">Recommendation.  </w:t>
      </w:r>
      <w:r>
        <w:rPr>
          <w:sz w:val="19"/>
        </w:rPr>
        <w:t>Adopt the closing checklist in Section 5 below, assign each item an owner and a date, and treat the four analytical prerequisites (survey, ARC approval, payoff letter, amended operating agreement) as conditions to any further internal approval rather than as closing-table items.</w:t>
      </w:r>
    </w:p>
    <w:p>
      <w:pPr>
        <w:spacing w:after="80"/>
        <w:ind w:left="432"/>
        <w:jc w:val="both"/>
      </w:pPr>
      <w:r>
        <w:rPr>
          <w:b/>
          <w:i/>
          <w:sz w:val="19"/>
        </w:rPr>
        <w:t xml:space="preserve">Where addressed.  </w:t>
      </w:r>
      <w:r>
        <w:rPr>
          <w:sz w:val="19"/>
        </w:rPr>
        <w:t>Article 3 (conditions precedent) and the closing checklist in Section 5.</w:t>
      </w:r>
    </w:p>
    <w:p>
      <w:pPr>
        <w:keepNext/>
        <w:spacing w:before="280" w:after="100"/>
      </w:pPr>
      <w:r>
        <w:rPr>
          <w:b/>
          <w:color w:val="1F3353"/>
          <w:sz w:val="26"/>
        </w:rPr>
        <w:t>5.  CLOSING CHECKLIST AND RESPONSIBILITY MATRIX</w:t>
      </w:r>
    </w:p>
    <w:p>
      <w:pPr>
        <w:spacing w:after="160"/>
        <w:ind w:left="0" w:firstLine="0"/>
        <w:jc w:val="both"/>
      </w:pPr>
      <w:r>
        <w:rPr>
          <w:i w:val="0"/>
          <w:sz w:val="20"/>
        </w:rPr>
        <w:t>Table 5 converts the recommendations above into closing deliverables. Items marked “condition to approval” should be satisfied before the Loan is re-presented for approval, because each of them can change the loan sizing or the credit conclusion.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09"/>
        <w:gridCol w:w="4227"/>
        <w:gridCol w:w="1364"/>
        <w:gridCol w:w="1568"/>
        <w:gridCol w:w="1432"/>
      </w:tblGrid>
      <w:tr>
        <w:trPr>
          <w:cantSplit/>
        </w:trPr>
        <w:tc>
          <w:tcPr>
            <w:tcW w:type="dxa" w:w="409"/>
            <w:shd w:val="clear" w:color="auto" w:fill="1F3353"/>
          </w:tcPr>
          <w:p>
            <w:pPr>
              <w:spacing w:after="20" w:before="20"/>
            </w:pPr>
            <w:r/>
            <w:r>
              <w:rPr>
                <w:b/>
                <w:color w:val="FFFFFF"/>
                <w:sz w:val="14"/>
              </w:rPr>
              <w:t>#</w:t>
            </w:r>
          </w:p>
        </w:tc>
        <w:tc>
          <w:tcPr>
            <w:tcW w:type="dxa" w:w="4227"/>
            <w:shd w:val="clear" w:color="auto" w:fill="1F3353"/>
          </w:tcPr>
          <w:p>
            <w:pPr>
              <w:spacing w:after="20" w:before="20"/>
            </w:pPr>
            <w:r/>
            <w:r>
              <w:rPr>
                <w:b/>
                <w:color w:val="FFFFFF"/>
                <w:sz w:val="14"/>
              </w:rPr>
              <w:t>Deliverable / action</w:t>
            </w:r>
          </w:p>
        </w:tc>
        <w:tc>
          <w:tcPr>
            <w:tcW w:type="dxa" w:w="1364"/>
            <w:shd w:val="clear" w:color="auto" w:fill="1F3353"/>
          </w:tcPr>
          <w:p>
            <w:pPr>
              <w:spacing w:after="20" w:before="20"/>
            </w:pPr>
            <w:r/>
            <w:r>
              <w:rPr>
                <w:b/>
                <w:color w:val="FFFFFF"/>
                <w:sz w:val="14"/>
              </w:rPr>
              <w:t>Resolves</w:t>
            </w:r>
          </w:p>
        </w:tc>
        <w:tc>
          <w:tcPr>
            <w:tcW w:type="dxa" w:w="1568"/>
            <w:shd w:val="clear" w:color="auto" w:fill="1F3353"/>
          </w:tcPr>
          <w:p>
            <w:pPr>
              <w:spacing w:after="20" w:before="20"/>
            </w:pPr>
            <w:r/>
            <w:r>
              <w:rPr>
                <w:b/>
                <w:color w:val="FFFFFF"/>
                <w:sz w:val="14"/>
              </w:rPr>
              <w:t>Owner</w:t>
            </w:r>
          </w:p>
        </w:tc>
        <w:tc>
          <w:tcPr>
            <w:tcW w:type="dxa" w:w="1432"/>
            <w:shd w:val="clear" w:color="auto" w:fill="1F3353"/>
          </w:tcPr>
          <w:p>
            <w:pPr>
              <w:spacing w:after="20" w:before="20"/>
            </w:pPr>
            <w:r/>
            <w:r>
              <w:rPr>
                <w:b/>
                <w:color w:val="FFFFFF"/>
                <w:sz w:val="14"/>
              </w:rPr>
              <w:t>Timing</w:t>
            </w:r>
          </w:p>
        </w:tc>
      </w:tr>
      <w:tr>
        <w:trPr>
          <w:cantSplit/>
        </w:trPr>
        <w:tc>
          <w:tcPr>
            <w:tcW w:type="dxa" w:w="409"/>
          </w:tcPr>
          <w:p>
            <w:pPr>
              <w:spacing w:after="20" w:before="20"/>
            </w:pPr>
            <w:r/>
            <w:r>
              <w:rPr>
                <w:b/>
                <w:sz w:val="14"/>
              </w:rPr>
              <w:t>1</w:t>
            </w:r>
          </w:p>
        </w:tc>
        <w:tc>
          <w:tcPr>
            <w:tcW w:type="dxa" w:w="4227"/>
          </w:tcPr>
          <w:p>
            <w:pPr>
              <w:spacing w:after="20" w:before="20"/>
            </w:pPr>
            <w:r/>
            <w:r>
              <w:rPr>
                <w:sz w:val="14"/>
              </w:rPr>
              <w:t>Committee decision on Loan sizing: $45,360,000 with $2,140,000 equity, or $47,500,000 with an express policy exception at 83.77% LTC and 65.25% LTV</w:t>
            </w:r>
          </w:p>
        </w:tc>
        <w:tc>
          <w:tcPr>
            <w:tcW w:type="dxa" w:w="1364"/>
          </w:tcPr>
          <w:p>
            <w:pPr>
              <w:spacing w:after="20" w:before="20"/>
            </w:pPr>
            <w:r/>
            <w:r>
              <w:rPr>
                <w:sz w:val="14"/>
              </w:rPr>
              <w:t>A-1, A-2, A-7</w:t>
            </w:r>
          </w:p>
        </w:tc>
        <w:tc>
          <w:tcPr>
            <w:tcW w:type="dxa" w:w="1568"/>
          </w:tcPr>
          <w:p>
            <w:pPr>
              <w:spacing w:after="20" w:before="20"/>
            </w:pPr>
            <w:r/>
            <w:r>
              <w:rPr>
                <w:sz w:val="14"/>
              </w:rPr>
              <w:t>Credit / Committee</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2</w:t>
            </w:r>
          </w:p>
        </w:tc>
        <w:tc>
          <w:tcPr>
            <w:tcW w:type="dxa" w:w="4227"/>
          </w:tcPr>
          <w:p>
            <w:pPr>
              <w:spacing w:after="20" w:before="20"/>
            </w:pPr>
            <w:r/>
            <w:r>
              <w:rPr>
                <w:sz w:val="14"/>
              </w:rPr>
              <w:t>Verified-source Equity Contribution of not less than $2,140,000, deposited to a Bank-controlled escrow, with source certification</w:t>
            </w:r>
          </w:p>
        </w:tc>
        <w:tc>
          <w:tcPr>
            <w:tcW w:type="dxa" w:w="1364"/>
          </w:tcPr>
          <w:p>
            <w:pPr>
              <w:spacing w:after="20" w:before="20"/>
            </w:pPr>
            <w:r/>
            <w:r>
              <w:rPr>
                <w:sz w:val="14"/>
              </w:rPr>
              <w:t>A-1, A-3, A-6</w:t>
            </w:r>
          </w:p>
        </w:tc>
        <w:tc>
          <w:tcPr>
            <w:tcW w:type="dxa" w:w="1568"/>
          </w:tcPr>
          <w:p>
            <w:pPr>
              <w:spacing w:after="20" w:before="20"/>
            </w:pPr>
            <w:r/>
            <w:r>
              <w:rPr>
                <w:sz w:val="14"/>
              </w:rPr>
              <w:t>Borrower</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3</w:t>
            </w:r>
          </w:p>
        </w:tc>
        <w:tc>
          <w:tcPr>
            <w:tcW w:type="dxa" w:w="4227"/>
          </w:tcPr>
          <w:p>
            <w:pPr>
              <w:spacing w:after="20" w:before="20"/>
            </w:pPr>
            <w:r/>
            <w:r>
              <w:rPr>
                <w:sz w:val="14"/>
              </w:rPr>
              <w:t>Traced source-of-funds schedule for the land acquisition; deed, 2023 closing statement, general ledger and capital accounts</w:t>
            </w:r>
          </w:p>
        </w:tc>
        <w:tc>
          <w:tcPr>
            <w:tcW w:type="dxa" w:w="1364"/>
          </w:tcPr>
          <w:p>
            <w:pPr>
              <w:spacing w:after="20" w:before="20"/>
            </w:pPr>
            <w:r/>
            <w:r>
              <w:rPr>
                <w:sz w:val="14"/>
              </w:rPr>
              <w:t>A-3, A-5</w:t>
            </w:r>
          </w:p>
        </w:tc>
        <w:tc>
          <w:tcPr>
            <w:tcW w:type="dxa" w:w="1568"/>
          </w:tcPr>
          <w:p>
            <w:pPr>
              <w:spacing w:after="20" w:before="20"/>
            </w:pPr>
            <w:r/>
            <w:r>
              <w:rPr>
                <w:sz w:val="14"/>
              </w:rPr>
              <w:t>Borrower / Borrower’s counsel</w:t>
            </w:r>
          </w:p>
        </w:tc>
        <w:tc>
          <w:tcPr>
            <w:tcW w:type="dxa" w:w="1432"/>
          </w:tcPr>
          <w:p>
            <w:pPr>
              <w:spacing w:after="20" w:before="20"/>
            </w:pPr>
            <w:r/>
            <w:r>
              <w:rPr>
                <w:sz w:val="14"/>
              </w:rPr>
              <w:t>5 business days</w:t>
            </w:r>
          </w:p>
        </w:tc>
      </w:tr>
      <w:tr>
        <w:trPr>
          <w:cantSplit/>
        </w:trPr>
        <w:tc>
          <w:tcPr>
            <w:tcW w:type="dxa" w:w="409"/>
          </w:tcPr>
          <w:p>
            <w:pPr>
              <w:spacing w:after="20" w:before="20"/>
            </w:pPr>
            <w:r/>
            <w:r>
              <w:rPr>
                <w:b/>
                <w:sz w:val="14"/>
              </w:rPr>
              <w:t>4</w:t>
            </w:r>
          </w:p>
        </w:tc>
        <w:tc>
          <w:tcPr>
            <w:tcW w:type="dxa" w:w="4227"/>
          </w:tcPr>
          <w:p>
            <w:pPr>
              <w:spacing w:after="20" w:before="20"/>
            </w:pPr>
            <w:r/>
            <w:r>
              <w:rPr>
                <w:sz w:val="14"/>
              </w:rPr>
              <w:t>Corrected sources and uses, corrected detailed budget, and corrected draw schedule with retainage withheld</w:t>
            </w:r>
          </w:p>
        </w:tc>
        <w:tc>
          <w:tcPr>
            <w:tcW w:type="dxa" w:w="1364"/>
          </w:tcPr>
          <w:p>
            <w:pPr>
              <w:spacing w:after="20" w:before="20"/>
            </w:pPr>
            <w:r/>
            <w:r>
              <w:rPr>
                <w:sz w:val="14"/>
              </w:rPr>
              <w:t>A-6, F-1, F-2</w:t>
            </w:r>
          </w:p>
        </w:tc>
        <w:tc>
          <w:tcPr>
            <w:tcW w:type="dxa" w:w="1568"/>
          </w:tcPr>
          <w:p>
            <w:pPr>
              <w:spacing w:after="20" w:before="20"/>
            </w:pPr>
            <w:r/>
            <w:r>
              <w:rPr>
                <w:sz w:val="14"/>
              </w:rPr>
              <w:t>Borrower</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5</w:t>
            </w:r>
          </w:p>
        </w:tc>
        <w:tc>
          <w:tcPr>
            <w:tcW w:type="dxa" w:w="4227"/>
          </w:tcPr>
          <w:p>
            <w:pPr>
              <w:spacing w:after="20" w:before="20"/>
            </w:pPr>
            <w:r/>
            <w:r>
              <w:rPr>
                <w:sz w:val="14"/>
              </w:rPr>
              <w:t>Committee decision on the interest reserve (recommend $5,600,000) and on the funding source for the increase</w:t>
            </w:r>
          </w:p>
        </w:tc>
        <w:tc>
          <w:tcPr>
            <w:tcW w:type="dxa" w:w="1364"/>
          </w:tcPr>
          <w:p>
            <w:pPr>
              <w:spacing w:after="20" w:before="20"/>
            </w:pPr>
            <w:r/>
            <w:r>
              <w:rPr>
                <w:sz w:val="14"/>
              </w:rPr>
              <w:t>H-1</w:t>
            </w:r>
          </w:p>
        </w:tc>
        <w:tc>
          <w:tcPr>
            <w:tcW w:type="dxa" w:w="1568"/>
          </w:tcPr>
          <w:p>
            <w:pPr>
              <w:spacing w:after="20" w:before="20"/>
            </w:pPr>
            <w:r/>
            <w:r>
              <w:rPr>
                <w:sz w:val="14"/>
              </w:rPr>
              <w:t>Credit / Committee</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6</w:t>
            </w:r>
          </w:p>
        </w:tc>
        <w:tc>
          <w:tcPr>
            <w:tcW w:type="dxa" w:w="4227"/>
          </w:tcPr>
          <w:p>
            <w:pPr>
              <w:spacing w:after="20" w:before="20"/>
            </w:pPr>
            <w:r/>
            <w:r>
              <w:rPr>
                <w:sz w:val="14"/>
              </w:rPr>
              <w:t>Committee decision on the Developer Fee (recommend full deferral) and on the mezzanine allocation</w:t>
            </w:r>
          </w:p>
        </w:tc>
        <w:tc>
          <w:tcPr>
            <w:tcW w:type="dxa" w:w="1364"/>
          </w:tcPr>
          <w:p>
            <w:pPr>
              <w:spacing w:after="20" w:before="20"/>
            </w:pPr>
            <w:r/>
            <w:r>
              <w:rPr>
                <w:sz w:val="14"/>
              </w:rPr>
              <w:t>A-4</w:t>
            </w:r>
          </w:p>
        </w:tc>
        <w:tc>
          <w:tcPr>
            <w:tcW w:type="dxa" w:w="1568"/>
          </w:tcPr>
          <w:p>
            <w:pPr>
              <w:spacing w:after="20" w:before="20"/>
            </w:pPr>
            <w:r/>
            <w:r>
              <w:rPr>
                <w:sz w:val="14"/>
              </w:rPr>
              <w:t>Credit / Committee</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7</w:t>
            </w:r>
          </w:p>
        </w:tc>
        <w:tc>
          <w:tcPr>
            <w:tcW w:type="dxa" w:w="4227"/>
          </w:tcPr>
          <w:p>
            <w:pPr>
              <w:spacing w:after="20" w:before="20"/>
            </w:pPr>
            <w:r/>
            <w:r>
              <w:rPr>
                <w:sz w:val="14"/>
              </w:rPr>
              <w:t>Committee decision on the Borrower net worth covenant (recommend the equity-value alternative) and on reviewed versus audited statements</w:t>
            </w:r>
          </w:p>
        </w:tc>
        <w:tc>
          <w:tcPr>
            <w:tcW w:type="dxa" w:w="1364"/>
          </w:tcPr>
          <w:p>
            <w:pPr>
              <w:spacing w:after="20" w:before="20"/>
            </w:pPr>
            <w:r/>
            <w:r>
              <w:rPr>
                <w:sz w:val="14"/>
              </w:rPr>
              <w:t>B-1</w:t>
            </w:r>
          </w:p>
        </w:tc>
        <w:tc>
          <w:tcPr>
            <w:tcW w:type="dxa" w:w="1568"/>
          </w:tcPr>
          <w:p>
            <w:pPr>
              <w:spacing w:after="20" w:before="20"/>
            </w:pPr>
            <w:r/>
            <w:r>
              <w:rPr>
                <w:sz w:val="14"/>
              </w:rPr>
              <w:t>Credit / Committee</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8</w:t>
            </w:r>
          </w:p>
        </w:tc>
        <w:tc>
          <w:tcPr>
            <w:tcW w:type="dxa" w:w="4227"/>
          </w:tcPr>
          <w:p>
            <w:pPr>
              <w:spacing w:after="20" w:before="20"/>
            </w:pPr>
            <w:r/>
            <w:r>
              <w:rPr>
                <w:sz w:val="14"/>
              </w:rPr>
              <w:t>ALTA/NSPS survey with Table A items, acreage certification, and no unpermitted encroachments</w:t>
            </w:r>
          </w:p>
        </w:tc>
        <w:tc>
          <w:tcPr>
            <w:tcW w:type="dxa" w:w="1364"/>
          </w:tcPr>
          <w:p>
            <w:pPr>
              <w:spacing w:after="20" w:before="20"/>
            </w:pPr>
            <w:r/>
            <w:r>
              <w:rPr>
                <w:sz w:val="14"/>
              </w:rPr>
              <w:t>E-4</w:t>
            </w:r>
          </w:p>
        </w:tc>
        <w:tc>
          <w:tcPr>
            <w:tcW w:type="dxa" w:w="1568"/>
          </w:tcPr>
          <w:p>
            <w:pPr>
              <w:spacing w:after="20" w:before="20"/>
            </w:pPr>
            <w:r/>
            <w:r>
              <w:rPr>
                <w:sz w:val="14"/>
              </w:rPr>
              <w:t>Borrower / surveyor / Title Company</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9</w:t>
            </w:r>
          </w:p>
        </w:tc>
        <w:tc>
          <w:tcPr>
            <w:tcW w:type="dxa" w:w="4227"/>
          </w:tcPr>
          <w:p>
            <w:pPr>
              <w:spacing w:after="20" w:before="20"/>
            </w:pPr>
            <w:r/>
            <w:r>
              <w:rPr>
                <w:sz w:val="14"/>
              </w:rPr>
              <w:t>Written ARC approval or certificate of deemed approval from the Brightleaf Historic District Association, plus Association estoppel</w:t>
            </w:r>
          </w:p>
        </w:tc>
        <w:tc>
          <w:tcPr>
            <w:tcW w:type="dxa" w:w="1364"/>
          </w:tcPr>
          <w:p>
            <w:pPr>
              <w:spacing w:after="20" w:before="20"/>
            </w:pPr>
            <w:r/>
            <w:r>
              <w:rPr>
                <w:sz w:val="14"/>
              </w:rPr>
              <w:t>E-5</w:t>
            </w:r>
          </w:p>
        </w:tc>
        <w:tc>
          <w:tcPr>
            <w:tcW w:type="dxa" w:w="1568"/>
          </w:tcPr>
          <w:p>
            <w:pPr>
              <w:spacing w:after="20" w:before="20"/>
            </w:pPr>
            <w:r/>
            <w:r>
              <w:rPr>
                <w:sz w:val="14"/>
              </w:rPr>
              <w:t>Borrower</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10</w:t>
            </w:r>
          </w:p>
        </w:tc>
        <w:tc>
          <w:tcPr>
            <w:tcW w:type="dxa" w:w="4227"/>
          </w:tcPr>
          <w:p>
            <w:pPr>
              <w:spacing w:after="20" w:before="20"/>
            </w:pPr>
            <w:r/>
            <w:r>
              <w:rPr>
                <w:sz w:val="14"/>
              </w:rPr>
              <w:t>Triangle Commercial Bank payoff letter, escrow instruction, and recorded cancellation</w:t>
            </w:r>
          </w:p>
        </w:tc>
        <w:tc>
          <w:tcPr>
            <w:tcW w:type="dxa" w:w="1364"/>
          </w:tcPr>
          <w:p>
            <w:pPr>
              <w:spacing w:after="20" w:before="20"/>
            </w:pPr>
            <w:r/>
            <w:r>
              <w:rPr>
                <w:sz w:val="14"/>
              </w:rPr>
              <w:t>E-1</w:t>
            </w:r>
          </w:p>
        </w:tc>
        <w:tc>
          <w:tcPr>
            <w:tcW w:type="dxa" w:w="1568"/>
          </w:tcPr>
          <w:p>
            <w:pPr>
              <w:spacing w:after="20" w:before="20"/>
            </w:pPr>
            <w:r/>
            <w:r>
              <w:rPr>
                <w:sz w:val="14"/>
              </w:rPr>
              <w:t>Borrower / Title Company</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11</w:t>
            </w:r>
          </w:p>
        </w:tc>
        <w:tc>
          <w:tcPr>
            <w:tcW w:type="dxa" w:w="4227"/>
          </w:tcPr>
          <w:p>
            <w:pPr>
              <w:spacing w:after="20" w:before="20"/>
            </w:pPr>
            <w:r/>
            <w:r>
              <w:rPr>
                <w:sz w:val="14"/>
              </w:rPr>
              <w:t>Current title bring-down confirming the environmental deed notice (recorded or not) and NCDEQ written confirmation</w:t>
            </w:r>
          </w:p>
        </w:tc>
        <w:tc>
          <w:tcPr>
            <w:tcW w:type="dxa" w:w="1364"/>
          </w:tcPr>
          <w:p>
            <w:pPr>
              <w:spacing w:after="20" w:before="20"/>
            </w:pPr>
            <w:r/>
            <w:r>
              <w:rPr>
                <w:sz w:val="14"/>
              </w:rPr>
              <w:t>D-2</w:t>
            </w:r>
          </w:p>
        </w:tc>
        <w:tc>
          <w:tcPr>
            <w:tcW w:type="dxa" w:w="1568"/>
          </w:tcPr>
          <w:p>
            <w:pPr>
              <w:spacing w:after="20" w:before="20"/>
            </w:pPr>
            <w:r/>
            <w:r>
              <w:rPr>
                <w:sz w:val="14"/>
              </w:rPr>
              <w:t>Title Company / Borrower</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12</w:t>
            </w:r>
          </w:p>
        </w:tc>
        <w:tc>
          <w:tcPr>
            <w:tcW w:type="dxa" w:w="4227"/>
          </w:tcPr>
          <w:p>
            <w:pPr>
              <w:spacing w:after="20" w:before="20"/>
            </w:pPr>
            <w:r/>
            <w:r>
              <w:rPr>
                <w:sz w:val="14"/>
              </w:rPr>
              <w:t>NCDEQ modification, redesign, or written determination resolving residential use above the Restricted Area</w:t>
            </w:r>
          </w:p>
        </w:tc>
        <w:tc>
          <w:tcPr>
            <w:tcW w:type="dxa" w:w="1364"/>
          </w:tcPr>
          <w:p>
            <w:pPr>
              <w:spacing w:after="20" w:before="20"/>
            </w:pPr>
            <w:r/>
            <w:r>
              <w:rPr>
                <w:sz w:val="14"/>
              </w:rPr>
              <w:t>D-1</w:t>
            </w:r>
          </w:p>
        </w:tc>
        <w:tc>
          <w:tcPr>
            <w:tcW w:type="dxa" w:w="1568"/>
          </w:tcPr>
          <w:p>
            <w:pPr>
              <w:spacing w:after="20" w:before="20"/>
            </w:pPr>
            <w:r/>
            <w:r>
              <w:rPr>
                <w:sz w:val="14"/>
              </w:rPr>
              <w:t>Borrower / environmental counsel</w:t>
            </w:r>
          </w:p>
        </w:tc>
        <w:tc>
          <w:tcPr>
            <w:tcW w:type="dxa" w:w="1432"/>
          </w:tcPr>
          <w:p>
            <w:pPr>
              <w:spacing w:after="20" w:before="20"/>
            </w:pPr>
            <w:r/>
            <w:r>
              <w:rPr>
                <w:sz w:val="14"/>
              </w:rPr>
              <w:t>Closing (or advance-stage deferral)</w:t>
            </w:r>
          </w:p>
        </w:tc>
      </w:tr>
      <w:tr>
        <w:trPr>
          <w:cantSplit/>
        </w:trPr>
        <w:tc>
          <w:tcPr>
            <w:tcW w:type="dxa" w:w="409"/>
          </w:tcPr>
          <w:p>
            <w:pPr>
              <w:spacing w:after="20" w:before="20"/>
            </w:pPr>
            <w:r/>
            <w:r>
              <w:rPr>
                <w:b/>
                <w:sz w:val="14"/>
              </w:rPr>
              <w:t>13</w:t>
            </w:r>
          </w:p>
        </w:tc>
        <w:tc>
          <w:tcPr>
            <w:tcW w:type="dxa" w:w="4227"/>
          </w:tcPr>
          <w:p>
            <w:pPr>
              <w:spacing w:after="20" w:before="20"/>
            </w:pPr>
            <w:r/>
            <w:r>
              <w:rPr>
                <w:sz w:val="14"/>
              </w:rPr>
              <w:t>PE design of the soil vapor mitigation system and NCDEQ-approved soil management plan</w:t>
            </w:r>
          </w:p>
        </w:tc>
        <w:tc>
          <w:tcPr>
            <w:tcW w:type="dxa" w:w="1364"/>
          </w:tcPr>
          <w:p>
            <w:pPr>
              <w:spacing w:after="20" w:before="20"/>
            </w:pPr>
            <w:r/>
            <w:r>
              <w:rPr>
                <w:sz w:val="14"/>
              </w:rPr>
              <w:t>D-3, D-4</w:t>
            </w:r>
          </w:p>
        </w:tc>
        <w:tc>
          <w:tcPr>
            <w:tcW w:type="dxa" w:w="1568"/>
          </w:tcPr>
          <w:p>
            <w:pPr>
              <w:spacing w:after="20" w:before="20"/>
            </w:pPr>
            <w:r/>
            <w:r>
              <w:rPr>
                <w:sz w:val="14"/>
              </w:rPr>
              <w:t>Borrower / Architect</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14</w:t>
            </w:r>
          </w:p>
        </w:tc>
        <w:tc>
          <w:tcPr>
            <w:tcW w:type="dxa" w:w="4227"/>
          </w:tcPr>
          <w:p>
            <w:pPr>
              <w:spacing w:after="20" w:before="20"/>
            </w:pPr>
            <w:r/>
            <w:r>
              <w:rPr>
                <w:sz w:val="14"/>
              </w:rPr>
              <w:t>Restricted Area metes-and-bounds description and floor plan overlay certified by surveyor and Architect</w:t>
            </w:r>
          </w:p>
        </w:tc>
        <w:tc>
          <w:tcPr>
            <w:tcW w:type="dxa" w:w="1364"/>
          </w:tcPr>
          <w:p>
            <w:pPr>
              <w:spacing w:after="20" w:before="20"/>
            </w:pPr>
            <w:r/>
            <w:r>
              <w:rPr>
                <w:sz w:val="14"/>
              </w:rPr>
              <w:t>D-1, E-4</w:t>
            </w:r>
          </w:p>
        </w:tc>
        <w:tc>
          <w:tcPr>
            <w:tcW w:type="dxa" w:w="1568"/>
          </w:tcPr>
          <w:p>
            <w:pPr>
              <w:spacing w:after="20" w:before="20"/>
            </w:pPr>
            <w:r/>
            <w:r>
              <w:rPr>
                <w:sz w:val="14"/>
              </w:rPr>
              <w:t>Borrower</w:t>
            </w:r>
          </w:p>
        </w:tc>
        <w:tc>
          <w:tcPr>
            <w:tcW w:type="dxa" w:w="1432"/>
          </w:tcPr>
          <w:p>
            <w:pPr>
              <w:spacing w:after="20" w:before="20"/>
            </w:pPr>
            <w:r/>
            <w:r>
              <w:rPr>
                <w:sz w:val="14"/>
              </w:rPr>
              <w:t>30 days after closing</w:t>
            </w:r>
          </w:p>
        </w:tc>
      </w:tr>
      <w:tr>
        <w:trPr>
          <w:cantSplit/>
        </w:trPr>
        <w:tc>
          <w:tcPr>
            <w:tcW w:type="dxa" w:w="409"/>
          </w:tcPr>
          <w:p>
            <w:pPr>
              <w:spacing w:after="20" w:before="20"/>
            </w:pPr>
            <w:r/>
            <w:r>
              <w:rPr>
                <w:b/>
                <w:sz w:val="14"/>
              </w:rPr>
              <w:t>15</w:t>
            </w:r>
          </w:p>
        </w:tc>
        <w:tc>
          <w:tcPr>
            <w:tcW w:type="dxa" w:w="4227"/>
          </w:tcPr>
          <w:p>
            <w:pPr>
              <w:spacing w:after="20" w:before="20"/>
            </w:pPr>
            <w:r/>
            <w:r>
              <w:rPr>
                <w:sz w:val="14"/>
              </w:rPr>
              <w:t>Unconditional lien waivers and releases from all pre-closing contractors and consultants; owner’s and contractor’s affidavits; ALTA 9 endorsement</w:t>
            </w:r>
          </w:p>
        </w:tc>
        <w:tc>
          <w:tcPr>
            <w:tcW w:type="dxa" w:w="1364"/>
          </w:tcPr>
          <w:p>
            <w:pPr>
              <w:spacing w:after="20" w:before="20"/>
            </w:pPr>
            <w:r/>
            <w:r>
              <w:rPr>
                <w:sz w:val="14"/>
              </w:rPr>
              <w:t>E-3, F-6</w:t>
            </w:r>
          </w:p>
        </w:tc>
        <w:tc>
          <w:tcPr>
            <w:tcW w:type="dxa" w:w="1568"/>
          </w:tcPr>
          <w:p>
            <w:pPr>
              <w:spacing w:after="20" w:before="20"/>
            </w:pPr>
            <w:r/>
            <w:r>
              <w:rPr>
                <w:sz w:val="14"/>
              </w:rPr>
              <w:t>Borrower / Title Company</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16</w:t>
            </w:r>
          </w:p>
        </w:tc>
        <w:tc>
          <w:tcPr>
            <w:tcW w:type="dxa" w:w="4227"/>
          </w:tcPr>
          <w:p>
            <w:pPr>
              <w:spacing w:after="20" w:before="20"/>
            </w:pPr>
            <w:r/>
            <w:r>
              <w:rPr>
                <w:sz w:val="14"/>
              </w:rPr>
              <w:t>Executed intercreditor agreement with senior first-priority pledge, standstill, cure, purchase option and bankruptcy provisions</w:t>
            </w:r>
          </w:p>
        </w:tc>
        <w:tc>
          <w:tcPr>
            <w:tcW w:type="dxa" w:w="1364"/>
          </w:tcPr>
          <w:p>
            <w:pPr>
              <w:spacing w:after="20" w:before="20"/>
            </w:pPr>
            <w:r/>
            <w:r>
              <w:rPr>
                <w:sz w:val="14"/>
              </w:rPr>
              <w:t>C-1</w:t>
            </w:r>
          </w:p>
        </w:tc>
        <w:tc>
          <w:tcPr>
            <w:tcW w:type="dxa" w:w="1568"/>
          </w:tcPr>
          <w:p>
            <w:pPr>
              <w:spacing w:after="20" w:before="20"/>
            </w:pPr>
            <w:r/>
            <w:r>
              <w:rPr>
                <w:sz w:val="14"/>
              </w:rPr>
              <w:t>Lender’s counsel / Mezzanine Lender</w:t>
            </w:r>
          </w:p>
        </w:tc>
        <w:tc>
          <w:tcPr>
            <w:tcW w:type="dxa" w:w="1432"/>
          </w:tcPr>
          <w:p>
            <w:pPr>
              <w:spacing w:after="20" w:before="20"/>
            </w:pPr>
            <w:r/>
            <w:r>
              <w:rPr>
                <w:sz w:val="14"/>
              </w:rPr>
              <w:t>Closing — non-waivable</w:t>
            </w:r>
          </w:p>
        </w:tc>
      </w:tr>
      <w:tr>
        <w:trPr>
          <w:cantSplit/>
        </w:trPr>
        <w:tc>
          <w:tcPr>
            <w:tcW w:type="dxa" w:w="409"/>
          </w:tcPr>
          <w:p>
            <w:pPr>
              <w:spacing w:after="20" w:before="20"/>
            </w:pPr>
            <w:r/>
            <w:r>
              <w:rPr>
                <w:b/>
                <w:sz w:val="14"/>
              </w:rPr>
              <w:t>17</w:t>
            </w:r>
          </w:p>
        </w:tc>
        <w:tc>
          <w:tcPr>
            <w:tcW w:type="dxa" w:w="4227"/>
          </w:tcPr>
          <w:p>
            <w:pPr>
              <w:spacing w:after="20" w:before="20"/>
            </w:pPr>
            <w:r/>
            <w:r>
              <w:rPr>
                <w:sz w:val="14"/>
              </w:rPr>
              <w:t>Amended and restated operating agreement: SPE covenants, independent manager, certificated interests, pledge authorization, removal of the 75% threshold for bankruptcy and loan matters</w:t>
            </w:r>
          </w:p>
        </w:tc>
        <w:tc>
          <w:tcPr>
            <w:tcW w:type="dxa" w:w="1364"/>
          </w:tcPr>
          <w:p>
            <w:pPr>
              <w:spacing w:after="20" w:before="20"/>
            </w:pPr>
            <w:r/>
            <w:r>
              <w:rPr>
                <w:sz w:val="14"/>
              </w:rPr>
              <w:t>C-2, C-3, J-2</w:t>
            </w:r>
          </w:p>
        </w:tc>
        <w:tc>
          <w:tcPr>
            <w:tcW w:type="dxa" w:w="1568"/>
          </w:tcPr>
          <w:p>
            <w:pPr>
              <w:spacing w:after="20" w:before="20"/>
            </w:pPr>
            <w:r/>
            <w:r>
              <w:rPr>
                <w:sz w:val="14"/>
              </w:rPr>
              <w:t>Borrower’s counsel</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18</w:t>
            </w:r>
          </w:p>
        </w:tc>
        <w:tc>
          <w:tcPr>
            <w:tcW w:type="dxa" w:w="4227"/>
          </w:tcPr>
          <w:p>
            <w:pPr>
              <w:spacing w:after="20" w:before="20"/>
            </w:pPr>
            <w:r/>
            <w:r>
              <w:rPr>
                <w:sz w:val="14"/>
              </w:rPr>
              <w:t>Member consents (all three members) and Brightleaf Investors Group LLC direct consent or proxy</w:t>
            </w:r>
          </w:p>
        </w:tc>
        <w:tc>
          <w:tcPr>
            <w:tcW w:type="dxa" w:w="1364"/>
          </w:tcPr>
          <w:p>
            <w:pPr>
              <w:spacing w:after="20" w:before="20"/>
            </w:pPr>
            <w:r/>
            <w:r>
              <w:rPr>
                <w:sz w:val="14"/>
              </w:rPr>
              <w:t>C-2, C-3</w:t>
            </w:r>
          </w:p>
        </w:tc>
        <w:tc>
          <w:tcPr>
            <w:tcW w:type="dxa" w:w="1568"/>
          </w:tcPr>
          <w:p>
            <w:pPr>
              <w:spacing w:after="20" w:before="20"/>
            </w:pPr>
            <w:r/>
            <w:r>
              <w:rPr>
                <w:sz w:val="14"/>
              </w:rPr>
              <w:t>Borrower</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19</w:t>
            </w:r>
          </w:p>
        </w:tc>
        <w:tc>
          <w:tcPr>
            <w:tcW w:type="dxa" w:w="4227"/>
          </w:tcPr>
          <w:p>
            <w:pPr>
              <w:spacing w:after="20" w:before="20"/>
            </w:pPr>
            <w:r/>
            <w:r>
              <w:rPr>
                <w:sz w:val="14"/>
              </w:rPr>
              <w:t>Pledge documentation: certificates with transfer powers, UCC-1 filings in the correct offices for each pledgor, UCC-3 subordination from Mezzanine Lender, account control agreement</w:t>
            </w:r>
          </w:p>
        </w:tc>
        <w:tc>
          <w:tcPr>
            <w:tcW w:type="dxa" w:w="1364"/>
          </w:tcPr>
          <w:p>
            <w:pPr>
              <w:spacing w:after="20" w:before="20"/>
            </w:pPr>
            <w:r/>
            <w:r>
              <w:rPr>
                <w:sz w:val="14"/>
              </w:rPr>
              <w:t>C-1</w:t>
            </w:r>
          </w:p>
        </w:tc>
        <w:tc>
          <w:tcPr>
            <w:tcW w:type="dxa" w:w="1568"/>
          </w:tcPr>
          <w:p>
            <w:pPr>
              <w:spacing w:after="20" w:before="20"/>
            </w:pPr>
            <w:r/>
            <w:r>
              <w:rPr>
                <w:sz w:val="14"/>
              </w:rPr>
              <w:t>Lender’s counsel</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20</w:t>
            </w:r>
          </w:p>
        </w:tc>
        <w:tc>
          <w:tcPr>
            <w:tcW w:type="dxa" w:w="4227"/>
          </w:tcPr>
          <w:p>
            <w:pPr>
              <w:spacing w:after="20" w:before="20"/>
            </w:pPr>
            <w:r/>
            <w:r>
              <w:rPr>
                <w:sz w:val="14"/>
              </w:rPr>
              <w:t>Non-consolidation opinion and enforceability opinions from Borrower’s counsel</w:t>
            </w:r>
          </w:p>
        </w:tc>
        <w:tc>
          <w:tcPr>
            <w:tcW w:type="dxa" w:w="1364"/>
          </w:tcPr>
          <w:p>
            <w:pPr>
              <w:spacing w:after="20" w:before="20"/>
            </w:pPr>
            <w:r/>
            <w:r>
              <w:rPr>
                <w:sz w:val="14"/>
              </w:rPr>
              <w:t>C-4</w:t>
            </w:r>
          </w:p>
        </w:tc>
        <w:tc>
          <w:tcPr>
            <w:tcW w:type="dxa" w:w="1568"/>
          </w:tcPr>
          <w:p>
            <w:pPr>
              <w:spacing w:after="20" w:before="20"/>
            </w:pPr>
            <w:r/>
            <w:r>
              <w:rPr>
                <w:sz w:val="14"/>
              </w:rPr>
              <w:t>Borrower’s counsel</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21</w:t>
            </w:r>
          </w:p>
        </w:tc>
        <w:tc>
          <w:tcPr>
            <w:tcW w:type="dxa" w:w="4227"/>
          </w:tcPr>
          <w:p>
            <w:pPr>
              <w:spacing w:after="20" w:before="20"/>
            </w:pPr>
            <w:r/>
            <w:r>
              <w:rPr>
                <w:sz w:val="14"/>
              </w:rPr>
              <w:t>Executed GMP contract, schedule of values, contractor’s consent, payment and performance bonds, contractor financial statements and bonding-capacity evidence</w:t>
            </w:r>
          </w:p>
        </w:tc>
        <w:tc>
          <w:tcPr>
            <w:tcW w:type="dxa" w:w="1364"/>
          </w:tcPr>
          <w:p>
            <w:pPr>
              <w:spacing w:after="20" w:before="20"/>
            </w:pPr>
            <w:r/>
            <w:r>
              <w:rPr>
                <w:sz w:val="14"/>
              </w:rPr>
              <w:t>F-6, F-7</w:t>
            </w:r>
          </w:p>
        </w:tc>
        <w:tc>
          <w:tcPr>
            <w:tcW w:type="dxa" w:w="1568"/>
          </w:tcPr>
          <w:p>
            <w:pPr>
              <w:spacing w:after="20" w:before="20"/>
            </w:pPr>
            <w:r/>
            <w:r>
              <w:rPr>
                <w:sz w:val="14"/>
              </w:rPr>
              <w:t>Borrower / Contractor</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22</w:t>
            </w:r>
          </w:p>
        </w:tc>
        <w:tc>
          <w:tcPr>
            <w:tcW w:type="dxa" w:w="4227"/>
          </w:tcPr>
          <w:p>
            <w:pPr>
              <w:spacing w:after="20" w:before="20"/>
            </w:pPr>
            <w:r/>
            <w:r>
              <w:rPr>
                <w:sz w:val="14"/>
              </w:rPr>
              <w:t>Baseline CPM construction schedule approved by the Construction Inspector</w:t>
            </w:r>
          </w:p>
        </w:tc>
        <w:tc>
          <w:tcPr>
            <w:tcW w:type="dxa" w:w="1364"/>
          </w:tcPr>
          <w:p>
            <w:pPr>
              <w:spacing w:after="20" w:before="20"/>
            </w:pPr>
            <w:r/>
            <w:r>
              <w:rPr>
                <w:sz w:val="14"/>
              </w:rPr>
              <w:t>G-4, G-1</w:t>
            </w:r>
          </w:p>
        </w:tc>
        <w:tc>
          <w:tcPr>
            <w:tcW w:type="dxa" w:w="1568"/>
          </w:tcPr>
          <w:p>
            <w:pPr>
              <w:spacing w:after="20" w:before="20"/>
            </w:pPr>
            <w:r/>
            <w:r>
              <w:rPr>
                <w:sz w:val="14"/>
              </w:rPr>
              <w:t>Borrower / Contractor</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23</w:t>
            </w:r>
          </w:p>
        </w:tc>
        <w:tc>
          <w:tcPr>
            <w:tcW w:type="dxa" w:w="4227"/>
          </w:tcPr>
          <w:p>
            <w:pPr>
              <w:spacing w:after="20" w:before="20"/>
            </w:pPr>
            <w:r/>
            <w:r>
              <w:rPr>
                <w:sz w:val="14"/>
              </w:rPr>
              <w:t>Conformed completion date and construction maturity date</w:t>
            </w:r>
          </w:p>
        </w:tc>
        <w:tc>
          <w:tcPr>
            <w:tcW w:type="dxa" w:w="1364"/>
          </w:tcPr>
          <w:p>
            <w:pPr>
              <w:spacing w:after="20" w:before="20"/>
            </w:pPr>
            <w:r/>
            <w:r>
              <w:rPr>
                <w:sz w:val="14"/>
              </w:rPr>
              <w:t>G-1</w:t>
            </w:r>
          </w:p>
        </w:tc>
        <w:tc>
          <w:tcPr>
            <w:tcW w:type="dxa" w:w="1568"/>
          </w:tcPr>
          <w:p>
            <w:pPr>
              <w:spacing w:after="20" w:before="20"/>
            </w:pPr>
            <w:r/>
            <w:r>
              <w:rPr>
                <w:sz w:val="14"/>
              </w:rPr>
              <w:t>Lender’s counsel</w:t>
            </w:r>
          </w:p>
        </w:tc>
        <w:tc>
          <w:tcPr>
            <w:tcW w:type="dxa" w:w="1432"/>
          </w:tcPr>
          <w:p>
            <w:pPr>
              <w:spacing w:after="20" w:before="20"/>
            </w:pPr>
            <w:r/>
            <w:r>
              <w:rPr>
                <w:sz w:val="14"/>
              </w:rPr>
              <w:t>Documentation</w:t>
            </w:r>
          </w:p>
        </w:tc>
      </w:tr>
      <w:tr>
        <w:trPr>
          <w:cantSplit/>
        </w:trPr>
        <w:tc>
          <w:tcPr>
            <w:tcW w:type="dxa" w:w="409"/>
          </w:tcPr>
          <w:p>
            <w:pPr>
              <w:spacing w:after="20" w:before="20"/>
            </w:pPr>
            <w:r/>
            <w:r>
              <w:rPr>
                <w:b/>
                <w:sz w:val="14"/>
              </w:rPr>
              <w:t>24</w:t>
            </w:r>
          </w:p>
        </w:tc>
        <w:tc>
          <w:tcPr>
            <w:tcW w:type="dxa" w:w="4227"/>
          </w:tcPr>
          <w:p>
            <w:pPr>
              <w:spacing w:after="20" w:before="20"/>
            </w:pPr>
            <w:r/>
            <w:r>
              <w:rPr>
                <w:sz w:val="14"/>
              </w:rPr>
              <w:t>Insurance certificates and endorsements: builder’s risk at replacement cost, property and rental loss for the mini-perm, architect’s E&amp;O, contractor’s pollution liability</w:t>
            </w:r>
          </w:p>
        </w:tc>
        <w:tc>
          <w:tcPr>
            <w:tcW w:type="dxa" w:w="1364"/>
          </w:tcPr>
          <w:p>
            <w:pPr>
              <w:spacing w:after="20" w:before="20"/>
            </w:pPr>
            <w:r/>
            <w:r>
              <w:rPr>
                <w:sz w:val="14"/>
              </w:rPr>
              <w:t>I-1, I-2, I-3</w:t>
            </w:r>
          </w:p>
        </w:tc>
        <w:tc>
          <w:tcPr>
            <w:tcW w:type="dxa" w:w="1568"/>
          </w:tcPr>
          <w:p>
            <w:pPr>
              <w:spacing w:after="20" w:before="20"/>
            </w:pPr>
            <w:r/>
            <w:r>
              <w:rPr>
                <w:sz w:val="14"/>
              </w:rPr>
              <w:t>Borrower</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25</w:t>
            </w:r>
          </w:p>
        </w:tc>
        <w:tc>
          <w:tcPr>
            <w:tcW w:type="dxa" w:w="4227"/>
          </w:tcPr>
          <w:p>
            <w:pPr>
              <w:spacing w:after="20" w:before="20"/>
            </w:pPr>
            <w:r/>
            <w:r>
              <w:rPr>
                <w:sz w:val="14"/>
              </w:rPr>
              <w:t>Current flood zone determination</w:t>
            </w:r>
          </w:p>
        </w:tc>
        <w:tc>
          <w:tcPr>
            <w:tcW w:type="dxa" w:w="1364"/>
          </w:tcPr>
          <w:p>
            <w:pPr>
              <w:spacing w:after="20" w:before="20"/>
            </w:pPr>
            <w:r/>
            <w:r>
              <w:rPr>
                <w:sz w:val="14"/>
              </w:rPr>
              <w:t>I-3</w:t>
            </w:r>
          </w:p>
        </w:tc>
        <w:tc>
          <w:tcPr>
            <w:tcW w:type="dxa" w:w="1568"/>
          </w:tcPr>
          <w:p>
            <w:pPr>
              <w:spacing w:after="20" w:before="20"/>
            </w:pPr>
            <w:r/>
            <w:r>
              <w:rPr>
                <w:sz w:val="14"/>
              </w:rPr>
              <w:t>Lender</w:t>
            </w:r>
          </w:p>
        </w:tc>
        <w:tc>
          <w:tcPr>
            <w:tcW w:type="dxa" w:w="1432"/>
          </w:tcPr>
          <w:p>
            <w:pPr>
              <w:spacing w:after="20" w:before="20"/>
            </w:pPr>
            <w:r/>
            <w:r>
              <w:rPr>
                <w:sz w:val="14"/>
              </w:rPr>
              <w:t>5 business days</w:t>
            </w:r>
          </w:p>
        </w:tc>
      </w:tr>
      <w:tr>
        <w:trPr>
          <w:cantSplit/>
        </w:trPr>
        <w:tc>
          <w:tcPr>
            <w:tcW w:type="dxa" w:w="409"/>
          </w:tcPr>
          <w:p>
            <w:pPr>
              <w:spacing w:after="20" w:before="20"/>
            </w:pPr>
            <w:r/>
            <w:r>
              <w:rPr>
                <w:b/>
                <w:sz w:val="14"/>
              </w:rPr>
              <w:t>26</w:t>
            </w:r>
          </w:p>
        </w:tc>
        <w:tc>
          <w:tcPr>
            <w:tcW w:type="dxa" w:w="4227"/>
          </w:tcPr>
          <w:p>
            <w:pPr>
              <w:spacing w:after="20" w:before="20"/>
            </w:pPr>
            <w:r/>
            <w:r>
              <w:rPr>
                <w:sz w:val="14"/>
              </w:rPr>
              <w:t>Interest rate cap (if the Committee adopts the recommendation to require it at mini-perm commencement)</w:t>
            </w:r>
          </w:p>
        </w:tc>
        <w:tc>
          <w:tcPr>
            <w:tcW w:type="dxa" w:w="1364"/>
          </w:tcPr>
          <w:p>
            <w:pPr>
              <w:spacing w:after="20" w:before="20"/>
            </w:pPr>
            <w:r/>
            <w:r>
              <w:rPr>
                <w:sz w:val="14"/>
              </w:rPr>
              <w:t>G-3</w:t>
            </w:r>
          </w:p>
        </w:tc>
        <w:tc>
          <w:tcPr>
            <w:tcW w:type="dxa" w:w="1568"/>
          </w:tcPr>
          <w:p>
            <w:pPr>
              <w:spacing w:after="20" w:before="20"/>
            </w:pPr>
            <w:r/>
            <w:r>
              <w:rPr>
                <w:sz w:val="14"/>
              </w:rPr>
              <w:t>Borrower</w:t>
            </w:r>
          </w:p>
        </w:tc>
        <w:tc>
          <w:tcPr>
            <w:tcW w:type="dxa" w:w="1432"/>
          </w:tcPr>
          <w:p>
            <w:pPr>
              <w:spacing w:after="20" w:before="20"/>
            </w:pPr>
            <w:r/>
            <w:r>
              <w:rPr>
                <w:sz w:val="14"/>
              </w:rPr>
              <w:t>Mini-perm commencement</w:t>
            </w:r>
          </w:p>
        </w:tc>
      </w:tr>
      <w:tr>
        <w:trPr>
          <w:cantSplit/>
        </w:trPr>
        <w:tc>
          <w:tcPr>
            <w:tcW w:type="dxa" w:w="409"/>
          </w:tcPr>
          <w:p>
            <w:pPr>
              <w:spacing w:after="20" w:before="20"/>
            </w:pPr>
            <w:r/>
            <w:r>
              <w:rPr>
                <w:b/>
                <w:sz w:val="14"/>
              </w:rPr>
              <w:t>27</w:t>
            </w:r>
          </w:p>
        </w:tc>
        <w:tc>
          <w:tcPr>
            <w:tcW w:type="dxa" w:w="4227"/>
          </w:tcPr>
          <w:p>
            <w:pPr>
              <w:spacing w:after="20" w:before="20"/>
            </w:pPr>
            <w:r/>
            <w:r>
              <w:rPr>
                <w:sz w:val="14"/>
              </w:rPr>
              <w:t>Borrower’s reconciled balance sheet and net worth certificate; Guarantor personal financial statements, tax returns and credit reports</w:t>
            </w:r>
          </w:p>
        </w:tc>
        <w:tc>
          <w:tcPr>
            <w:tcW w:type="dxa" w:w="1364"/>
          </w:tcPr>
          <w:p>
            <w:pPr>
              <w:spacing w:after="20" w:before="20"/>
            </w:pPr>
            <w:r/>
            <w:r>
              <w:rPr>
                <w:sz w:val="14"/>
              </w:rPr>
              <w:t>B-1, C-5</w:t>
            </w:r>
          </w:p>
        </w:tc>
        <w:tc>
          <w:tcPr>
            <w:tcW w:type="dxa" w:w="1568"/>
          </w:tcPr>
          <w:p>
            <w:pPr>
              <w:spacing w:after="20" w:before="20"/>
            </w:pPr>
            <w:r/>
            <w:r>
              <w:rPr>
                <w:sz w:val="14"/>
              </w:rPr>
              <w:t>Borrower / Guarantors</w:t>
            </w:r>
          </w:p>
        </w:tc>
        <w:tc>
          <w:tcPr>
            <w:tcW w:type="dxa" w:w="1432"/>
          </w:tcPr>
          <w:p>
            <w:pPr>
              <w:spacing w:after="20" w:before="20"/>
            </w:pPr>
            <w:r/>
            <w:r>
              <w:rPr>
                <w:sz w:val="14"/>
              </w:rPr>
              <w:t>Closing</w:t>
            </w:r>
          </w:p>
        </w:tc>
      </w:tr>
      <w:tr>
        <w:trPr>
          <w:cantSplit/>
        </w:trPr>
        <w:tc>
          <w:tcPr>
            <w:tcW w:type="dxa" w:w="409"/>
          </w:tcPr>
          <w:p>
            <w:pPr>
              <w:spacing w:after="20" w:before="20"/>
            </w:pPr>
            <w:r/>
            <w:r>
              <w:rPr>
                <w:b/>
                <w:sz w:val="14"/>
              </w:rPr>
              <w:t>28</w:t>
            </w:r>
          </w:p>
        </w:tc>
        <w:tc>
          <w:tcPr>
            <w:tcW w:type="dxa" w:w="4227"/>
          </w:tcPr>
          <w:p>
            <w:pPr>
              <w:spacing w:after="20" w:before="20"/>
            </w:pPr>
            <w:r/>
            <w:r>
              <w:rPr>
                <w:sz w:val="14"/>
              </w:rPr>
              <w:t>Sentinel reliance letter; consultant clarification letter reconciling remediation volumes and tank history; corrected Credit Memorandum environmental narrative</w:t>
            </w:r>
          </w:p>
        </w:tc>
        <w:tc>
          <w:tcPr>
            <w:tcW w:type="dxa" w:w="1364"/>
          </w:tcPr>
          <w:p>
            <w:pPr>
              <w:spacing w:after="20" w:before="20"/>
            </w:pPr>
            <w:r/>
            <w:r>
              <w:rPr>
                <w:sz w:val="14"/>
              </w:rPr>
              <w:t>D-5, D-6</w:t>
            </w:r>
          </w:p>
        </w:tc>
        <w:tc>
          <w:tcPr>
            <w:tcW w:type="dxa" w:w="1568"/>
          </w:tcPr>
          <w:p>
            <w:pPr>
              <w:spacing w:after="20" w:before="20"/>
            </w:pPr>
            <w:r/>
            <w:r>
              <w:rPr>
                <w:sz w:val="14"/>
              </w:rPr>
              <w:t>Consultant / Credit</w:t>
            </w:r>
          </w:p>
        </w:tc>
        <w:tc>
          <w:tcPr>
            <w:tcW w:type="dxa" w:w="1432"/>
          </w:tcPr>
          <w:p>
            <w:pPr>
              <w:spacing w:after="20" w:before="20"/>
            </w:pPr>
            <w:r/>
            <w:r>
              <w:rPr>
                <w:sz w:val="14"/>
              </w:rPr>
              <w:t>Condition to approval</w:t>
            </w:r>
          </w:p>
        </w:tc>
      </w:tr>
      <w:tr>
        <w:trPr>
          <w:cantSplit/>
        </w:trPr>
        <w:tc>
          <w:tcPr>
            <w:tcW w:type="dxa" w:w="409"/>
          </w:tcPr>
          <w:p>
            <w:pPr>
              <w:spacing w:after="20" w:before="20"/>
            </w:pPr>
            <w:r/>
            <w:r>
              <w:rPr>
                <w:b/>
                <w:sz w:val="14"/>
              </w:rPr>
              <w:t>29</w:t>
            </w:r>
          </w:p>
        </w:tc>
        <w:tc>
          <w:tcPr>
            <w:tcW w:type="dxa" w:w="4227"/>
          </w:tcPr>
          <w:p>
            <w:pPr>
              <w:spacing w:after="20" w:before="20"/>
            </w:pPr>
            <w:r/>
            <w:r>
              <w:rPr>
                <w:sz w:val="14"/>
              </w:rPr>
              <w:t>Evidence of the $75,000 expense deposit and its application at closing</w:t>
            </w:r>
          </w:p>
        </w:tc>
        <w:tc>
          <w:tcPr>
            <w:tcW w:type="dxa" w:w="1364"/>
          </w:tcPr>
          <w:p>
            <w:pPr>
              <w:spacing w:after="20" w:before="20"/>
            </w:pPr>
            <w:r/>
            <w:r>
              <w:rPr>
                <w:sz w:val="14"/>
              </w:rPr>
              <w:t>K-5</w:t>
            </w:r>
          </w:p>
        </w:tc>
        <w:tc>
          <w:tcPr>
            <w:tcW w:type="dxa" w:w="1568"/>
          </w:tcPr>
          <w:p>
            <w:pPr>
              <w:spacing w:after="20" w:before="20"/>
            </w:pPr>
            <w:r/>
            <w:r>
              <w:rPr>
                <w:sz w:val="14"/>
              </w:rPr>
              <w:t>Bank / Borrower</w:t>
            </w:r>
          </w:p>
        </w:tc>
        <w:tc>
          <w:tcPr>
            <w:tcW w:type="dxa" w:w="1432"/>
          </w:tcPr>
          <w:p>
            <w:pPr>
              <w:spacing w:after="20" w:before="20"/>
            </w:pPr>
            <w:r/>
            <w:r>
              <w:rPr>
                <w:sz w:val="14"/>
              </w:rPr>
              <w:t>5 business days</w:t>
            </w:r>
          </w:p>
        </w:tc>
      </w:tr>
      <w:tr>
        <w:trPr>
          <w:cantSplit/>
        </w:trPr>
        <w:tc>
          <w:tcPr>
            <w:tcW w:type="dxa" w:w="409"/>
          </w:tcPr>
          <w:p>
            <w:pPr>
              <w:spacing w:after="20" w:before="20"/>
            </w:pPr>
            <w:r/>
            <w:r>
              <w:rPr>
                <w:b/>
                <w:sz w:val="14"/>
              </w:rPr>
              <w:t>30</w:t>
            </w:r>
          </w:p>
        </w:tc>
        <w:tc>
          <w:tcPr>
            <w:tcW w:type="dxa" w:w="4227"/>
          </w:tcPr>
          <w:p>
            <w:pPr>
              <w:spacing w:after="20" w:before="20"/>
            </w:pPr>
            <w:r/>
            <w:r>
              <w:rPr>
                <w:sz w:val="14"/>
              </w:rPr>
              <w:t>Corrected and final Credit Memorandum, Phase I ESA, and Term Sheet (address, fee, grace period, Permitted Exceptions, guarantor net worth)</w:t>
            </w:r>
          </w:p>
        </w:tc>
        <w:tc>
          <w:tcPr>
            <w:tcW w:type="dxa" w:w="1364"/>
          </w:tcPr>
          <w:p>
            <w:pPr>
              <w:spacing w:after="20" w:before="20"/>
            </w:pPr>
            <w:r/>
            <w:r>
              <w:rPr>
                <w:sz w:val="14"/>
              </w:rPr>
              <w:t>K-1 to K-7, E-2</w:t>
            </w:r>
          </w:p>
        </w:tc>
        <w:tc>
          <w:tcPr>
            <w:tcW w:type="dxa" w:w="1568"/>
          </w:tcPr>
          <w:p>
            <w:pPr>
              <w:spacing w:after="20" w:before="20"/>
            </w:pPr>
            <w:r/>
            <w:r>
              <w:rPr>
                <w:sz w:val="14"/>
              </w:rPr>
              <w:t>Bank</w:t>
            </w:r>
          </w:p>
        </w:tc>
        <w:tc>
          <w:tcPr>
            <w:tcW w:type="dxa" w:w="1432"/>
          </w:tcPr>
          <w:p>
            <w:pPr>
              <w:spacing w:after="20" w:before="20"/>
            </w:pPr>
            <w:r/>
            <w:r>
              <w:rPr>
                <w:sz w:val="14"/>
              </w:rPr>
              <w:t>Condition to approval</w:t>
            </w:r>
          </w:p>
        </w:tc>
      </w:tr>
    </w:tbl>
    <w:p>
      <w:pPr>
        <w:spacing w:after="40"/>
      </w:pPr>
    </w:p>
    <w:p>
      <w:pPr>
        <w:keepNext/>
        <w:spacing w:before="280" w:after="100"/>
      </w:pPr>
      <w:r>
        <w:rPr>
          <w:b/>
          <w:color w:val="1F3353"/>
          <w:sz w:val="26"/>
        </w:rPr>
        <w:t>6.  DRAFTING CONVENTIONS AND ITEMS LEFT OPEN IN THE DRAFT</w:t>
      </w:r>
    </w:p>
    <w:p>
      <w:pPr>
        <w:spacing w:after="160"/>
        <w:ind w:left="0" w:firstLine="0"/>
        <w:jc w:val="both"/>
      </w:pPr>
      <w:r>
        <w:rPr>
          <w:i w:val="0"/>
        </w:rPr>
        <w:t>The draft Loan Agreement is complete and internally consistent. It takes positions where the record permits a position and brackets only those points that require a business decision by the Senior Loan Committee or a document the Bank does not yet have. Table 6 lists every open item in the draft, the reason it is open, and the recommendation.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53"/>
        <w:gridCol w:w="2581"/>
        <w:gridCol w:w="2233"/>
        <w:gridCol w:w="2233"/>
      </w:tblGrid>
      <w:tr>
        <w:trPr>
          <w:cantSplit/>
        </w:trPr>
        <w:tc>
          <w:tcPr>
            <w:tcW w:type="dxa" w:w="1953"/>
            <w:shd w:val="clear" w:color="auto" w:fill="1F3353"/>
          </w:tcPr>
          <w:p>
            <w:pPr>
              <w:spacing w:after="20" w:before="20"/>
            </w:pPr>
            <w:r/>
            <w:r>
              <w:rPr>
                <w:b/>
                <w:color w:val="FFFFFF"/>
                <w:sz w:val="14"/>
              </w:rPr>
              <w:t>Draft location</w:t>
            </w:r>
          </w:p>
        </w:tc>
        <w:tc>
          <w:tcPr>
            <w:tcW w:type="dxa" w:w="2581"/>
            <w:shd w:val="clear" w:color="auto" w:fill="1F3353"/>
          </w:tcPr>
          <w:p>
            <w:pPr>
              <w:spacing w:after="20" w:before="20"/>
            </w:pPr>
            <w:r/>
            <w:r>
              <w:rPr>
                <w:b/>
                <w:color w:val="FFFFFF"/>
                <w:sz w:val="14"/>
              </w:rPr>
              <w:t>Open item</w:t>
            </w:r>
          </w:p>
        </w:tc>
        <w:tc>
          <w:tcPr>
            <w:tcW w:type="dxa" w:w="2233"/>
            <w:shd w:val="clear" w:color="auto" w:fill="1F3353"/>
          </w:tcPr>
          <w:p>
            <w:pPr>
              <w:spacing w:after="20" w:before="20"/>
            </w:pPr>
            <w:r/>
            <w:r>
              <w:rPr>
                <w:b/>
                <w:color w:val="FFFFFF"/>
                <w:sz w:val="14"/>
              </w:rPr>
              <w:t>Why open</w:t>
            </w:r>
          </w:p>
        </w:tc>
        <w:tc>
          <w:tcPr>
            <w:tcW w:type="dxa" w:w="2233"/>
            <w:shd w:val="clear" w:color="auto" w:fill="1F3353"/>
          </w:tcPr>
          <w:p>
            <w:pPr>
              <w:spacing w:after="20" w:before="20"/>
            </w:pPr>
            <w:r/>
            <w:r>
              <w:rPr>
                <w:b/>
                <w:color w:val="FFFFFF"/>
                <w:sz w:val="14"/>
              </w:rPr>
              <w:t>Recommendation</w:t>
            </w:r>
          </w:p>
        </w:tc>
      </w:tr>
      <w:tr>
        <w:trPr>
          <w:cantSplit/>
        </w:trPr>
        <w:tc>
          <w:tcPr>
            <w:tcW w:type="dxa" w:w="1953"/>
          </w:tcPr>
          <w:p>
            <w:pPr>
              <w:spacing w:after="20" w:before="20"/>
            </w:pPr>
            <w:r/>
            <w:r>
              <w:rPr>
                <w:sz w:val="14"/>
              </w:rPr>
              <w:t>Cover page; § 2.1; § 9.1; § 9.2; Schedule 1</w:t>
            </w:r>
          </w:p>
        </w:tc>
        <w:tc>
          <w:tcPr>
            <w:tcW w:type="dxa" w:w="2581"/>
          </w:tcPr>
          <w:p>
            <w:pPr>
              <w:spacing w:after="20" w:before="20"/>
            </w:pPr>
            <w:r/>
            <w:r>
              <w:rPr>
                <w:sz w:val="14"/>
              </w:rPr>
              <w:t>Loan Amount of $47,500,000 with bracketed Alternative B of $45,360,000</w:t>
            </w:r>
          </w:p>
        </w:tc>
        <w:tc>
          <w:tcPr>
            <w:tcW w:type="dxa" w:w="2233"/>
          </w:tcPr>
          <w:p>
            <w:pPr>
              <w:spacing w:after="20" w:before="20"/>
            </w:pPr>
            <w:r/>
            <w:r>
              <w:rPr>
                <w:sz w:val="14"/>
              </w:rPr>
              <w:t>The Committee must choose between the Term Sheet loan amount and covenant compliance</w:t>
            </w:r>
          </w:p>
        </w:tc>
        <w:tc>
          <w:tcPr>
            <w:tcW w:type="dxa" w:w="2233"/>
          </w:tcPr>
          <w:p>
            <w:pPr>
              <w:spacing w:after="20" w:before="20"/>
            </w:pPr>
            <w:r/>
            <w:r>
              <w:rPr>
                <w:sz w:val="14"/>
              </w:rPr>
              <w:t>Alternative B (with $2,140,000 equity) unless the Committee expressly approves the LTC and LTV exceptions</w:t>
            </w:r>
          </w:p>
        </w:tc>
      </w:tr>
      <w:tr>
        <w:trPr>
          <w:cantSplit/>
        </w:trPr>
        <w:tc>
          <w:tcPr>
            <w:tcW w:type="dxa" w:w="1953"/>
          </w:tcPr>
          <w:p>
            <w:pPr>
              <w:spacing w:after="20" w:before="20"/>
            </w:pPr>
            <w:r/>
            <w:r>
              <w:rPr>
                <w:sz w:val="14"/>
              </w:rPr>
              <w:t>§ 2.1</w:t>
            </w:r>
          </w:p>
        </w:tc>
        <w:tc>
          <w:tcPr>
            <w:tcW w:type="dxa" w:w="2581"/>
          </w:tcPr>
          <w:p>
            <w:pPr>
              <w:spacing w:after="20" w:before="20"/>
            </w:pPr>
            <w:r/>
            <w:r>
              <w:rPr>
                <w:sz w:val="14"/>
              </w:rPr>
              <w:t>Automatic commitment reduction on the Closing Date</w:t>
            </w:r>
          </w:p>
        </w:tc>
        <w:tc>
          <w:tcPr>
            <w:tcW w:type="dxa" w:w="2233"/>
          </w:tcPr>
          <w:p>
            <w:pPr>
              <w:spacing w:after="20" w:before="20"/>
            </w:pPr>
            <w:r/>
            <w:r>
              <w:rPr>
                <w:sz w:val="14"/>
              </w:rPr>
              <w:t>Mechanical implementation of the recommended cure</w:t>
            </w:r>
          </w:p>
        </w:tc>
        <w:tc>
          <w:tcPr>
            <w:tcW w:type="dxa" w:w="2233"/>
          </w:tcPr>
          <w:p>
            <w:pPr>
              <w:spacing w:after="20" w:before="20"/>
            </w:pPr>
            <w:r/>
            <w:r>
              <w:rPr>
                <w:sz w:val="14"/>
              </w:rPr>
              <w:t>Retain</w:t>
            </w:r>
          </w:p>
        </w:tc>
      </w:tr>
      <w:tr>
        <w:trPr>
          <w:cantSplit/>
        </w:trPr>
        <w:tc>
          <w:tcPr>
            <w:tcW w:type="dxa" w:w="1953"/>
          </w:tcPr>
          <w:p>
            <w:pPr>
              <w:spacing w:after="20" w:before="20"/>
            </w:pPr>
            <w:r/>
            <w:r>
              <w:rPr>
                <w:sz w:val="14"/>
              </w:rPr>
              <w:t>§ 2.6(c)</w:t>
            </w:r>
          </w:p>
        </w:tc>
        <w:tc>
          <w:tcPr>
            <w:tcW w:type="dxa" w:w="2581"/>
          </w:tcPr>
          <w:p>
            <w:pPr>
              <w:spacing w:after="20" w:before="20"/>
            </w:pPr>
            <w:r/>
            <w:r>
              <w:rPr>
                <w:sz w:val="14"/>
              </w:rPr>
              <w:t>Unused line fee</w:t>
            </w:r>
          </w:p>
        </w:tc>
        <w:tc>
          <w:tcPr>
            <w:tcW w:type="dxa" w:w="2233"/>
          </w:tcPr>
          <w:p>
            <w:pPr>
              <w:spacing w:after="20" w:before="20"/>
            </w:pPr>
            <w:r/>
            <w:r>
              <w:rPr>
                <w:sz w:val="14"/>
              </w:rPr>
              <w:t>Present in the Term Sheet but inconsistent with a single-advance facility and unbudgeted</w:t>
            </w:r>
          </w:p>
        </w:tc>
        <w:tc>
          <w:tcPr>
            <w:tcW w:type="dxa" w:w="2233"/>
          </w:tcPr>
          <w:p>
            <w:pPr>
              <w:spacing w:after="20" w:before="20"/>
            </w:pPr>
            <w:r/>
            <w:r>
              <w:rPr>
                <w:sz w:val="14"/>
              </w:rPr>
              <w:t>Committee to confirm retention or deletion</w:t>
            </w:r>
          </w:p>
        </w:tc>
      </w:tr>
      <w:tr>
        <w:trPr>
          <w:cantSplit/>
        </w:trPr>
        <w:tc>
          <w:tcPr>
            <w:tcW w:type="dxa" w:w="1953"/>
          </w:tcPr>
          <w:p>
            <w:pPr>
              <w:spacing w:after="20" w:before="20"/>
            </w:pPr>
            <w:r/>
            <w:r>
              <w:rPr>
                <w:sz w:val="14"/>
              </w:rPr>
              <w:t>§ 2.7</w:t>
            </w:r>
          </w:p>
        </w:tc>
        <w:tc>
          <w:tcPr>
            <w:tcW w:type="dxa" w:w="2581"/>
          </w:tcPr>
          <w:p>
            <w:pPr>
              <w:spacing w:after="20" w:before="20"/>
            </w:pPr>
            <w:r/>
            <w:r>
              <w:rPr>
                <w:sz w:val="14"/>
              </w:rPr>
              <w:t>5.00% late charge</w:t>
            </w:r>
          </w:p>
        </w:tc>
        <w:tc>
          <w:tcPr>
            <w:tcW w:type="dxa" w:w="2233"/>
          </w:tcPr>
          <w:p>
            <w:pPr>
              <w:spacing w:after="20" w:before="20"/>
            </w:pPr>
            <w:r/>
            <w:r>
              <w:rPr>
                <w:sz w:val="14"/>
              </w:rPr>
              <w:t>New economic term not in the Term Sheet</w:t>
            </w:r>
          </w:p>
        </w:tc>
        <w:tc>
          <w:tcPr>
            <w:tcW w:type="dxa" w:w="2233"/>
          </w:tcPr>
          <w:p>
            <w:pPr>
              <w:spacing w:after="20" w:before="20"/>
            </w:pPr>
            <w:r/>
            <w:r>
              <w:rPr>
                <w:sz w:val="14"/>
              </w:rPr>
              <w:t>Committee approval required</w:t>
            </w:r>
          </w:p>
        </w:tc>
      </w:tr>
      <w:tr>
        <w:trPr>
          <w:cantSplit/>
        </w:trPr>
        <w:tc>
          <w:tcPr>
            <w:tcW w:type="dxa" w:w="1953"/>
          </w:tcPr>
          <w:p>
            <w:pPr>
              <w:spacing w:after="20" w:before="20"/>
            </w:pPr>
            <w:r/>
            <w:r>
              <w:rPr>
                <w:sz w:val="14"/>
              </w:rPr>
              <w:t>§ 5.5</w:t>
            </w:r>
          </w:p>
        </w:tc>
        <w:tc>
          <w:tcPr>
            <w:tcW w:type="dxa" w:w="2581"/>
          </w:tcPr>
          <w:p>
            <w:pPr>
              <w:spacing w:after="20" w:before="20"/>
            </w:pPr>
            <w:r/>
            <w:r>
              <w:rPr>
                <w:sz w:val="14"/>
              </w:rPr>
              <w:t>Interest Reserve of $4,850,000 with the adequacy test at the greater of current SOFR and 4.35%</w:t>
            </w:r>
          </w:p>
        </w:tc>
        <w:tc>
          <w:tcPr>
            <w:tcW w:type="dxa" w:w="2233"/>
          </w:tcPr>
          <w:p>
            <w:pPr>
              <w:spacing w:after="20" w:before="20"/>
            </w:pPr>
            <w:r/>
            <w:r>
              <w:rPr>
                <w:sz w:val="14"/>
              </w:rPr>
              <w:t>Committee decision on reserve sizing</w:t>
            </w:r>
          </w:p>
        </w:tc>
        <w:tc>
          <w:tcPr>
            <w:tcW w:type="dxa" w:w="2233"/>
          </w:tcPr>
          <w:p>
            <w:pPr>
              <w:spacing w:after="20" w:before="20"/>
            </w:pPr>
            <w:r/>
            <w:r>
              <w:rPr>
                <w:sz w:val="14"/>
              </w:rPr>
              <w:t>Increase to approximately $5,600,000, funded by equity</w:t>
            </w:r>
          </w:p>
        </w:tc>
      </w:tr>
      <w:tr>
        <w:trPr>
          <w:cantSplit/>
        </w:trPr>
        <w:tc>
          <w:tcPr>
            <w:tcW w:type="dxa" w:w="1953"/>
          </w:tcPr>
          <w:p>
            <w:pPr>
              <w:spacing w:after="20" w:before="20"/>
            </w:pPr>
            <w:r/>
            <w:r>
              <w:rPr>
                <w:sz w:val="14"/>
              </w:rPr>
              <w:t>§ 5.13</w:t>
            </w:r>
          </w:p>
        </w:tc>
        <w:tc>
          <w:tcPr>
            <w:tcW w:type="dxa" w:w="2581"/>
          </w:tcPr>
          <w:p>
            <w:pPr>
              <w:spacing w:after="20" w:before="20"/>
            </w:pPr>
            <w:r/>
            <w:r>
              <w:rPr>
                <w:sz w:val="14"/>
              </w:rPr>
              <w:t>Developer Fee deferral and prohibition on mezzanine funding</w:t>
            </w:r>
          </w:p>
        </w:tc>
        <w:tc>
          <w:tcPr>
            <w:tcW w:type="dxa" w:w="2233"/>
          </w:tcPr>
          <w:p>
            <w:pPr>
              <w:spacing w:after="20" w:before="20"/>
            </w:pPr>
            <w:r/>
            <w:r>
              <w:rPr>
                <w:sz w:val="14"/>
              </w:rPr>
              <w:t>Requires Borrower agreement; changes the Term Sheet economics</w:t>
            </w:r>
          </w:p>
        </w:tc>
        <w:tc>
          <w:tcPr>
            <w:tcW w:type="dxa" w:w="2233"/>
          </w:tcPr>
          <w:p>
            <w:pPr>
              <w:spacing w:after="20" w:before="20"/>
            </w:pPr>
            <w:r/>
            <w:r>
              <w:rPr>
                <w:sz w:val="14"/>
              </w:rPr>
              <w:t>Retain; it is a condition of the recommended equity cure</w:t>
            </w:r>
          </w:p>
        </w:tc>
      </w:tr>
      <w:tr>
        <w:trPr>
          <w:cantSplit/>
        </w:trPr>
        <w:tc>
          <w:tcPr>
            <w:tcW w:type="dxa" w:w="1953"/>
          </w:tcPr>
          <w:p>
            <w:pPr>
              <w:spacing w:after="20" w:before="20"/>
            </w:pPr>
            <w:r/>
            <w:r>
              <w:rPr>
                <w:sz w:val="14"/>
              </w:rPr>
              <w:t>§ 9.4</w:t>
            </w:r>
          </w:p>
        </w:tc>
        <w:tc>
          <w:tcPr>
            <w:tcW w:type="dxa" w:w="2581"/>
          </w:tcPr>
          <w:p>
            <w:pPr>
              <w:spacing w:after="20" w:before="20"/>
            </w:pPr>
            <w:r/>
            <w:r>
              <w:rPr>
                <w:sz w:val="14"/>
              </w:rPr>
              <w:t>Net worth covenant of $12,000,000 with a bracketed “excluding Project debt” alternative</w:t>
            </w:r>
          </w:p>
        </w:tc>
        <w:tc>
          <w:tcPr>
            <w:tcW w:type="dxa" w:w="2233"/>
          </w:tcPr>
          <w:p>
            <w:pPr>
              <w:spacing w:after="20" w:before="20"/>
            </w:pPr>
            <w:r/>
            <w:r>
              <w:rPr>
                <w:sz w:val="14"/>
              </w:rPr>
              <w:t>The stated covenant is unsatisfiable; the alternative is a new credit term</w:t>
            </w:r>
          </w:p>
        </w:tc>
        <w:tc>
          <w:tcPr>
            <w:tcW w:type="dxa" w:w="2233"/>
          </w:tcPr>
          <w:p>
            <w:pPr>
              <w:spacing w:after="20" w:before="20"/>
            </w:pPr>
            <w:r/>
            <w:r>
              <w:rPr>
                <w:sz w:val="14"/>
              </w:rPr>
              <w:t>Adopt the alternative</w:t>
            </w:r>
          </w:p>
        </w:tc>
      </w:tr>
      <w:tr>
        <w:trPr>
          <w:cantSplit/>
        </w:trPr>
        <w:tc>
          <w:tcPr>
            <w:tcW w:type="dxa" w:w="1953"/>
          </w:tcPr>
          <w:p>
            <w:pPr>
              <w:spacing w:after="20" w:before="20"/>
            </w:pPr>
            <w:r/>
            <w:r>
              <w:rPr>
                <w:sz w:val="14"/>
              </w:rPr>
              <w:t>§ 15.1(n)</w:t>
            </w:r>
          </w:p>
        </w:tc>
        <w:tc>
          <w:tcPr>
            <w:tcW w:type="dxa" w:w="2581"/>
          </w:tcPr>
          <w:p>
            <w:pPr>
              <w:spacing w:after="20" w:before="20"/>
            </w:pPr>
            <w:r/>
            <w:r>
              <w:rPr>
                <w:sz w:val="14"/>
              </w:rPr>
              <w:t>Guarantor net worth of $10,000,000 and per-guarantor liquidity of $2,500,000</w:t>
            </w:r>
          </w:p>
        </w:tc>
        <w:tc>
          <w:tcPr>
            <w:tcW w:type="dxa" w:w="2233"/>
          </w:tcPr>
          <w:p>
            <w:pPr>
              <w:spacing w:after="20" w:before="20"/>
            </w:pPr>
            <w:r/>
            <w:r>
              <w:rPr>
                <w:sz w:val="14"/>
              </w:rPr>
              <w:t>No guarantor net worth covenant exists in the record</w:t>
            </w:r>
          </w:p>
        </w:tc>
        <w:tc>
          <w:tcPr>
            <w:tcW w:type="dxa" w:w="2233"/>
          </w:tcPr>
          <w:p>
            <w:pPr>
              <w:spacing w:after="20" w:before="20"/>
            </w:pPr>
            <w:r/>
            <w:r>
              <w:rPr>
                <w:sz w:val="14"/>
              </w:rPr>
              <w:t>Committee to confirm levels</w:t>
            </w:r>
          </w:p>
        </w:tc>
      </w:tr>
      <w:tr>
        <w:trPr>
          <w:cantSplit/>
        </w:trPr>
        <w:tc>
          <w:tcPr>
            <w:tcW w:type="dxa" w:w="1953"/>
          </w:tcPr>
          <w:p>
            <w:pPr>
              <w:spacing w:after="20" w:before="20"/>
            </w:pPr>
            <w:r/>
            <w:r>
              <w:rPr>
                <w:sz w:val="14"/>
              </w:rPr>
              <w:t>§ 1.1 (Construction Contract)</w:t>
            </w:r>
          </w:p>
        </w:tc>
        <w:tc>
          <w:tcPr>
            <w:tcW w:type="dxa" w:w="2581"/>
          </w:tcPr>
          <w:p>
            <w:pPr>
              <w:spacing w:after="20" w:before="20"/>
            </w:pPr>
            <w:r/>
            <w:r>
              <w:rPr>
                <w:sz w:val="14"/>
              </w:rPr>
              <w:t>Construction Contract date</w:t>
            </w:r>
          </w:p>
        </w:tc>
        <w:tc>
          <w:tcPr>
            <w:tcW w:type="dxa" w:w="2233"/>
          </w:tcPr>
          <w:p>
            <w:pPr>
              <w:spacing w:after="20" w:before="20"/>
            </w:pPr>
            <w:r/>
            <w:r>
              <w:rPr>
                <w:sz w:val="14"/>
              </w:rPr>
              <w:t>Contract not in the record (the Appraisal says it is executed)</w:t>
            </w:r>
          </w:p>
        </w:tc>
        <w:tc>
          <w:tcPr>
            <w:tcW w:type="dxa" w:w="2233"/>
          </w:tcPr>
          <w:p>
            <w:pPr>
              <w:spacing w:after="20" w:before="20"/>
            </w:pPr>
            <w:r/>
            <w:r>
              <w:rPr>
                <w:sz w:val="14"/>
              </w:rPr>
              <w:t>Insert on delivery</w:t>
            </w:r>
          </w:p>
        </w:tc>
      </w:tr>
      <w:tr>
        <w:trPr>
          <w:cantSplit/>
        </w:trPr>
        <w:tc>
          <w:tcPr>
            <w:tcW w:type="dxa" w:w="1953"/>
          </w:tcPr>
          <w:p>
            <w:pPr>
              <w:spacing w:after="20" w:before="20"/>
            </w:pPr>
            <w:r/>
            <w:r>
              <w:rPr>
                <w:sz w:val="14"/>
              </w:rPr>
              <w:t>§ 19.1</w:t>
            </w:r>
          </w:p>
        </w:tc>
        <w:tc>
          <w:tcPr>
            <w:tcW w:type="dxa" w:w="2581"/>
          </w:tcPr>
          <w:p>
            <w:pPr>
              <w:spacing w:after="20" w:before="20"/>
            </w:pPr>
            <w:r/>
            <w:r>
              <w:rPr>
                <w:sz w:val="14"/>
              </w:rPr>
              <w:t>Mezzanine Lender notice address</w:t>
            </w:r>
          </w:p>
        </w:tc>
        <w:tc>
          <w:tcPr>
            <w:tcW w:type="dxa" w:w="2233"/>
          </w:tcPr>
          <w:p>
            <w:pPr>
              <w:spacing w:after="20" w:before="20"/>
            </w:pPr>
            <w:r/>
            <w:r>
              <w:rPr>
                <w:sz w:val="14"/>
              </w:rPr>
              <w:t>Not in the record</w:t>
            </w:r>
          </w:p>
        </w:tc>
        <w:tc>
          <w:tcPr>
            <w:tcW w:type="dxa" w:w="2233"/>
          </w:tcPr>
          <w:p>
            <w:pPr>
              <w:spacing w:after="20" w:before="20"/>
            </w:pPr>
            <w:r/>
            <w:r>
              <w:rPr>
                <w:sz w:val="14"/>
              </w:rPr>
              <w:t>Insert on delivery of the intercreditor agreement</w:t>
            </w:r>
          </w:p>
        </w:tc>
      </w:tr>
      <w:tr>
        <w:trPr>
          <w:cantSplit/>
        </w:trPr>
        <w:tc>
          <w:tcPr>
            <w:tcW w:type="dxa" w:w="1953"/>
          </w:tcPr>
          <w:p>
            <w:pPr>
              <w:spacing w:after="20" w:before="20"/>
            </w:pPr>
            <w:r/>
            <w:r>
              <w:rPr>
                <w:sz w:val="14"/>
              </w:rPr>
              <w:t>Schedule 2</w:t>
            </w:r>
          </w:p>
        </w:tc>
        <w:tc>
          <w:tcPr>
            <w:tcW w:type="dxa" w:w="2581"/>
          </w:tcPr>
          <w:p>
            <w:pPr>
              <w:spacing w:after="20" w:before="20"/>
            </w:pPr>
            <w:r/>
            <w:r>
              <w:rPr>
                <w:sz w:val="14"/>
              </w:rPr>
              <w:t>Permitted Exceptions, including the environmental deed notice once recorded</w:t>
            </w:r>
          </w:p>
        </w:tc>
        <w:tc>
          <w:tcPr>
            <w:tcW w:type="dxa" w:w="2233"/>
          </w:tcPr>
          <w:p>
            <w:pPr>
              <w:spacing w:after="20" w:before="20"/>
            </w:pPr>
            <w:r/>
            <w:r>
              <w:rPr>
                <w:sz w:val="14"/>
              </w:rPr>
              <w:t>Recordation status to be confirmed</w:t>
            </w:r>
          </w:p>
        </w:tc>
        <w:tc>
          <w:tcPr>
            <w:tcW w:type="dxa" w:w="2233"/>
          </w:tcPr>
          <w:p>
            <w:pPr>
              <w:spacing w:after="20" w:before="20"/>
            </w:pPr>
            <w:r/>
            <w:r>
              <w:rPr>
                <w:sz w:val="14"/>
              </w:rPr>
              <w:t>Confirm against the title bring-down</w:t>
            </w:r>
          </w:p>
        </w:tc>
      </w:tr>
      <w:tr>
        <w:trPr>
          <w:cantSplit/>
        </w:trPr>
        <w:tc>
          <w:tcPr>
            <w:tcW w:type="dxa" w:w="1953"/>
          </w:tcPr>
          <w:p>
            <w:pPr>
              <w:spacing w:after="20" w:before="20"/>
            </w:pPr>
            <w:r/>
            <w:r>
              <w:rPr>
                <w:sz w:val="14"/>
              </w:rPr>
              <w:t>Schedule 3</w:t>
            </w:r>
          </w:p>
        </w:tc>
        <w:tc>
          <w:tcPr>
            <w:tcW w:type="dxa" w:w="2581"/>
          </w:tcPr>
          <w:p>
            <w:pPr>
              <w:spacing w:after="20" w:before="20"/>
            </w:pPr>
            <w:r/>
            <w:r>
              <w:rPr>
                <w:sz w:val="14"/>
              </w:rPr>
              <w:t>Budget lines and omitted-cost note</w:t>
            </w:r>
          </w:p>
        </w:tc>
        <w:tc>
          <w:tcPr>
            <w:tcW w:type="dxa" w:w="2233"/>
          </w:tcPr>
          <w:p>
            <w:pPr>
              <w:spacing w:after="20" w:before="20"/>
            </w:pPr>
            <w:r/>
            <w:r>
              <w:rPr>
                <w:sz w:val="14"/>
              </w:rPr>
              <w:t>Borrower to deliver a corrected budget</w:t>
            </w:r>
          </w:p>
        </w:tc>
        <w:tc>
          <w:tcPr>
            <w:tcW w:type="dxa" w:w="2233"/>
          </w:tcPr>
          <w:p>
            <w:pPr>
              <w:spacing w:after="20" w:before="20"/>
            </w:pPr>
            <w:r/>
            <w:r>
              <w:rPr>
                <w:sz w:val="14"/>
              </w:rPr>
              <w:t>Conform to the corrected budget</w:t>
            </w:r>
          </w:p>
        </w:tc>
      </w:tr>
      <w:tr>
        <w:trPr>
          <w:cantSplit/>
        </w:trPr>
        <w:tc>
          <w:tcPr>
            <w:tcW w:type="dxa" w:w="1953"/>
          </w:tcPr>
          <w:p>
            <w:pPr>
              <w:spacing w:after="20" w:before="20"/>
            </w:pPr>
            <w:r/>
            <w:r>
              <w:rPr>
                <w:sz w:val="14"/>
              </w:rPr>
              <w:t>Schedule 4</w:t>
            </w:r>
          </w:p>
        </w:tc>
        <w:tc>
          <w:tcPr>
            <w:tcW w:type="dxa" w:w="2581"/>
          </w:tcPr>
          <w:p>
            <w:pPr>
              <w:spacing w:after="20" w:before="20"/>
            </w:pPr>
            <w:r/>
            <w:r>
              <w:rPr>
                <w:sz w:val="14"/>
              </w:rPr>
              <w:t>Restated draw schedule</w:t>
            </w:r>
          </w:p>
        </w:tc>
        <w:tc>
          <w:tcPr>
            <w:tcW w:type="dxa" w:w="2233"/>
          </w:tcPr>
          <w:p>
            <w:pPr>
              <w:spacing w:after="20" w:before="20"/>
            </w:pPr>
            <w:r/>
            <w:r>
              <w:rPr>
                <w:sz w:val="14"/>
              </w:rPr>
              <w:t>Borrower’s schedule cannot be used as delivered</w:t>
            </w:r>
          </w:p>
        </w:tc>
        <w:tc>
          <w:tcPr>
            <w:tcW w:type="dxa" w:w="2233"/>
          </w:tcPr>
          <w:p>
            <w:pPr>
              <w:spacing w:after="20" w:before="20"/>
            </w:pPr>
            <w:r/>
            <w:r>
              <w:rPr>
                <w:sz w:val="14"/>
              </w:rPr>
              <w:t>Adopt the restated schedule</w:t>
            </w:r>
          </w:p>
        </w:tc>
      </w:tr>
      <w:tr>
        <w:trPr>
          <w:cantSplit/>
        </w:trPr>
        <w:tc>
          <w:tcPr>
            <w:tcW w:type="dxa" w:w="1953"/>
          </w:tcPr>
          <w:p>
            <w:pPr>
              <w:spacing w:after="20" w:before="20"/>
            </w:pPr>
            <w:r/>
            <w:r>
              <w:rPr>
                <w:sz w:val="14"/>
              </w:rPr>
              <w:t>Exhibit A</w:t>
            </w:r>
          </w:p>
        </w:tc>
        <w:tc>
          <w:tcPr>
            <w:tcW w:type="dxa" w:w="2581"/>
          </w:tcPr>
          <w:p>
            <w:pPr>
              <w:spacing w:after="20" w:before="20"/>
            </w:pPr>
            <w:r/>
            <w:r>
              <w:rPr>
                <w:sz w:val="14"/>
              </w:rPr>
              <w:t>Legal descriptions</w:t>
            </w:r>
          </w:p>
        </w:tc>
        <w:tc>
          <w:tcPr>
            <w:tcW w:type="dxa" w:w="2233"/>
          </w:tcPr>
          <w:p>
            <w:pPr>
              <w:spacing w:after="20" w:before="20"/>
            </w:pPr>
            <w:r/>
            <w:r>
              <w:rPr>
                <w:sz w:val="14"/>
              </w:rPr>
              <w:t>Recorded descriptions used; survey required</w:t>
            </w:r>
          </w:p>
        </w:tc>
        <w:tc>
          <w:tcPr>
            <w:tcW w:type="dxa" w:w="2233"/>
          </w:tcPr>
          <w:p>
            <w:pPr>
              <w:spacing w:after="20" w:before="20"/>
            </w:pPr>
            <w:r/>
            <w:r>
              <w:rPr>
                <w:sz w:val="14"/>
              </w:rPr>
              <w:t>Conform to the survey and the title policy</w:t>
            </w:r>
          </w:p>
        </w:tc>
      </w:tr>
    </w:tbl>
    <w:p>
      <w:pPr>
        <w:spacing w:after="40"/>
      </w:pPr>
    </w:p>
    <w:p>
      <w:pPr>
        <w:spacing w:after="160"/>
        <w:ind w:left="0" w:firstLine="0"/>
        <w:jc w:val="both"/>
      </w:pPr>
      <w:r>
        <w:rPr>
          <w:i w:val="0"/>
        </w:rPr>
        <w:t>Items expressly treated as inapplicable and therefore not drafted: there is no ground lease, no condominium regime, no tax-exempt bond financing, no HUD or agency (Fannie Mae, Freddie Mac, HUD 221(d)(4)) execution, no interest rate swap (only a cap, and only if the Committee adopts Issue G-3), no letter of credit facility, and no borrower-controlled disbursement account. Each of those would require additional provisions that are not warranted by this transaction. The Loan is documented as a non-recourse loan with completion, carry, partial repayment and environmental recourse, consistent with the Term Sheet, rather than as a full-recourse loan.</w:t>
      </w:r>
    </w:p>
    <w:p>
      <w:pPr>
        <w:keepNext/>
        <w:spacing w:before="280" w:after="100"/>
      </w:pPr>
      <w:r>
        <w:rPr>
          <w:b/>
          <w:color w:val="1F3353"/>
          <w:sz w:val="26"/>
        </w:rPr>
        <w:t>7.  NEXT STEPS AND TIMING</w:t>
      </w:r>
    </w:p>
    <w:p>
      <w:pPr>
        <w:spacing w:after="160"/>
        <w:ind w:left="0" w:firstLine="0"/>
        <w:jc w:val="both"/>
      </w:pPr>
      <w:r>
        <w:rPr>
          <w:i w:val="0"/>
        </w:rPr>
        <w:t>The target closing date is February 28, 2025, which leaves eleven business days from the date of this memorandum. The critical path is not the Loan Agreement; it is the four items that determine whether the collateral position exists at all: the survey, the ARC approval, the Triangle Commercial Bank payoff, and the intercreditor agreement. We recommend the following sequence.</w:t>
      </w:r>
    </w:p>
    <w:p>
      <w:pPr>
        <w:tabs>
          <w:tab w:pos="720" w:val="left"/>
        </w:tabs>
        <w:spacing w:after="140"/>
        <w:ind w:left="720" w:hanging="432"/>
        <w:jc w:val="both"/>
      </w:pPr>
      <w:r>
        <w:rPr>
          <w:b w:val="0"/>
        </w:rPr>
        <w:t>(a)</w:t>
        <w:tab/>
      </w:r>
      <w:r>
        <w:t>Within two business days: the Bank should request the survey, the ARC approval or certificate of deemed approval, the Triangle payoff letter, the corrected draw schedule and budget, the traced source-of-funds schedule, and the executed intercreditor agreement. Each of these has an external dependency and none can be produced at the closing table.</w:t>
      </w:r>
    </w:p>
    <w:p>
      <w:pPr>
        <w:tabs>
          <w:tab w:pos="720" w:val="left"/>
        </w:tabs>
        <w:spacing w:after="140"/>
        <w:ind w:left="720" w:hanging="432"/>
        <w:jc w:val="both"/>
      </w:pPr>
      <w:r>
        <w:rPr>
          <w:b w:val="0"/>
        </w:rPr>
        <w:t>(b)</w:t>
        <w:tab/>
      </w:r>
      <w:r>
        <w:t>Within five business days: the Committee should decide the four open credit questions — loan sizing, the interest reserve, the Developer Fee, and the net worth covenant — because each of them changes the Loan Agreement, the note, the deed of trust, the title policy amount, and the budget.</w:t>
      </w:r>
    </w:p>
    <w:p>
      <w:pPr>
        <w:tabs>
          <w:tab w:pos="720" w:val="left"/>
        </w:tabs>
        <w:spacing w:after="140"/>
        <w:ind w:left="720" w:hanging="432"/>
        <w:jc w:val="both"/>
      </w:pPr>
      <w:r>
        <w:rPr>
          <w:b w:val="0"/>
        </w:rPr>
        <w:t>(c)</w:t>
        <w:tab/>
      </w:r>
      <w:r>
        <w:t>Within seven business days: Borrower’s counsel should deliver the amended operating agreement, the member consents, the non-consolidation opinion, and the pledge documents so that UCC searches and filings can be completed before closing.</w:t>
      </w:r>
    </w:p>
    <w:p>
      <w:pPr>
        <w:tabs>
          <w:tab w:pos="720" w:val="left"/>
        </w:tabs>
        <w:spacing w:after="140"/>
        <w:ind w:left="720" w:hanging="432"/>
        <w:jc w:val="both"/>
      </w:pPr>
      <w:r>
        <w:rPr>
          <w:b w:val="0"/>
        </w:rPr>
        <w:t>(d)</w:t>
        <w:tab/>
      </w:r>
      <w:r>
        <w:t>Five business days before closing: the title company should issue the pro forma policy and the bring-down, and the Bank should confirm the environmental deed notice status and the NCDEQ position on the Restricted Area.</w:t>
      </w:r>
    </w:p>
    <w:p>
      <w:pPr>
        <w:tabs>
          <w:tab w:pos="720" w:val="left"/>
        </w:tabs>
        <w:spacing w:after="140"/>
        <w:ind w:left="720" w:hanging="432"/>
        <w:jc w:val="both"/>
      </w:pPr>
      <w:r>
        <w:rPr>
          <w:b w:val="0"/>
        </w:rPr>
        <w:t>(e)</w:t>
        <w:tab/>
      </w:r>
      <w:r>
        <w:t>At closing: no waiver of the intercreditor agreement, the equity deposit, the payoff of the prior deed of trust, or the lien waivers should be permitted. Each of the four is a collateral-integrity condition rather than a formality.</w:t>
      </w:r>
    </w:p>
    <w:p>
      <w:pPr>
        <w:spacing w:after="160"/>
        <w:ind w:left="0" w:firstLine="0"/>
        <w:jc w:val="both"/>
      </w:pPr>
      <w:r>
        <w:rPr>
          <w:i w:val="0"/>
        </w:rPr>
        <w:t>If the schedule cannot be met, we recommend that closing be deferred rather than that any of the items in paragraph (e) be waived. The record contains too many unresolved inconsistencies for a closing-table waiver to be documented adequately, and each waiver would have to be disclosed in the credit file as an unsatisfied condition.</w:t>
      </w:r>
    </w:p>
    <w:p>
      <w:pPr>
        <w:spacing w:after="160"/>
        <w:ind w:left="0" w:firstLine="0"/>
        <w:jc w:val="both"/>
      </w:pPr>
      <w:r>
        <w:rPr>
          <w:i w:val="0"/>
        </w:rPr>
        <w:t>We would be pleased to discuss any of the foregoing, to prepare the remaining loan documents on the Bank’s standard forms (the Note, Deed of Trust, Assignment of Leases and Rents, Security Agreement, Guaranties, Environmental Indemnity, Pledge Agreements and Intercreditor Agreement), and to prepare a redline of the Term Sheet conforming it to the resolutions recommended above.</w:t>
      </w:r>
    </w:p>
    <w:p>
      <w:pPr>
        <w:spacing w:after="200"/>
        <w:ind w:left="0" w:firstLine="0"/>
        <w:jc w:val="both"/>
      </w:pPr>
      <w:r>
        <w:rPr>
          <w:i w:val="0"/>
        </w:rPr>
      </w:r>
    </w:p>
    <w:p>
      <w:pPr>
        <w:spacing w:after="320"/>
        <w:ind w:left="0" w:firstLine="0"/>
        <w:jc w:val="both"/>
      </w:pPr>
      <w:r>
        <w:rPr>
          <w:i w:val="0"/>
        </w:rPr>
        <w:t>Respectfully submitted,</w:t>
      </w:r>
    </w:p>
    <w:p>
      <w:pPr>
        <w:spacing w:after="160"/>
        <w:ind w:left="0" w:firstLine="0"/>
        <w:jc w:val="both"/>
      </w:pPr>
      <w:r>
        <w:rPr>
          <w:i w:val="0"/>
        </w:rPr>
        <w:t>ASHFORD, CROMDALE CONSULTING &amp; LAINE LLP</w:t>
      </w:r>
    </w:p>
    <w:p>
      <w:pPr>
        <w:spacing w:after="160"/>
        <w:ind w:left="0" w:firstLine="0"/>
        <w:jc w:val="both"/>
      </w:pPr>
      <w:r>
        <w:rPr>
          <w:i w:val="0"/>
          <w:sz w:val="20"/>
        </w:rPr>
        <w:t>By: Katharine “Kate” Drummond, Partner, and Marcus Webb, Associate</w:t>
      </w:r>
    </w:p>
    <w:p>
      <w:r>
        <w:br w:type="page"/>
      </w:r>
    </w:p>
    <w:p>
      <w:pPr>
        <w:keepNext/>
        <w:spacing w:before="0" w:after="100"/>
      </w:pPr>
      <w:r>
        <w:rPr>
          <w:b/>
          <w:color w:val="1F3353"/>
          <w:sz w:val="26"/>
        </w:rPr>
        <w:t>APPENDIX A — SOURCE-TO-ISSUE LOG</w:t>
      </w:r>
    </w:p>
    <w:p>
      <w:pPr>
        <w:spacing w:after="160"/>
        <w:ind w:left="0" w:firstLine="0"/>
        <w:jc w:val="both"/>
      </w:pPr>
      <w:r>
        <w:rPr>
          <w:i w:val="0"/>
          <w:sz w:val="20"/>
        </w:rPr>
        <w:t>Each material proposition relied upon in this memorandum and in the draft Loan Agreement is recorded below with its source and the verification performed. Line references are to the section numbers of the source documents.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32"/>
        <w:gridCol w:w="3384"/>
        <w:gridCol w:w="2664"/>
        <w:gridCol w:w="2520"/>
      </w:tblGrid>
      <w:tr>
        <w:trPr>
          <w:cantSplit/>
        </w:trPr>
        <w:tc>
          <w:tcPr>
            <w:tcW w:type="dxa" w:w="432"/>
            <w:shd w:val="clear" w:color="auto" w:fill="1F3353"/>
          </w:tcPr>
          <w:p>
            <w:pPr>
              <w:spacing w:after="20" w:before="20"/>
            </w:pPr>
            <w:r/>
            <w:r>
              <w:rPr>
                <w:b/>
                <w:color w:val="FFFFFF"/>
                <w:sz w:val="14"/>
              </w:rPr>
              <w:t>#</w:t>
            </w:r>
          </w:p>
        </w:tc>
        <w:tc>
          <w:tcPr>
            <w:tcW w:type="dxa" w:w="3384"/>
            <w:shd w:val="clear" w:color="auto" w:fill="1F3353"/>
          </w:tcPr>
          <w:p>
            <w:pPr>
              <w:spacing w:after="20" w:before="20"/>
            </w:pPr>
            <w:r/>
            <w:r>
              <w:rPr>
                <w:b/>
                <w:color w:val="FFFFFF"/>
                <w:sz w:val="14"/>
              </w:rPr>
              <w:t>Proposition relied upon</w:t>
            </w:r>
          </w:p>
        </w:tc>
        <w:tc>
          <w:tcPr>
            <w:tcW w:type="dxa" w:w="2664"/>
            <w:shd w:val="clear" w:color="auto" w:fill="1F3353"/>
          </w:tcPr>
          <w:p>
            <w:pPr>
              <w:spacing w:after="20" w:before="20"/>
            </w:pPr>
            <w:r/>
            <w:r>
              <w:rPr>
                <w:b/>
                <w:color w:val="FFFFFF"/>
                <w:sz w:val="14"/>
              </w:rPr>
              <w:t>Source and location</w:t>
            </w:r>
          </w:p>
        </w:tc>
        <w:tc>
          <w:tcPr>
            <w:tcW w:type="dxa" w:w="2520"/>
            <w:shd w:val="clear" w:color="auto" w:fill="1F3353"/>
          </w:tcPr>
          <w:p>
            <w:pPr>
              <w:spacing w:after="20" w:before="20"/>
            </w:pPr>
            <w:r/>
            <w:r>
              <w:rPr>
                <w:b/>
                <w:color w:val="FFFFFF"/>
                <w:sz w:val="14"/>
              </w:rPr>
              <w:t>Verification</w:t>
            </w:r>
          </w:p>
        </w:tc>
      </w:tr>
      <w:tr>
        <w:trPr>
          <w:cantSplit/>
        </w:trPr>
        <w:tc>
          <w:tcPr>
            <w:tcW w:type="dxa" w:w="432"/>
          </w:tcPr>
          <w:p>
            <w:pPr>
              <w:spacing w:after="20" w:before="20"/>
            </w:pPr>
            <w:r/>
            <w:r>
              <w:rPr>
                <w:b/>
                <w:sz w:val="14"/>
              </w:rPr>
              <w:t>1</w:t>
            </w:r>
          </w:p>
        </w:tc>
        <w:tc>
          <w:tcPr>
            <w:tcW w:type="dxa" w:w="3384"/>
          </w:tcPr>
          <w:p>
            <w:pPr>
              <w:spacing w:after="20" w:before="20"/>
            </w:pPr>
            <w:r/>
            <w:r>
              <w:rPr>
                <w:sz w:val="14"/>
              </w:rPr>
              <w:t>Loan amount is $47,500,000; Total Project Costs are $56,700,000</w:t>
            </w:r>
          </w:p>
        </w:tc>
        <w:tc>
          <w:tcPr>
            <w:tcW w:type="dxa" w:w="2664"/>
          </w:tcPr>
          <w:p>
            <w:pPr>
              <w:spacing w:after="20" w:before="20"/>
            </w:pPr>
            <w:r/>
            <w:r>
              <w:rPr>
                <w:sz w:val="14"/>
              </w:rPr>
              <w:t>Term Sheet §§ 3.1, 5.2; Memo §§ 4.1, 5.2; Budget</w:t>
            </w:r>
          </w:p>
        </w:tc>
        <w:tc>
          <w:tcPr>
            <w:tcW w:type="dxa" w:w="2520"/>
          </w:tcPr>
          <w:p>
            <w:pPr>
              <w:spacing w:after="20" w:before="20"/>
            </w:pPr>
            <w:r/>
            <w:r>
              <w:rPr>
                <w:sz w:val="14"/>
              </w:rPr>
              <w:t>Recomputed: 8.2 + 34.75 + 4.15 + 4.85 + 0.475 + 2.835 + 1.44 = 56.7</w:t>
            </w:r>
          </w:p>
        </w:tc>
      </w:tr>
      <w:tr>
        <w:trPr>
          <w:cantSplit/>
        </w:trPr>
        <w:tc>
          <w:tcPr>
            <w:tcW w:type="dxa" w:w="432"/>
          </w:tcPr>
          <w:p>
            <w:pPr>
              <w:spacing w:after="20" w:before="20"/>
            </w:pPr>
            <w:r/>
            <w:r>
              <w:rPr>
                <w:b/>
                <w:sz w:val="14"/>
              </w:rPr>
              <w:t>2</w:t>
            </w:r>
          </w:p>
        </w:tc>
        <w:tc>
          <w:tcPr>
            <w:tcW w:type="dxa" w:w="3384"/>
          </w:tcPr>
          <w:p>
            <w:pPr>
              <w:spacing w:after="20" w:before="20"/>
            </w:pPr>
            <w:r/>
            <w:r>
              <w:rPr>
                <w:sz w:val="14"/>
              </w:rPr>
              <w:t>Maximum LTC is 80% and maximum as-completed LTV is 65%</w:t>
            </w:r>
          </w:p>
        </w:tc>
        <w:tc>
          <w:tcPr>
            <w:tcW w:type="dxa" w:w="2664"/>
          </w:tcPr>
          <w:p>
            <w:pPr>
              <w:spacing w:after="20" w:before="20"/>
            </w:pPr>
            <w:r/>
            <w:r>
              <w:rPr>
                <w:sz w:val="14"/>
              </w:rPr>
              <w:t>Term Sheet §§ 4, 6.1, 6.2</w:t>
            </w:r>
          </w:p>
        </w:tc>
        <w:tc>
          <w:tcPr>
            <w:tcW w:type="dxa" w:w="2520"/>
          </w:tcPr>
          <w:p>
            <w:pPr>
              <w:spacing w:after="20" w:before="20"/>
            </w:pPr>
            <w:r/>
            <w:r>
              <w:rPr>
                <w:sz w:val="14"/>
              </w:rPr>
              <w:t>Compared with Memo § 6.1 (70% policy column); recomputed both ratios</w:t>
            </w:r>
          </w:p>
        </w:tc>
      </w:tr>
      <w:tr>
        <w:trPr>
          <w:cantSplit/>
        </w:trPr>
        <w:tc>
          <w:tcPr>
            <w:tcW w:type="dxa" w:w="432"/>
          </w:tcPr>
          <w:p>
            <w:pPr>
              <w:spacing w:after="20" w:before="20"/>
            </w:pPr>
            <w:r/>
            <w:r>
              <w:rPr>
                <w:b/>
                <w:sz w:val="14"/>
              </w:rPr>
              <w:t>3</w:t>
            </w:r>
          </w:p>
        </w:tc>
        <w:tc>
          <w:tcPr>
            <w:tcW w:type="dxa" w:w="3384"/>
          </w:tcPr>
          <w:p>
            <w:pPr>
              <w:spacing w:after="20" w:before="20"/>
            </w:pPr>
            <w:r/>
            <w:r>
              <w:rPr>
                <w:sz w:val="14"/>
              </w:rPr>
              <w:t>Appraised values: $8.9M as-is, $72.8M as-completed, $76.2M as-stabilized</w:t>
            </w:r>
          </w:p>
        </w:tc>
        <w:tc>
          <w:tcPr>
            <w:tcW w:type="dxa" w:w="2664"/>
          </w:tcPr>
          <w:p>
            <w:pPr>
              <w:spacing w:after="20" w:before="20"/>
            </w:pPr>
            <w:r/>
            <w:r>
              <w:rPr>
                <w:sz w:val="14"/>
              </w:rPr>
              <w:t>Appraisal §§ 1, 6.1–6.3, 10; Term Sheet § 4; Memo § 3.3</w:t>
            </w:r>
          </w:p>
        </w:tc>
        <w:tc>
          <w:tcPr>
            <w:tcW w:type="dxa" w:w="2520"/>
          </w:tcPr>
          <w:p>
            <w:pPr>
              <w:spacing w:after="20" w:before="20"/>
            </w:pPr>
            <w:r/>
            <w:r>
              <w:rPr>
                <w:sz w:val="14"/>
              </w:rPr>
              <w:t>Recomputed capitalization: $4,876,800 ÷ 0.064 = $76.2M; $76.2M − $3.4M = $72.8M</w:t>
            </w:r>
          </w:p>
        </w:tc>
      </w:tr>
      <w:tr>
        <w:trPr>
          <w:cantSplit/>
        </w:trPr>
        <w:tc>
          <w:tcPr>
            <w:tcW w:type="dxa" w:w="432"/>
          </w:tcPr>
          <w:p>
            <w:pPr>
              <w:spacing w:after="20" w:before="20"/>
            </w:pPr>
            <w:r/>
            <w:r>
              <w:rPr>
                <w:b/>
                <w:sz w:val="14"/>
              </w:rPr>
              <w:t>4</w:t>
            </w:r>
          </w:p>
        </w:tc>
        <w:tc>
          <w:tcPr>
            <w:tcW w:type="dxa" w:w="3384"/>
          </w:tcPr>
          <w:p>
            <w:pPr>
              <w:spacing w:after="20" w:before="20"/>
            </w:pPr>
            <w:r/>
            <w:r>
              <w:rPr>
                <w:sz w:val="14"/>
              </w:rPr>
              <w:t>Stabilized NOI is $4,876,800</w:t>
            </w:r>
          </w:p>
        </w:tc>
        <w:tc>
          <w:tcPr>
            <w:tcW w:type="dxa" w:w="2664"/>
          </w:tcPr>
          <w:p>
            <w:pPr>
              <w:spacing w:after="20" w:before="20"/>
            </w:pPr>
            <w:r/>
            <w:r>
              <w:rPr>
                <w:sz w:val="14"/>
              </w:rPr>
              <w:t>Appraisal § 7; Term Sheet § 4; Memo § 3.3</w:t>
            </w:r>
          </w:p>
        </w:tc>
        <w:tc>
          <w:tcPr>
            <w:tcW w:type="dxa" w:w="2520"/>
          </w:tcPr>
          <w:p>
            <w:pPr>
              <w:spacing w:after="20" w:before="20"/>
            </w:pPr>
            <w:r/>
            <w:r>
              <w:rPr>
                <w:sz w:val="14"/>
              </w:rPr>
              <w:t>Rebuilt from unit counts, rents and expense lines; $720 rounding difference noted</w:t>
            </w:r>
          </w:p>
        </w:tc>
      </w:tr>
      <w:tr>
        <w:trPr>
          <w:cantSplit/>
        </w:trPr>
        <w:tc>
          <w:tcPr>
            <w:tcW w:type="dxa" w:w="432"/>
          </w:tcPr>
          <w:p>
            <w:pPr>
              <w:spacing w:after="20" w:before="20"/>
            </w:pPr>
            <w:r/>
            <w:r>
              <w:rPr>
                <w:b/>
                <w:sz w:val="14"/>
              </w:rPr>
              <w:t>5</w:t>
            </w:r>
          </w:p>
        </w:tc>
        <w:tc>
          <w:tcPr>
            <w:tcW w:type="dxa" w:w="3384"/>
          </w:tcPr>
          <w:p>
            <w:pPr>
              <w:spacing w:after="20" w:before="20"/>
            </w:pPr>
            <w:r/>
            <w:r>
              <w:rPr>
                <w:sz w:val="14"/>
              </w:rPr>
              <w:t>Mezzanine loan is $9.2M at 12.50% fixed, coterminous, secured by a 100% interest pledge</w:t>
            </w:r>
          </w:p>
        </w:tc>
        <w:tc>
          <w:tcPr>
            <w:tcW w:type="dxa" w:w="2664"/>
          </w:tcPr>
          <w:p>
            <w:pPr>
              <w:spacing w:after="20" w:before="20"/>
            </w:pPr>
            <w:r/>
            <w:r>
              <w:rPr>
                <w:sz w:val="14"/>
              </w:rPr>
              <w:t>Term Sheet § 1.4; Memo § 4.4; Org Chart § 1.2</w:t>
            </w:r>
          </w:p>
        </w:tc>
        <w:tc>
          <w:tcPr>
            <w:tcW w:type="dxa" w:w="2520"/>
          </w:tcPr>
          <w:p>
            <w:pPr>
              <w:spacing w:after="20" w:before="20"/>
            </w:pPr>
            <w:r/>
            <w:r>
              <w:rPr>
                <w:sz w:val="14"/>
              </w:rPr>
              <w:t>Cross-checked across three documents; PIK feature appears only in Memo § 4.4</w:t>
            </w:r>
          </w:p>
        </w:tc>
      </w:tr>
      <w:tr>
        <w:trPr>
          <w:cantSplit/>
        </w:trPr>
        <w:tc>
          <w:tcPr>
            <w:tcW w:type="dxa" w:w="432"/>
          </w:tcPr>
          <w:p>
            <w:pPr>
              <w:spacing w:after="20" w:before="20"/>
            </w:pPr>
            <w:r/>
            <w:r>
              <w:rPr>
                <w:b/>
                <w:sz w:val="14"/>
              </w:rPr>
              <w:t>6</w:t>
            </w:r>
          </w:p>
        </w:tc>
        <w:tc>
          <w:tcPr>
            <w:tcW w:type="dxa" w:w="3384"/>
          </w:tcPr>
          <w:p>
            <w:pPr>
              <w:spacing w:after="20" w:before="20"/>
            </w:pPr>
            <w:r/>
            <w:r>
              <w:rPr>
                <w:sz w:val="14"/>
              </w:rPr>
              <w:t>Land cost of $8,200,000 is funded by Mezzanine Loan proceeds</w:t>
            </w:r>
          </w:p>
        </w:tc>
        <w:tc>
          <w:tcPr>
            <w:tcW w:type="dxa" w:w="2664"/>
          </w:tcPr>
          <w:p>
            <w:pPr>
              <w:spacing w:after="20" w:before="20"/>
            </w:pPr>
            <w:r/>
            <w:r>
              <w:rPr>
                <w:sz w:val="14"/>
              </w:rPr>
              <w:t>Borrower Detailed Budget line 1.01</w:t>
            </w:r>
          </w:p>
        </w:tc>
        <w:tc>
          <w:tcPr>
            <w:tcW w:type="dxa" w:w="2520"/>
          </w:tcPr>
          <w:p>
            <w:pPr>
              <w:spacing w:after="20" w:before="20"/>
            </w:pPr>
            <w:r/>
            <w:r>
              <w:rPr>
                <w:sz w:val="14"/>
              </w:rPr>
              <w:t>Compared with Term Sheet § 5 and Memo § 5.1 (conflict); sources/uses reconstructed</w:t>
            </w:r>
          </w:p>
        </w:tc>
      </w:tr>
      <w:tr>
        <w:trPr>
          <w:cantSplit/>
        </w:trPr>
        <w:tc>
          <w:tcPr>
            <w:tcW w:type="dxa" w:w="432"/>
          </w:tcPr>
          <w:p>
            <w:pPr>
              <w:spacing w:after="20" w:before="20"/>
            </w:pPr>
            <w:r/>
            <w:r>
              <w:rPr>
                <w:b/>
                <w:sz w:val="14"/>
              </w:rPr>
              <w:t>7</w:t>
            </w:r>
          </w:p>
        </w:tc>
        <w:tc>
          <w:tcPr>
            <w:tcW w:type="dxa" w:w="3384"/>
          </w:tcPr>
          <w:p>
            <w:pPr>
              <w:spacing w:after="20" w:before="20"/>
            </w:pPr>
            <w:r/>
            <w:r>
              <w:rPr>
                <w:sz w:val="14"/>
              </w:rPr>
              <w:t>Land acquired by Borrower on June 12, 2023 from Foster Street Properties LLC</w:t>
            </w:r>
          </w:p>
        </w:tc>
        <w:tc>
          <w:tcPr>
            <w:tcW w:type="dxa" w:w="2664"/>
          </w:tcPr>
          <w:p>
            <w:pPr>
              <w:spacing w:after="20" w:before="20"/>
            </w:pPr>
            <w:r/>
            <w:r>
              <w:rPr>
                <w:sz w:val="14"/>
              </w:rPr>
              <w:t>Title Commitment Sch. A items 5–6</w:t>
            </w:r>
          </w:p>
        </w:tc>
        <w:tc>
          <w:tcPr>
            <w:tcW w:type="dxa" w:w="2520"/>
          </w:tcPr>
          <w:p>
            <w:pPr>
              <w:spacing w:after="20" w:before="20"/>
            </w:pPr>
            <w:r/>
            <w:r>
              <w:rPr>
                <w:sz w:val="14"/>
              </w:rPr>
              <w:t>Compared with ESA (2022), Appraisal (early 2024), Operating Agreement (2019)</w:t>
            </w:r>
          </w:p>
        </w:tc>
      </w:tr>
      <w:tr>
        <w:trPr>
          <w:cantSplit/>
        </w:trPr>
        <w:tc>
          <w:tcPr>
            <w:tcW w:type="dxa" w:w="432"/>
          </w:tcPr>
          <w:p>
            <w:pPr>
              <w:spacing w:after="20" w:before="20"/>
            </w:pPr>
            <w:r/>
            <w:r>
              <w:rPr>
                <w:b/>
                <w:sz w:val="14"/>
              </w:rPr>
              <w:t>8</w:t>
            </w:r>
          </w:p>
        </w:tc>
        <w:tc>
          <w:tcPr>
            <w:tcW w:type="dxa" w:w="3384"/>
          </w:tcPr>
          <w:p>
            <w:pPr>
              <w:spacing w:after="20" w:before="20"/>
            </w:pPr>
            <w:r/>
            <w:r>
              <w:rPr>
                <w:sz w:val="14"/>
              </w:rPr>
              <w:t>Membership: 62% / 28% / 10%; Brightleaf Investors Group holds 28% for $0</w:t>
            </w:r>
          </w:p>
        </w:tc>
        <w:tc>
          <w:tcPr>
            <w:tcW w:type="dxa" w:w="2664"/>
          </w:tcPr>
          <w:p>
            <w:pPr>
              <w:spacing w:after="20" w:before="20"/>
            </w:pPr>
            <w:r/>
            <w:r>
              <w:rPr>
                <w:sz w:val="14"/>
              </w:rPr>
              <w:t>Term Sheet § 1.2; Memo § 2.2; Org Chart §§ 1.2, 2.3; Operating Agreement § 5.1</w:t>
            </w:r>
          </w:p>
        </w:tc>
        <w:tc>
          <w:tcPr>
            <w:tcW w:type="dxa" w:w="2520"/>
          </w:tcPr>
          <w:p>
            <w:pPr>
              <w:spacing w:after="20" w:before="20"/>
            </w:pPr>
            <w:r/>
            <w:r>
              <w:rPr>
                <w:sz w:val="14"/>
              </w:rPr>
              <w:t>Cross-checked; contribution table reconstructed</w:t>
            </w:r>
          </w:p>
        </w:tc>
      </w:tr>
      <w:tr>
        <w:trPr>
          <w:cantSplit/>
        </w:trPr>
        <w:tc>
          <w:tcPr>
            <w:tcW w:type="dxa" w:w="432"/>
          </w:tcPr>
          <w:p>
            <w:pPr>
              <w:spacing w:after="20" w:before="20"/>
            </w:pPr>
            <w:r/>
            <w:r>
              <w:rPr>
                <w:b/>
                <w:sz w:val="14"/>
              </w:rPr>
              <w:t>9</w:t>
            </w:r>
          </w:p>
        </w:tc>
        <w:tc>
          <w:tcPr>
            <w:tcW w:type="dxa" w:w="3384"/>
          </w:tcPr>
          <w:p>
            <w:pPr>
              <w:spacing w:after="20" w:before="20"/>
            </w:pPr>
            <w:r/>
            <w:r>
              <w:rPr>
                <w:sz w:val="14"/>
              </w:rPr>
              <w:t>Common control of Brightleaf Investors Group LLC and Brightleaf Mezzanine Capital LLC through Thomas R. Chen</w:t>
            </w:r>
          </w:p>
        </w:tc>
        <w:tc>
          <w:tcPr>
            <w:tcW w:type="dxa" w:w="2664"/>
          </w:tcPr>
          <w:p>
            <w:pPr>
              <w:spacing w:after="20" w:before="20"/>
            </w:pPr>
            <w:r/>
            <w:r>
              <w:rPr>
                <w:sz w:val="14"/>
              </w:rPr>
              <w:t>Term Sheet Exh. B; Memo §§ 2.2, 4.4, 9.3; Org Chart § 1.2</w:t>
            </w:r>
          </w:p>
        </w:tc>
        <w:tc>
          <w:tcPr>
            <w:tcW w:type="dxa" w:w="2520"/>
          </w:tcPr>
          <w:p>
            <w:pPr>
              <w:spacing w:after="20" w:before="20"/>
            </w:pPr>
            <w:r/>
            <w:r>
              <w:rPr>
                <w:sz w:val="14"/>
              </w:rPr>
              <w:t>Confirmed in three documents</w:t>
            </w:r>
          </w:p>
        </w:tc>
      </w:tr>
      <w:tr>
        <w:trPr>
          <w:cantSplit/>
        </w:trPr>
        <w:tc>
          <w:tcPr>
            <w:tcW w:type="dxa" w:w="432"/>
          </w:tcPr>
          <w:p>
            <w:pPr>
              <w:spacing w:after="20" w:before="20"/>
            </w:pPr>
            <w:r/>
            <w:r>
              <w:rPr>
                <w:b/>
                <w:sz w:val="14"/>
              </w:rPr>
              <w:t>10</w:t>
            </w:r>
          </w:p>
        </w:tc>
        <w:tc>
          <w:tcPr>
            <w:tcW w:type="dxa" w:w="3384"/>
          </w:tcPr>
          <w:p>
            <w:pPr>
              <w:spacing w:after="20" w:before="20"/>
            </w:pPr>
            <w:r/>
            <w:r>
              <w:rPr>
                <w:sz w:val="14"/>
              </w:rPr>
              <w:t>75% member approval required for bankruptcy, financing over $1M, and amendments</w:t>
            </w:r>
          </w:p>
        </w:tc>
        <w:tc>
          <w:tcPr>
            <w:tcW w:type="dxa" w:w="2664"/>
          </w:tcPr>
          <w:p>
            <w:pPr>
              <w:spacing w:after="20" w:before="20"/>
            </w:pPr>
            <w:r/>
            <w:r>
              <w:rPr>
                <w:sz w:val="14"/>
              </w:rPr>
              <w:t>Org Chart § 2.2 (Operating Agreement § 3.2)</w:t>
            </w:r>
          </w:p>
        </w:tc>
        <w:tc>
          <w:tcPr>
            <w:tcW w:type="dxa" w:w="2520"/>
          </w:tcPr>
          <w:p>
            <w:pPr>
              <w:spacing w:after="20" w:before="20"/>
            </w:pPr>
            <w:r/>
            <w:r>
              <w:rPr>
                <w:sz w:val="14"/>
              </w:rPr>
              <w:t>Recomputed voting arithmetic: 62% + 10% = 72% &lt; 75%</w:t>
            </w:r>
          </w:p>
        </w:tc>
      </w:tr>
      <w:tr>
        <w:trPr>
          <w:cantSplit/>
        </w:trPr>
        <w:tc>
          <w:tcPr>
            <w:tcW w:type="dxa" w:w="432"/>
          </w:tcPr>
          <w:p>
            <w:pPr>
              <w:spacing w:after="20" w:before="20"/>
            </w:pPr>
            <w:r/>
            <w:r>
              <w:rPr>
                <w:b/>
                <w:sz w:val="14"/>
              </w:rPr>
              <w:t>11</w:t>
            </w:r>
          </w:p>
        </w:tc>
        <w:tc>
          <w:tcPr>
            <w:tcW w:type="dxa" w:w="3384"/>
          </w:tcPr>
          <w:p>
            <w:pPr>
              <w:spacing w:after="20" w:before="20"/>
            </w:pPr>
            <w:r/>
            <w:r>
              <w:rPr>
                <w:sz w:val="14"/>
              </w:rPr>
              <w:t>Pledges of membership interests require Managing Member and 75% consent</w:t>
            </w:r>
          </w:p>
        </w:tc>
        <w:tc>
          <w:tcPr>
            <w:tcW w:type="dxa" w:w="2664"/>
          </w:tcPr>
          <w:p>
            <w:pPr>
              <w:spacing w:after="20" w:before="20"/>
            </w:pPr>
            <w:r/>
            <w:r>
              <w:rPr>
                <w:sz w:val="14"/>
              </w:rPr>
              <w:t>Org Chart § 2.5 (Operating Agreement § 9.1)</w:t>
            </w:r>
          </w:p>
        </w:tc>
        <w:tc>
          <w:tcPr>
            <w:tcW w:type="dxa" w:w="2520"/>
          </w:tcPr>
          <w:p>
            <w:pPr>
              <w:spacing w:after="20" w:before="20"/>
            </w:pPr>
            <w:r/>
            <w:r>
              <w:rPr>
                <w:sz w:val="14"/>
              </w:rPr>
              <w:t>Read against Term Sheet § 8 and Memo § 4.2</w:t>
            </w:r>
          </w:p>
        </w:tc>
      </w:tr>
      <w:tr>
        <w:trPr>
          <w:cantSplit/>
        </w:trPr>
        <w:tc>
          <w:tcPr>
            <w:tcW w:type="dxa" w:w="432"/>
          </w:tcPr>
          <w:p>
            <w:pPr>
              <w:spacing w:after="20" w:before="20"/>
            </w:pPr>
            <w:r/>
            <w:r>
              <w:rPr>
                <w:b/>
                <w:sz w:val="14"/>
              </w:rPr>
              <w:t>12</w:t>
            </w:r>
          </w:p>
        </w:tc>
        <w:tc>
          <w:tcPr>
            <w:tcW w:type="dxa" w:w="3384"/>
          </w:tcPr>
          <w:p>
            <w:pPr>
              <w:spacing w:after="20" w:before="20"/>
            </w:pPr>
            <w:r/>
            <w:r>
              <w:rPr>
                <w:sz w:val="14"/>
              </w:rPr>
              <w:t>NFA Letter conditions: vapor mitigation, non-residential restriction, soil management plan, deed notice within 60 days</w:t>
            </w:r>
          </w:p>
        </w:tc>
        <w:tc>
          <w:tcPr>
            <w:tcW w:type="dxa" w:w="2664"/>
          </w:tcPr>
          <w:p>
            <w:pPr>
              <w:spacing w:after="20" w:before="20"/>
            </w:pPr>
            <w:r/>
            <w:r>
              <w:rPr>
                <w:sz w:val="14"/>
              </w:rPr>
              <w:t>Phase I ESA § 7; Term Sheet § 17 (omits Condition 2); Memo § 8.2</w:t>
            </w:r>
          </w:p>
        </w:tc>
        <w:tc>
          <w:tcPr>
            <w:tcW w:type="dxa" w:w="2520"/>
          </w:tcPr>
          <w:p>
            <w:pPr>
              <w:spacing w:after="20" w:before="20"/>
            </w:pPr>
            <w:r/>
            <w:r>
              <w:rPr>
                <w:sz w:val="14"/>
              </w:rPr>
              <w:t>Compared all three; Condition 2 omission from Term Sheet identified</w:t>
            </w:r>
          </w:p>
        </w:tc>
      </w:tr>
      <w:tr>
        <w:trPr>
          <w:cantSplit/>
        </w:trPr>
        <w:tc>
          <w:tcPr>
            <w:tcW w:type="dxa" w:w="432"/>
          </w:tcPr>
          <w:p>
            <w:pPr>
              <w:spacing w:after="20" w:before="20"/>
            </w:pPr>
            <w:r/>
            <w:r>
              <w:rPr>
                <w:b/>
                <w:sz w:val="14"/>
              </w:rPr>
              <w:t>13</w:t>
            </w:r>
          </w:p>
        </w:tc>
        <w:tc>
          <w:tcPr>
            <w:tcW w:type="dxa" w:w="3384"/>
          </w:tcPr>
          <w:p>
            <w:pPr>
              <w:spacing w:after="20" w:before="20"/>
            </w:pPr>
            <w:r/>
            <w:r>
              <w:rPr>
                <w:sz w:val="14"/>
              </w:rPr>
              <w:t>Residual contamination exceeds residential standards but is below non-residential standards (TPH-DRO 847 mg/kg; benzene 0.42 mg/kg)</w:t>
            </w:r>
          </w:p>
        </w:tc>
        <w:tc>
          <w:tcPr>
            <w:tcW w:type="dxa" w:w="2664"/>
          </w:tcPr>
          <w:p>
            <w:pPr>
              <w:spacing w:after="20" w:before="20"/>
            </w:pPr>
            <w:r/>
            <w:r>
              <w:rPr>
                <w:sz w:val="14"/>
              </w:rPr>
              <w:t>Phase I ESA § 5.2</w:t>
            </w:r>
          </w:p>
        </w:tc>
        <w:tc>
          <w:tcPr>
            <w:tcW w:type="dxa" w:w="2520"/>
          </w:tcPr>
          <w:p>
            <w:pPr>
              <w:spacing w:after="20" w:before="20"/>
            </w:pPr>
            <w:r/>
            <w:r>
              <w:rPr>
                <w:sz w:val="14"/>
              </w:rPr>
              <w:t>Read against the NCDEQ PSRG table in the same section</w:t>
            </w:r>
          </w:p>
        </w:tc>
      </w:tr>
      <w:tr>
        <w:trPr>
          <w:cantSplit/>
        </w:trPr>
        <w:tc>
          <w:tcPr>
            <w:tcW w:type="dxa" w:w="432"/>
          </w:tcPr>
          <w:p>
            <w:pPr>
              <w:spacing w:after="20" w:before="20"/>
            </w:pPr>
            <w:r/>
            <w:r>
              <w:rPr>
                <w:b/>
                <w:sz w:val="14"/>
              </w:rPr>
              <w:t>14</w:t>
            </w:r>
          </w:p>
        </w:tc>
        <w:tc>
          <w:tcPr>
            <w:tcW w:type="dxa" w:w="3384"/>
          </w:tcPr>
          <w:p>
            <w:pPr>
              <w:spacing w:after="20" w:before="20"/>
            </w:pPr>
            <w:r/>
            <w:r>
              <w:rPr>
                <w:sz w:val="14"/>
              </w:rPr>
              <w:t>Soil gas benzene of 185 µg/m³ against a 31 µg/m³ residential screening level</w:t>
            </w:r>
          </w:p>
        </w:tc>
        <w:tc>
          <w:tcPr>
            <w:tcW w:type="dxa" w:w="2664"/>
          </w:tcPr>
          <w:p>
            <w:pPr>
              <w:spacing w:after="20" w:before="20"/>
            </w:pPr>
            <w:r/>
            <w:r>
              <w:rPr>
                <w:sz w:val="14"/>
              </w:rPr>
              <w:t>Phase I ESA § 5.4</w:t>
            </w:r>
          </w:p>
        </w:tc>
        <w:tc>
          <w:tcPr>
            <w:tcW w:type="dxa" w:w="2520"/>
          </w:tcPr>
          <w:p>
            <w:pPr>
              <w:spacing w:after="20" w:before="20"/>
            </w:pPr>
            <w:r/>
            <w:r>
              <w:rPr>
                <w:sz w:val="14"/>
              </w:rPr>
              <w:t>Confirmed the six-fold exceedance stated by the consultant</w:t>
            </w:r>
          </w:p>
        </w:tc>
      </w:tr>
      <w:tr>
        <w:trPr>
          <w:cantSplit/>
        </w:trPr>
        <w:tc>
          <w:tcPr>
            <w:tcW w:type="dxa" w:w="432"/>
          </w:tcPr>
          <w:p>
            <w:pPr>
              <w:spacing w:after="20" w:before="20"/>
            </w:pPr>
            <w:r/>
            <w:r>
              <w:rPr>
                <w:b/>
                <w:sz w:val="14"/>
              </w:rPr>
              <w:t>15</w:t>
            </w:r>
          </w:p>
        </w:tc>
        <w:tc>
          <w:tcPr>
            <w:tcW w:type="dxa" w:w="3384"/>
          </w:tcPr>
          <w:p>
            <w:pPr>
              <w:spacing w:after="20" w:before="20"/>
            </w:pPr>
            <w:r/>
            <w:r>
              <w:rPr>
                <w:sz w:val="14"/>
              </w:rPr>
              <w:t>Deed notice required by November 29, 2024 and not recorded as of October 28, 2024</w:t>
            </w:r>
          </w:p>
        </w:tc>
        <w:tc>
          <w:tcPr>
            <w:tcW w:type="dxa" w:w="2664"/>
          </w:tcPr>
          <w:p>
            <w:pPr>
              <w:spacing w:after="20" w:before="20"/>
            </w:pPr>
            <w:r/>
            <w:r>
              <w:rPr>
                <w:sz w:val="14"/>
              </w:rPr>
              <w:t>Phase I ESA §§ 7, 8.1, 9</w:t>
            </w:r>
          </w:p>
        </w:tc>
        <w:tc>
          <w:tcPr>
            <w:tcW w:type="dxa" w:w="2520"/>
          </w:tcPr>
          <w:p>
            <w:pPr>
              <w:spacing w:after="20" w:before="20"/>
            </w:pPr>
            <w:r/>
            <w:r>
              <w:rPr>
                <w:sz w:val="14"/>
              </w:rPr>
              <w:t>Compared with Title Commitment (absent) and Appraisal § 8 (asserts recorded)</w:t>
            </w:r>
          </w:p>
        </w:tc>
      </w:tr>
      <w:tr>
        <w:trPr>
          <w:cantSplit/>
        </w:trPr>
        <w:tc>
          <w:tcPr>
            <w:tcW w:type="dxa" w:w="432"/>
          </w:tcPr>
          <w:p>
            <w:pPr>
              <w:spacing w:after="20" w:before="20"/>
            </w:pPr>
            <w:r/>
            <w:r>
              <w:rPr>
                <w:b/>
                <w:sz w:val="14"/>
              </w:rPr>
              <w:t>16</w:t>
            </w:r>
          </w:p>
        </w:tc>
        <w:tc>
          <w:tcPr>
            <w:tcW w:type="dxa" w:w="3384"/>
          </w:tcPr>
          <w:p>
            <w:pPr>
              <w:spacing w:after="20" w:before="20"/>
            </w:pPr>
            <w:r/>
            <w:r>
              <w:rPr>
                <w:sz w:val="14"/>
              </w:rPr>
              <w:t>Approximately 14 residential units are planned above the affected area</w:t>
            </w:r>
          </w:p>
        </w:tc>
        <w:tc>
          <w:tcPr>
            <w:tcW w:type="dxa" w:w="2664"/>
          </w:tcPr>
          <w:p>
            <w:pPr>
              <w:spacing w:after="20" w:before="20"/>
            </w:pPr>
            <w:r/>
            <w:r>
              <w:rPr>
                <w:sz w:val="14"/>
              </w:rPr>
              <w:t>Memo §§ 8.2, 9.5; ESA § 8.5 (declines to verify)</w:t>
            </w:r>
          </w:p>
        </w:tc>
        <w:tc>
          <w:tcPr>
            <w:tcW w:type="dxa" w:w="2520"/>
          </w:tcPr>
          <w:p>
            <w:pPr>
              <w:spacing w:after="20" w:before="20"/>
            </w:pPr>
            <w:r/>
            <w:r>
              <w:rPr>
                <w:sz w:val="14"/>
              </w:rPr>
              <w:t>Overlay not in the record; delineation geometry conflicts with the survey</w:t>
            </w:r>
          </w:p>
        </w:tc>
      </w:tr>
      <w:tr>
        <w:trPr>
          <w:cantSplit/>
        </w:trPr>
        <w:tc>
          <w:tcPr>
            <w:tcW w:type="dxa" w:w="432"/>
          </w:tcPr>
          <w:p>
            <w:pPr>
              <w:spacing w:after="20" w:before="20"/>
            </w:pPr>
            <w:r/>
            <w:r>
              <w:rPr>
                <w:b/>
                <w:sz w:val="14"/>
              </w:rPr>
              <w:t>17</w:t>
            </w:r>
          </w:p>
        </w:tc>
        <w:tc>
          <w:tcPr>
            <w:tcW w:type="dxa" w:w="3384"/>
          </w:tcPr>
          <w:p>
            <w:pPr>
              <w:spacing w:after="20" w:before="20"/>
            </w:pPr>
            <w:r/>
            <w:r>
              <w:rPr>
                <w:sz w:val="14"/>
              </w:rPr>
              <w:t>Remediation volumes: 1,200 / 340 / 320 cubic yards</w:t>
            </w:r>
          </w:p>
        </w:tc>
        <w:tc>
          <w:tcPr>
            <w:tcW w:type="dxa" w:w="2664"/>
          </w:tcPr>
          <w:p>
            <w:pPr>
              <w:spacing w:after="20" w:before="20"/>
            </w:pPr>
            <w:r/>
            <w:r>
              <w:rPr>
                <w:sz w:val="14"/>
              </w:rPr>
              <w:t>ESA § 6.1; Memo § 8.2; Appraisal § 8</w:t>
            </w:r>
          </w:p>
        </w:tc>
        <w:tc>
          <w:tcPr>
            <w:tcW w:type="dxa" w:w="2520"/>
          </w:tcPr>
          <w:p>
            <w:pPr>
              <w:spacing w:after="20" w:before="20"/>
            </w:pPr>
            <w:r/>
            <w:r>
              <w:rPr>
                <w:sz w:val="14"/>
              </w:rPr>
              <w:t>Three-way comparison; none reconcilable</w:t>
            </w:r>
          </w:p>
        </w:tc>
      </w:tr>
      <w:tr>
        <w:trPr>
          <w:cantSplit/>
        </w:trPr>
        <w:tc>
          <w:tcPr>
            <w:tcW w:type="dxa" w:w="432"/>
          </w:tcPr>
          <w:p>
            <w:pPr>
              <w:spacing w:after="20" w:before="20"/>
            </w:pPr>
            <w:r/>
            <w:r>
              <w:rPr>
                <w:b/>
                <w:sz w:val="14"/>
              </w:rPr>
              <w:t>18</w:t>
            </w:r>
          </w:p>
        </w:tc>
        <w:tc>
          <w:tcPr>
            <w:tcW w:type="dxa" w:w="3384"/>
          </w:tcPr>
          <w:p>
            <w:pPr>
              <w:spacing w:after="20" w:before="20"/>
            </w:pPr>
            <w:r/>
            <w:r>
              <w:rPr>
                <w:sz w:val="14"/>
              </w:rPr>
              <w:t>Unreleased Triangle Commercial Bank deed of trust, $3,400,000 original, Book 6215, Page 892</w:t>
            </w:r>
          </w:p>
        </w:tc>
        <w:tc>
          <w:tcPr>
            <w:tcW w:type="dxa" w:w="2664"/>
          </w:tcPr>
          <w:p>
            <w:pPr>
              <w:spacing w:after="20" w:before="20"/>
            </w:pPr>
            <w:r/>
            <w:r>
              <w:rPr>
                <w:sz w:val="14"/>
              </w:rPr>
              <w:t>Title Commitment Sch. B-I Req. 4 and Sch. B-II Item 10; Memo § 9.7</w:t>
            </w:r>
          </w:p>
        </w:tc>
        <w:tc>
          <w:tcPr>
            <w:tcW w:type="dxa" w:w="2520"/>
          </w:tcPr>
          <w:p>
            <w:pPr>
              <w:spacing w:after="20" w:before="20"/>
            </w:pPr>
            <w:r/>
            <w:r>
              <w:rPr>
                <w:sz w:val="14"/>
              </w:rPr>
              <w:t>Balance not established; no payoff letter in the record</w:t>
            </w:r>
          </w:p>
        </w:tc>
      </w:tr>
      <w:tr>
        <w:trPr>
          <w:cantSplit/>
        </w:trPr>
        <w:tc>
          <w:tcPr>
            <w:tcW w:type="dxa" w:w="432"/>
          </w:tcPr>
          <w:p>
            <w:pPr>
              <w:spacing w:after="20" w:before="20"/>
            </w:pPr>
            <w:r/>
            <w:r>
              <w:rPr>
                <w:b/>
                <w:sz w:val="14"/>
              </w:rPr>
              <w:t>19</w:t>
            </w:r>
          </w:p>
        </w:tc>
        <w:tc>
          <w:tcPr>
            <w:tcW w:type="dxa" w:w="3384"/>
          </w:tcPr>
          <w:p>
            <w:pPr>
              <w:spacing w:after="20" w:before="20"/>
            </w:pPr>
            <w:r/>
            <w:r>
              <w:rPr>
                <w:sz w:val="14"/>
              </w:rPr>
              <w:t>Mechanic’s lien relation-back under N.C.G.S. § 44A-10; demolition August 2024 and remediation September 2024</w:t>
            </w:r>
          </w:p>
        </w:tc>
        <w:tc>
          <w:tcPr>
            <w:tcW w:type="dxa" w:w="2664"/>
          </w:tcPr>
          <w:p>
            <w:pPr>
              <w:spacing w:after="20" w:before="20"/>
            </w:pPr>
            <w:r/>
            <w:r>
              <w:rPr>
                <w:sz w:val="14"/>
              </w:rPr>
              <w:t>Title Commitment Note 4; ESA §§ 1, 2.2</w:t>
            </w:r>
          </w:p>
        </w:tc>
        <w:tc>
          <w:tcPr>
            <w:tcW w:type="dxa" w:w="2520"/>
          </w:tcPr>
          <w:p>
            <w:pPr>
              <w:spacing w:after="20" w:before="20"/>
            </w:pPr>
            <w:r/>
            <w:r>
              <w:rPr>
                <w:sz w:val="14"/>
              </w:rPr>
              <w:t>Tested against the closing date and the recording date of the deed of trust</w:t>
            </w:r>
          </w:p>
        </w:tc>
      </w:tr>
      <w:tr>
        <w:trPr>
          <w:cantSplit/>
        </w:trPr>
        <w:tc>
          <w:tcPr>
            <w:tcW w:type="dxa" w:w="432"/>
          </w:tcPr>
          <w:p>
            <w:pPr>
              <w:spacing w:after="20" w:before="20"/>
            </w:pPr>
            <w:r/>
            <w:r>
              <w:rPr>
                <w:b/>
                <w:sz w:val="14"/>
              </w:rPr>
              <w:t>20</w:t>
            </w:r>
          </w:p>
        </w:tc>
        <w:tc>
          <w:tcPr>
            <w:tcW w:type="dxa" w:w="3384"/>
          </w:tcPr>
          <w:p>
            <w:pPr>
              <w:spacing w:after="20" w:before="20"/>
            </w:pPr>
            <w:r/>
            <w:r>
              <w:rPr>
                <w:sz w:val="14"/>
              </w:rPr>
              <w:t>CC&amp;R architectural review: 90-day submission, 60-day deemed approval, injunctive relief</w:t>
            </w:r>
          </w:p>
        </w:tc>
        <w:tc>
          <w:tcPr>
            <w:tcW w:type="dxa" w:w="2664"/>
          </w:tcPr>
          <w:p>
            <w:pPr>
              <w:spacing w:after="20" w:before="20"/>
            </w:pPr>
            <w:r/>
            <w:r>
              <w:rPr>
                <w:sz w:val="14"/>
              </w:rPr>
              <w:t>Title Commitment Sch. B-II Item 11 and Title Officer’s note</w:t>
            </w:r>
          </w:p>
        </w:tc>
        <w:tc>
          <w:tcPr>
            <w:tcW w:type="dxa" w:w="2520"/>
          </w:tcPr>
          <w:p>
            <w:pPr>
              <w:spacing w:after="20" w:before="20"/>
            </w:pPr>
            <w:r/>
            <w:r>
              <w:rPr>
                <w:sz w:val="14"/>
              </w:rPr>
              <w:t>Compared with Appraisal § 2 (states approval obtained) and Memo § 10.1.14</w:t>
            </w:r>
          </w:p>
        </w:tc>
      </w:tr>
      <w:tr>
        <w:trPr>
          <w:cantSplit/>
        </w:trPr>
        <w:tc>
          <w:tcPr>
            <w:tcW w:type="dxa" w:w="432"/>
          </w:tcPr>
          <w:p>
            <w:pPr>
              <w:spacing w:after="20" w:before="20"/>
            </w:pPr>
            <w:r/>
            <w:r>
              <w:rPr>
                <w:b/>
                <w:sz w:val="14"/>
              </w:rPr>
              <w:t>21</w:t>
            </w:r>
          </w:p>
        </w:tc>
        <w:tc>
          <w:tcPr>
            <w:tcW w:type="dxa" w:w="3384"/>
          </w:tcPr>
          <w:p>
            <w:pPr>
              <w:spacing w:after="20" w:before="20"/>
            </w:pPr>
            <w:r/>
            <w:r>
              <w:rPr>
                <w:sz w:val="14"/>
              </w:rPr>
              <w:t>Parcel acreage of 2.09 and 1.38 acres and 3.47 acres combined</w:t>
            </w:r>
          </w:p>
        </w:tc>
        <w:tc>
          <w:tcPr>
            <w:tcW w:type="dxa" w:w="2664"/>
          </w:tcPr>
          <w:p>
            <w:pPr>
              <w:spacing w:after="20" w:before="20"/>
            </w:pPr>
            <w:r/>
            <w:r>
              <w:rPr>
                <w:sz w:val="14"/>
              </w:rPr>
              <w:t>Title Commitment Sch. A item 6; Appraisal § 2 (151,153 SF)</w:t>
            </w:r>
          </w:p>
        </w:tc>
        <w:tc>
          <w:tcPr>
            <w:tcW w:type="dxa" w:w="2520"/>
          </w:tcPr>
          <w:p>
            <w:pPr>
              <w:spacing w:after="20" w:before="20"/>
            </w:pPr>
            <w:r/>
            <w:r>
              <w:rPr>
                <w:sz w:val="14"/>
              </w:rPr>
              <w:t>Recomputed from metes and bounds; ESA figures of 1.89/1.58 rejected</w:t>
            </w:r>
          </w:p>
        </w:tc>
      </w:tr>
      <w:tr>
        <w:trPr>
          <w:cantSplit/>
        </w:trPr>
        <w:tc>
          <w:tcPr>
            <w:tcW w:type="dxa" w:w="432"/>
          </w:tcPr>
          <w:p>
            <w:pPr>
              <w:spacing w:after="20" w:before="20"/>
            </w:pPr>
            <w:r/>
            <w:r>
              <w:rPr>
                <w:b/>
                <w:sz w:val="14"/>
              </w:rPr>
              <w:t>22</w:t>
            </w:r>
          </w:p>
        </w:tc>
        <w:tc>
          <w:tcPr>
            <w:tcW w:type="dxa" w:w="3384"/>
          </w:tcPr>
          <w:p>
            <w:pPr>
              <w:spacing w:after="20" w:before="20"/>
            </w:pPr>
            <w:r/>
            <w:r>
              <w:rPr>
                <w:sz w:val="14"/>
              </w:rPr>
              <w:t>Retainage of 10% on hard costs; Draw 9 of $3,275,000</w:t>
            </w:r>
          </w:p>
        </w:tc>
        <w:tc>
          <w:tcPr>
            <w:tcW w:type="dxa" w:w="2664"/>
          </w:tcPr>
          <w:p>
            <w:pPr>
              <w:spacing w:after="20" w:before="20"/>
            </w:pPr>
            <w:r/>
            <w:r>
              <w:rPr>
                <w:sz w:val="14"/>
              </w:rPr>
              <w:t>Term Sheet §§ 9.1, 9.2; Memo § 7.1</w:t>
            </w:r>
          </w:p>
        </w:tc>
        <w:tc>
          <w:tcPr>
            <w:tcW w:type="dxa" w:w="2520"/>
          </w:tcPr>
          <w:p>
            <w:pPr>
              <w:spacing w:after="20" w:before="20"/>
            </w:pPr>
            <w:r/>
            <w:r>
              <w:rPr>
                <w:sz w:val="14"/>
              </w:rPr>
              <w:t>Recomputed: 10% of $34.75M = $3.475M; four footing errors in the Borrower’s schedule</w:t>
            </w:r>
          </w:p>
        </w:tc>
      </w:tr>
      <w:tr>
        <w:trPr>
          <w:cantSplit/>
        </w:trPr>
        <w:tc>
          <w:tcPr>
            <w:tcW w:type="dxa" w:w="432"/>
          </w:tcPr>
          <w:p>
            <w:pPr>
              <w:spacing w:after="20" w:before="20"/>
            </w:pPr>
            <w:r/>
            <w:r>
              <w:rPr>
                <w:b/>
                <w:sz w:val="14"/>
              </w:rPr>
              <w:t>23</w:t>
            </w:r>
          </w:p>
        </w:tc>
        <w:tc>
          <w:tcPr>
            <w:tcW w:type="dxa" w:w="3384"/>
          </w:tcPr>
          <w:p>
            <w:pPr>
              <w:spacing w:after="20" w:before="20"/>
            </w:pPr>
            <w:r/>
            <w:r>
              <w:rPr>
                <w:sz w:val="14"/>
              </w:rPr>
              <w:t>Interest reserve of $4,850,000</w:t>
            </w:r>
          </w:p>
        </w:tc>
        <w:tc>
          <w:tcPr>
            <w:tcW w:type="dxa" w:w="2664"/>
          </w:tcPr>
          <w:p>
            <w:pPr>
              <w:spacing w:after="20" w:before="20"/>
            </w:pPr>
            <w:r/>
            <w:r>
              <w:rPr>
                <w:sz w:val="14"/>
              </w:rPr>
              <w:t>Term Sheet §§ 5.2, 10; Memo § 6.2; Budget line 4.01</w:t>
            </w:r>
          </w:p>
        </w:tc>
        <w:tc>
          <w:tcPr>
            <w:tcW w:type="dxa" w:w="2520"/>
          </w:tcPr>
          <w:p>
            <w:pPr>
              <w:spacing w:after="20" w:before="20"/>
            </w:pPr>
            <w:r/>
            <w:r>
              <w:rPr>
                <w:sz w:val="14"/>
              </w:rPr>
              <w:t>Two competing shortfall estimates recomputed ($365,830 and $565,000)</w:t>
            </w:r>
          </w:p>
        </w:tc>
      </w:tr>
      <w:tr>
        <w:trPr>
          <w:cantSplit/>
        </w:trPr>
        <w:tc>
          <w:tcPr>
            <w:tcW w:type="dxa" w:w="432"/>
          </w:tcPr>
          <w:p>
            <w:pPr>
              <w:spacing w:after="20" w:before="20"/>
            </w:pPr>
            <w:r/>
            <w:r>
              <w:rPr>
                <w:b/>
                <w:sz w:val="14"/>
              </w:rPr>
              <w:t>24</w:t>
            </w:r>
          </w:p>
        </w:tc>
        <w:tc>
          <w:tcPr>
            <w:tcW w:type="dxa" w:w="3384"/>
          </w:tcPr>
          <w:p>
            <w:pPr>
              <w:spacing w:after="20" w:before="20"/>
            </w:pPr>
            <w:r/>
            <w:r>
              <w:rPr>
                <w:sz w:val="14"/>
              </w:rPr>
              <w:t>Guarantors: net worth $29.8M and $11.5M; liquidity $6.1M and $3.2M</w:t>
            </w:r>
          </w:p>
        </w:tc>
        <w:tc>
          <w:tcPr>
            <w:tcW w:type="dxa" w:w="2664"/>
          </w:tcPr>
          <w:p>
            <w:pPr>
              <w:spacing w:after="20" w:before="20"/>
            </w:pPr>
            <w:r/>
            <w:r>
              <w:rPr>
                <w:sz w:val="14"/>
              </w:rPr>
              <w:t>Term Sheet §§ 1.3, 6.5; Memo § 2.3; Org Chart (Notation)</w:t>
            </w:r>
          </w:p>
        </w:tc>
        <w:tc>
          <w:tcPr>
            <w:tcW w:type="dxa" w:w="2520"/>
          </w:tcPr>
          <w:p>
            <w:pPr>
              <w:spacing w:after="20" w:before="20"/>
            </w:pPr>
            <w:r/>
            <w:r>
              <w:rPr>
                <w:sz w:val="14"/>
              </w:rPr>
              <w:t>Asset components summed; percentages recomputed</w:t>
            </w:r>
          </w:p>
        </w:tc>
      </w:tr>
      <w:tr>
        <w:trPr>
          <w:cantSplit/>
        </w:trPr>
        <w:tc>
          <w:tcPr>
            <w:tcW w:type="dxa" w:w="432"/>
          </w:tcPr>
          <w:p>
            <w:pPr>
              <w:spacing w:after="20" w:before="20"/>
            </w:pPr>
            <w:r/>
            <w:r>
              <w:rPr>
                <w:b/>
                <w:sz w:val="14"/>
              </w:rPr>
              <w:t>25</w:t>
            </w:r>
          </w:p>
        </w:tc>
        <w:tc>
          <w:tcPr>
            <w:tcW w:type="dxa" w:w="3384"/>
          </w:tcPr>
          <w:p>
            <w:pPr>
              <w:spacing w:after="20" w:before="20"/>
            </w:pPr>
            <w:r/>
            <w:r>
              <w:rPr>
                <w:sz w:val="14"/>
              </w:rPr>
              <w:t>Borrower net worth of $14,200,000</w:t>
            </w:r>
          </w:p>
        </w:tc>
        <w:tc>
          <w:tcPr>
            <w:tcW w:type="dxa" w:w="2664"/>
          </w:tcPr>
          <w:p>
            <w:pPr>
              <w:spacing w:after="20" w:before="20"/>
            </w:pPr>
            <w:r/>
            <w:r>
              <w:rPr>
                <w:sz w:val="14"/>
              </w:rPr>
              <w:t>Memo § 2.1; Org Chart § 1.1</w:t>
            </w:r>
          </w:p>
        </w:tc>
        <w:tc>
          <w:tcPr>
            <w:tcW w:type="dxa" w:w="2520"/>
          </w:tcPr>
          <w:p>
            <w:pPr>
              <w:spacing w:after="20" w:before="20"/>
            </w:pPr>
            <w:r/>
            <w:r>
              <w:rPr>
                <w:sz w:val="14"/>
              </w:rPr>
              <w:t>Could not be reconciled to $8,200,000 of documented contributions</w:t>
            </w:r>
          </w:p>
        </w:tc>
      </w:tr>
      <w:tr>
        <w:trPr>
          <w:cantSplit/>
        </w:trPr>
        <w:tc>
          <w:tcPr>
            <w:tcW w:type="dxa" w:w="432"/>
          </w:tcPr>
          <w:p>
            <w:pPr>
              <w:spacing w:after="20" w:before="20"/>
            </w:pPr>
            <w:r/>
            <w:r>
              <w:rPr>
                <w:b/>
                <w:sz w:val="14"/>
              </w:rPr>
              <w:t>26</w:t>
            </w:r>
          </w:p>
        </w:tc>
        <w:tc>
          <w:tcPr>
            <w:tcW w:type="dxa" w:w="3384"/>
          </w:tcPr>
          <w:p>
            <w:pPr>
              <w:spacing w:after="20" w:before="20"/>
            </w:pPr>
            <w:r/>
            <w:r>
              <w:rPr>
                <w:sz w:val="14"/>
              </w:rPr>
              <w:t>Construction maturity August 28, 2027; projected substantial completion August 31, 2027</w:t>
            </w:r>
          </w:p>
        </w:tc>
        <w:tc>
          <w:tcPr>
            <w:tcW w:type="dxa" w:w="2664"/>
          </w:tcPr>
          <w:p>
            <w:pPr>
              <w:spacing w:after="20" w:before="20"/>
            </w:pPr>
            <w:r/>
            <w:r>
              <w:rPr>
                <w:sz w:val="14"/>
              </w:rPr>
              <w:t>Term Sheet §§ 2, 3.2, 7.1; Appraisal § 3; Memo § 9.6</w:t>
            </w:r>
          </w:p>
        </w:tc>
        <w:tc>
          <w:tcPr>
            <w:tcW w:type="dxa" w:w="2520"/>
          </w:tcPr>
          <w:p>
            <w:pPr>
              <w:spacing w:after="20" w:before="20"/>
            </w:pPr>
            <w:r/>
            <w:r>
              <w:rPr>
                <w:sz w:val="14"/>
              </w:rPr>
              <w:t>Date arithmetic confirmed: 30 months from February 28, 2025; three-day inversion identified</w:t>
            </w:r>
          </w:p>
        </w:tc>
      </w:tr>
      <w:tr>
        <w:trPr>
          <w:cantSplit/>
        </w:trPr>
        <w:tc>
          <w:tcPr>
            <w:tcW w:type="dxa" w:w="432"/>
          </w:tcPr>
          <w:p>
            <w:pPr>
              <w:spacing w:after="20" w:before="20"/>
            </w:pPr>
            <w:r/>
            <w:r>
              <w:rPr>
                <w:b/>
                <w:sz w:val="14"/>
              </w:rPr>
              <w:t>27</w:t>
            </w:r>
          </w:p>
        </w:tc>
        <w:tc>
          <w:tcPr>
            <w:tcW w:type="dxa" w:w="3384"/>
          </w:tcPr>
          <w:p>
            <w:pPr>
              <w:spacing w:after="20" w:before="20"/>
            </w:pPr>
            <w:r/>
            <w:r>
              <w:rPr>
                <w:sz w:val="14"/>
              </w:rPr>
              <w:t>Mini-perm maturity August 28, 2028; extension to February 28, 2029</w:t>
            </w:r>
          </w:p>
        </w:tc>
        <w:tc>
          <w:tcPr>
            <w:tcW w:type="dxa" w:w="2664"/>
          </w:tcPr>
          <w:p>
            <w:pPr>
              <w:spacing w:after="20" w:before="20"/>
            </w:pPr>
            <w:r/>
            <w:r>
              <w:rPr>
                <w:sz w:val="14"/>
              </w:rPr>
              <w:t>Term Sheet § 3.2</w:t>
            </w:r>
          </w:p>
        </w:tc>
        <w:tc>
          <w:tcPr>
            <w:tcW w:type="dxa" w:w="2520"/>
          </w:tcPr>
          <w:p>
            <w:pPr>
              <w:spacing w:after="20" w:before="20"/>
            </w:pPr>
            <w:r/>
            <w:r>
              <w:rPr>
                <w:sz w:val="14"/>
              </w:rPr>
              <w:t>Date arithmetic confirmed</w:t>
            </w:r>
          </w:p>
        </w:tc>
      </w:tr>
      <w:tr>
        <w:trPr>
          <w:cantSplit/>
        </w:trPr>
        <w:tc>
          <w:tcPr>
            <w:tcW w:type="dxa" w:w="432"/>
          </w:tcPr>
          <w:p>
            <w:pPr>
              <w:spacing w:after="20" w:before="20"/>
            </w:pPr>
            <w:r/>
            <w:r>
              <w:rPr>
                <w:b/>
                <w:sz w:val="14"/>
              </w:rPr>
              <w:t>28</w:t>
            </w:r>
          </w:p>
        </w:tc>
        <w:tc>
          <w:tcPr>
            <w:tcW w:type="dxa" w:w="3384"/>
          </w:tcPr>
          <w:p>
            <w:pPr>
              <w:spacing w:after="20" w:before="20"/>
            </w:pPr>
            <w:r/>
            <w:r>
              <w:rPr>
                <w:sz w:val="14"/>
              </w:rPr>
              <w:t>Insurance: builder’s risk $34,750,000; CGL $5M/$10M; umbrella $10M</w:t>
            </w:r>
          </w:p>
        </w:tc>
        <w:tc>
          <w:tcPr>
            <w:tcW w:type="dxa" w:w="2664"/>
          </w:tcPr>
          <w:p>
            <w:pPr>
              <w:spacing w:after="20" w:before="20"/>
            </w:pPr>
            <w:r/>
            <w:r>
              <w:rPr>
                <w:sz w:val="14"/>
              </w:rPr>
              <w:t>Term Sheet §§ 11, 19; Memo § 8.1</w:t>
            </w:r>
          </w:p>
        </w:tc>
        <w:tc>
          <w:tcPr>
            <w:tcW w:type="dxa" w:w="2520"/>
          </w:tcPr>
          <w:p>
            <w:pPr>
              <w:spacing w:after="20" w:before="20"/>
            </w:pPr>
            <w:r/>
            <w:r>
              <w:rPr>
                <w:sz w:val="14"/>
              </w:rPr>
              <w:t>Tested against as-completed value and Total Project Costs</w:t>
            </w:r>
          </w:p>
        </w:tc>
      </w:tr>
      <w:tr>
        <w:trPr>
          <w:cantSplit/>
        </w:trPr>
        <w:tc>
          <w:tcPr>
            <w:tcW w:type="dxa" w:w="432"/>
          </w:tcPr>
          <w:p>
            <w:pPr>
              <w:spacing w:after="20" w:before="20"/>
            </w:pPr>
            <w:r/>
            <w:r>
              <w:rPr>
                <w:b/>
                <w:sz w:val="14"/>
              </w:rPr>
              <w:t>29</w:t>
            </w:r>
          </w:p>
        </w:tc>
        <w:tc>
          <w:tcPr>
            <w:tcW w:type="dxa" w:w="3384"/>
          </w:tcPr>
          <w:p>
            <w:pPr>
              <w:spacing w:after="20" w:before="20"/>
            </w:pPr>
            <w:r/>
            <w:r>
              <w:rPr>
                <w:sz w:val="14"/>
              </w:rPr>
              <w:t>Term Sheet acceptance required by January 17, 2025 with a $75,000 deposit; accepted January 10, 2025</w:t>
            </w:r>
          </w:p>
        </w:tc>
        <w:tc>
          <w:tcPr>
            <w:tcW w:type="dxa" w:w="2664"/>
          </w:tcPr>
          <w:p>
            <w:pPr>
              <w:spacing w:after="20" w:before="20"/>
            </w:pPr>
            <w:r/>
            <w:r>
              <w:rPr>
                <w:sz w:val="14"/>
              </w:rPr>
              <w:t>Term Sheet §§ 22, 23</w:t>
            </w:r>
          </w:p>
        </w:tc>
        <w:tc>
          <w:tcPr>
            <w:tcW w:type="dxa" w:w="2520"/>
          </w:tcPr>
          <w:p>
            <w:pPr>
              <w:spacing w:after="20" w:before="20"/>
            </w:pPr>
            <w:r/>
            <w:r>
              <w:rPr>
                <w:sz w:val="14"/>
              </w:rPr>
              <w:t>Deposit not evidenced in the record</w:t>
            </w:r>
          </w:p>
        </w:tc>
      </w:tr>
      <w:tr>
        <w:trPr>
          <w:cantSplit/>
        </w:trPr>
        <w:tc>
          <w:tcPr>
            <w:tcW w:type="dxa" w:w="432"/>
          </w:tcPr>
          <w:p>
            <w:pPr>
              <w:spacing w:after="20" w:before="20"/>
            </w:pPr>
            <w:r/>
            <w:r>
              <w:rPr>
                <w:b/>
                <w:sz w:val="14"/>
              </w:rPr>
              <w:t>30</w:t>
            </w:r>
          </w:p>
        </w:tc>
        <w:tc>
          <w:tcPr>
            <w:tcW w:type="dxa" w:w="3384"/>
          </w:tcPr>
          <w:p>
            <w:pPr>
              <w:spacing w:after="20" w:before="20"/>
            </w:pPr>
            <w:r/>
            <w:r>
              <w:rPr>
                <w:sz w:val="14"/>
              </w:rPr>
              <w:t>Target closing February 28, 2025; Phase I shelf life to April 26, 2025; title commitment expires June 5, 2025</w:t>
            </w:r>
          </w:p>
        </w:tc>
        <w:tc>
          <w:tcPr>
            <w:tcW w:type="dxa" w:w="2664"/>
          </w:tcPr>
          <w:p>
            <w:pPr>
              <w:spacing w:after="20" w:before="20"/>
            </w:pPr>
            <w:r/>
            <w:r>
              <w:rPr>
                <w:sz w:val="14"/>
              </w:rPr>
              <w:t>Term Sheet § 3.2; ESA § 9; Title Commitment Note 1</w:t>
            </w:r>
          </w:p>
        </w:tc>
        <w:tc>
          <w:tcPr>
            <w:tcW w:type="dxa" w:w="2520"/>
          </w:tcPr>
          <w:p>
            <w:pPr>
              <w:spacing w:after="20" w:before="20"/>
            </w:pPr>
            <w:r/>
            <w:r>
              <w:rPr>
                <w:sz w:val="14"/>
              </w:rPr>
              <w:t>Calendar arithmetic confirmed</w:t>
            </w:r>
          </w:p>
        </w:tc>
      </w:tr>
    </w:tbl>
    <w:p>
      <w:pPr>
        <w:spacing w:after="40"/>
      </w:pPr>
    </w:p>
    <w:sectPr w:rsidR="00FC693F" w:rsidRPr="0006063C" w:rsidSect="00034616">
      <w:headerReference w:type="default" r:id="rId9"/>
      <w:footerReference w:type="default" r:id="rId10"/>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4"/>
      </w:rPr>
    </w:r>
    <w:r>
      <w:rPr>
        <w:rFonts w:ascii="Times New Roman" w:hAnsi="Times New Roman"/>
        <w:color w:val="555555"/>
        <w:sz w:val="14"/>
      </w:rPr>
      <w:t xml:space="preserve">The Piedmont at Brightleaf — Loan No. CRE-2025-0342 — Cover Memorandum   |   Page </w:t>
    </w:r>
    <w:r>
      <w:rPr>
        <w:rFonts w:ascii="Times New Roman" w:hAnsi="Times New Roman"/>
        <w:b w:val="0"/>
        <w:color w:val="555555"/>
        <w:sz w:val="14"/>
      </w:rPr>
      <w:fldChar w:fldCharType="begin"/>
      <w:instrText xml:space="preserve"> PAGE </w:instrText>
      <w:fldChar w:fldCharType="end"/>
    </w:r>
    <w:r>
      <w:rPr>
        <w:rFonts w:ascii="Times New Roman" w:hAnsi="Times New Roman"/>
        <w:color w:val="555555"/>
        <w:sz w:val="14"/>
      </w:rPr>
      <w:t xml:space="preserve"> of </w:t>
    </w:r>
    <w:r>
      <w:rPr>
        <w:rFonts w:ascii="Times New Roman" w:hAnsi="Times New Roman"/>
        <w:b w:val="0"/>
        <w:color w:val="555555"/>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FBFBF"/>
      </w:pBdr>
    </w:pPr>
    <w:r/>
    <w:r>
      <w:rPr>
        <w:rFonts w:ascii="Times New Roman" w:hAnsi="Times New Roman"/>
        <w:color w:val="555555"/>
        <w:sz w:val="14"/>
      </w:rPr>
      <w:t>ASHFORD, CROMDALE CONSULTING &amp; LAINE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Times New Roman" w:hAnsi="Times New Roman"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