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17"/>
        </w:rPr>
        <w:t>PRIVILEGED AND CONFIDENTIAL  |  ATTORNEY-CLIENT COMMUNICATION  |  ATTORNEY WORK PRODUCT  |  PREPARED IN ANTICIPATION OF LITIGATION</w:t>
      </w:r>
    </w:p>
    <w:p>
      <w:pPr>
        <w:spacing w:after="20"/>
        <w:jc w:val="center"/>
      </w:pPr>
      <w:r>
        <w:rPr>
          <w:rFonts w:ascii="Times New Roman" w:hAnsi="Times New Roman"/>
          <w:b/>
          <w:i w:val="0"/>
          <w:sz w:val="24"/>
        </w:rPr>
        <w:t>ASHFORD, CROMDALE CONSULTING &amp; LAINE LLP</w:t>
      </w:r>
    </w:p>
    <w:p>
      <w:pPr>
        <w:spacing w:after="360"/>
        <w:jc w:val="center"/>
      </w:pPr>
      <w:r>
        <w:rPr>
          <w:rFonts w:ascii="Times New Roman" w:hAnsi="Times New Roman"/>
          <w:b w:val="0"/>
          <w:i w:val="0"/>
          <w:sz w:val="18"/>
        </w:rPr>
        <w:t>411 South Tryon Street, Suite 2800  |  Charlotte, North Carolina 28202  |  (704) 555-0100</w:t>
      </w:r>
    </w:p>
    <w:p>
      <w:pPr>
        <w:spacing w:before="120" w:after="120"/>
        <w:pBdr>
          <w:bottom w:val="single" w:sz="4" w:space="1" w:color="999999"/>
        </w:pBdr>
      </w:pPr>
    </w:p>
    <w:p>
      <w:pPr>
        <w:spacing w:before="120" w:after="320"/>
        <w:jc w:val="center"/>
      </w:pPr>
      <w:r>
        <w:rPr>
          <w:rFonts w:ascii="Times New Roman" w:hAnsi="Times New Roman"/>
          <w:b/>
          <w:i w:val="0"/>
          <w:sz w:val="32"/>
        </w:rPr>
        <w:t>MEMORANDUM</w:t>
      </w:r>
    </w:p>
    <w:p>
      <w:pPr>
        <w:tabs>
          <w:tab w:pos="1368" w:val="left"/>
        </w:tabs>
        <w:spacing w:after="100"/>
        <w:ind w:left="1368" w:hanging="1368"/>
      </w:pPr>
      <w:r>
        <w:rPr>
          <w:rFonts w:ascii="Times New Roman" w:hAnsi="Times New Roman"/>
          <w:b/>
          <w:sz w:val="19"/>
        </w:rPr>
        <w:t>TO:</w:t>
        <w:tab/>
      </w:r>
      <w:r>
        <w:rPr>
          <w:rFonts w:ascii="Times New Roman" w:hAnsi="Times New Roman"/>
          <w:b w:val="0"/>
          <w:i w:val="0"/>
          <w:sz w:val="19"/>
        </w:rPr>
        <w:t>David Forsythe, Senior Vice President, Commercial Real Estate Lending, Pinnacle Savings Bank, N.A.; and Senior Loan Committee / Credit Administration</w:t>
      </w:r>
    </w:p>
    <w:p>
      <w:pPr>
        <w:tabs>
          <w:tab w:pos="1368" w:val="left"/>
        </w:tabs>
        <w:spacing w:after="100"/>
        <w:ind w:left="1368" w:hanging="1368"/>
      </w:pPr>
      <w:r>
        <w:rPr>
          <w:rFonts w:ascii="Times New Roman" w:hAnsi="Times New Roman"/>
          <w:b/>
          <w:sz w:val="19"/>
        </w:rPr>
        <w:t>FROM:</w:t>
        <w:tab/>
      </w:r>
      <w:r>
        <w:rPr>
          <w:rFonts w:ascii="Times New Roman" w:hAnsi="Times New Roman"/>
          <w:b w:val="0"/>
          <w:i w:val="0"/>
          <w:sz w:val="19"/>
        </w:rPr>
        <w:t>Katharine “Kate” Drummond, Partner; Marcus Webb, Associate, Ashford, Cromdale Consulting &amp; Laine LLP, counsel to Pinnacle Savings Bank, N.A.</w:t>
      </w:r>
    </w:p>
    <w:p>
      <w:pPr>
        <w:tabs>
          <w:tab w:pos="1368" w:val="left"/>
        </w:tabs>
        <w:spacing w:after="100"/>
        <w:ind w:left="1368" w:hanging="1368"/>
      </w:pPr>
      <w:r>
        <w:rPr>
          <w:rFonts w:ascii="Times New Roman" w:hAnsi="Times New Roman"/>
          <w:b/>
          <w:sz w:val="19"/>
        </w:rPr>
        <w:t>DATE:</w:t>
        <w:tab/>
      </w:r>
      <w:r>
        <w:rPr>
          <w:rFonts w:ascii="Times New Roman" w:hAnsi="Times New Roman"/>
          <w:b w:val="0"/>
          <w:i w:val="0"/>
          <w:sz w:val="19"/>
        </w:rPr>
        <w:t>January 31, 2025</w:t>
      </w:r>
    </w:p>
    <w:p>
      <w:pPr>
        <w:tabs>
          <w:tab w:pos="1368" w:val="left"/>
        </w:tabs>
        <w:spacing w:after="100"/>
        <w:ind w:left="1368" w:hanging="1368"/>
      </w:pPr>
      <w:r>
        <w:rPr>
          <w:rFonts w:ascii="Times New Roman" w:hAnsi="Times New Roman"/>
          <w:b/>
          <w:sz w:val="19"/>
        </w:rPr>
        <w:t>RE:</w:t>
        <w:tab/>
      </w:r>
      <w:r>
        <w:rPr>
          <w:rFonts w:ascii="Times New Roman" w:hAnsi="Times New Roman"/>
          <w:b w:val="0"/>
          <w:i w:val="0"/>
          <w:sz w:val="19"/>
        </w:rPr>
        <w:t>The Piedmont at Brightleaf — Loan No. CRE-2025-0342 — Draft Construction-to-Mini-Permanent Loan Agreement and Cover Memorandum on Material Issues and Inconsistencies in the Source Documents</w:t>
      </w:r>
    </w:p>
    <w:p>
      <w:pPr>
        <w:tabs>
          <w:tab w:pos="1368" w:val="left"/>
        </w:tabs>
        <w:spacing w:after="100"/>
        <w:ind w:left="1368" w:hanging="1368"/>
      </w:pPr>
      <w:r>
        <w:rPr>
          <w:rFonts w:ascii="Times New Roman" w:hAnsi="Times New Roman"/>
          <w:b/>
          <w:sz w:val="19"/>
        </w:rPr>
        <w:t>ENCLOSURE:</w:t>
        <w:tab/>
      </w:r>
      <w:r>
        <w:rPr>
          <w:rFonts w:ascii="Times New Roman" w:hAnsi="Times New Roman"/>
          <w:b w:val="0"/>
          <w:i w:val="0"/>
          <w:sz w:val="19"/>
        </w:rPr>
        <w:t>loan-agreement-draft.docx (first draft circulated for Borrower comment); this cover memorandum</w:t>
      </w:r>
    </w:p>
    <w:p>
      <w:pPr>
        <w:spacing w:before="120" w:after="120"/>
        <w:pBdr>
          <w:bottom w:val="single" w:sz="4" w:space="1" w:color="999999"/>
        </w:pBdr>
      </w:pPr>
    </w:p>
    <w:p>
      <w:pPr>
        <w:spacing w:before="120" w:after="240"/>
        <w:jc w:val="both"/>
      </w:pPr>
      <w:r>
        <w:rPr>
          <w:rFonts w:ascii="Times New Roman" w:hAnsi="Times New Roman"/>
          <w:b w:val="0"/>
          <w:i/>
          <w:sz w:val="17"/>
        </w:rPr>
        <w:t>This memorandum is a privileged communication of the Bank's counsel, prepared for the Bank's internal credit, legal and audit functions in connection with a proposed transaction. It is not to be delivered to Borrower, any Guarantor, the Mezzanine Lender or any other third party, and it should not be reproduced or quoted without the Bank's and this firm's consent. It is not a substitute for the Bank's own credit judgment.</w:t>
      </w:r>
    </w:p>
    <w:p>
      <w:pPr>
        <w:pStyle w:val="Heading1"/>
        <w:spacing w:before="360"/>
      </w:pPr>
      <w:r>
        <w:rPr>
          <w:rFonts w:ascii="Times New Roman" w:hAnsi="Times New Roman"/>
          <w:b/>
          <w:sz w:val="24"/>
        </w:rPr>
        <w:t>I.  PURPOSE, SCOPE AND DELIVERABLES</w:t>
      </w:r>
    </w:p>
    <w:p>
      <w:r>
        <w:rPr>
          <w:rFonts w:ascii="Times New Roman" w:hAnsi="Times New Roman"/>
          <w:b w:val="0"/>
          <w:i w:val="0"/>
        </w:rPr>
        <w:t>1.1  Purpose.</w:t>
      </w:r>
    </w:p>
    <w:p>
      <w:r>
        <w:rPr>
          <w:rFonts w:ascii="Times New Roman" w:hAnsi="Times New Roman"/>
          <w:b w:val="0"/>
          <w:i w:val="0"/>
        </w:rPr>
        <w:t>You asked us (a) to prepare a first draft of the construction-to-mini-permanent loan agreement for the Project based on the executed Term Sheet and the approved credit, and (b) to identify and analyze the material issues, inconsistencies and gaps in the source documents, with recommended resolutions. This memorandum accompanies and explains the attached draft (loan-agreement-draft.docx, dated January 31, 2025). It should be read before the draft is circulated and again before any closing certificate is signed.</w:t>
      </w:r>
    </w:p>
    <w:p>
      <w:r>
        <w:rPr>
          <w:rFonts w:ascii="Times New Roman" w:hAnsi="Times New Roman"/>
          <w:b w:val="0"/>
          <w:i w:val="0"/>
        </w:rPr>
        <w:t>1.2  Record reviewed.</w:t>
      </w:r>
    </w:p>
    <w:p>
      <w:r>
        <w:rPr>
          <w:rFonts w:ascii="Times New Roman" w:hAnsi="Times New Roman"/>
          <w:b w:val="0"/>
          <w:i w:val="0"/>
        </w:rPr>
        <w:t>We reviewed the following documents (the “Record”): the executed Term Sheet dated January 10, 2025 (the “Term Sheet”); the Senior Loan Committee Credit Memorandum dated January 22, 2025 (the “Credit Memorandum”); the Executive Summary of the Self-Contained Appraisal Report prepared by Ridgeline Appraisal Services Inc. dated November 15, 2024 (the “Appraisal”); Preliminary Title Commitment No. NC-2024-88712 issued by Aldersgate Title &amp; Escrow Inc. effective December 5, 2024 (the “Title Commitment”); the excerpted Phase I Environmental Site Assessment prepared by Sentinel Environmental Consulting LLC dated October 28, 2024 (the “Phase I ESA”), which includes a summary of the August 2024 Phase II investigation and of the NCDEQ No Further Action letter dated September 30, 2024 (the “NFA Letter”); the Borrower organizational chart, operating agreement excerpts and entity summary prepared by Calloway &amp; Strauss PLLC dated January 2025 (the “Organizational Materials”); and the construction budget and draw schedule prepared by Borrower dated January 8, 2025 (the “Borrower Draw Schedule”). Section VI below records where each material proposition appears.</w:t>
      </w:r>
    </w:p>
    <w:p>
      <w:r>
        <w:rPr>
          <w:rFonts w:ascii="Times New Roman" w:hAnsi="Times New Roman"/>
          <w:b w:val="0"/>
          <w:i w:val="0"/>
        </w:rPr>
        <w:t>1.3  Approach.</w:t>
      </w:r>
    </w:p>
    <w:p>
      <w:r>
        <w:rPr>
          <w:rFonts w:ascii="Times New Roman" w:hAnsi="Times New Roman"/>
          <w:b w:val="0"/>
          <w:i w:val="0"/>
        </w:rPr>
        <w:t>We treated every source document as data rather than instruction, inventoried the Record, and then recomputed independently every total, ratio, date interval and cross-reference that the documents rely on (Section V). Where two documents cannot both be right, we identify the conflict and state which version the arithmetic supports; where the Record is silent, we say so rather than supplying a fact. The draft Loan Agreement follows the Term Sheet and the Credit Memorandum, except where the Record is internally inconsistent, in which case the draft adopts the position we recommend and flags the point in a bracketed Drafting Note keyed to the issue numbers in this memorandum.</w:t>
      </w:r>
    </w:p>
    <w:p>
      <w:r>
        <w:rPr>
          <w:rFonts w:ascii="Times New Roman" w:hAnsi="Times New Roman"/>
          <w:b w:val="0"/>
          <w:i w:val="0"/>
        </w:rPr>
        <w:t>1.4  Bottom line.</w:t>
      </w:r>
    </w:p>
    <w:p>
      <w:r>
        <w:rPr>
          <w:rFonts w:ascii="Times New Roman" w:hAnsi="Times New Roman"/>
          <w:b w:val="0"/>
          <w:i w:val="0"/>
        </w:rPr>
        <w:t>The transaction can be documented substantially as approved, but it should not close in its present form. Three problems are structural rather than drafting: (i) the capital structure contains no verified equity, and the documents describe the land contribution in three irreconcilable ways; (ii) a $3,400,000 prior mortgage must be paid off at closing but appears nowhere in the sources and uses; and (iii) the environmental land use restriction has not been reconciled to the building program and its deed notice may not have been recorded. Each is curable, but each requires action by Borrower and its counsel before closing documents are finalized, and two of them (issues 2 and 3) change the equity requirement.</w:t>
      </w:r>
    </w:p>
    <w:p>
      <w:pPr>
        <w:pStyle w:val="Heading1"/>
        <w:spacing w:before="360"/>
      </w:pPr>
      <w:r>
        <w:rPr>
          <w:rFonts w:ascii="Times New Roman" w:hAnsi="Times New Roman"/>
          <w:b/>
          <w:sz w:val="24"/>
        </w:rPr>
        <w:t>II.  EXECUTIVE SUMMARY</w:t>
      </w:r>
    </w:p>
    <w:p>
      <w:pPr>
        <w:spacing w:after="100"/>
        <w:ind w:left="576" w:hanging="288"/>
      </w:pPr>
      <w:r>
        <w:rPr>
          <w:rFonts w:ascii="Times New Roman" w:hAnsi="Times New Roman"/>
        </w:rPr>
        <w:t>•</w:t>
        <w:tab/>
      </w:r>
      <w:r>
        <w:rPr>
          <w:rFonts w:ascii="Times New Roman" w:hAnsi="Times New Roman"/>
          <w:b w:val="0"/>
          <w:i w:val="0"/>
          <w:sz w:val="20"/>
        </w:rPr>
        <w:t>Structural finding — no verified equity. As presented, the sources and uses balance only if $8,200,000 of the $9,200,000 Mezzanine Loan funded the land (Borrower Draw Schedule, Detailed Budget, line 1.01), with the remaining $1,000,000 funding part of the Developer Fee. That directly contradicts the Term Sheet (§ 5.1–5.2), the Credit Memorandum (§ 2.2, § 5.1) and the Organizational Materials (§ 1.3, § 2.3), each of which describes the land as an equity contribution. The combined senior and mezzanine debt equals 100% of total project cost. (Issue 1)</w:t>
      </w:r>
    </w:p>
    <w:p>
      <w:pPr>
        <w:spacing w:after="100"/>
        <w:ind w:left="576" w:hanging="288"/>
      </w:pPr>
      <w:r>
        <w:rPr>
          <w:rFonts w:ascii="Times New Roman" w:hAnsi="Times New Roman"/>
        </w:rPr>
        <w:t>•</w:t>
        <w:tab/>
      </w:r>
      <w:r>
        <w:rPr>
          <w:rFonts w:ascii="Times New Roman" w:hAnsi="Times New Roman"/>
          <w:b w:val="0"/>
          <w:i w:val="0"/>
          <w:sz w:val="20"/>
        </w:rPr>
        <w:t>Unfunded closing use. The Triangle Commercial Bank deed of trust (original principal $3,400,000; Book 6215, Page 892) must be satisfied at closing to deliver a first lien, but the $56,700,000 budget contains no line for the payoff and no source is identified. The Credit Memorandum says only that it will be paid “from the proceeds of the senior construction loan or from borrower funds.” Either way, $3,400,000 of other costs becomes unfunded. (Issue 2)</w:t>
      </w:r>
    </w:p>
    <w:p>
      <w:pPr>
        <w:spacing w:after="100"/>
        <w:ind w:left="576" w:hanging="288"/>
      </w:pPr>
      <w:r>
        <w:rPr>
          <w:rFonts w:ascii="Times New Roman" w:hAnsi="Times New Roman"/>
        </w:rPr>
        <w:t>•</w:t>
        <w:tab/>
      </w:r>
      <w:r>
        <w:rPr>
          <w:rFonts w:ascii="Times New Roman" w:hAnsi="Times New Roman"/>
          <w:b w:val="0"/>
          <w:i w:val="0"/>
          <w:sz w:val="20"/>
        </w:rPr>
        <w:t>Loan-to-cost. Loan-to-cost is 83.77% against an 80% maximum, a $2,140,000 excess. The Committee's $2,140,000 equity escrow is arithmetically correct only against a budget that omits the payoff and the approximately $680,000 of pre-closing demolition and remediation. On a corrected budget of approximately $60,780,000, loan-to-cost is 78.15% — compliant — but the equity requirement becomes approximately $4,080,000. (Issue 3)</w:t>
      </w:r>
    </w:p>
    <w:p>
      <w:pPr>
        <w:spacing w:after="100"/>
        <w:ind w:left="576" w:hanging="288"/>
      </w:pPr>
      <w:r>
        <w:rPr>
          <w:rFonts w:ascii="Times New Roman" w:hAnsi="Times New Roman"/>
        </w:rPr>
        <w:t>•</w:t>
        <w:tab/>
      </w:r>
      <w:r>
        <w:rPr>
          <w:rFonts w:ascii="Times New Roman" w:hAnsi="Times New Roman"/>
          <w:b w:val="0"/>
          <w:i w:val="0"/>
          <w:sz w:val="20"/>
        </w:rPr>
        <w:t>Loan-to-value. The as-completed LTV at closing is 65.25%, against a 65% maximum in Sections 4 and 6.2 of the Term Sheet; 65% of $72,800,000 is $47,320,000. The Credit Memorandum reports the ratio as a “Pass” because it applies a 70% policy maximum that appears nowhere in the Term Sheet. Either the loan amount, the appraisal or the covenant must move by at least $180,000. (Issue 4)</w:t>
      </w:r>
    </w:p>
    <w:p>
      <w:pPr>
        <w:spacing w:after="100"/>
        <w:ind w:left="576" w:hanging="288"/>
      </w:pPr>
      <w:r>
        <w:rPr>
          <w:rFonts w:ascii="Times New Roman" w:hAnsi="Times New Roman"/>
        </w:rPr>
        <w:t>•</w:t>
        <w:tab/>
      </w:r>
      <w:r>
        <w:rPr>
          <w:rFonts w:ascii="Times New Roman" w:hAnsi="Times New Roman"/>
          <w:b w:val="0"/>
          <w:i w:val="0"/>
          <w:sz w:val="20"/>
        </w:rPr>
        <w:t>Draw mechanics. Section 9.1 of the Term Sheet requires a 10% retainage, but Section 9.2 disburses 100% of the GMP in Draws 2–8 and describes a $3,275,000 final draw as a “retainage release” although 10% of the GMP is $3,475,000; $3,275,000 is in fact exactly the Contingency ($1,440,000) plus the Loan-funded Developer Fee ($1,835,000). Borrower's own schedule carries a separate $1,000,000 imbalance. The draft conforms the schedule to the 10% holdback and separates those line items (Schedule 1). (Issue 5)</w:t>
      </w:r>
    </w:p>
    <w:p>
      <w:pPr>
        <w:spacing w:after="100"/>
        <w:ind w:left="576" w:hanging="288"/>
      </w:pPr>
      <w:r>
        <w:rPr>
          <w:rFonts w:ascii="Times New Roman" w:hAnsi="Times New Roman"/>
        </w:rPr>
        <w:t>•</w:t>
        <w:tab/>
      </w:r>
      <w:r>
        <w:rPr>
          <w:rFonts w:ascii="Times New Roman" w:hAnsi="Times New Roman"/>
          <w:b w:val="0"/>
          <w:i w:val="0"/>
          <w:sz w:val="20"/>
        </w:rPr>
        <w:t>Environmental. The NFA Letter restricts approximately 0.38 acres to non-residential use; the building program places five residential floors over the podium. The Credit Memorandum asserts that exactly 14 units sit above the affected area without any overlay in the Record, and the Phase I ESA expressly declines to make that determination. If the restriction is enforced against residential occupancy, stabilized NOI falls and LTV and DSCR covenants fail. Separately, no evidence shows that the NFA deed notice was recorded by its November 29, 2024 deadline, and the Title Commitment does not list it. (Issues 8 and 11)</w:t>
      </w:r>
    </w:p>
    <w:p>
      <w:pPr>
        <w:spacing w:after="100"/>
        <w:ind w:left="576" w:hanging="288"/>
      </w:pPr>
      <w:r>
        <w:rPr>
          <w:rFonts w:ascii="Times New Roman" w:hAnsi="Times New Roman"/>
        </w:rPr>
        <w:t>•</w:t>
        <w:tab/>
      </w:r>
      <w:r>
        <w:rPr>
          <w:rFonts w:ascii="Times New Roman" w:hAnsi="Times New Roman"/>
          <w:b w:val="0"/>
          <w:i w:val="0"/>
          <w:sz w:val="20"/>
        </w:rPr>
        <w:t>Interest reserve. The reserve is $4,850,000. Borrower's model concludes “APPEARS ADEQUATE” at a 3.50% SOFR assumption; the Credit Memorandum concludes a $565,000 shortfall at 4.35%. Recomputation shows the reserve is adequate only if SOFR averages 3.82% or less; at the Credit Memorandum's 4.35% assumption the shortfall is approximately $361,000, and at 5.35% approximately $1,047,000. (Issue 12)</w:t>
      </w:r>
    </w:p>
    <w:p>
      <w:pPr>
        <w:spacing w:after="100"/>
        <w:ind w:left="576" w:hanging="288"/>
      </w:pPr>
      <w:r>
        <w:rPr>
          <w:rFonts w:ascii="Times New Roman" w:hAnsi="Times New Roman"/>
        </w:rPr>
        <w:t>•</w:t>
        <w:tab/>
      </w:r>
      <w:r>
        <w:rPr>
          <w:rFonts w:ascii="Times New Roman" w:hAnsi="Times New Roman"/>
          <w:b w:val="0"/>
          <w:i w:val="0"/>
          <w:sz w:val="20"/>
        </w:rPr>
        <w:t>Coverage. The 1.31x stabilized DSCR is senior-only, interest-only and excludes the mezzanine. Including the mezzanine at its stated 12.50%, combined coverage is approximately 1.00x; at a 200 basis point rate increase, senior coverage alone falls to 1.04x. Repayment therefore depends on refinancing or sale, which the documents do not test. (Issue 13)</w:t>
      </w:r>
    </w:p>
    <w:p>
      <w:pPr>
        <w:spacing w:after="100"/>
        <w:ind w:left="576" w:hanging="288"/>
      </w:pPr>
      <w:r>
        <w:rPr>
          <w:rFonts w:ascii="Times New Roman" w:hAnsi="Times New Roman"/>
        </w:rPr>
        <w:t>•</w:t>
        <w:tab/>
      </w:r>
      <w:r>
        <w:rPr>
          <w:rFonts w:ascii="Times New Roman" w:hAnsi="Times New Roman"/>
          <w:b w:val="0"/>
          <w:i w:val="0"/>
          <w:sz w:val="20"/>
        </w:rPr>
        <w:t>Document integrity. We identified three internal cross-reference or terminology defects in the Term Sheet (single “advance” versus nine draws; an Events of Default clause keyed to a Borrower covenant as though it were a Guarantor covenant; an extension option with no conditions), and four categories of omitted closing deliverables in the Term Sheet as compared with the Credit Memorandum. These are corrected in Articles II, XIII and 2.14 of the draft. (Issue 19)</w:t>
      </w:r>
    </w:p>
    <w:p>
      <w:pPr>
        <w:pStyle w:val="Heading1"/>
        <w:spacing w:before="360"/>
      </w:pPr>
      <w:r>
        <w:rPr>
          <w:rFonts w:ascii="Times New Roman" w:hAnsi="Times New Roman"/>
          <w:b/>
          <w:sz w:val="24"/>
        </w:rPr>
        <w:t>III.  TOP-RISK REGISTER</w:t>
      </w:r>
    </w:p>
    <w:p>
      <w:r>
        <w:rPr>
          <w:rFonts w:ascii="Times New Roman" w:hAnsi="Times New Roman"/>
          <w:b w:val="0"/>
          <w:i w:val="0"/>
          <w:sz w:val="19"/>
        </w:rPr>
        <w:t>Issues are ranked by the consequence of leaving them unresolved. “Severity” is our assessment: H = must be resolved before closing documents are finalized and may change the approved economics; M = must be resolved before closing and may change the documentation; L = drafting or confirmation only.</w:t>
      </w:r>
    </w:p>
    <w:tbl>
      <w:tblPr>
        <w:tblStyle w:val="TableGrid"/>
        <w:tblW w:type="auto" w:w="0"/>
        <w:jc w:val="center"/>
        <w:tblLayout w:type="fixed"/>
        <w:tblLook w:firstColumn="1" w:firstRow="1" w:lastColumn="0" w:lastRow="0" w:noHBand="0" w:noVBand="1" w:val="04A0"/>
      </w:tblPr>
      <w:tblGrid>
        <w:gridCol w:w="504"/>
        <w:gridCol w:w="3384"/>
        <w:gridCol w:w="720"/>
        <w:gridCol w:w="3312"/>
        <w:gridCol w:w="1440"/>
      </w:tblGrid>
      <w:tr>
        <w:trPr>
          <w:tblHeader w:val="true"/>
        </w:trPr>
        <w:tc>
          <w:tcPr>
            <w:tcW w:type="dxa" w:w="504"/>
            <w:shd w:val="clear" w:color="auto" w:fill="1F3355"/>
          </w:tcPr>
          <w:p>
            <w:pPr>
              <w:spacing w:before="60" w:after="60"/>
              <w:jc w:val="center"/>
            </w:pPr>
            <w:r/>
            <w:r>
              <w:rPr>
                <w:rFonts w:ascii="Times New Roman" w:hAnsi="Times New Roman"/>
                <w:b/>
                <w:color w:val="FFFFFF"/>
                <w:sz w:val="17"/>
              </w:rPr>
              <w:t>#</w:t>
            </w:r>
          </w:p>
        </w:tc>
        <w:tc>
          <w:tcPr>
            <w:tcW w:type="dxa" w:w="3384"/>
            <w:shd w:val="clear" w:color="auto" w:fill="1F3355"/>
          </w:tcPr>
          <w:p>
            <w:pPr>
              <w:spacing w:before="60" w:after="60"/>
              <w:jc w:val="center"/>
            </w:pPr>
            <w:r/>
            <w:r>
              <w:rPr>
                <w:rFonts w:ascii="Times New Roman" w:hAnsi="Times New Roman"/>
                <w:b/>
                <w:color w:val="FFFFFF"/>
                <w:sz w:val="17"/>
              </w:rPr>
              <w:t>Issue</w:t>
            </w:r>
          </w:p>
        </w:tc>
        <w:tc>
          <w:tcPr>
            <w:tcW w:type="dxa" w:w="720"/>
            <w:shd w:val="clear" w:color="auto" w:fill="1F3355"/>
          </w:tcPr>
          <w:p>
            <w:pPr>
              <w:spacing w:before="60" w:after="60"/>
              <w:jc w:val="center"/>
            </w:pPr>
            <w:r/>
            <w:r>
              <w:rPr>
                <w:rFonts w:ascii="Times New Roman" w:hAnsi="Times New Roman"/>
                <w:b/>
                <w:color w:val="FFFFFF"/>
                <w:sz w:val="17"/>
              </w:rPr>
              <w:t>Sev.</w:t>
            </w:r>
          </w:p>
        </w:tc>
        <w:tc>
          <w:tcPr>
            <w:tcW w:type="dxa" w:w="3312"/>
            <w:shd w:val="clear" w:color="auto" w:fill="1F3355"/>
          </w:tcPr>
          <w:p>
            <w:pPr>
              <w:spacing w:before="60" w:after="60"/>
              <w:jc w:val="center"/>
            </w:pPr>
            <w:r/>
            <w:r>
              <w:rPr>
                <w:rFonts w:ascii="Times New Roman" w:hAnsi="Times New Roman"/>
                <w:b/>
                <w:color w:val="FFFFFF"/>
                <w:sz w:val="17"/>
              </w:rPr>
              <w:t>Consequence if unresolved</w:t>
            </w:r>
          </w:p>
        </w:tc>
        <w:tc>
          <w:tcPr>
            <w:tcW w:type="dxa" w:w="1440"/>
            <w:shd w:val="clear" w:color="auto" w:fill="1F3355"/>
          </w:tcPr>
          <w:p>
            <w:pPr>
              <w:spacing w:before="60" w:after="60"/>
              <w:jc w:val="center"/>
            </w:pPr>
            <w:r/>
            <w:r>
              <w:rPr>
                <w:rFonts w:ascii="Times New Roman" w:hAnsi="Times New Roman"/>
                <w:b/>
                <w:color w:val="FFFFFF"/>
                <w:sz w:val="17"/>
              </w:rPr>
              <w:t>Resolution owner</w:t>
            </w:r>
          </w:p>
        </w:tc>
      </w:tr>
      <w:tr>
        <w:trPr>
          <w:cantSplit w:val="true"/>
        </w:trPr>
        <w:tc>
          <w:tcPr>
            <w:tcW w:type="dxa" w:w="504"/>
          </w:tcPr>
          <w:p>
            <w:pPr>
              <w:spacing w:before="40" w:after="40"/>
              <w:jc w:val="left"/>
            </w:pPr>
            <w:r/>
            <w:r>
              <w:rPr>
                <w:rFonts w:ascii="Times New Roman" w:hAnsi="Times New Roman"/>
                <w:b w:val="0"/>
                <w:i w:val="0"/>
                <w:sz w:val="17"/>
              </w:rPr>
              <w:t>1</w:t>
            </w:r>
          </w:p>
        </w:tc>
        <w:tc>
          <w:tcPr>
            <w:tcW w:type="dxa" w:w="3384"/>
          </w:tcPr>
          <w:p>
            <w:pPr>
              <w:spacing w:before="40" w:after="40"/>
              <w:jc w:val="left"/>
            </w:pPr>
            <w:r/>
            <w:r>
              <w:rPr>
                <w:rFonts w:ascii="Times New Roman" w:hAnsi="Times New Roman"/>
                <w:b w:val="0"/>
                <w:i w:val="0"/>
                <w:sz w:val="17"/>
              </w:rPr>
              <w:t>Land funded by mezzanine loan, not member equity; zero verified equity in the structure</w:t>
            </w:r>
          </w:p>
        </w:tc>
        <w:tc>
          <w:tcPr>
            <w:tcW w:type="dxa" w:w="720"/>
          </w:tcPr>
          <w:p>
            <w:pPr>
              <w:spacing w:before="40" w:after="40"/>
              <w:jc w:val="left"/>
            </w:pPr>
            <w:r/>
            <w:r>
              <w:rPr>
                <w:rFonts w:ascii="Times New Roman" w:hAnsi="Times New Roman"/>
                <w:b w:val="0"/>
                <w:i w:val="0"/>
                <w:sz w:val="17"/>
              </w:rPr>
              <w:t>H</w:t>
            </w:r>
          </w:p>
        </w:tc>
        <w:tc>
          <w:tcPr>
            <w:tcW w:type="dxa" w:w="3312"/>
          </w:tcPr>
          <w:p>
            <w:pPr>
              <w:spacing w:before="40" w:after="40"/>
              <w:jc w:val="left"/>
            </w:pPr>
            <w:r/>
            <w:r>
              <w:rPr>
                <w:rFonts w:ascii="Times New Roman" w:hAnsi="Times New Roman"/>
                <w:b w:val="0"/>
                <w:i w:val="0"/>
                <w:sz w:val="17"/>
              </w:rPr>
              <w:t>LTC/HVCRE analyses and every equity certificate are unsupportable; misrepresentation exposure</w:t>
            </w:r>
          </w:p>
        </w:tc>
        <w:tc>
          <w:tcPr>
            <w:tcW w:type="dxa" w:w="1440"/>
          </w:tcPr>
          <w:p>
            <w:pPr>
              <w:spacing w:before="40" w:after="40"/>
              <w:jc w:val="left"/>
            </w:pPr>
            <w:r/>
            <w:r>
              <w:rPr>
                <w:rFonts w:ascii="Times New Roman" w:hAnsi="Times New Roman"/>
                <w:b w:val="0"/>
                <w:i w:val="0"/>
                <w:sz w:val="17"/>
              </w:rPr>
              <w:t>Borrower / Counsel</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2</w:t>
            </w:r>
          </w:p>
        </w:tc>
        <w:tc>
          <w:tcPr>
            <w:tcW w:type="dxa" w:w="3384"/>
            <w:shd w:val="clear" w:color="auto" w:fill="F7F8FA"/>
          </w:tcPr>
          <w:p>
            <w:pPr>
              <w:spacing w:before="40" w:after="40"/>
              <w:jc w:val="left"/>
            </w:pPr>
            <w:r/>
            <w:r>
              <w:rPr>
                <w:rFonts w:ascii="Times New Roman" w:hAnsi="Times New Roman"/>
                <w:b w:val="0"/>
                <w:i w:val="0"/>
                <w:sz w:val="17"/>
              </w:rPr>
              <w:t>$3,400,000 prior deed of trust payoff not in the sources and uses; payoff amount unknown</w:t>
            </w:r>
          </w:p>
        </w:tc>
        <w:tc>
          <w:tcPr>
            <w:tcW w:type="dxa" w:w="720"/>
            <w:shd w:val="clear" w:color="auto" w:fill="F7F8FA"/>
          </w:tcPr>
          <w:p>
            <w:pPr>
              <w:spacing w:before="40" w:after="40"/>
              <w:jc w:val="left"/>
            </w:pPr>
            <w:r/>
            <w:r>
              <w:rPr>
                <w:rFonts w:ascii="Times New Roman" w:hAnsi="Times New Roman"/>
                <w:b w:val="0"/>
                <w:i w:val="0"/>
                <w:sz w:val="17"/>
              </w:rPr>
              <w:t>H</w:t>
            </w:r>
          </w:p>
        </w:tc>
        <w:tc>
          <w:tcPr>
            <w:tcW w:type="dxa" w:w="3312"/>
            <w:shd w:val="clear" w:color="auto" w:fill="F7F8FA"/>
          </w:tcPr>
          <w:p>
            <w:pPr>
              <w:spacing w:before="40" w:after="40"/>
              <w:jc w:val="left"/>
            </w:pPr>
            <w:r/>
            <w:r>
              <w:rPr>
                <w:rFonts w:ascii="Times New Roman" w:hAnsi="Times New Roman"/>
                <w:b w:val="0"/>
                <w:i w:val="0"/>
                <w:sz w:val="17"/>
              </w:rPr>
              <w:t>No first lien at closing, or $3.4M of other costs unfunded</w:t>
            </w:r>
          </w:p>
        </w:tc>
        <w:tc>
          <w:tcPr>
            <w:tcW w:type="dxa" w:w="1440"/>
            <w:shd w:val="clear" w:color="auto" w:fill="F7F8FA"/>
          </w:tcPr>
          <w:p>
            <w:pPr>
              <w:spacing w:before="40" w:after="40"/>
              <w:jc w:val="left"/>
            </w:pPr>
            <w:r/>
            <w:r>
              <w:rPr>
                <w:rFonts w:ascii="Times New Roman" w:hAnsi="Times New Roman"/>
                <w:b w:val="0"/>
                <w:i w:val="0"/>
                <w:sz w:val="17"/>
              </w:rPr>
              <w:t>Borrower / Title Co.</w:t>
            </w:r>
          </w:p>
        </w:tc>
      </w:tr>
      <w:tr>
        <w:trPr>
          <w:cantSplit w:val="true"/>
        </w:trPr>
        <w:tc>
          <w:tcPr>
            <w:tcW w:type="dxa" w:w="504"/>
          </w:tcPr>
          <w:p>
            <w:pPr>
              <w:spacing w:before="40" w:after="40"/>
              <w:jc w:val="left"/>
            </w:pPr>
            <w:r/>
            <w:r>
              <w:rPr>
                <w:rFonts w:ascii="Times New Roman" w:hAnsi="Times New Roman"/>
                <w:b w:val="0"/>
                <w:i w:val="0"/>
                <w:sz w:val="17"/>
              </w:rPr>
              <w:t>3</w:t>
            </w:r>
          </w:p>
        </w:tc>
        <w:tc>
          <w:tcPr>
            <w:tcW w:type="dxa" w:w="3384"/>
          </w:tcPr>
          <w:p>
            <w:pPr>
              <w:spacing w:before="40" w:after="40"/>
              <w:jc w:val="left"/>
            </w:pPr>
            <w:r/>
            <w:r>
              <w:rPr>
                <w:rFonts w:ascii="Times New Roman" w:hAnsi="Times New Roman"/>
                <w:b w:val="0"/>
                <w:i w:val="0"/>
                <w:sz w:val="17"/>
              </w:rPr>
              <w:t>LTC 83.77% &gt; 80%; equity escrow sized to a budget that omits required uses</w:t>
            </w:r>
          </w:p>
        </w:tc>
        <w:tc>
          <w:tcPr>
            <w:tcW w:type="dxa" w:w="720"/>
          </w:tcPr>
          <w:p>
            <w:pPr>
              <w:spacing w:before="40" w:after="40"/>
              <w:jc w:val="left"/>
            </w:pPr>
            <w:r/>
            <w:r>
              <w:rPr>
                <w:rFonts w:ascii="Times New Roman" w:hAnsi="Times New Roman"/>
                <w:b w:val="0"/>
                <w:i w:val="0"/>
                <w:sz w:val="17"/>
              </w:rPr>
              <w:t>H</w:t>
            </w:r>
          </w:p>
        </w:tc>
        <w:tc>
          <w:tcPr>
            <w:tcW w:type="dxa" w:w="3312"/>
          </w:tcPr>
          <w:p>
            <w:pPr>
              <w:spacing w:before="40" w:after="40"/>
              <w:jc w:val="left"/>
            </w:pPr>
            <w:r/>
            <w:r>
              <w:rPr>
                <w:rFonts w:ascii="Times New Roman" w:hAnsi="Times New Roman"/>
                <w:b w:val="0"/>
                <w:i w:val="0"/>
                <w:sz w:val="17"/>
              </w:rPr>
              <w:t>Financial covenant breached at closing; under-funded project</w:t>
            </w:r>
          </w:p>
        </w:tc>
        <w:tc>
          <w:tcPr>
            <w:tcW w:type="dxa" w:w="1440"/>
          </w:tcPr>
          <w:p>
            <w:pPr>
              <w:spacing w:before="40" w:after="40"/>
              <w:jc w:val="left"/>
            </w:pPr>
            <w:r/>
            <w:r>
              <w:rPr>
                <w:rFonts w:ascii="Times New Roman" w:hAnsi="Times New Roman"/>
                <w:b w:val="0"/>
                <w:i w:val="0"/>
                <w:sz w:val="17"/>
              </w:rPr>
              <w:t>Bank / Borrower</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11</w:t>
            </w:r>
          </w:p>
        </w:tc>
        <w:tc>
          <w:tcPr>
            <w:tcW w:type="dxa" w:w="3384"/>
            <w:shd w:val="clear" w:color="auto" w:fill="F7F8FA"/>
          </w:tcPr>
          <w:p>
            <w:pPr>
              <w:spacing w:before="40" w:after="40"/>
              <w:jc w:val="left"/>
            </w:pPr>
            <w:r/>
            <w:r>
              <w:rPr>
                <w:rFonts w:ascii="Times New Roman" w:hAnsi="Times New Roman"/>
                <w:b w:val="0"/>
                <w:i w:val="0"/>
                <w:sz w:val="17"/>
              </w:rPr>
              <w:t>NFA non-residential restriction versus residential floors above the affected area</w:t>
            </w:r>
          </w:p>
        </w:tc>
        <w:tc>
          <w:tcPr>
            <w:tcW w:type="dxa" w:w="720"/>
            <w:shd w:val="clear" w:color="auto" w:fill="F7F8FA"/>
          </w:tcPr>
          <w:p>
            <w:pPr>
              <w:spacing w:before="40" w:after="40"/>
              <w:jc w:val="left"/>
            </w:pPr>
            <w:r/>
            <w:r>
              <w:rPr>
                <w:rFonts w:ascii="Times New Roman" w:hAnsi="Times New Roman"/>
                <w:b w:val="0"/>
                <w:i w:val="0"/>
                <w:sz w:val="17"/>
              </w:rPr>
              <w:t>H</w:t>
            </w:r>
          </w:p>
        </w:tc>
        <w:tc>
          <w:tcPr>
            <w:tcW w:type="dxa" w:w="3312"/>
            <w:shd w:val="clear" w:color="auto" w:fill="F7F8FA"/>
          </w:tcPr>
          <w:p>
            <w:pPr>
              <w:spacing w:before="40" w:after="40"/>
              <w:jc w:val="left"/>
            </w:pPr>
            <w:r/>
            <w:r>
              <w:rPr>
                <w:rFonts w:ascii="Times New Roman" w:hAnsi="Times New Roman"/>
                <w:b w:val="0"/>
                <w:i w:val="0"/>
                <w:sz w:val="17"/>
              </w:rPr>
              <w:t>No C/O for affected units; NOI, DSCR and appraised value overstated</w:t>
            </w:r>
          </w:p>
        </w:tc>
        <w:tc>
          <w:tcPr>
            <w:tcW w:type="dxa" w:w="1440"/>
            <w:shd w:val="clear" w:color="auto" w:fill="F7F8FA"/>
          </w:tcPr>
          <w:p>
            <w:pPr>
              <w:spacing w:before="40" w:after="40"/>
              <w:jc w:val="left"/>
            </w:pPr>
            <w:r/>
            <w:r>
              <w:rPr>
                <w:rFonts w:ascii="Times New Roman" w:hAnsi="Times New Roman"/>
                <w:b w:val="0"/>
                <w:i w:val="0"/>
                <w:sz w:val="17"/>
              </w:rPr>
              <w:t>Borrower / NCDEQ</w:t>
            </w:r>
          </w:p>
        </w:tc>
      </w:tr>
      <w:tr>
        <w:trPr>
          <w:cantSplit w:val="true"/>
        </w:trPr>
        <w:tc>
          <w:tcPr>
            <w:tcW w:type="dxa" w:w="504"/>
          </w:tcPr>
          <w:p>
            <w:pPr>
              <w:spacing w:before="40" w:after="40"/>
              <w:jc w:val="left"/>
            </w:pPr>
            <w:r/>
            <w:r>
              <w:rPr>
                <w:rFonts w:ascii="Times New Roman" w:hAnsi="Times New Roman"/>
                <w:b w:val="0"/>
                <w:i w:val="0"/>
                <w:sz w:val="17"/>
              </w:rPr>
              <w:t>8</w:t>
            </w:r>
          </w:p>
        </w:tc>
        <w:tc>
          <w:tcPr>
            <w:tcW w:type="dxa" w:w="3384"/>
          </w:tcPr>
          <w:p>
            <w:pPr>
              <w:spacing w:before="40" w:after="40"/>
              <w:jc w:val="left"/>
            </w:pPr>
            <w:r/>
            <w:r>
              <w:rPr>
                <w:rFonts w:ascii="Times New Roman" w:hAnsi="Times New Roman"/>
                <w:b w:val="0"/>
                <w:i w:val="0"/>
                <w:sz w:val="17"/>
              </w:rPr>
              <w:t>NFA deed notice: no evidence of recordation; absent from Title Commitment</w:t>
            </w:r>
          </w:p>
        </w:tc>
        <w:tc>
          <w:tcPr>
            <w:tcW w:type="dxa" w:w="720"/>
          </w:tcPr>
          <w:p>
            <w:pPr>
              <w:spacing w:before="40" w:after="40"/>
              <w:jc w:val="left"/>
            </w:pPr>
            <w:r/>
            <w:r>
              <w:rPr>
                <w:rFonts w:ascii="Times New Roman" w:hAnsi="Times New Roman"/>
                <w:b w:val="0"/>
                <w:i w:val="0"/>
                <w:sz w:val="17"/>
              </w:rPr>
              <w:t>H</w:t>
            </w:r>
          </w:p>
        </w:tc>
        <w:tc>
          <w:tcPr>
            <w:tcW w:type="dxa" w:w="3312"/>
          </w:tcPr>
          <w:p>
            <w:pPr>
              <w:spacing w:before="40" w:after="40"/>
              <w:jc w:val="left"/>
            </w:pPr>
            <w:r/>
            <w:r>
              <w:rPr>
                <w:rFonts w:ascii="Times New Roman" w:hAnsi="Times New Roman"/>
                <w:b w:val="0"/>
                <w:i w:val="0"/>
                <w:sz w:val="17"/>
              </w:rPr>
              <w:t>NFA non-compliance; possible reopening; untrue representation at closing</w:t>
            </w:r>
          </w:p>
        </w:tc>
        <w:tc>
          <w:tcPr>
            <w:tcW w:type="dxa" w:w="1440"/>
          </w:tcPr>
          <w:p>
            <w:pPr>
              <w:spacing w:before="40" w:after="40"/>
              <w:jc w:val="left"/>
            </w:pPr>
            <w:r/>
            <w:r>
              <w:rPr>
                <w:rFonts w:ascii="Times New Roman" w:hAnsi="Times New Roman"/>
                <w:b w:val="0"/>
                <w:i w:val="0"/>
                <w:sz w:val="17"/>
              </w:rPr>
              <w:t>Borrower / Title Co.</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5</w:t>
            </w:r>
          </w:p>
        </w:tc>
        <w:tc>
          <w:tcPr>
            <w:tcW w:type="dxa" w:w="3384"/>
            <w:shd w:val="clear" w:color="auto" w:fill="F7F8FA"/>
          </w:tcPr>
          <w:p>
            <w:pPr>
              <w:spacing w:before="40" w:after="40"/>
              <w:jc w:val="left"/>
            </w:pPr>
            <w:r/>
            <w:r>
              <w:rPr>
                <w:rFonts w:ascii="Times New Roman" w:hAnsi="Times New Roman"/>
                <w:b w:val="0"/>
                <w:i w:val="0"/>
                <w:sz w:val="17"/>
              </w:rPr>
              <w:t>Retainage not withheld; Draw 9 mislabeled; $1.0M imbalance in Borrower's schedule</w:t>
            </w:r>
          </w:p>
        </w:tc>
        <w:tc>
          <w:tcPr>
            <w:tcW w:type="dxa" w:w="720"/>
            <w:shd w:val="clear" w:color="auto" w:fill="F7F8FA"/>
          </w:tcPr>
          <w:p>
            <w:pPr>
              <w:spacing w:before="40" w:after="40"/>
              <w:jc w:val="left"/>
            </w:pPr>
            <w:r/>
            <w:r>
              <w:rPr>
                <w:rFonts w:ascii="Times New Roman" w:hAnsi="Times New Roman"/>
                <w:b w:val="0"/>
                <w:i w:val="0"/>
                <w:sz w:val="17"/>
              </w:rPr>
              <w:t>H</w:t>
            </w:r>
          </w:p>
        </w:tc>
        <w:tc>
          <w:tcPr>
            <w:tcW w:type="dxa" w:w="3312"/>
            <w:shd w:val="clear" w:color="auto" w:fill="F7F8FA"/>
          </w:tcPr>
          <w:p>
            <w:pPr>
              <w:spacing w:before="40" w:after="40"/>
              <w:jc w:val="left"/>
            </w:pPr>
            <w:r/>
            <w:r>
              <w:rPr>
                <w:rFonts w:ascii="Times New Roman" w:hAnsi="Times New Roman"/>
                <w:b w:val="0"/>
                <w:i w:val="0"/>
                <w:sz w:val="17"/>
              </w:rPr>
              <w:t>Over-disbursement risk; no retainage protection at completion</w:t>
            </w:r>
          </w:p>
        </w:tc>
        <w:tc>
          <w:tcPr>
            <w:tcW w:type="dxa" w:w="1440"/>
            <w:shd w:val="clear" w:color="auto" w:fill="F7F8FA"/>
          </w:tcPr>
          <w:p>
            <w:pPr>
              <w:spacing w:before="40" w:after="40"/>
              <w:jc w:val="left"/>
            </w:pPr>
            <w:r/>
            <w:r>
              <w:rPr>
                <w:rFonts w:ascii="Times New Roman" w:hAnsi="Times New Roman"/>
                <w:b w:val="0"/>
                <w:i w:val="0"/>
                <w:sz w:val="17"/>
              </w:rPr>
              <w:t>Bank / Borrower</w:t>
            </w:r>
          </w:p>
        </w:tc>
      </w:tr>
      <w:tr>
        <w:trPr>
          <w:cantSplit w:val="true"/>
        </w:trPr>
        <w:tc>
          <w:tcPr>
            <w:tcW w:type="dxa" w:w="504"/>
          </w:tcPr>
          <w:p>
            <w:pPr>
              <w:spacing w:before="40" w:after="40"/>
              <w:jc w:val="left"/>
            </w:pPr>
            <w:r/>
            <w:r>
              <w:rPr>
                <w:rFonts w:ascii="Times New Roman" w:hAnsi="Times New Roman"/>
                <w:b w:val="0"/>
                <w:i w:val="0"/>
                <w:sz w:val="17"/>
              </w:rPr>
              <w:t>12</w:t>
            </w:r>
          </w:p>
        </w:tc>
        <w:tc>
          <w:tcPr>
            <w:tcW w:type="dxa" w:w="3384"/>
          </w:tcPr>
          <w:p>
            <w:pPr>
              <w:spacing w:before="40" w:after="40"/>
              <w:jc w:val="left"/>
            </w:pPr>
            <w:r/>
            <w:r>
              <w:rPr>
                <w:rFonts w:ascii="Times New Roman" w:hAnsi="Times New Roman"/>
                <w:b w:val="0"/>
                <w:i w:val="0"/>
                <w:sz w:val="17"/>
              </w:rPr>
              <w:t>Interest reserve adequate only below 3.82% SOFR; conflicting conclusions in the file</w:t>
            </w:r>
          </w:p>
        </w:tc>
        <w:tc>
          <w:tcPr>
            <w:tcW w:type="dxa" w:w="720"/>
          </w:tcPr>
          <w:p>
            <w:pPr>
              <w:spacing w:before="40" w:after="40"/>
              <w:jc w:val="left"/>
            </w:pPr>
            <w:r/>
            <w:r>
              <w:rPr>
                <w:rFonts w:ascii="Times New Roman" w:hAnsi="Times New Roman"/>
                <w:b w:val="0"/>
                <w:i w:val="0"/>
                <w:sz w:val="17"/>
              </w:rPr>
              <w:t>H</w:t>
            </w:r>
          </w:p>
        </w:tc>
        <w:tc>
          <w:tcPr>
            <w:tcW w:type="dxa" w:w="3312"/>
          </w:tcPr>
          <w:p>
            <w:pPr>
              <w:spacing w:before="40" w:after="40"/>
              <w:jc w:val="left"/>
            </w:pPr>
            <w:r/>
            <w:r>
              <w:rPr>
                <w:rFonts w:ascii="Times New Roman" w:hAnsi="Times New Roman"/>
                <w:b w:val="0"/>
                <w:i w:val="0"/>
                <w:sz w:val="17"/>
              </w:rPr>
              <w:t>Interest shortfall during construction; potential payment default</w:t>
            </w:r>
          </w:p>
        </w:tc>
        <w:tc>
          <w:tcPr>
            <w:tcW w:type="dxa" w:w="1440"/>
          </w:tcPr>
          <w:p>
            <w:pPr>
              <w:spacing w:before="40" w:after="40"/>
              <w:jc w:val="left"/>
            </w:pPr>
            <w:r/>
            <w:r>
              <w:rPr>
                <w:rFonts w:ascii="Times New Roman" w:hAnsi="Times New Roman"/>
                <w:b w:val="0"/>
                <w:i w:val="0"/>
                <w:sz w:val="17"/>
              </w:rPr>
              <w:t>Bank / Borrower</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13</w:t>
            </w:r>
          </w:p>
        </w:tc>
        <w:tc>
          <w:tcPr>
            <w:tcW w:type="dxa" w:w="3384"/>
            <w:shd w:val="clear" w:color="auto" w:fill="F7F8FA"/>
          </w:tcPr>
          <w:p>
            <w:pPr>
              <w:spacing w:before="40" w:after="40"/>
              <w:jc w:val="left"/>
            </w:pPr>
            <w:r/>
            <w:r>
              <w:rPr>
                <w:rFonts w:ascii="Times New Roman" w:hAnsi="Times New Roman"/>
                <w:b w:val="0"/>
                <w:i w:val="0"/>
                <w:sz w:val="17"/>
              </w:rPr>
              <w:t>Combined coverage ≈ 1.00x; 1.04x at +200 bps; DSCR test period inconsistent</w:t>
            </w:r>
          </w:p>
        </w:tc>
        <w:tc>
          <w:tcPr>
            <w:tcW w:type="dxa" w:w="720"/>
            <w:shd w:val="clear" w:color="auto" w:fill="F7F8FA"/>
          </w:tcPr>
          <w:p>
            <w:pPr>
              <w:spacing w:before="40" w:after="40"/>
              <w:jc w:val="left"/>
            </w:pPr>
            <w:r/>
            <w:r>
              <w:rPr>
                <w:rFonts w:ascii="Times New Roman" w:hAnsi="Times New Roman"/>
                <w:b w:val="0"/>
                <w:i w:val="0"/>
                <w:sz w:val="17"/>
              </w:rPr>
              <w:t>H</w:t>
            </w:r>
          </w:p>
        </w:tc>
        <w:tc>
          <w:tcPr>
            <w:tcW w:type="dxa" w:w="3312"/>
            <w:shd w:val="clear" w:color="auto" w:fill="F7F8FA"/>
          </w:tcPr>
          <w:p>
            <w:pPr>
              <w:spacing w:before="40" w:after="40"/>
              <w:jc w:val="left"/>
            </w:pPr>
            <w:r/>
            <w:r>
              <w:rPr>
                <w:rFonts w:ascii="Times New Roman" w:hAnsi="Times New Roman"/>
                <w:b w:val="0"/>
                <w:i w:val="0"/>
                <w:sz w:val="17"/>
              </w:rPr>
              <w:t>Covenant failure at mini-perm commencement; refinancing dependency</w:t>
            </w:r>
          </w:p>
        </w:tc>
        <w:tc>
          <w:tcPr>
            <w:tcW w:type="dxa" w:w="1440"/>
            <w:shd w:val="clear" w:color="auto" w:fill="F7F8FA"/>
          </w:tcPr>
          <w:p>
            <w:pPr>
              <w:spacing w:before="40" w:after="40"/>
              <w:jc w:val="left"/>
            </w:pPr>
            <w:r/>
            <w:r>
              <w:rPr>
                <w:rFonts w:ascii="Times New Roman" w:hAnsi="Times New Roman"/>
                <w:b w:val="0"/>
                <w:i w:val="0"/>
                <w:sz w:val="17"/>
              </w:rPr>
              <w:t>Bank</w:t>
            </w:r>
          </w:p>
        </w:tc>
      </w:tr>
      <w:tr>
        <w:trPr>
          <w:cantSplit w:val="true"/>
        </w:trPr>
        <w:tc>
          <w:tcPr>
            <w:tcW w:type="dxa" w:w="504"/>
          </w:tcPr>
          <w:p>
            <w:pPr>
              <w:spacing w:before="40" w:after="40"/>
              <w:jc w:val="left"/>
            </w:pPr>
            <w:r/>
            <w:r>
              <w:rPr>
                <w:rFonts w:ascii="Times New Roman" w:hAnsi="Times New Roman"/>
                <w:b w:val="0"/>
                <w:i w:val="0"/>
                <w:sz w:val="17"/>
              </w:rPr>
              <w:t>4</w:t>
            </w:r>
          </w:p>
        </w:tc>
        <w:tc>
          <w:tcPr>
            <w:tcW w:type="dxa" w:w="3384"/>
          </w:tcPr>
          <w:p>
            <w:pPr>
              <w:spacing w:before="40" w:after="40"/>
              <w:jc w:val="left"/>
            </w:pPr>
            <w:r/>
            <w:r>
              <w:rPr>
                <w:rFonts w:ascii="Times New Roman" w:hAnsi="Times New Roman"/>
                <w:b w:val="0"/>
                <w:i w:val="0"/>
                <w:sz w:val="17"/>
              </w:rPr>
              <w:t>As-completed LTV 65.25% vs. 65% Term Sheet maximum</w:t>
            </w:r>
          </w:p>
        </w:tc>
        <w:tc>
          <w:tcPr>
            <w:tcW w:type="dxa" w:w="720"/>
          </w:tcPr>
          <w:p>
            <w:pPr>
              <w:spacing w:before="40" w:after="40"/>
              <w:jc w:val="left"/>
            </w:pPr>
            <w:r/>
            <w:r>
              <w:rPr>
                <w:rFonts w:ascii="Times New Roman" w:hAnsi="Times New Roman"/>
                <w:b w:val="0"/>
                <w:i w:val="0"/>
                <w:sz w:val="17"/>
              </w:rPr>
              <w:t>M-H</w:t>
            </w:r>
          </w:p>
        </w:tc>
        <w:tc>
          <w:tcPr>
            <w:tcW w:type="dxa" w:w="3312"/>
          </w:tcPr>
          <w:p>
            <w:pPr>
              <w:spacing w:before="40" w:after="40"/>
              <w:jc w:val="left"/>
            </w:pPr>
            <w:r/>
            <w:r>
              <w:rPr>
                <w:rFonts w:ascii="Times New Roman" w:hAnsi="Times New Roman"/>
                <w:b w:val="0"/>
                <w:i w:val="0"/>
                <w:sz w:val="17"/>
              </w:rPr>
              <w:t>Covenant breached on day one; credit memo conflicts with Term Sheet</w:t>
            </w:r>
          </w:p>
        </w:tc>
        <w:tc>
          <w:tcPr>
            <w:tcW w:type="dxa" w:w="1440"/>
          </w:tcPr>
          <w:p>
            <w:pPr>
              <w:spacing w:before="40" w:after="40"/>
              <w:jc w:val="left"/>
            </w:pPr>
            <w:r/>
            <w:r>
              <w:rPr>
                <w:rFonts w:ascii="Times New Roman" w:hAnsi="Times New Roman"/>
                <w:b w:val="0"/>
                <w:i w:val="0"/>
                <w:sz w:val="17"/>
              </w:rPr>
              <w:t>Bank</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9</w:t>
            </w:r>
          </w:p>
        </w:tc>
        <w:tc>
          <w:tcPr>
            <w:tcW w:type="dxa" w:w="3384"/>
            <w:shd w:val="clear" w:color="auto" w:fill="F7F8FA"/>
          </w:tcPr>
          <w:p>
            <w:pPr>
              <w:spacing w:before="40" w:after="40"/>
              <w:jc w:val="left"/>
            </w:pPr>
            <w:r/>
            <w:r>
              <w:rPr>
                <w:rFonts w:ascii="Times New Roman" w:hAnsi="Times New Roman"/>
                <w:b w:val="0"/>
                <w:i w:val="0"/>
                <w:sz w:val="17"/>
              </w:rPr>
              <w:t>Historic district ARC approval unverified; CC&amp;R assessment not in NOI</w:t>
            </w:r>
          </w:p>
        </w:tc>
        <w:tc>
          <w:tcPr>
            <w:tcW w:type="dxa" w:w="720"/>
            <w:shd w:val="clear" w:color="auto" w:fill="F7F8FA"/>
          </w:tcPr>
          <w:p>
            <w:pPr>
              <w:spacing w:before="40" w:after="40"/>
              <w:jc w:val="left"/>
            </w:pPr>
            <w:r/>
            <w:r>
              <w:rPr>
                <w:rFonts w:ascii="Times New Roman" w:hAnsi="Times New Roman"/>
                <w:b w:val="0"/>
                <w:i w:val="0"/>
                <w:sz w:val="17"/>
              </w:rPr>
              <w:t>M</w:t>
            </w:r>
          </w:p>
        </w:tc>
        <w:tc>
          <w:tcPr>
            <w:tcW w:type="dxa" w:w="3312"/>
            <w:shd w:val="clear" w:color="auto" w:fill="F7F8FA"/>
          </w:tcPr>
          <w:p>
            <w:pPr>
              <w:spacing w:before="40" w:after="40"/>
              <w:jc w:val="left"/>
            </w:pPr>
            <w:r/>
            <w:r>
              <w:rPr>
                <w:rFonts w:ascii="Times New Roman" w:hAnsi="Times New Roman"/>
                <w:b w:val="0"/>
                <w:i w:val="0"/>
                <w:sz w:val="17"/>
              </w:rPr>
              <w:t>Injunction risk on construction; NOI overstated by $34,500</w:t>
            </w:r>
          </w:p>
        </w:tc>
        <w:tc>
          <w:tcPr>
            <w:tcW w:type="dxa" w:w="1440"/>
            <w:shd w:val="clear" w:color="auto" w:fill="F7F8FA"/>
          </w:tcPr>
          <w:p>
            <w:pPr>
              <w:spacing w:before="40" w:after="40"/>
              <w:jc w:val="left"/>
            </w:pPr>
            <w:r/>
            <w:r>
              <w:rPr>
                <w:rFonts w:ascii="Times New Roman" w:hAnsi="Times New Roman"/>
                <w:b w:val="0"/>
                <w:i w:val="0"/>
                <w:sz w:val="17"/>
              </w:rPr>
              <w:t>Borrower / Association</w:t>
            </w:r>
          </w:p>
        </w:tc>
      </w:tr>
      <w:tr>
        <w:trPr>
          <w:cantSplit w:val="true"/>
        </w:trPr>
        <w:tc>
          <w:tcPr>
            <w:tcW w:type="dxa" w:w="504"/>
          </w:tcPr>
          <w:p>
            <w:pPr>
              <w:spacing w:before="40" w:after="40"/>
              <w:jc w:val="left"/>
            </w:pPr>
            <w:r/>
            <w:r>
              <w:rPr>
                <w:rFonts w:ascii="Times New Roman" w:hAnsi="Times New Roman"/>
                <w:b w:val="0"/>
                <w:i w:val="0"/>
                <w:sz w:val="17"/>
              </w:rPr>
              <w:t>10</w:t>
            </w:r>
          </w:p>
        </w:tc>
        <w:tc>
          <w:tcPr>
            <w:tcW w:type="dxa" w:w="3384"/>
          </w:tcPr>
          <w:p>
            <w:pPr>
              <w:spacing w:before="40" w:after="40"/>
              <w:jc w:val="left"/>
            </w:pPr>
            <w:r/>
            <w:r>
              <w:rPr>
                <w:rFonts w:ascii="Times New Roman" w:hAnsi="Times New Roman"/>
                <w:b w:val="0"/>
                <w:i w:val="0"/>
                <w:sz w:val="17"/>
              </w:rPr>
              <w:t>2024 demolition and remediation work creates lien relation-back exposure</w:t>
            </w:r>
          </w:p>
        </w:tc>
        <w:tc>
          <w:tcPr>
            <w:tcW w:type="dxa" w:w="720"/>
          </w:tcPr>
          <w:p>
            <w:pPr>
              <w:spacing w:before="40" w:after="40"/>
              <w:jc w:val="left"/>
            </w:pPr>
            <w:r/>
            <w:r>
              <w:rPr>
                <w:rFonts w:ascii="Times New Roman" w:hAnsi="Times New Roman"/>
                <w:b w:val="0"/>
                <w:i w:val="0"/>
                <w:sz w:val="17"/>
              </w:rPr>
              <w:t>M</w:t>
            </w:r>
          </w:p>
        </w:tc>
        <w:tc>
          <w:tcPr>
            <w:tcW w:type="dxa" w:w="3312"/>
          </w:tcPr>
          <w:p>
            <w:pPr>
              <w:spacing w:before="40" w:after="40"/>
              <w:jc w:val="left"/>
            </w:pPr>
            <w:r/>
            <w:r>
              <w:rPr>
                <w:rFonts w:ascii="Times New Roman" w:hAnsi="Times New Roman"/>
                <w:b w:val="0"/>
                <w:i w:val="0"/>
                <w:sz w:val="17"/>
              </w:rPr>
              <w:t>Mechanics' liens priming the Deed of Trust</w:t>
            </w:r>
          </w:p>
        </w:tc>
        <w:tc>
          <w:tcPr>
            <w:tcW w:type="dxa" w:w="1440"/>
          </w:tcPr>
          <w:p>
            <w:pPr>
              <w:spacing w:before="40" w:after="40"/>
              <w:jc w:val="left"/>
            </w:pPr>
            <w:r/>
            <w:r>
              <w:rPr>
                <w:rFonts w:ascii="Times New Roman" w:hAnsi="Times New Roman"/>
                <w:b w:val="0"/>
                <w:i w:val="0"/>
                <w:sz w:val="17"/>
              </w:rPr>
              <w:t>Title Co. / Borrower</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14</w:t>
            </w:r>
          </w:p>
        </w:tc>
        <w:tc>
          <w:tcPr>
            <w:tcW w:type="dxa" w:w="3384"/>
            <w:shd w:val="clear" w:color="auto" w:fill="F7F8FA"/>
          </w:tcPr>
          <w:p>
            <w:pPr>
              <w:spacing w:before="40" w:after="40"/>
              <w:jc w:val="left"/>
            </w:pPr>
            <w:r/>
            <w:r>
              <w:rPr>
                <w:rFonts w:ascii="Times New Roman" w:hAnsi="Times New Roman"/>
                <w:b w:val="0"/>
                <w:i w:val="0"/>
                <w:sz w:val="17"/>
              </w:rPr>
              <w:t>Borrower net worth ($14.2M) and guarantor liquidity ($9.3M) unsupported; $12M test at closing</w:t>
            </w:r>
          </w:p>
        </w:tc>
        <w:tc>
          <w:tcPr>
            <w:tcW w:type="dxa" w:w="720"/>
            <w:shd w:val="clear" w:color="auto" w:fill="F7F8FA"/>
          </w:tcPr>
          <w:p>
            <w:pPr>
              <w:spacing w:before="40" w:after="40"/>
              <w:jc w:val="left"/>
            </w:pPr>
            <w:r/>
            <w:r>
              <w:rPr>
                <w:rFonts w:ascii="Times New Roman" w:hAnsi="Times New Roman"/>
                <w:b w:val="0"/>
                <w:i w:val="0"/>
                <w:sz w:val="17"/>
              </w:rPr>
              <w:t>M</w:t>
            </w:r>
          </w:p>
        </w:tc>
        <w:tc>
          <w:tcPr>
            <w:tcW w:type="dxa" w:w="3312"/>
            <w:shd w:val="clear" w:color="auto" w:fill="F7F8FA"/>
          </w:tcPr>
          <w:p>
            <w:pPr>
              <w:spacing w:before="40" w:after="40"/>
              <w:jc w:val="left"/>
            </w:pPr>
            <w:r/>
            <w:r>
              <w:rPr>
                <w:rFonts w:ascii="Times New Roman" w:hAnsi="Times New Roman"/>
                <w:b w:val="0"/>
                <w:i w:val="0"/>
                <w:sz w:val="17"/>
              </w:rPr>
              <w:t>Net worth covenant fails at closing; overstated guarantor support</w:t>
            </w:r>
          </w:p>
        </w:tc>
        <w:tc>
          <w:tcPr>
            <w:tcW w:type="dxa" w:w="1440"/>
            <w:shd w:val="clear" w:color="auto" w:fill="F7F8FA"/>
          </w:tcPr>
          <w:p>
            <w:pPr>
              <w:spacing w:before="40" w:after="40"/>
              <w:jc w:val="left"/>
            </w:pPr>
            <w:r/>
            <w:r>
              <w:rPr>
                <w:rFonts w:ascii="Times New Roman" w:hAnsi="Times New Roman"/>
                <w:b w:val="0"/>
                <w:i w:val="0"/>
                <w:sz w:val="17"/>
              </w:rPr>
              <w:t>Borrower / Guarantors</w:t>
            </w:r>
          </w:p>
        </w:tc>
      </w:tr>
      <w:tr>
        <w:trPr>
          <w:cantSplit w:val="true"/>
        </w:trPr>
        <w:tc>
          <w:tcPr>
            <w:tcW w:type="dxa" w:w="504"/>
          </w:tcPr>
          <w:p>
            <w:pPr>
              <w:spacing w:before="40" w:after="40"/>
              <w:jc w:val="left"/>
            </w:pPr>
            <w:r/>
            <w:r>
              <w:rPr>
                <w:rFonts w:ascii="Times New Roman" w:hAnsi="Times New Roman"/>
                <w:b w:val="0"/>
                <w:i w:val="0"/>
                <w:sz w:val="17"/>
              </w:rPr>
              <w:t>15</w:t>
            </w:r>
          </w:p>
        </w:tc>
        <w:tc>
          <w:tcPr>
            <w:tcW w:type="dxa" w:w="3384"/>
          </w:tcPr>
          <w:p>
            <w:pPr>
              <w:spacing w:before="40" w:after="40"/>
              <w:jc w:val="left"/>
            </w:pPr>
            <w:r/>
            <w:r>
              <w:rPr>
                <w:rFonts w:ascii="Times New Roman" w:hAnsi="Times New Roman"/>
                <w:b w:val="0"/>
                <w:i w:val="0"/>
                <w:sz w:val="17"/>
              </w:rPr>
              <w:t>SPE not implemented; 28% member has effective veto; affiliate of mezzanine lender</w:t>
            </w:r>
          </w:p>
        </w:tc>
        <w:tc>
          <w:tcPr>
            <w:tcW w:type="dxa" w:w="720"/>
          </w:tcPr>
          <w:p>
            <w:pPr>
              <w:spacing w:before="40" w:after="40"/>
              <w:jc w:val="left"/>
            </w:pPr>
            <w:r/>
            <w:r>
              <w:rPr>
                <w:rFonts w:ascii="Times New Roman" w:hAnsi="Times New Roman"/>
                <w:b w:val="0"/>
                <w:i w:val="0"/>
                <w:sz w:val="17"/>
              </w:rPr>
              <w:t>M</w:t>
            </w:r>
          </w:p>
        </w:tc>
        <w:tc>
          <w:tcPr>
            <w:tcW w:type="dxa" w:w="3312"/>
          </w:tcPr>
          <w:p>
            <w:pPr>
              <w:spacing w:before="40" w:after="40"/>
              <w:jc w:val="left"/>
            </w:pPr>
            <w:r/>
            <w:r>
              <w:rPr>
                <w:rFonts w:ascii="Times New Roman" w:hAnsi="Times New Roman"/>
                <w:b w:val="0"/>
                <w:i w:val="0"/>
                <w:sz w:val="17"/>
              </w:rPr>
              <w:t>Substantive consolidation risk; consents required for the pledges</w:t>
            </w:r>
          </w:p>
        </w:tc>
        <w:tc>
          <w:tcPr>
            <w:tcW w:type="dxa" w:w="1440"/>
          </w:tcPr>
          <w:p>
            <w:pPr>
              <w:spacing w:before="40" w:after="40"/>
              <w:jc w:val="left"/>
            </w:pPr>
            <w:r/>
            <w:r>
              <w:rPr>
                <w:rFonts w:ascii="Times New Roman" w:hAnsi="Times New Roman"/>
                <w:b w:val="0"/>
                <w:i w:val="0"/>
                <w:sz w:val="17"/>
              </w:rPr>
              <w:t>Borrower</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17</w:t>
            </w:r>
          </w:p>
        </w:tc>
        <w:tc>
          <w:tcPr>
            <w:tcW w:type="dxa" w:w="3384"/>
            <w:shd w:val="clear" w:color="auto" w:fill="F7F8FA"/>
          </w:tcPr>
          <w:p>
            <w:pPr>
              <w:spacing w:before="40" w:after="40"/>
              <w:jc w:val="left"/>
            </w:pPr>
            <w:r/>
            <w:r>
              <w:rPr>
                <w:rFonts w:ascii="Times New Roman" w:hAnsi="Times New Roman"/>
                <w:b w:val="0"/>
                <w:i w:val="0"/>
                <w:sz w:val="17"/>
              </w:rPr>
              <w:t>Mezzanine PIK accrual unaddressed; competing pledges of 100% of membership interests</w:t>
            </w:r>
          </w:p>
        </w:tc>
        <w:tc>
          <w:tcPr>
            <w:tcW w:type="dxa" w:w="720"/>
            <w:shd w:val="clear" w:color="auto" w:fill="F7F8FA"/>
          </w:tcPr>
          <w:p>
            <w:pPr>
              <w:spacing w:before="40" w:after="40"/>
              <w:jc w:val="left"/>
            </w:pPr>
            <w:r/>
            <w:r>
              <w:rPr>
                <w:rFonts w:ascii="Times New Roman" w:hAnsi="Times New Roman"/>
                <w:b w:val="0"/>
                <w:i w:val="0"/>
                <w:sz w:val="17"/>
              </w:rPr>
              <w:t>M</w:t>
            </w:r>
          </w:p>
        </w:tc>
        <w:tc>
          <w:tcPr>
            <w:tcW w:type="dxa" w:w="3312"/>
            <w:shd w:val="clear" w:color="auto" w:fill="F7F8FA"/>
          </w:tcPr>
          <w:p>
            <w:pPr>
              <w:spacing w:before="40" w:after="40"/>
              <w:jc w:val="left"/>
            </w:pPr>
            <w:r/>
            <w:r>
              <w:rPr>
                <w:rFonts w:ascii="Times New Roman" w:hAnsi="Times New Roman"/>
                <w:b w:val="0"/>
                <w:i w:val="0"/>
                <w:sz w:val="17"/>
              </w:rPr>
              <w:t>Leverage grows to ~$60.7M by mini-perm maturity; contested priority</w:t>
            </w:r>
          </w:p>
        </w:tc>
        <w:tc>
          <w:tcPr>
            <w:tcW w:type="dxa" w:w="1440"/>
            <w:shd w:val="clear" w:color="auto" w:fill="F7F8FA"/>
          </w:tcPr>
          <w:p>
            <w:pPr>
              <w:spacing w:before="40" w:after="40"/>
              <w:jc w:val="left"/>
            </w:pPr>
            <w:r/>
            <w:r>
              <w:rPr>
                <w:rFonts w:ascii="Times New Roman" w:hAnsi="Times New Roman"/>
                <w:b w:val="0"/>
                <w:i w:val="0"/>
                <w:sz w:val="17"/>
              </w:rPr>
              <w:t>Bank / Mezzanine Lender</w:t>
            </w:r>
          </w:p>
        </w:tc>
      </w:tr>
      <w:tr>
        <w:trPr>
          <w:cantSplit w:val="true"/>
        </w:trPr>
        <w:tc>
          <w:tcPr>
            <w:tcW w:type="dxa" w:w="504"/>
          </w:tcPr>
          <w:p>
            <w:pPr>
              <w:spacing w:before="40" w:after="40"/>
              <w:jc w:val="left"/>
            </w:pPr>
            <w:r/>
            <w:r>
              <w:rPr>
                <w:rFonts w:ascii="Times New Roman" w:hAnsi="Times New Roman"/>
                <w:b w:val="0"/>
                <w:i w:val="0"/>
                <w:sz w:val="17"/>
              </w:rPr>
              <w:t>16</w:t>
            </w:r>
          </w:p>
        </w:tc>
        <w:tc>
          <w:tcPr>
            <w:tcW w:type="dxa" w:w="3384"/>
          </w:tcPr>
          <w:p>
            <w:pPr>
              <w:spacing w:before="40" w:after="40"/>
              <w:jc w:val="left"/>
            </w:pPr>
            <w:r/>
            <w:r>
              <w:rPr>
                <w:rFonts w:ascii="Times New Roman" w:hAnsi="Times New Roman"/>
                <w:b w:val="0"/>
                <w:i w:val="0"/>
                <w:sz w:val="17"/>
              </w:rPr>
              <w:t>Partial repayment guaranty described inconsistently ($11.875M aggregate vs. per guarantor)</w:t>
            </w:r>
          </w:p>
        </w:tc>
        <w:tc>
          <w:tcPr>
            <w:tcW w:type="dxa" w:w="720"/>
          </w:tcPr>
          <w:p>
            <w:pPr>
              <w:spacing w:before="40" w:after="40"/>
              <w:jc w:val="left"/>
            </w:pPr>
            <w:r/>
            <w:r>
              <w:rPr>
                <w:rFonts w:ascii="Times New Roman" w:hAnsi="Times New Roman"/>
                <w:b w:val="0"/>
                <w:i w:val="0"/>
                <w:sz w:val="17"/>
              </w:rPr>
              <w:t>M</w:t>
            </w:r>
          </w:p>
        </w:tc>
        <w:tc>
          <w:tcPr>
            <w:tcW w:type="dxa" w:w="3312"/>
          </w:tcPr>
          <w:p>
            <w:pPr>
              <w:spacing w:before="40" w:after="40"/>
              <w:jc w:val="left"/>
            </w:pPr>
            <w:r/>
            <w:r>
              <w:rPr>
                <w:rFonts w:ascii="Times New Roman" w:hAnsi="Times New Roman"/>
                <w:b w:val="0"/>
                <w:i w:val="0"/>
                <w:sz w:val="17"/>
              </w:rPr>
              <w:t>Unenforceable or double-counted guaranty; mispriced recourse</w:t>
            </w:r>
          </w:p>
        </w:tc>
        <w:tc>
          <w:tcPr>
            <w:tcW w:type="dxa" w:w="1440"/>
          </w:tcPr>
          <w:p>
            <w:pPr>
              <w:spacing w:before="40" w:after="40"/>
              <w:jc w:val="left"/>
            </w:pPr>
            <w:r/>
            <w:r>
              <w:rPr>
                <w:rFonts w:ascii="Times New Roman" w:hAnsi="Times New Roman"/>
                <w:b w:val="0"/>
                <w:i w:val="0"/>
                <w:sz w:val="17"/>
              </w:rPr>
              <w:t>Bank / Counsel</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7</w:t>
            </w:r>
          </w:p>
        </w:tc>
        <w:tc>
          <w:tcPr>
            <w:tcW w:type="dxa" w:w="3384"/>
            <w:shd w:val="clear" w:color="auto" w:fill="F7F8FA"/>
          </w:tcPr>
          <w:p>
            <w:pPr>
              <w:spacing w:before="40" w:after="40"/>
              <w:jc w:val="left"/>
            </w:pPr>
            <w:r/>
            <w:r>
              <w:rPr>
                <w:rFonts w:ascii="Times New Roman" w:hAnsi="Times New Roman"/>
                <w:b w:val="0"/>
                <w:i w:val="0"/>
                <w:sz w:val="17"/>
              </w:rPr>
              <w:t>Parcel acreage, orientation and frontage inconsistent across three documents</w:t>
            </w:r>
          </w:p>
        </w:tc>
        <w:tc>
          <w:tcPr>
            <w:tcW w:type="dxa" w:w="720"/>
            <w:shd w:val="clear" w:color="auto" w:fill="F7F8FA"/>
          </w:tcPr>
          <w:p>
            <w:pPr>
              <w:spacing w:before="40" w:after="40"/>
              <w:jc w:val="left"/>
            </w:pPr>
            <w:r/>
            <w:r>
              <w:rPr>
                <w:rFonts w:ascii="Times New Roman" w:hAnsi="Times New Roman"/>
                <w:b w:val="0"/>
                <w:i w:val="0"/>
                <w:sz w:val="17"/>
              </w:rPr>
              <w:t>M</w:t>
            </w:r>
          </w:p>
        </w:tc>
        <w:tc>
          <w:tcPr>
            <w:tcW w:type="dxa" w:w="3312"/>
            <w:shd w:val="clear" w:color="auto" w:fill="F7F8FA"/>
          </w:tcPr>
          <w:p>
            <w:pPr>
              <w:spacing w:before="40" w:after="40"/>
              <w:jc w:val="left"/>
            </w:pPr>
            <w:r/>
            <w:r>
              <w:rPr>
                <w:rFonts w:ascii="Times New Roman" w:hAnsi="Times New Roman"/>
                <w:b w:val="0"/>
                <w:i w:val="0"/>
                <w:sz w:val="17"/>
              </w:rPr>
              <w:t>Affected Area cannot be located; the environmental analysis may address the wrong corner</w:t>
            </w:r>
          </w:p>
        </w:tc>
        <w:tc>
          <w:tcPr>
            <w:tcW w:type="dxa" w:w="1440"/>
            <w:shd w:val="clear" w:color="auto" w:fill="F7F8FA"/>
          </w:tcPr>
          <w:p>
            <w:pPr>
              <w:spacing w:before="40" w:after="40"/>
              <w:jc w:val="left"/>
            </w:pPr>
            <w:r/>
            <w:r>
              <w:rPr>
                <w:rFonts w:ascii="Times New Roman" w:hAnsi="Times New Roman"/>
                <w:b w:val="0"/>
                <w:i w:val="0"/>
                <w:sz w:val="17"/>
              </w:rPr>
              <w:t>Surveyor / Counsel</w:t>
            </w:r>
          </w:p>
        </w:tc>
      </w:tr>
      <w:tr>
        <w:trPr>
          <w:cantSplit w:val="true"/>
        </w:trPr>
        <w:tc>
          <w:tcPr>
            <w:tcW w:type="dxa" w:w="504"/>
          </w:tcPr>
          <w:p>
            <w:pPr>
              <w:spacing w:before="40" w:after="40"/>
              <w:jc w:val="left"/>
            </w:pPr>
            <w:r/>
            <w:r>
              <w:rPr>
                <w:rFonts w:ascii="Times New Roman" w:hAnsi="Times New Roman"/>
                <w:b w:val="0"/>
                <w:i w:val="0"/>
                <w:sz w:val="17"/>
              </w:rPr>
              <w:t>6</w:t>
            </w:r>
          </w:p>
        </w:tc>
        <w:tc>
          <w:tcPr>
            <w:tcW w:type="dxa" w:w="3384"/>
          </w:tcPr>
          <w:p>
            <w:pPr>
              <w:spacing w:before="40" w:after="40"/>
              <w:jc w:val="left"/>
            </w:pPr>
            <w:r/>
            <w:r>
              <w:rPr>
                <w:rFonts w:ascii="Times New Roman" w:hAnsi="Times New Roman"/>
                <w:b w:val="0"/>
                <w:i w:val="0"/>
                <w:sz w:val="17"/>
              </w:rPr>
              <w:t>Environmental facts conflict (1,200 / 320 / 340 CY; UST history; cost lines)</w:t>
            </w:r>
          </w:p>
        </w:tc>
        <w:tc>
          <w:tcPr>
            <w:tcW w:type="dxa" w:w="720"/>
          </w:tcPr>
          <w:p>
            <w:pPr>
              <w:spacing w:before="40" w:after="40"/>
              <w:jc w:val="left"/>
            </w:pPr>
            <w:r/>
            <w:r>
              <w:rPr>
                <w:rFonts w:ascii="Times New Roman" w:hAnsi="Times New Roman"/>
                <w:b w:val="0"/>
                <w:i w:val="0"/>
                <w:sz w:val="17"/>
              </w:rPr>
              <w:t>M</w:t>
            </w:r>
          </w:p>
        </w:tc>
        <w:tc>
          <w:tcPr>
            <w:tcW w:type="dxa" w:w="3312"/>
          </w:tcPr>
          <w:p>
            <w:pPr>
              <w:spacing w:before="40" w:after="40"/>
              <w:jc w:val="left"/>
            </w:pPr>
            <w:r/>
            <w:r>
              <w:rPr>
                <w:rFonts w:ascii="Times New Roman" w:hAnsi="Times New Roman"/>
                <w:b w:val="0"/>
                <w:i w:val="0"/>
                <w:sz w:val="17"/>
              </w:rPr>
              <w:t>Reliance on Phase I and Appraisal impaired; unbudgeted costs</w:t>
            </w:r>
          </w:p>
        </w:tc>
        <w:tc>
          <w:tcPr>
            <w:tcW w:type="dxa" w:w="1440"/>
          </w:tcPr>
          <w:p>
            <w:pPr>
              <w:spacing w:before="40" w:after="40"/>
              <w:jc w:val="left"/>
            </w:pPr>
            <w:r/>
            <w:r>
              <w:rPr>
                <w:rFonts w:ascii="Times New Roman" w:hAnsi="Times New Roman"/>
                <w:b w:val="0"/>
                <w:i w:val="0"/>
                <w:sz w:val="17"/>
              </w:rPr>
              <w:t>Consultant</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18</w:t>
            </w:r>
          </w:p>
        </w:tc>
        <w:tc>
          <w:tcPr>
            <w:tcW w:type="dxa" w:w="3384"/>
            <w:shd w:val="clear" w:color="auto" w:fill="F7F8FA"/>
          </w:tcPr>
          <w:p>
            <w:pPr>
              <w:spacing w:before="40" w:after="40"/>
              <w:jc w:val="left"/>
            </w:pPr>
            <w:r/>
            <w:r>
              <w:rPr>
                <w:rFonts w:ascii="Times New Roman" w:hAnsi="Times New Roman"/>
                <w:b w:val="0"/>
                <w:i w:val="0"/>
                <w:sz w:val="17"/>
              </w:rPr>
              <w:t>No property, rent-loss or mini-perm insurance; conflicting flood panel data</w:t>
            </w:r>
          </w:p>
        </w:tc>
        <w:tc>
          <w:tcPr>
            <w:tcW w:type="dxa" w:w="720"/>
            <w:shd w:val="clear" w:color="auto" w:fill="F7F8FA"/>
          </w:tcPr>
          <w:p>
            <w:pPr>
              <w:spacing w:before="40" w:after="40"/>
              <w:jc w:val="left"/>
            </w:pPr>
            <w:r/>
            <w:r>
              <w:rPr>
                <w:rFonts w:ascii="Times New Roman" w:hAnsi="Times New Roman"/>
                <w:b w:val="0"/>
                <w:i w:val="0"/>
                <w:sz w:val="17"/>
              </w:rPr>
              <w:t>M</w:t>
            </w:r>
          </w:p>
        </w:tc>
        <w:tc>
          <w:tcPr>
            <w:tcW w:type="dxa" w:w="3312"/>
            <w:shd w:val="clear" w:color="auto" w:fill="F7F8FA"/>
          </w:tcPr>
          <w:p>
            <w:pPr>
              <w:spacing w:before="40" w:after="40"/>
              <w:jc w:val="left"/>
            </w:pPr>
            <w:r/>
            <w:r>
              <w:rPr>
                <w:rFonts w:ascii="Times New Roman" w:hAnsi="Times New Roman"/>
                <w:b w:val="0"/>
                <w:i w:val="0"/>
                <w:sz w:val="17"/>
              </w:rPr>
              <w:t>Uninsured casualty during mini-perm; flood determination gap</w:t>
            </w:r>
          </w:p>
        </w:tc>
        <w:tc>
          <w:tcPr>
            <w:tcW w:type="dxa" w:w="1440"/>
            <w:shd w:val="clear" w:color="auto" w:fill="F7F8FA"/>
          </w:tcPr>
          <w:p>
            <w:pPr>
              <w:spacing w:before="40" w:after="40"/>
              <w:jc w:val="left"/>
            </w:pPr>
            <w:r/>
            <w:r>
              <w:rPr>
                <w:rFonts w:ascii="Times New Roman" w:hAnsi="Times New Roman"/>
                <w:b w:val="0"/>
                <w:i w:val="0"/>
                <w:sz w:val="17"/>
              </w:rPr>
              <w:t>Borrower</w:t>
            </w:r>
          </w:p>
        </w:tc>
      </w:tr>
      <w:tr>
        <w:trPr>
          <w:cantSplit w:val="true"/>
        </w:trPr>
        <w:tc>
          <w:tcPr>
            <w:tcW w:type="dxa" w:w="504"/>
          </w:tcPr>
          <w:p>
            <w:pPr>
              <w:spacing w:before="40" w:after="40"/>
              <w:jc w:val="left"/>
            </w:pPr>
            <w:r/>
            <w:r>
              <w:rPr>
                <w:rFonts w:ascii="Times New Roman" w:hAnsi="Times New Roman"/>
                <w:b w:val="0"/>
                <w:i w:val="0"/>
                <w:sz w:val="17"/>
              </w:rPr>
              <w:t>22</w:t>
            </w:r>
          </w:p>
        </w:tc>
        <w:tc>
          <w:tcPr>
            <w:tcW w:type="dxa" w:w="3384"/>
          </w:tcPr>
          <w:p>
            <w:pPr>
              <w:spacing w:before="40" w:after="40"/>
              <w:jc w:val="left"/>
            </w:pPr>
            <w:r/>
            <w:r>
              <w:rPr>
                <w:rFonts w:ascii="Times New Roman" w:hAnsi="Times New Roman"/>
                <w:b w:val="0"/>
                <w:i w:val="0"/>
                <w:sz w:val="17"/>
              </w:rPr>
              <w:t>Diligence gaps: 12 categories of documents not in the Record</w:t>
            </w:r>
          </w:p>
        </w:tc>
        <w:tc>
          <w:tcPr>
            <w:tcW w:type="dxa" w:w="720"/>
          </w:tcPr>
          <w:p>
            <w:pPr>
              <w:spacing w:before="40" w:after="40"/>
              <w:jc w:val="left"/>
            </w:pPr>
            <w:r/>
            <w:r>
              <w:rPr>
                <w:rFonts w:ascii="Times New Roman" w:hAnsi="Times New Roman"/>
                <w:b w:val="0"/>
                <w:i w:val="0"/>
                <w:sz w:val="17"/>
              </w:rPr>
              <w:t>M</w:t>
            </w:r>
          </w:p>
        </w:tc>
        <w:tc>
          <w:tcPr>
            <w:tcW w:type="dxa" w:w="3312"/>
          </w:tcPr>
          <w:p>
            <w:pPr>
              <w:spacing w:before="40" w:after="40"/>
              <w:jc w:val="left"/>
            </w:pPr>
            <w:r/>
            <w:r>
              <w:rPr>
                <w:rFonts w:ascii="Times New Roman" w:hAnsi="Times New Roman"/>
                <w:b w:val="0"/>
                <w:i w:val="0"/>
                <w:sz w:val="17"/>
              </w:rPr>
              <w:t>Cannot opine or issue closing certificates on the current record</w:t>
            </w:r>
          </w:p>
        </w:tc>
        <w:tc>
          <w:tcPr>
            <w:tcW w:type="dxa" w:w="1440"/>
          </w:tcPr>
          <w:p>
            <w:pPr>
              <w:spacing w:before="40" w:after="40"/>
              <w:jc w:val="left"/>
            </w:pPr>
            <w:r/>
            <w:r>
              <w:rPr>
                <w:rFonts w:ascii="Times New Roman" w:hAnsi="Times New Roman"/>
                <w:b w:val="0"/>
                <w:i w:val="0"/>
                <w:sz w:val="17"/>
              </w:rPr>
              <w:t>Borrower / Bank</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20</w:t>
            </w:r>
          </w:p>
        </w:tc>
        <w:tc>
          <w:tcPr>
            <w:tcW w:type="dxa" w:w="3384"/>
            <w:shd w:val="clear" w:color="auto" w:fill="F7F8FA"/>
          </w:tcPr>
          <w:p>
            <w:pPr>
              <w:spacing w:before="40" w:after="40"/>
              <w:jc w:val="left"/>
            </w:pPr>
            <w:r/>
            <w:r>
              <w:rPr>
                <w:rFonts w:ascii="Times New Roman" w:hAnsi="Times New Roman"/>
                <w:b w:val="0"/>
                <w:i w:val="0"/>
                <w:sz w:val="17"/>
              </w:rPr>
              <w:t>Term Sheet permitted exceptions incomplete; CC&amp;R First Amendment and environmental notice omitted</w:t>
            </w:r>
          </w:p>
        </w:tc>
        <w:tc>
          <w:tcPr>
            <w:tcW w:type="dxa" w:w="720"/>
            <w:shd w:val="clear" w:color="auto" w:fill="F7F8FA"/>
          </w:tcPr>
          <w:p>
            <w:pPr>
              <w:spacing w:before="40" w:after="40"/>
              <w:jc w:val="left"/>
            </w:pPr>
            <w:r/>
            <w:r>
              <w:rPr>
                <w:rFonts w:ascii="Times New Roman" w:hAnsi="Times New Roman"/>
                <w:b w:val="0"/>
                <w:i w:val="0"/>
                <w:sz w:val="17"/>
              </w:rPr>
              <w:t>L-M</w:t>
            </w:r>
          </w:p>
        </w:tc>
        <w:tc>
          <w:tcPr>
            <w:tcW w:type="dxa" w:w="3312"/>
            <w:shd w:val="clear" w:color="auto" w:fill="F7F8FA"/>
          </w:tcPr>
          <w:p>
            <w:pPr>
              <w:spacing w:before="40" w:after="40"/>
              <w:jc w:val="left"/>
            </w:pPr>
            <w:r/>
            <w:r>
              <w:rPr>
                <w:rFonts w:ascii="Times New Roman" w:hAnsi="Times New Roman"/>
                <w:b w:val="0"/>
                <w:i w:val="0"/>
                <w:sz w:val="17"/>
              </w:rPr>
              <w:t>Title policy broader than approved</w:t>
            </w:r>
          </w:p>
        </w:tc>
        <w:tc>
          <w:tcPr>
            <w:tcW w:type="dxa" w:w="1440"/>
            <w:shd w:val="clear" w:color="auto" w:fill="F7F8FA"/>
          </w:tcPr>
          <w:p>
            <w:pPr>
              <w:spacing w:before="40" w:after="40"/>
              <w:jc w:val="left"/>
            </w:pPr>
            <w:r/>
            <w:r>
              <w:rPr>
                <w:rFonts w:ascii="Times New Roman" w:hAnsi="Times New Roman"/>
                <w:b w:val="0"/>
                <w:i w:val="0"/>
                <w:sz w:val="17"/>
              </w:rPr>
              <w:t>Counsel / Title Co.</w:t>
            </w:r>
          </w:p>
        </w:tc>
      </w:tr>
      <w:tr>
        <w:trPr>
          <w:cantSplit w:val="true"/>
        </w:trPr>
        <w:tc>
          <w:tcPr>
            <w:tcW w:type="dxa" w:w="504"/>
          </w:tcPr>
          <w:p>
            <w:pPr>
              <w:spacing w:before="40" w:after="40"/>
              <w:jc w:val="left"/>
            </w:pPr>
            <w:r/>
            <w:r>
              <w:rPr>
                <w:rFonts w:ascii="Times New Roman" w:hAnsi="Times New Roman"/>
                <w:b w:val="0"/>
                <w:i w:val="0"/>
                <w:sz w:val="17"/>
              </w:rPr>
              <w:t>21</w:t>
            </w:r>
          </w:p>
        </w:tc>
        <w:tc>
          <w:tcPr>
            <w:tcW w:type="dxa" w:w="3384"/>
          </w:tcPr>
          <w:p>
            <w:pPr>
              <w:spacing w:before="40" w:after="40"/>
              <w:jc w:val="left"/>
            </w:pPr>
            <w:r/>
            <w:r>
              <w:rPr>
                <w:rFonts w:ascii="Times New Roman" w:hAnsi="Times New Roman"/>
                <w:b w:val="0"/>
                <w:i w:val="0"/>
                <w:sz w:val="17"/>
              </w:rPr>
              <w:t>NC legal items to confirm: foreclosure characterization, usury, excise tax ~$95,000, owner's policy premium</w:t>
            </w:r>
          </w:p>
        </w:tc>
        <w:tc>
          <w:tcPr>
            <w:tcW w:type="dxa" w:w="720"/>
          </w:tcPr>
          <w:p>
            <w:pPr>
              <w:spacing w:before="40" w:after="40"/>
              <w:jc w:val="left"/>
            </w:pPr>
            <w:r/>
            <w:r>
              <w:rPr>
                <w:rFonts w:ascii="Times New Roman" w:hAnsi="Times New Roman"/>
                <w:b w:val="0"/>
                <w:i w:val="0"/>
                <w:sz w:val="17"/>
              </w:rPr>
              <w:t>L</w:t>
            </w:r>
          </w:p>
        </w:tc>
        <w:tc>
          <w:tcPr>
            <w:tcW w:type="dxa" w:w="3312"/>
          </w:tcPr>
          <w:p>
            <w:pPr>
              <w:spacing w:before="40" w:after="40"/>
              <w:jc w:val="left"/>
            </w:pPr>
            <w:r/>
            <w:r>
              <w:rPr>
                <w:rFonts w:ascii="Times New Roman" w:hAnsi="Times New Roman"/>
                <w:b w:val="0"/>
                <w:i w:val="0"/>
                <w:sz w:val="17"/>
              </w:rPr>
              <w:t>Misstatement in credit file; unbudgeted closing costs</w:t>
            </w:r>
          </w:p>
        </w:tc>
        <w:tc>
          <w:tcPr>
            <w:tcW w:type="dxa" w:w="1440"/>
          </w:tcPr>
          <w:p>
            <w:pPr>
              <w:spacing w:before="40" w:after="40"/>
              <w:jc w:val="left"/>
            </w:pPr>
            <w:r/>
            <w:r>
              <w:rPr>
                <w:rFonts w:ascii="Times New Roman" w:hAnsi="Times New Roman"/>
                <w:b w:val="0"/>
                <w:i w:val="0"/>
                <w:sz w:val="17"/>
              </w:rPr>
              <w:t>Counsel</w:t>
            </w:r>
          </w:p>
        </w:tc>
      </w:tr>
      <w:tr>
        <w:trPr>
          <w:cantSplit w:val="true"/>
        </w:trPr>
        <w:tc>
          <w:tcPr>
            <w:tcW w:type="dxa" w:w="504"/>
            <w:shd w:val="clear" w:color="auto" w:fill="F7F8FA"/>
          </w:tcPr>
          <w:p>
            <w:pPr>
              <w:spacing w:before="40" w:after="40"/>
              <w:jc w:val="left"/>
            </w:pPr>
            <w:r/>
            <w:r>
              <w:rPr>
                <w:rFonts w:ascii="Times New Roman" w:hAnsi="Times New Roman"/>
                <w:b w:val="0"/>
                <w:i w:val="0"/>
                <w:sz w:val="17"/>
              </w:rPr>
              <w:t>19</w:t>
            </w:r>
          </w:p>
        </w:tc>
        <w:tc>
          <w:tcPr>
            <w:tcW w:type="dxa" w:w="3384"/>
            <w:shd w:val="clear" w:color="auto" w:fill="F7F8FA"/>
          </w:tcPr>
          <w:p>
            <w:pPr>
              <w:spacing w:before="40" w:after="40"/>
              <w:jc w:val="left"/>
            </w:pPr>
            <w:r/>
            <w:r>
              <w:rPr>
                <w:rFonts w:ascii="Times New Roman" w:hAnsi="Times New Roman"/>
                <w:b w:val="0"/>
                <w:i w:val="0"/>
                <w:sz w:val="17"/>
              </w:rPr>
              <w:t>Document-level inconsistencies (single advance, cross-references, extension conditions, expense deposit)</w:t>
            </w:r>
          </w:p>
        </w:tc>
        <w:tc>
          <w:tcPr>
            <w:tcW w:type="dxa" w:w="720"/>
            <w:shd w:val="clear" w:color="auto" w:fill="F7F8FA"/>
          </w:tcPr>
          <w:p>
            <w:pPr>
              <w:spacing w:before="40" w:after="40"/>
              <w:jc w:val="left"/>
            </w:pPr>
            <w:r/>
            <w:r>
              <w:rPr>
                <w:rFonts w:ascii="Times New Roman" w:hAnsi="Times New Roman"/>
                <w:b w:val="0"/>
                <w:i w:val="0"/>
                <w:sz w:val="17"/>
              </w:rPr>
              <w:t>L</w:t>
            </w:r>
          </w:p>
        </w:tc>
        <w:tc>
          <w:tcPr>
            <w:tcW w:type="dxa" w:w="3312"/>
            <w:shd w:val="clear" w:color="auto" w:fill="F7F8FA"/>
          </w:tcPr>
          <w:p>
            <w:pPr>
              <w:spacing w:before="40" w:after="40"/>
              <w:jc w:val="left"/>
            </w:pPr>
            <w:r/>
            <w:r>
              <w:rPr>
                <w:rFonts w:ascii="Times New Roman" w:hAnsi="Times New Roman"/>
                <w:b w:val="0"/>
                <w:i w:val="0"/>
                <w:sz w:val="17"/>
              </w:rPr>
              <w:t>Ambiguity; disputes at draw or extension</w:t>
            </w:r>
          </w:p>
        </w:tc>
        <w:tc>
          <w:tcPr>
            <w:tcW w:type="dxa" w:w="1440"/>
            <w:shd w:val="clear" w:color="auto" w:fill="F7F8FA"/>
          </w:tcPr>
          <w:p>
            <w:pPr>
              <w:spacing w:before="40" w:after="40"/>
              <w:jc w:val="left"/>
            </w:pPr>
            <w:r/>
            <w:r>
              <w:rPr>
                <w:rFonts w:ascii="Times New Roman" w:hAnsi="Times New Roman"/>
                <w:b w:val="0"/>
                <w:i w:val="0"/>
                <w:sz w:val="17"/>
              </w:rPr>
              <w:t>Counsel</w:t>
            </w:r>
          </w:p>
        </w:tc>
      </w:tr>
    </w:tbl>
    <w:p>
      <w:pPr>
        <w:spacing w:after="40"/>
      </w:pPr>
    </w:p>
    <w:p>
      <w:pPr>
        <w:pStyle w:val="Heading1"/>
        <w:spacing w:before="360"/>
      </w:pPr>
      <w:r>
        <w:rPr>
          <w:rFonts w:ascii="Times New Roman" w:hAnsi="Times New Roman"/>
          <w:b/>
          <w:sz w:val="24"/>
        </w:rPr>
        <w:t>IV.  MATERIAL ISSUES AND INCONSISTENCIES</w:t>
      </w:r>
    </w:p>
    <w:p>
      <w:r>
        <w:rPr>
          <w:rFonts w:ascii="Times New Roman" w:hAnsi="Times New Roman"/>
          <w:b w:val="0"/>
          <w:i w:val="0"/>
          <w:sz w:val="20"/>
        </w:rPr>
        <w:t>Each item below identifies the conflicting or incomplete record, our analysis (with independent computation where figures are involved), the consequence of leaving the point open, our recommendation, and where the draft Loan Agreement deals with it. Recommendations are cumulative; several issues must be resolved together (notably 1, 2 and 3).</w:t>
      </w:r>
    </w:p>
    <w:p>
      <w:pPr>
        <w:pStyle w:val="Heading3"/>
      </w:pPr>
      <w:r>
        <w:rPr>
          <w:rFonts w:ascii="Times New Roman" w:hAnsi="Times New Roman"/>
          <w:b/>
          <w:i/>
          <w:sz w:val="22"/>
        </w:rPr>
        <w:t>A.  Capital structure and funding</w:t>
      </w:r>
    </w:p>
    <w:p>
      <w:pPr>
        <w:pStyle w:val="Heading2"/>
      </w:pPr>
      <w:r>
        <w:rPr>
          <w:rFonts w:ascii="Times New Roman" w:hAnsi="Times New Roman"/>
          <w:b/>
          <w:sz w:val="22"/>
        </w:rPr>
        <w:t>Issue 1 — The land acquisition is described in three irreconcilable ways, and the capital structure contains no verified equity</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Term Sheet § 5.1 (“Borrower Equity (land previously acquired)” shown at $0; “Total Sources $56,700,000”) and § 5.2 (land “acquired by the Borrower prior to the closing … funded from prior capital contributions by the Borrower's members”). Credit Memorandum § 2.2 (land “acquired by Ms. Vasquez-Torres on behalf of the Borrower through capital calls from all three members, including Brightleaf Investors Group LLC, at a total acquisition cost of $8,200,000”) and § 5.1 (“Borrower Cash Equity $0”). Organizational Materials § 1.3 and Operating Agreement § 5.1(a) (land “acquired by Ms. Vasquez-Torres … from her personal resources and subsequently contributed to the Borrower” at an $8,200,000 cost basis for a 62% interest; Brightleaf Investors Group LLC contribution “$0 cash to date”; Mr. Osei “$0”). Borrower Draw Schedule, Detailed Budget line 1.01 (land acquisition “Funded by Mezzanine Loan $8,200,000”; note: “Previously closed; funded by mezzanine loan proceeds and member capital calls”). Appraisal § 3 (“The developer's equity contribution, inclusive of the value of the land, is projected to comprise the balance of the capital stack”). Title Commitment, Schedule A § 5 (fee title vested in Borrower by Special Warranty Deed from Foster Street Properties LLC recorded in Book 7598, Page 443, dated June 12, 2023 — i.e., Borrower bought the land from a third party; there is no deed from Ms. Vasquez-Torres).</w:t>
      </w:r>
    </w:p>
    <w:p>
      <w:pPr>
        <w:spacing w:after="100"/>
        <w:ind w:left="259"/>
      </w:pPr>
      <w:r>
        <w:rPr>
          <w:rFonts w:ascii="Times New Roman" w:hAnsi="Times New Roman"/>
          <w:b/>
          <w:i/>
          <w:sz w:val="20"/>
        </w:rPr>
        <w:t xml:space="preserve">Analysis. </w:t>
      </w:r>
      <w:r>
        <w:rPr>
          <w:rFonts w:ascii="Times New Roman" w:hAnsi="Times New Roman"/>
          <w:b w:val="0"/>
          <w:i w:val="0"/>
          <w:sz w:val="20"/>
        </w:rPr>
        <w:t>The arithmetic identifies which version can be true. Uses total $56,700,000, including land acquisition of $8,200,000. Sources total $56,700,000, consisting of the Loan ($47,500,000) and the Mezzanine Loan ($9,200,000), with cash equity at $0. If the land were a genuine in-kind equity contribution, standard presentation would show it as an $8,200,000 source as well as an $8,200,000 use; the documents instead show a zero equity source, which means the $8,200,000 use must have been paid from one of the two debt sources. Only the Detailed Budget says so expressly: the mezzanine column totals $9,200,000, of which $8,200,000 is land and $1,000,000 is Developer Fee, and the senior column totals exactly $47,500,000. We tested the components: senior loan = hard costs $34,750,000 + soft costs $4,150,000 + interest reserve $4,850,000 + origination fee $475,000 + contingency $1,440,000 + senior-funded Developer Fee $1,835,000 = $47,500,000. That reconciles to the dollar and confirms that the mezzanine loan, not member capital, funded the land. Three further facts corroborate: (i) the land was conveyed to Borrower by a third-party seller in June 2023, not contributed by a member; (ii) the Operating Agreement recites that Brightleaf Investors Group LLC received its 28% interest for $0 in consideration of “its commitment to arrange third-party mezzanine financing” — an interest issued for financing services by an entity under the common control of the mezzanine lender's principal; and (iii) the Appraisal describes a “balance of the capital stack” that does not exist because the sources and uses are equal.</w:t>
      </w:r>
    </w:p>
    <w:p>
      <w:pPr>
        <w:spacing w:after="100"/>
        <w:ind w:left="259"/>
      </w:pPr>
      <w:r>
        <w:rPr>
          <w:rFonts w:ascii="Times New Roman" w:hAnsi="Times New Roman"/>
          <w:b/>
          <w:i/>
          <w:sz w:val="20"/>
        </w:rPr>
        <w:t xml:space="preserve">Consequence. </w:t>
      </w:r>
      <w:r>
        <w:rPr>
          <w:rFonts w:ascii="Times New Roman" w:hAnsi="Times New Roman"/>
          <w:b w:val="0"/>
          <w:i w:val="0"/>
          <w:sz w:val="20"/>
        </w:rPr>
        <w:t>If the mezzanine loan funded the land, then (a) the Borrower contributed no capital of its own; (b) the Credit Memorandum's loan-to-cost and HVCRE analyses are built on a contributed-capital figure ($10,340,000 including $8,200,000 of land) that is not contributed capital at all — on this reading contributed capital is only the proposed $2,140,000 equity escrow, or 2.9% of the as-completed value, far below the 15% HVCRE threshold, so HVCRE classification is certain rather than marginal; (c) the “circular funding” concern identified in Credit Memorandum § 5.1 is confirmed rather than hypothetical, because the same investor group supplied both the land financing and the equity member; and (d) any certificate that the land was funded by member equity (section 6.13 of the draft) would be false.</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the 2023 closing statement and bank records for the land purchase, and a schedule tracing each member capital account. Restate the sources and uses to show the land as a funded use with an identified source. If the mezzanine funded the land, treat the capital stack as 100% debt plus the new equity contribution, price and document the credit on that basis, and conform the Operating Agreement recital in § 5.1(a) (by amendment or by a corrective confirmation) before any opinion is given. Require the certifications in section 3.7 and section 6.13 of the draft to be given only after that verification.</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Sections 4.6(b) and 6.13 (no representation that the land is the Equity Contribution); section 3.7 (source verification); Schedule 2 Part B and the reconciliation note.</w:t>
      </w:r>
    </w:p>
    <w:p>
      <w:pPr>
        <w:pStyle w:val="Heading2"/>
      </w:pPr>
      <w:r>
        <w:rPr>
          <w:rFonts w:ascii="Times New Roman" w:hAnsi="Times New Roman"/>
          <w:b/>
          <w:sz w:val="22"/>
        </w:rPr>
        <w:t>Issue 2 — A $3,400,000 prior deed of trust must be released at closing, but the payoff is not a use of funds and no source is identified</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Title Commitment, Schedule B–Part II ¶ 10 and Schedule B–Part I ¶ 4 (deed of trust from Foster Street Properties LLC to the Trustee for Triangle Commercial Bank dated September 14, 2018, recorded in Book 6215, Page 892, securing an original principal amount of $3,400,000; “no cancellation, release, satisfaction, or subordination … has been recorded”; Borrower's counsel advised by letter dated November 22, 2024 that the debt has been “partially repaid” and the balance “will be satisfied in full at or prior to closing from the Borrower's own funds or from closing proceeds”; the Title Company has not verified the balance and requires a payoff letter dated within 30 days of closing). Credit Memorandum § 9.7 (payoff “from the proceeds of the senior construction loan or from borrower funds”). Term Sheet § 5.2 and Borrower Draw Schedule, Uses of Funds (no payoff line). Appraisal extraordinary assumption 4 (assumes the deed of trust is satisfied at or concurrently with closing).</w:t>
      </w:r>
    </w:p>
    <w:p>
      <w:pPr>
        <w:spacing w:after="100"/>
        <w:ind w:left="259"/>
      </w:pPr>
      <w:r>
        <w:rPr>
          <w:rFonts w:ascii="Times New Roman" w:hAnsi="Times New Roman"/>
          <w:b/>
          <w:i/>
          <w:sz w:val="20"/>
        </w:rPr>
        <w:t xml:space="preserve">Analysis. </w:t>
      </w:r>
      <w:r>
        <w:rPr>
          <w:rFonts w:ascii="Times New Roman" w:hAnsi="Times New Roman"/>
          <w:b w:val="0"/>
          <w:i w:val="0"/>
          <w:sz w:val="20"/>
        </w:rPr>
        <w:t>The payoff is a cash use at closing of up to $3,400,000 (the actual balance is undisclosed). Total uses as budgeted are $56,700,000 against sources of $56,700,000; adding the payoff produces uses of up to $60,100,000 with no corresponding source, a shortfall of up to $3,400,000. The Credit Memorandum's suggestion that the payoff may come from “the proceeds of the senior construction loan” cannot be right without reducing another use, because the entire $47,500,000 of senior proceeds is already allocated to hard costs, soft costs, the interest reserve, the origination fee, the contingency and part of the Developer Fee (see Issue 3). Note also the implication for Issue 1: if the $8,200,000 land price was partly financed by this $3,400,000 mortgage and the balance has since been paid down, the cash equity actually invested in the land is at most $4,800,000 and possibly less.</w:t>
      </w:r>
    </w:p>
    <w:p>
      <w:pPr>
        <w:spacing w:after="100"/>
        <w:ind w:left="259"/>
      </w:pPr>
      <w:r>
        <w:rPr>
          <w:rFonts w:ascii="Times New Roman" w:hAnsi="Times New Roman"/>
          <w:b/>
          <w:i/>
          <w:sz w:val="20"/>
        </w:rPr>
        <w:t xml:space="preserve">Consequence. </w:t>
      </w:r>
      <w:r>
        <w:rPr>
          <w:rFonts w:ascii="Times New Roman" w:hAnsi="Times New Roman"/>
          <w:b w:val="0"/>
          <w:i w:val="0"/>
          <w:sz w:val="20"/>
        </w:rPr>
        <w:t>Closing cannot deliver the first-priority lien the Term Sheet and the Title Commitment require, and the commitment condition in section 3.14 of the draft cannot be satisfied, unless the payoff is both quantified and funded. If it is funded from the senior loan, other costs are short by the same amount and the project is under-budget before the first draw.</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the payoff letter and per diem now, not at closing. Insert the payoff as a use in the corrected sources and uses and identify its source; on our computation the required equity rises accordingly (Issue 3). Require simultaneous recording of a certificate of satisfaction under N.C.G.S. § 45-37, no title exception for the prior deed of trust, and a settlement statement that shows the disbursement.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3.14 (payoff condition); section 9.1(c)(ii) (payoff included in Total Project Costs); Schedule 2, Part B.</w:t>
      </w:r>
    </w:p>
    <w:p>
      <w:pPr>
        <w:pStyle w:val="Heading2"/>
      </w:pPr>
      <w:r>
        <w:rPr>
          <w:rFonts w:ascii="Times New Roman" w:hAnsi="Times New Roman"/>
          <w:b/>
          <w:sz w:val="22"/>
        </w:rPr>
        <w:t>Issue 3 — Loan-to-cost exceeds the 80% maximum, and the required equity is computed against a budget that omits required uses</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Term Sheet § 6.1 (maximum loan-to-cost 80%; “Total Project Costs are estimated at $56,700,000”) and § 5.2 (uses of $56,700,000). Credit Memorandum § 5.3 and § 10.1(2) (loan-to-cost 83.77%; maximum loan at 80% = $45,360,000; shortfall $2,140,000; condition that Borrower deposit $2,140,000 in cash). Borrower Draw Schedule, Summary tab (same figures; note “EXCEEDS 80% MAX PER TERM SHEET”).</w:t>
      </w:r>
    </w:p>
    <w:p>
      <w:pPr>
        <w:spacing w:after="100"/>
        <w:ind w:left="259"/>
      </w:pPr>
      <w:r>
        <w:rPr>
          <w:rFonts w:ascii="Times New Roman" w:hAnsi="Times New Roman"/>
          <w:b/>
          <w:i/>
          <w:sz w:val="20"/>
        </w:rPr>
        <w:t xml:space="preserve">Analysis. </w:t>
      </w:r>
      <w:r>
        <w:rPr>
          <w:rFonts w:ascii="Times New Roman" w:hAnsi="Times New Roman"/>
          <w:b w:val="0"/>
          <w:i w:val="0"/>
          <w:sz w:val="20"/>
        </w:rPr>
        <w:t>The loan-to-cost arithmetic is correct on the budget as presented: $47,500,000 ÷ $56,700,000 = 83.77%, and 80% of $56,700,000 is $45,360,000, so the excess is $2,140,000. The difficulty is the denominator. The $56,700,000 budget excludes (i) the up to $3,400,000 payoff (Issue 2) and (ii) approximately $680,000 of demolition and remediation costs that, according to the Appraisal § 6.1, were incurred and paid before closing (“The demolition and remediation activities, which cost approximately $680,000”; the Phase I ESA § 6.3 puts remediation alone at approximately $485,000). Adding the payoff only gives $60,100,000 and a loan-to-cost of 79.03%; adding both gives approximately $60,780,000 and a loan-to-cost of 78.15%, which complies with the 80% covenant without any reduction in the loan amount. But on that corrected budget the equity requirement is $60,780,000 − $47,500,000 − $9,200,000 = $4,080,000, not $2,140,000. In other words, the Committee's condition is $1,940,000 too low once the omitted uses are added, and if the omitted uses are not added then the payoff is unfunded. The two positions cannot both be right; something must be specified, and the arithmetic cannot be satisfied by a $2,140,000 escrow against a $56,700,000 budget that must fund a $3,400,000 payoff.</w:t>
      </w:r>
    </w:p>
    <w:p>
      <w:pPr>
        <w:spacing w:after="100"/>
        <w:ind w:left="259"/>
      </w:pPr>
      <w:r>
        <w:rPr>
          <w:rFonts w:ascii="Times New Roman" w:hAnsi="Times New Roman"/>
          <w:b/>
          <w:i/>
          <w:sz w:val="20"/>
        </w:rPr>
        <w:t xml:space="preserve">Consequence. </w:t>
      </w:r>
      <w:r>
        <w:rPr>
          <w:rFonts w:ascii="Times New Roman" w:hAnsi="Times New Roman"/>
          <w:b w:val="0"/>
          <w:i w:val="0"/>
          <w:sz w:val="20"/>
        </w:rPr>
        <w:t>As drafted, the loan-to-cost covenant would be breached at closing on the uncorrected budget, and the closing certificate would either be false or unattainable. If the parties instead rely on the corrected budget, the equity escrow is under-funded by approximately $1,940,000 and the payoff competes with construction costs for the same dollars.</w:t>
      </w:r>
    </w:p>
    <w:p>
      <w:pPr>
        <w:spacing w:after="100"/>
        <w:ind w:left="259"/>
      </w:pPr>
      <w:r>
        <w:rPr>
          <w:rFonts w:ascii="Times New Roman" w:hAnsi="Times New Roman"/>
          <w:b/>
          <w:i/>
          <w:sz w:val="20"/>
        </w:rPr>
        <w:t xml:space="preserve">Recommendation. </w:t>
      </w:r>
      <w:r>
        <w:rPr>
          <w:rFonts w:ascii="Times New Roman" w:hAnsi="Times New Roman"/>
          <w:b w:val="0"/>
          <w:i w:val="0"/>
          <w:sz w:val="20"/>
        </w:rPr>
        <w:t>Rebuild the sources and uses from verified components and present it to the Committee for ratification: uses approximately $60,780,000; sources Loan $47,500,000 plus Mezzanine $9,200,000 plus verified equity of approximately $4,080,000. Alternatively reduce the loan to $45,360,000 (which resolves Issue 3 on the uncorrected budget but worsens the funding gap), or increase the mezzanine (which requires Committee, intercreditor and HVCRE reassessment). Confirm that the equity comes from Ms. Vasquez-Torres or another source unaffiliated with the mezzanine lender, and document the source.</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9.1 (loan-to-cost, with Total Project Costs defined to include the payoff and pre-closing site costs); section 3.7 (Equity Contribution of $[4,080,000]); Schedule 2, Parts A and B.</w:t>
      </w:r>
    </w:p>
    <w:p>
      <w:pPr>
        <w:pStyle w:val="Heading2"/>
      </w:pPr>
      <w:r>
        <w:rPr>
          <w:rFonts w:ascii="Times New Roman" w:hAnsi="Times New Roman"/>
          <w:b/>
          <w:sz w:val="22"/>
        </w:rPr>
        <w:t>Issue 4 — The as-completed loan-to-value ratio at closing is 65.25% against a 65% maximum stated in the Term Sheet</w:t>
      </w:r>
      <w:r>
        <w:rPr>
          <w:rFonts w:ascii="Times New Roman" w:hAnsi="Times New Roman"/>
          <w:b/>
          <w:i/>
          <w:color w:val="8B1A1A"/>
          <w:sz w:val="18"/>
        </w:rPr>
        <w:t xml:space="preserve">   [Severity: M-H]</w:t>
      </w:r>
    </w:p>
    <w:p>
      <w:pPr>
        <w:spacing w:after="100"/>
        <w:ind w:left="259"/>
      </w:pPr>
      <w:r>
        <w:rPr>
          <w:rFonts w:ascii="Times New Roman" w:hAnsi="Times New Roman"/>
          <w:b/>
          <w:i/>
          <w:sz w:val="20"/>
        </w:rPr>
        <w:t xml:space="preserve">Record. </w:t>
      </w:r>
      <w:r>
        <w:rPr>
          <w:rFonts w:ascii="Times New Roman" w:hAnsi="Times New Roman"/>
          <w:b w:val="0"/>
          <w:i w:val="0"/>
          <w:sz w:val="20"/>
        </w:rPr>
        <w:t>Term Sheet § 4 (“LTV (As-Completed): $47,500,000 ÷ $72,800,000 = 65.25%” and “The Lender's maximum loan-to-value ratio shall not exceed 65% on an as-completed basis”) and § 6.2 (as-completed and as-stabilized maximums of 65%). Credit Memorandum § 6.1 (policy maximum stated as “Max 70%”; LTV of 65.25% reported as “Pass”) and § 11(h) (70% LTV requirement for the extension).</w:t>
      </w:r>
    </w:p>
    <w:p>
      <w:pPr>
        <w:spacing w:after="100"/>
        <w:ind w:left="259"/>
      </w:pPr>
      <w:r>
        <w:rPr>
          <w:rFonts w:ascii="Times New Roman" w:hAnsi="Times New Roman"/>
          <w:b/>
          <w:i/>
          <w:sz w:val="20"/>
        </w:rPr>
        <w:t xml:space="preserve">Analysis. </w:t>
      </w:r>
      <w:r>
        <w:rPr>
          <w:rFonts w:ascii="Times New Roman" w:hAnsi="Times New Roman"/>
          <w:b w:val="0"/>
          <w:i w:val="0"/>
          <w:sz w:val="20"/>
        </w:rPr>
        <w:t>The Term Sheet cannot be satisfied as written: the loan is 65.25% of the as-completed value against a 65% cap. To comply, 65% of $72,800,000 = $47,320,000, a reduction of $180,000; equivalently, the as-completed value would need to be $73,077,000 to support $47,500,000 at 65%. The Credit Memorandum avoids the problem by applying a 70% policy maximum that does not appear in the Term Sheet, so the credit file contains two different maximums for the same test. The as-stabilized ratio (62.34%) complies either way.</w:t>
      </w:r>
    </w:p>
    <w:p>
      <w:pPr>
        <w:spacing w:after="100"/>
        <w:ind w:left="259"/>
      </w:pPr>
      <w:r>
        <w:rPr>
          <w:rFonts w:ascii="Times New Roman" w:hAnsi="Times New Roman"/>
          <w:b/>
          <w:i/>
          <w:sz w:val="20"/>
        </w:rPr>
        <w:t xml:space="preserve">Consequence. </w:t>
      </w:r>
      <w:r>
        <w:rPr>
          <w:rFonts w:ascii="Times New Roman" w:hAnsi="Times New Roman"/>
          <w:b w:val="0"/>
          <w:i w:val="0"/>
          <w:sz w:val="20"/>
        </w:rPr>
        <w:t>A covenant that is breached on the day of closing is worse than no covenant: it converts every subsequent draw into a waiver request and gives Borrower an argument that the approved credit contemplated a 65.25% position. It also creates a discrepancy between the Term Sheet and the credit approval that a reviewer, auditor or purchaser of the loan will identify.</w:t>
      </w:r>
    </w:p>
    <w:p>
      <w:pPr>
        <w:spacing w:after="100"/>
        <w:ind w:left="259"/>
      </w:pPr>
      <w:r>
        <w:rPr>
          <w:rFonts w:ascii="Times New Roman" w:hAnsi="Times New Roman"/>
          <w:b/>
          <w:i/>
          <w:sz w:val="20"/>
        </w:rPr>
        <w:t xml:space="preserve">Recommendation. </w:t>
      </w:r>
      <w:r>
        <w:rPr>
          <w:rFonts w:ascii="Times New Roman" w:hAnsi="Times New Roman"/>
          <w:b w:val="0"/>
          <w:i w:val="0"/>
          <w:sz w:val="20"/>
        </w:rPr>
        <w:t>Elect one of three cures and document it: (a) reduce the loan amount to $47,320,000; (b) obtain an updated appraisal supporting at least $73,077,000; or (c) record a specific Committee-approved exception to 65.25% and set the covenant accordingly. We recommend (c) with a compensating reduction of $180,000 at the first draw if the appraisal is not updated, because a $180,000 sizing change distorts the budget more than it improves the credit.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9.2(d) (states the 65.25% position, the $180,000 equivalent, and the permitted cures); Schedule 6, Part A.</w:t>
      </w:r>
    </w:p>
    <w:p>
      <w:pPr>
        <w:pStyle w:val="Heading2"/>
      </w:pPr>
      <w:r>
        <w:rPr>
          <w:rFonts w:ascii="Times New Roman" w:hAnsi="Times New Roman"/>
          <w:b/>
          <w:sz w:val="22"/>
        </w:rPr>
        <w:t>Issue 5 — The draw schedule does not withhold the retainage it promises, mislabels the final draw, and Borrower's schedule does not balance</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Term Sheet § 9.1 (“a 10% retainage holdback shall apply to all hard construction cost disbursements … released only upon satisfaction of the conditions … for Draw 9”) and § 9.2 (Draws 2–8 of $5,212,500, $6,950,000, $6,950,000, $5,212,500, $3,475,000, $3,475,000 and $3,475,000; Draw 9 “Retainage Release” of $3,275,000). Credit Memorandum § 7.1 (same table; § 7.2 states that “the retainage amount of $3,275,000 represents approximately 9.4% of the hard construction cost GMP”). Borrower Draw Schedule, Detailed Budget lines 2.01–2.09 and Draw Schedule tab.</w:t>
      </w:r>
    </w:p>
    <w:p>
      <w:pPr>
        <w:spacing w:after="100"/>
        <w:ind w:left="259"/>
      </w:pPr>
      <w:r>
        <w:rPr>
          <w:rFonts w:ascii="Times New Roman" w:hAnsi="Times New Roman"/>
          <w:b/>
          <w:i/>
          <w:sz w:val="20"/>
        </w:rPr>
        <w:t xml:space="preserve">Analysis. </w:t>
      </w:r>
      <w:r>
        <w:rPr>
          <w:rFonts w:ascii="Times New Roman" w:hAnsi="Times New Roman"/>
          <w:b w:val="0"/>
          <w:i w:val="0"/>
          <w:sz w:val="20"/>
        </w:rPr>
        <w:t>Three separate defects. First, the Term Sheet's Draws 2 through 8 total $34,750,000, which is exactly 100% of the GMP, so no retainage is withheld during construction notwithstanding § 9.1; a final draw of 10% of the GMP would then over-disburse the hard cost line by $3,475,000. Second, 10% of $34,750,000 is $3,475,000, not $3,275,000, and $3,275,000 is precisely the sum of the Contingency ($1,440,000) and the Loan-funded Developer Fee ($1,835,000), which means the line labelled “Retainage Release” is in fact the contingency and developer fee and the retainage is never held at all. Third, Borrower's own schedule does not foot: its component columns total $9,475,000 (soft costs, interest reserve and origination fee) + $34,750,000 (net hard costs) + $1,440,000 (contingency) + $2,835,000 (the full Developer Fee) = $48,500,000, which is $1,000,000 more than the $47,500,000 stated total — the $1,000,000 of Developer Fee that the Detailed Budget attributes to the mezzanine loan — and its Draw 9 line shows components of $4,275,000 ($3,475,000 hard + $200,000 Developer Fee + $600,000 contingency) against a “Total Draw Amount” of $3,275,000. Its “gross hard cost” column also totals $38,225,000 against a $34,750,000 GMP because Draw 9 re-states the released retainage as gross cost. Related budget integrity points: (a) line item 2.01 describes $3,180,000 of site work as including “Demolition, grading, utilities, paving” although the warehouse demolition was completed in August 2024 and remediation in September 2024 (Phase I ESA §§ 2.2, 6; Appraisal § 2), so completed work may be funded twice; (b) the Contingency is 100% loan-funded, so there is no borrower-funded contingency; and (c) Draw 1 funds $4,150,000 of soft costs including Lender's counsel ($310,000), the appraisal ($35,000), the Phase I ($12,500) and title premiums ($245,000), several of which will already have been incurred and paid before closing, and the $75,000 expense deposit is not shown as a source at all.</w:t>
      </w:r>
    </w:p>
    <w:p>
      <w:pPr>
        <w:spacing w:after="100"/>
        <w:ind w:left="259"/>
      </w:pPr>
      <w:r>
        <w:rPr>
          <w:rFonts w:ascii="Times New Roman" w:hAnsi="Times New Roman"/>
          <w:b/>
          <w:i/>
          <w:sz w:val="20"/>
        </w:rPr>
        <w:t xml:space="preserve">Consequence. </w:t>
      </w:r>
      <w:r>
        <w:rPr>
          <w:rFonts w:ascii="Times New Roman" w:hAnsi="Times New Roman"/>
          <w:b w:val="0"/>
          <w:i w:val="0"/>
          <w:sz w:val="20"/>
        </w:rPr>
        <w:t>Without a functioning holdback the Bank has no completion leverage at the point of maximum risk, and the mislabeling means the Bank may believe it holds $3,475,000 of retainage when it holds nothing. The $1,000,000 imbalance in Borrower's model will be replicated in draw requests and will surface as an over-advance.</w:t>
      </w:r>
    </w:p>
    <w:p>
      <w:pPr>
        <w:spacing w:after="100"/>
        <w:ind w:left="259"/>
      </w:pPr>
      <w:r>
        <w:rPr>
          <w:rFonts w:ascii="Times New Roman" w:hAnsi="Times New Roman"/>
          <w:b/>
          <w:i/>
          <w:sz w:val="20"/>
        </w:rPr>
        <w:t xml:space="preserve">Recommendation. </w:t>
      </w:r>
      <w:r>
        <w:rPr>
          <w:rFonts w:ascii="Times New Roman" w:hAnsi="Times New Roman"/>
          <w:b w:val="0"/>
          <w:i w:val="0"/>
          <w:sz w:val="20"/>
        </w:rPr>
        <w:t>Adopt Schedule 1 to the draft, which restores the 10% holdback ($3,475,000 released as Draw 9), separates the Contingency and Developer Fee into their own columns, and foots exactly to $47,500,000 across nine draws. Require Borrower to correct and re-certify its schedule before the first draw request. Require written confirmation that the GMP scope excludes the completed demolition and remediation (or that a credit has been given), line-item identification of the vapor mitigation system cost within the schedule of values, and paid invoices for pre-closing soft costs before those items are funded.</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4.1 and Schedule 1 (conformed draw schedule); section 3.11(g) (GMP scope confirmation); section 4.5 (change orders and contingency sub-limits); section 4.2(h) and section 6.12 (budget certification).</w:t>
      </w:r>
    </w:p>
    <w:p>
      <w:pPr>
        <w:pStyle w:val="Heading3"/>
      </w:pPr>
      <w:r>
        <w:rPr>
          <w:rFonts w:ascii="Times New Roman" w:hAnsi="Times New Roman"/>
          <w:b/>
          <w:i/>
          <w:sz w:val="22"/>
        </w:rPr>
        <w:t>B.  Environmental and property description</w:t>
      </w:r>
    </w:p>
    <w:p>
      <w:pPr>
        <w:pStyle w:val="Heading2"/>
      </w:pPr>
      <w:r>
        <w:rPr>
          <w:rFonts w:ascii="Times New Roman" w:hAnsi="Times New Roman"/>
          <w:b/>
          <w:sz w:val="22"/>
        </w:rPr>
        <w:t>Issue 6 — Environmental facts conflict across the Record, and one remediation cost line is missing from the budget</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Remediation volume: Phase I ESA § 6.1 (“approximately 1,200 cubic yards of soil were excavated”) against Appraisal § 8 (“approximately 320 cubic yards”) and Credit Memorandum § 8.2 (“approximately 340 cubic yards”). Underground storage tank: Phase I ESA §§ 1, 2.2 and 3.3 (2,000-gallon diesel tank serving a backup generator, installed approximately 1972, removed approximately 1998, with “no formal UST closure records” — a data gap) against Appraisal § 8 (installed in the 1950s for heating oil, “not in active use since approximately 1988”). Cost: Phase I ESA § 6.3 (remediation cost approximately $485,000, funded by Borrower) against Borrower Draw Schedule line 3.05 (“Environmental &amp; Geotechnical … Phase I, Phase II, remediation monitoring, geotech” $185,000). Insurance: Phase I ESA § 10, Recommendation 6 (pollution legal liability coverage) — no such coverage appears anywhere in the Record.</w:t>
      </w:r>
    </w:p>
    <w:p>
      <w:pPr>
        <w:spacing w:after="100"/>
        <w:ind w:left="259"/>
      </w:pPr>
      <w:r>
        <w:rPr>
          <w:rFonts w:ascii="Times New Roman" w:hAnsi="Times New Roman"/>
          <w:b/>
          <w:i/>
          <w:sz w:val="20"/>
        </w:rPr>
        <w:t xml:space="preserve">Analysis. </w:t>
      </w:r>
      <w:r>
        <w:rPr>
          <w:rFonts w:ascii="Times New Roman" w:hAnsi="Times New Roman"/>
          <w:b w:val="0"/>
          <w:i w:val="0"/>
          <w:sz w:val="20"/>
        </w:rPr>
        <w:t>The Phase I's 1,200 cubic yards is the version most consistent with the described excavation (roughly 100 feet by 165 feet to a depth of about 12 feet in the most impacted zone), and the Appraisal's 320 cubic yards and the Credit Memorandum's 340 cubic yards are inconsistent with each other as well as with the Phase I. The UST descriptions cannot both be accurate: a tank installed in 1972 and removed in 1998 is not a 1950s heating-oil tank taken out of service in 1988. Neither discrepancy changes the regulatory outcome, but both affect the reliability of the environmental conclusions in the Appraisal (which in turn supports the as-completed and as-stabilized values) and the accuracy of any certificate Borrower gives at closing. The $485,000 remediation cost is a pre-closing cost that is not in the budget at all (Issue 3), while the $185,000 budget line appears to double-count investigation and monitoring work that has already been performed.</w:t>
      </w:r>
    </w:p>
    <w:p>
      <w:pPr>
        <w:spacing w:after="100"/>
        <w:ind w:left="259"/>
      </w:pPr>
      <w:r>
        <w:rPr>
          <w:rFonts w:ascii="Times New Roman" w:hAnsi="Times New Roman"/>
          <w:b/>
          <w:i/>
          <w:sz w:val="20"/>
        </w:rPr>
        <w:t xml:space="preserve">Consequence. </w:t>
      </w:r>
      <w:r>
        <w:rPr>
          <w:rFonts w:ascii="Times New Roman" w:hAnsi="Times New Roman"/>
          <w:b w:val="0"/>
          <w:i w:val="0"/>
          <w:sz w:val="20"/>
        </w:rPr>
        <w:t>The Bank's credit file will contain inconsistent environmental facts that cannot be reconciled at closing, and the remediation cost gap is a direct contributor to the funding gap in Issue 3. Absent pollution legal liability coverage, the environmental indemnity is the Bank's only remedy for the residual condition, and the Guarantors' ability to fund a remediation claim is limited (see Issue 14).</w:t>
      </w:r>
    </w:p>
    <w:p>
      <w:pPr>
        <w:spacing w:after="100"/>
        <w:ind w:left="259"/>
      </w:pPr>
      <w:r>
        <w:rPr>
          <w:rFonts w:ascii="Times New Roman" w:hAnsi="Times New Roman"/>
          <w:b/>
          <w:i/>
          <w:sz w:val="20"/>
        </w:rPr>
        <w:t xml:space="preserve">Recommendation. </w:t>
      </w:r>
      <w:r>
        <w:rPr>
          <w:rFonts w:ascii="Times New Roman" w:hAnsi="Times New Roman"/>
          <w:b w:val="0"/>
          <w:i w:val="0"/>
          <w:sz w:val="20"/>
        </w:rPr>
        <w:t>Ask Sentinel to reconcile the excavated volume and to document its UST records search (including the absence of closure records) so that the discrepancy is explained on the record. Correct the remediation volume in the Appraisal summary or note the correction. Move the remediation cost into the corrected budget (Issue 3) and re-scope line 3.05. Require a pollution legal liability policy as a condition of closing or, at a minimum, obtain a written cost estimate and a Committee decision to proceed without it.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3.5(g) and section 12.8 (environmental insurance); section 12.1 (acknowledgement of the specific contamination levels and the limits of the NFA Letter); Schedule 4.</w:t>
      </w:r>
    </w:p>
    <w:p>
      <w:pPr>
        <w:pStyle w:val="Heading2"/>
      </w:pPr>
      <w:r>
        <w:rPr>
          <w:rFonts w:ascii="Times New Roman" w:hAnsi="Times New Roman"/>
          <w:b/>
          <w:sz w:val="22"/>
        </w:rPr>
        <w:t>Issue 7 — Parcel acreages, orientation and frontage are described inconsistently across the Title Commitment, the Phase I ESA and the Appraisal</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Phase I ESA § 1 and § 2.1 (Parcel 0821-04-72-3341 of “approximately 1.89 acres”, described as the “western parcel”, and Parcel 0821-04-72-4102 of “approximately 1.58 acres”, described as the “eastern parcel”; “The site fronts Foster Street to the north”). Title Commitment, Schedule A ¶ 6 (Parcel 1 / PIN 0821-04-72-3341 “containing approximately 2.09 acres” with a metes and bounds description; Parcel 2 / PIN 0821-04-72-4102 “containing approximately 1.38 acres”, beginning at the “southwestern corner of Parcel 1” and running south, i.e., Parcel 2 lies south of Parcel 1; Foster Street is the “eastern right-of-way margin” of the western boundary). Appraisal § 2 (“approximately 420 feet of frontage along Foster Street on the western boundary”; “secondary vehicular access … from a 20-foot public alley along the eastern boundary”). Phase I ESA, Figure 3 description (Parcel 0821-04-72-3341 “shown on the left (western) portion of the map”; Foster Street “depicted along the northern boundary”).</w:t>
      </w:r>
    </w:p>
    <w:p>
      <w:pPr>
        <w:spacing w:after="100"/>
        <w:ind w:left="259"/>
      </w:pPr>
      <w:r>
        <w:rPr>
          <w:rFonts w:ascii="Times New Roman" w:hAnsi="Times New Roman"/>
          <w:b/>
          <w:i/>
          <w:sz w:val="20"/>
        </w:rPr>
        <w:t xml:space="preserve">Analysis. </w:t>
      </w:r>
      <w:r>
        <w:rPr>
          <w:rFonts w:ascii="Times New Roman" w:hAnsi="Times New Roman"/>
          <w:b w:val="0"/>
          <w:i w:val="0"/>
          <w:sz w:val="20"/>
        </w:rPr>
        <w:t>We checked the metes and bounds against the stated acreages: Parcel 1 is 305.41 feet by 298.62 feet = 91,202 square feet = 2.094 acres; Parcel 2 is 297.63 feet by 201.88 feet = 60,086 square feet = 1.379 acres; the combined area is 151,288 square feet = 3.473 acres, which matches the 3.47 acres stated in every document. The Title Commitment's acreages therefore tie to the legal descriptions, and the Phase I ESA's 1.89/1.58 split does not (although it sums to the same total). Frontage along Foster Street per the metes and bounds is 298.62 + 201.88 = 500.50 feet, not the 420 feet stated in the Appraisal. And the parcels are configured north and south, not west and east, with Foster Street along the western boundary rather than the northern boundary. No document in the Record describes a 20-foot public alley.</w:t>
      </w:r>
    </w:p>
    <w:p>
      <w:pPr>
        <w:spacing w:after="100"/>
        <w:ind w:left="259"/>
      </w:pPr>
      <w:r>
        <w:rPr>
          <w:rFonts w:ascii="Times New Roman" w:hAnsi="Times New Roman"/>
          <w:b/>
          <w:i/>
          <w:sz w:val="20"/>
        </w:rPr>
        <w:t xml:space="preserve">Consequence. </w:t>
      </w:r>
      <w:r>
        <w:rPr>
          <w:rFonts w:ascii="Times New Roman" w:hAnsi="Times New Roman"/>
          <w:b w:val="0"/>
          <w:i w:val="0"/>
          <w:sz w:val="20"/>
        </w:rPr>
        <w:t>The location of the 0.38-acre Affected Area turns on this geometry. The NFA Letter describes it as the northeast corner of Parcel 0821-04-72-4102; if that parcel is the southern parcel (as the metes and bounds indicate), its northeast corner is an interior point of the assembled site, not a corner abutting Foster Street — which is how the Phase I ESA's Figure 3 describes it. Until the affected area is fixed by survey, the Bank cannot test the Credit Memorandum's assertion that exactly 14 units sit above it (Issue 11), cannot confirm that the vapor mitigation system is being built in the right place, and cannot describe the restricted area accurately in a lease, a C/O application or a title exception.</w:t>
      </w:r>
    </w:p>
    <w:p>
      <w:pPr>
        <w:spacing w:after="100"/>
        <w:ind w:left="259"/>
      </w:pPr>
      <w:r>
        <w:rPr>
          <w:rFonts w:ascii="Times New Roman" w:hAnsi="Times New Roman"/>
          <w:b/>
          <w:i/>
          <w:sz w:val="20"/>
        </w:rPr>
        <w:t xml:space="preserve">Recommendation. </w:t>
      </w:r>
      <w:r>
        <w:rPr>
          <w:rFonts w:ascii="Times New Roman" w:hAnsi="Times New Roman"/>
          <w:b w:val="0"/>
          <w:i w:val="0"/>
          <w:sz w:val="20"/>
        </w:rPr>
        <w:t>Require an ALTA/NSPS survey with the Table A items specified in section 3.4 of the draft, including a metes-and-bounds depiction of the Affected Area taken from the recorded deed notice, and an architect-certified overlay of the affected area on each floor plan. Correct the Phase I ESA's acreage and orientation description by errata so the environmental record and the title record agree. Confirm access (including the alleged alley) as an ALTA access endorsement item.</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3.4 (survey scope); section 3.5(e) (overlay plan); Exhibit A (legal description and note); Schedule 3.</w:t>
      </w:r>
    </w:p>
    <w:p>
      <w:pPr>
        <w:pStyle w:val="Heading2"/>
      </w:pPr>
      <w:r>
        <w:rPr>
          <w:rFonts w:ascii="Times New Roman" w:hAnsi="Times New Roman"/>
          <w:b/>
          <w:sz w:val="22"/>
        </w:rPr>
        <w:t>Issue 8 — The NFA deed notice appears not to have been recorded, and the Title Commitment does not show it</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NFA Letter condition 4, as summarized in Phase I ESA § 7 (“The property owner is required to record a notice in the Durham County Registry of Deeds … within 60 days of the date of the NFA Letter — that is, by November 29, 2024”) and Phase I ESA §§ 8.1, 10 (Recommendation 3) (“As of the date of this Phase I ESA (October 28, 2024), the consultant was not provided evidence that the required deed notice has been recorded”). Title Commitment, Schedule B–Part II (thirteen exceptions; none is a deed notice or declaration of land use restriction) and Note 5 (environmental matters expressly outside the scope of the commitment and any policy). Appraisal § 2 (“This land use restriction is memorialized in a Declaration of Land Use Restrictions recorded at the Durham County Register of Deeds”) and § 8. Credit Memorandum § 9.5 (addresses only the use restriction, not the deed notice).</w:t>
      </w:r>
    </w:p>
    <w:p>
      <w:pPr>
        <w:spacing w:after="100"/>
        <w:ind w:left="259"/>
      </w:pPr>
      <w:r>
        <w:rPr>
          <w:rFonts w:ascii="Times New Roman" w:hAnsi="Times New Roman"/>
          <w:b/>
          <w:i/>
          <w:sz w:val="20"/>
        </w:rPr>
        <w:t xml:space="preserve">Analysis. </w:t>
      </w:r>
      <w:r>
        <w:rPr>
          <w:rFonts w:ascii="Times New Roman" w:hAnsi="Times New Roman"/>
          <w:b w:val="0"/>
          <w:i w:val="0"/>
          <w:sz w:val="20"/>
        </w:rPr>
        <w:t>The Record cannot be reconciled: either the notice was recorded (as the Appraisal states) or it was not (as the Phase I ESA states, and as the Title Commitment's silence suggests, since the commitment was effective December 5, 2024, six days after the deadline). If it was recorded, the Title Commitment should show it in Schedule B–Part II and any policy will except to it — which Borrower and the Bank need to know before closing. If it was not recorded, Borrower is in breach of a condition of the NFA determination, which is itself a representation the Bank proposes to require (section 6.11 of the draft), and the NFA status — the linchpin of the environmental diligence — is at risk of being reopened.</w:t>
      </w:r>
    </w:p>
    <w:p>
      <w:pPr>
        <w:spacing w:after="100"/>
        <w:ind w:left="259"/>
      </w:pPr>
      <w:r>
        <w:rPr>
          <w:rFonts w:ascii="Times New Roman" w:hAnsi="Times New Roman"/>
          <w:b/>
          <w:i/>
          <w:sz w:val="20"/>
        </w:rPr>
        <w:t xml:space="preserve">Consequence. </w:t>
      </w:r>
      <w:r>
        <w:rPr>
          <w:rFonts w:ascii="Times New Roman" w:hAnsi="Times New Roman"/>
          <w:b w:val="0"/>
          <w:i w:val="0"/>
          <w:sz w:val="20"/>
        </w:rPr>
        <w:t>A closing certificate that the NFA conditions have been satisfied would either be false or unavailable, and the Bank could take title to a property subject to an unrecorded restriction it did not underwrite. Because the Title Commitment note excludes environmental matters entirely, the Bank cannot rely on the title policy for protection.</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a certified copy of the recorded notice or, if none exists, a written statement from Borrower and its environmental counsel together with (a) immediate recordation with NCDEQ's written consent to the late filing and (b) NCDEQ confirmation that the NFA determination remains in effect. Require a title date-down confirming the recording and confirm the form of exception with the Title Company. Do not close before this is resolved.</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3.5(b) (recorded deed notice as a condition precedent); section 12.5; Schedule 3 ¶ 7 (permitted exception form); section 6.11 (representation).</w:t>
      </w:r>
    </w:p>
    <w:p>
      <w:pPr>
        <w:pStyle w:val="Heading2"/>
      </w:pPr>
      <w:r>
        <w:rPr>
          <w:rFonts w:ascii="Times New Roman" w:hAnsi="Times New Roman"/>
          <w:b/>
          <w:sz w:val="22"/>
        </w:rPr>
        <w:t>Issue 9 — Historic district architectural approval is unverified, and the CC&amp;R assessment is not in the operating budget</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Appraisal § 2 (“the architectural design has been reviewed and approved by the Brightleaf Historic District Association in accordance with the CC&amp;Rs”). Title Commitment, Schedule B–Part II ¶ 11 and its Title Officer note (“The Company has not received evidence that the current project plans … have been submitted to or approved by the Brightleaf Historic District Association Architectural Review Committee”; submissions due at least 90 days before construction commences; 60-day deemed approval; the Association may seek injunctive relief to halt unapproved construction). Credit Memorandum § 9.8 and § 10.1(14) (records approval as a condition of closing). Declaration of Covenants, Conditions and Restrictions, Book 6984, Page 1155, as amended by First Amendment recorded in Book 7102, Page 388 (assessment of $0.12 per square foot of gross building area per annum).</w:t>
      </w:r>
    </w:p>
    <w:p>
      <w:pPr>
        <w:spacing w:after="100"/>
        <w:ind w:left="259"/>
      </w:pPr>
      <w:r>
        <w:rPr>
          <w:rFonts w:ascii="Times New Roman" w:hAnsi="Times New Roman"/>
          <w:b/>
          <w:i/>
          <w:sz w:val="20"/>
        </w:rPr>
        <w:t xml:space="preserve">Analysis. </w:t>
      </w:r>
      <w:r>
        <w:rPr>
          <w:rFonts w:ascii="Times New Roman" w:hAnsi="Times New Roman"/>
          <w:b w:val="0"/>
          <w:i w:val="0"/>
          <w:sz w:val="20"/>
        </w:rPr>
        <w:t>Two documents directly contradict each other on approval, and the Title Officer's version is the more reliable because it speaks to the absence of evidence rather than to an assumption. The timing is also tight: with a closing targeted for February 28, 2025 and construction to start immediately thereafter, a 90-day submission requirement may not have been met, in which case the Borrower's remedy is a 60-day deemed approval — which postpones the draw schedule and therefore the interest reserve and the construction maturity date, because the Construction Period runs from closing, not from the permit. Separately, we tested the assessment: $0.12 × 287,500 square feet of gross building area = $34,500 per annum, which does not appear in the Appraisal's operating expense schedule (§ 7: total operating expenses of $1,262,100, of which “Other Operating Expenses” are $30,038). Including it reduces stabilized NOI to $4,842,300 and the interest-only DSCR from 1.31x to 1.30x — small, but it is a real recurring charge and it compounds with the other adjustments in Issue 11.</w:t>
      </w:r>
    </w:p>
    <w:p>
      <w:pPr>
        <w:spacing w:after="100"/>
        <w:ind w:left="259"/>
      </w:pPr>
      <w:r>
        <w:rPr>
          <w:rFonts w:ascii="Times New Roman" w:hAnsi="Times New Roman"/>
          <w:b/>
          <w:i/>
          <w:sz w:val="20"/>
        </w:rPr>
        <w:t xml:space="preserve">Consequence. </w:t>
      </w:r>
      <w:r>
        <w:rPr>
          <w:rFonts w:ascii="Times New Roman" w:hAnsi="Times New Roman"/>
          <w:b w:val="0"/>
          <w:i w:val="0"/>
          <w:sz w:val="20"/>
        </w:rPr>
        <w:t>Construction could be enjoined mid-project by the Association, which would be a construction delay default under section 13.6 and would strand sunk costs; and the NOI on which the loan was sized is overstated by a known, quantifiable amount.</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either the Architectural Review Committee's written approval or evidence that a complete submission was made at least 90 days before the intended construction start and that the 60-day period has run; in either case, obtain an estoppel from the Association as to assessments and violations. Require the NOI used for covenant testing to include the assessment, and note the correction for the Appraisal and the credit file.</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3.6 (approval or deemed approval, plus Association estoppel); section 7.7 (compliance with the Declaration); section 11.2 (assessment as a carrying cost under the Carry Guaranty); Schedule 5.</w:t>
      </w:r>
    </w:p>
    <w:p>
      <w:pPr>
        <w:pStyle w:val="Heading2"/>
      </w:pPr>
      <w:r>
        <w:rPr>
          <w:rFonts w:ascii="Times New Roman" w:hAnsi="Times New Roman"/>
          <w:b/>
          <w:sz w:val="22"/>
        </w:rPr>
        <w:t>Issue 10 — Site work performed in 2024 creates mechanics' lien relation-back exposure ahead of the Deed of Trust</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Title Commitment, Note 4 (“under North Carolina law (N.C.G.S. § 44A-10), a claim of lien on real property … relates back to and is effective from the time of first furnishing of labor or materials”; recommends owner and contractor affidavits that no labor or materials were furnished before recording, and lien waivers if work has commenced). Phase I ESA §§ 2.2, 6 (demolition completed August 2024; remediation contractor excavated and disposed of soil in September 2024; total remediation cost approximately $485,000). Appraisal § 2 (demolition pursuant to City of Durham permits, August 2024). Borrower Draw Schedule line 3.05 (only $185,000 budgeted for environmental work).</w:t>
      </w:r>
    </w:p>
    <w:p>
      <w:pPr>
        <w:spacing w:after="100"/>
        <w:ind w:left="259"/>
      </w:pPr>
      <w:r>
        <w:rPr>
          <w:rFonts w:ascii="Times New Roman" w:hAnsi="Times New Roman"/>
          <w:b/>
          <w:i/>
          <w:sz w:val="20"/>
        </w:rPr>
        <w:t xml:space="preserve">Analysis. </w:t>
      </w:r>
      <w:r>
        <w:rPr>
          <w:rFonts w:ascii="Times New Roman" w:hAnsi="Times New Roman"/>
          <w:b w:val="0"/>
          <w:i w:val="0"/>
          <w:sz w:val="20"/>
        </w:rPr>
        <w:t>Substantial work was performed at the Property in 2024 by a demolition contractor, a remediation contractor, a pre-demolition hazardous-materials abatement consultant (Southern Environmental Services Inc., per Phase I ESA § 4) and a geotechnical consultant. If any of them is unpaid, or later asserts a claim, the lien relates back to first furnishing — that is, to a date before the Deed of Trust is recorded — and would prime the Bank. The remediation cost of approximately $485,000 is not in the budget, so the Bank has no direct evidence that it has been paid.</w:t>
      </w:r>
    </w:p>
    <w:p>
      <w:pPr>
        <w:spacing w:after="100"/>
        <w:ind w:left="259"/>
      </w:pPr>
      <w:r>
        <w:rPr>
          <w:rFonts w:ascii="Times New Roman" w:hAnsi="Times New Roman"/>
          <w:b/>
          <w:i/>
          <w:sz w:val="20"/>
        </w:rPr>
        <w:t xml:space="preserve">Consequence. </w:t>
      </w:r>
      <w:r>
        <w:rPr>
          <w:rFonts w:ascii="Times New Roman" w:hAnsi="Times New Roman"/>
          <w:b w:val="0"/>
          <w:i w:val="0"/>
          <w:sz w:val="20"/>
        </w:rPr>
        <w:t>The Bank could take a first-priority deed of trust that is in fact subordinate to a later-filed mechanics' lien, and the title policy would not necessarily protect it.</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final unconditional lien waivers and paid invoices from the demolition contractor, the remediation contractor, the abatement consultant and the geotechnical consultant before recording; obtain owner and general contractor affidavits as to the date of first furnishing; and require the Title Company to insure over mechanics' liens with the usual pending disbursement or no-prior-work endorsement. If any work under the GMP has begun before closing, restructure the closing to record first.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3.15 (lien waivers and no prior work); section 4.2(c) (partial waivers with each draw); section 4.4(d) (120-day period before retainage release); Schedule 3.</w:t>
      </w:r>
    </w:p>
    <w:p>
      <w:pPr>
        <w:pStyle w:val="Heading2"/>
      </w:pPr>
      <w:r>
        <w:rPr>
          <w:rFonts w:ascii="Times New Roman" w:hAnsi="Times New Roman"/>
          <w:b/>
          <w:sz w:val="22"/>
        </w:rPr>
        <w:t>Issue 11 — The NFA non-residential use restriction has not been reconciled to the residential program, and the “14 units” figure is unsupported</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NFA Letter condition 2, quoted in Phase I ESA § 7 (“this No Further Action determination is contingent upon the restriction of future use of the affected area to non-residential (commercial or industrial) purposes … a modification to this NFA determination would need to be obtained from NCDEQ prior to such change in use”) and condition 1 (vapor mitigation beneath “any enclosed structure constructed over the affected area”); condition 3 (NCDEQ-approved soil management plan before any subsurface disturbance). Phase I ESA § 8.5 (“The consultant did not independently verify whether any residential units would be positioned directly above the affected 0.38-acre area … this determination requires a detailed overlay”). Credit Memorandum § 8.2 and § 9.5 (“the current project plans position 14 residential units in the building above this area”; lost revenue of $377,160; recalculated DSCR of 1.21x). Appraisal § 8 (“The appraiser has not adjusted the valuation conclusions to account for any potential impact of the NFA use restriction”). Term Sheet § 17 (describes only the vapor mitigation system and omits the use restriction, the soil management plan and the deed notice).</w:t>
      </w:r>
    </w:p>
    <w:p>
      <w:pPr>
        <w:spacing w:after="100"/>
        <w:ind w:left="259"/>
      </w:pPr>
      <w:r>
        <w:rPr>
          <w:rFonts w:ascii="Times New Roman" w:hAnsi="Times New Roman"/>
          <w:b/>
          <w:i/>
          <w:sz w:val="20"/>
        </w:rPr>
        <w:t xml:space="preserve">Analysis. </w:t>
      </w:r>
      <w:r>
        <w:rPr>
          <w:rFonts w:ascii="Times New Roman" w:hAnsi="Times New Roman"/>
          <w:b w:val="0"/>
          <w:i w:val="0"/>
          <w:sz w:val="20"/>
        </w:rPr>
        <w:t>The Credit Memorandum's 14-unit figure is not supported by any document in the Record, and the number 14 coincides with the number of three-bedroom units, which suggests the two may have been conflated. A 0.38-acre affected area is 10.9% of the 3.47-acre site; a proportional overlay of 212 units implies roughly 23 units, and the actual exposure depends on the footprint (which the Phase I ESA says “extends across substantial portions of both parcels”). We ran the economics both ways: at 14 units, lost rent is 14 × $2,245 × 12 = $377,160, NOI falls to $4,499,640 and DSCR to 1.21x; at 23 units, lost rent is $619,620, NOI falls to $4,257,180 and DSCR to 1.14x. Both are below the 1.25x covenant in section 9.3 of the draft, and at 23 units the loan would also fail a 65% as-stabilized LTV if value were reduced proportionally. Separately, the soil management plan must be approved by NCDEQ before any subsurface disturbance in the affected area — that is, before Draw 2 (foundation) if the foundation falls in or under the area — and no evidence of its submission appears in the Record. The vapor system must be designed by a North Carolina licensed professional engineer, and as-built drawings and a performance verification must go to NCDEQ within 90 days of foundation completion; the budget carries the system only as an unquantified note within the $3,590,000 parking line (line 2.08).</w:t>
      </w:r>
    </w:p>
    <w:p>
      <w:pPr>
        <w:spacing w:after="100"/>
        <w:ind w:left="259"/>
      </w:pPr>
      <w:r>
        <w:rPr>
          <w:rFonts w:ascii="Times New Roman" w:hAnsi="Times New Roman"/>
          <w:b/>
          <w:i/>
          <w:sz w:val="20"/>
        </w:rPr>
        <w:t xml:space="preserve">Consequence. </w:t>
      </w:r>
      <w:r>
        <w:rPr>
          <w:rFonts w:ascii="Times New Roman" w:hAnsi="Times New Roman"/>
          <w:b w:val="0"/>
          <w:i w:val="0"/>
          <w:sz w:val="20"/>
        </w:rPr>
        <w:t>If NCDEQ treats residential occupancy above the affected area as a change in land use requiring modification (the conservative reading, and the one the NFA Letter's text supports), Borrower will be unable to obtain certificates of occupancy for the affected units without a modification that the Phase I ESA says would “likely require additional environmental investigation, risk assessment, and potentially additional remediation.” That would reduce revenue, NOI and value simultaneously, and the appraised values would be overstated because the Appraisal expressly assumed compliance without adjustment. Conversely, if NCDEQ confirms in writing that residential use on upper floors above an engineered vapor system is permitted, the issue closes cheaply. The record does not allow the Bank to know which it is.</w:t>
      </w:r>
    </w:p>
    <w:p>
      <w:pPr>
        <w:spacing w:after="100"/>
        <w:ind w:left="259"/>
      </w:pPr>
      <w:r>
        <w:rPr>
          <w:rFonts w:ascii="Times New Roman" w:hAnsi="Times New Roman"/>
          <w:b/>
          <w:i/>
          <w:sz w:val="20"/>
        </w:rPr>
        <w:t xml:space="preserve">Recommendation. </w:t>
      </w:r>
      <w:r>
        <w:rPr>
          <w:rFonts w:ascii="Times New Roman" w:hAnsi="Times New Roman"/>
          <w:b w:val="0"/>
          <w:i w:val="0"/>
          <w:sz w:val="20"/>
        </w:rPr>
        <w:t>Do three things before closing. (1) Obtain a written interpretation from NCDEQ, in response to a written request supported by the vapor system design and the architect's overlay, that residential occupancy on floors above the affected area either is or is not permitted under the existing NFA determination. (2) Have the architect certify, unit by unit, how many units and which unit types lie above the affected area, and replace the unsupported “14 units” figure with that certification. (3) If residential occupancy is not permitted, redesign (convert the affected stack to amenity, office or common area, or relocate units) and re-underwrite; if it is permitted, document the basis. In either case, make NCDEQ approval of the soil management plan a condition to each draw for work in the affected area, require a plan-and-specification line item for the vapor system, and conform section 17 of the Term Sheet so that all four NFA conditions are contractual.</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Sections 3.5(a)–(f) (conditions precedent); sections 12.2–12.7 (use restriction, vapor system, soil management plan, deed notice, draw conditions); sections 8.12 and 11.4 (use restriction as a negative covenant and a recourse trigger); Schedule 4.</w:t>
      </w:r>
    </w:p>
    <w:p>
      <w:pPr>
        <w:pStyle w:val="Heading3"/>
      </w:pPr>
      <w:r>
        <w:rPr>
          <w:rFonts w:ascii="Times New Roman" w:hAnsi="Times New Roman"/>
          <w:b/>
          <w:i/>
          <w:sz w:val="22"/>
        </w:rPr>
        <w:t>C.  Credit metrics, reserve and coverage</w:t>
      </w:r>
    </w:p>
    <w:p>
      <w:pPr>
        <w:pStyle w:val="Heading2"/>
      </w:pPr>
      <w:r>
        <w:rPr>
          <w:rFonts w:ascii="Times New Roman" w:hAnsi="Times New Roman"/>
          <w:b/>
          <w:sz w:val="22"/>
        </w:rPr>
        <w:t>Issue 12 — The interest reserve adequacy conclusion differs across three documents, and the reserve is adequate only below a 3.82% SOFR</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Borrower Draw Schedule, “Interest Reserve Adequacy Analysis” tab (month-by-month model at an assumed SOFR of 3.50%; projected interest of $4,628,675 against $4,850,000 → surplus $221,325; conclusion “APPEARS ADEQUATE”; the schedule's own sensitivity table shows a shortfall of $365,830 at a 4.35% SOFR). Credit Memorandum § 6.2 (SOFR of 4.35%; average outstanding balance estimated at approximately $28,500,000; projected interest of $5,415,000; shortfall approximately $565,000; § 9.2 “approximately $565,000” shortfall). Term Sheet § 10 (reserve of $4,850,000; Borrower to fund shortfalls within five business days).</w:t>
      </w:r>
    </w:p>
    <w:p>
      <w:pPr>
        <w:spacing w:after="100"/>
        <w:ind w:left="259"/>
      </w:pPr>
      <w:r>
        <w:rPr>
          <w:rFonts w:ascii="Times New Roman" w:hAnsi="Times New Roman"/>
          <w:b/>
          <w:i/>
          <w:sz w:val="20"/>
        </w:rPr>
        <w:t xml:space="preserve">Analysis. </w:t>
      </w:r>
      <w:r>
        <w:rPr>
          <w:rFonts w:ascii="Times New Roman" w:hAnsi="Times New Roman"/>
          <w:b w:val="0"/>
          <w:i w:val="0"/>
          <w:sz w:val="20"/>
        </w:rPr>
        <w:t>We rebuilt Borrower's month-by-month model independently (draw dates as scheduled, interest on the daily balance at SOFR + 3.25%, accrued monthly at one-twelfth of the annual all-in rate) and reproduced its result at 3.50% ($4,628,672 against the $4,628,675 shown), which confirms that the model is internally correct but rate-sensitive. Running the same model across rates: 3.50% → $4,628,672 (surplus $221,328); 4.00% → $4,971,536 (shortfall $121,536); 4.35% → $5,211,542 (shortfall $361,542); 4.75% → $5,485,833 (shortfall $635,833); 5.25% → $5,828,698 (shortfall $978,698); 5.35% → $5,897,271 (shortfall $1,047,271). Solving for the breakeven, the $4,850,000 reserve covers construction-period interest only if SOFR averages 3.82% or less (all-in 7.07%). The Credit Memorandum's own market assumption is 4.35%. The Credit Memorandum's $565,000 figure and Borrower's $365,830 figure also differ from each other because they use different methods (average balance versus month-by-month draw modelling); the month-by-month figure is the more reliable of the two and is approximately $361,000 at 4.35%. The loan accrues interest on an actual/360 basis, so an actual day-count would increase every projection by approximately 1.4% (approximately $72,000 at a 4.35% SOFR), widening each shortfall; the conclusions are unaffected.</w:t>
      </w:r>
    </w:p>
    <w:p>
      <w:pPr>
        <w:spacing w:after="100"/>
        <w:ind w:left="259"/>
      </w:pPr>
      <w:r>
        <w:rPr>
          <w:rFonts w:ascii="Times New Roman" w:hAnsi="Times New Roman"/>
          <w:b/>
          <w:i/>
          <w:sz w:val="20"/>
        </w:rPr>
        <w:t xml:space="preserve">Consequence. </w:t>
      </w:r>
      <w:r>
        <w:rPr>
          <w:rFonts w:ascii="Times New Roman" w:hAnsi="Times New Roman"/>
          <w:b w:val="0"/>
          <w:i w:val="0"/>
          <w:sz w:val="20"/>
        </w:rPr>
        <w:t>On the Bank's own rate assumption the reserve is exhausted before construction is complete, and Borrower — which is contributing no verified cash equity (Issue 1) — must fund the shortfall or the Loan goes into payment default during construction. The credit file contains two contradictory conclusions (“APPEARS ADEQUATE” in Borrower's schedule; a $565,000 shortfall in the Credit Memorandum) that cannot both stand in a file presented to examiners.</w:t>
      </w:r>
    </w:p>
    <w:p>
      <w:pPr>
        <w:spacing w:after="100"/>
        <w:ind w:left="259"/>
      </w:pPr>
      <w:r>
        <w:rPr>
          <w:rFonts w:ascii="Times New Roman" w:hAnsi="Times New Roman"/>
          <w:b/>
          <w:i/>
          <w:sz w:val="20"/>
        </w:rPr>
        <w:t xml:space="preserve">Recommendation. </w:t>
      </w:r>
      <w:r>
        <w:rPr>
          <w:rFonts w:ascii="Times New Roman" w:hAnsi="Times New Roman"/>
          <w:b w:val="0"/>
          <w:i w:val="0"/>
          <w:sz w:val="20"/>
        </w:rPr>
        <w:t>Either increase the reserve to reflect current rates with a cushion (approximately $5,800,000 at 4.35% plus 100 basis points) or retain $4,850,000 and rely on a combination of (a) the mandatory replenishment obligation (section 5.3), (b) the adequacy test at each draw (section 5.4), (c) the Carry Guaranty (section 11.2), and (d) an explicit Committee acknowledgement, recorded in the credit file, that a call on the Guarantors is probable rather than theoretical. Correct Borrower's schedule so that it does not state a conclusion the sensitivity analysis contradicts.</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Sections 5.3–5.6 (replenishment, adequacy testing, monthly reconciliation, and Borrower's acknowledgement of the shortfall); section 11.2 (Carry Guaranty); Schedule 6, Part A.</w:t>
      </w:r>
    </w:p>
    <w:p>
      <w:pPr>
        <w:pStyle w:val="Heading2"/>
      </w:pPr>
      <w:r>
        <w:rPr>
          <w:rFonts w:ascii="Times New Roman" w:hAnsi="Times New Roman"/>
          <w:b/>
          <w:sz w:val="22"/>
        </w:rPr>
        <w:t>Issue 13 — Stabilized coverage is thin on a combined basis, and the DSCR testing dates and periods are internally inconsistent</w:t>
      </w:r>
      <w:r>
        <w:rPr>
          <w:rFonts w:ascii="Times New Roman" w:hAnsi="Times New Roman"/>
          <w:b/>
          <w:i/>
          <w:color w:val="8B1A1A"/>
          <w:sz w:val="18"/>
        </w:rPr>
        <w:t xml:space="preserve">   [Severity: H]</w:t>
      </w:r>
    </w:p>
    <w:p>
      <w:pPr>
        <w:spacing w:after="100"/>
        <w:ind w:left="259"/>
      </w:pPr>
      <w:r>
        <w:rPr>
          <w:rFonts w:ascii="Times New Roman" w:hAnsi="Times New Roman"/>
          <w:b/>
          <w:i/>
          <w:sz w:val="20"/>
        </w:rPr>
        <w:t xml:space="preserve">Record. </w:t>
      </w:r>
      <w:r>
        <w:rPr>
          <w:rFonts w:ascii="Times New Roman" w:hAnsi="Times New Roman"/>
          <w:b w:val="0"/>
          <w:i w:val="0"/>
          <w:sz w:val="20"/>
        </w:rPr>
        <w:t>Term Sheet § 6.3 (minimum projected stabilized DSCR of 1.25x “based on interest-only debt service during the Mini-Perm Period”; “tested at the commencement of the Mini-Perm Period and annually thereafter based on actual trailing twelve-month net operating income”) and § 4 (DSCR of 1.31x at a 7.85% all-in rate). Credit Memorandum § 6.1 (1.31x; stress test 1.04x at +200 basis points) and § 11(d) (extension test: trailing three-month annualized in-place NOI at 1.15x). Appraisal § 6.3 (stabilization not projected until approximately May 2028). Term Sheet § 2 and section 3.1 of the Credit Memorandum (projected substantial completion August 31, 2027).</w:t>
      </w:r>
    </w:p>
    <w:p>
      <w:pPr>
        <w:spacing w:after="100"/>
        <w:ind w:left="259"/>
      </w:pPr>
      <w:r>
        <w:rPr>
          <w:rFonts w:ascii="Times New Roman" w:hAnsi="Times New Roman"/>
          <w:b/>
          <w:i/>
          <w:sz w:val="20"/>
        </w:rPr>
        <w:t xml:space="preserve">Analysis. </w:t>
      </w:r>
      <w:r>
        <w:rPr>
          <w:rFonts w:ascii="Times New Roman" w:hAnsi="Times New Roman"/>
          <w:b w:val="0"/>
          <w:i w:val="0"/>
          <w:sz w:val="20"/>
        </w:rPr>
        <w:t>The 1.31x figure is arithmetic: $4,876,800 ÷ ($47,500,000 × 7.85% = $3,728,750) = 1.308. But it is senior-only, interest-only and excludes the mezzanine. Adding the Mezzanine Loan at its stated fixed 12.50% ($9,200,000 × 12.50% = $1,150,000) produces combined debt service of $4,878,750 against NOI of $4,876,800 — coverage of 1.00x. Because the mezzanine is stated to accrue interest and be paid in kind during construction (Credit Memorandum § 4.4), the accrued balance grows by approximately $2,875,000 over the 30-month construction period and approximately $4,025,000 by the mini-perm maturity date, at which point total debt is approximately $60,725,000 (79.7% of the as-stabilized value) and cash coverage, if the mezzanine converts to cash pay as contemplated, falls below 1.00x ($4,876,800 ÷ ($3,728,750 + $1,650,000) = 0.91x). Separately, the test mechanics do not work: a trailing twelve-month actual NOI test at the commencement of the Mini-Perm Period cannot be satisfied when Substantial Completion is projected for August 31, 2027 — three days after the Construction Maturity Date of August 28, 2027 — and stabilization is not projected until approximately May 2028. The covenant would fail arithmetically on the day it is first tested, and the cure (curtailment or cash collateral under Term Sheet § 6.3) requires cash that the structure does not have. The extension test uses a different metric and a different threshold (three-month annualized at 1.15x) from the covenant (twelve-month at 1.25x).</w:t>
      </w:r>
    </w:p>
    <w:p>
      <w:pPr>
        <w:spacing w:after="100"/>
        <w:ind w:left="259"/>
      </w:pPr>
      <w:r>
        <w:rPr>
          <w:rFonts w:ascii="Times New Roman" w:hAnsi="Times New Roman"/>
          <w:b/>
          <w:i/>
          <w:sz w:val="20"/>
        </w:rPr>
        <w:t xml:space="preserve">Consequence. </w:t>
      </w:r>
      <w:r>
        <w:rPr>
          <w:rFonts w:ascii="Times New Roman" w:hAnsi="Times New Roman"/>
          <w:b w:val="0"/>
          <w:i w:val="0"/>
          <w:sz w:val="20"/>
        </w:rPr>
        <w:t>On any realistic stress the Project cannot service its aggregate debt from operations, so repayment depends on a refinancing or a sale. A covenant that fails at first test is not a control; it is a forbearance negotiation in waiting.</w:t>
      </w:r>
    </w:p>
    <w:p>
      <w:pPr>
        <w:spacing w:after="100"/>
        <w:ind w:left="259"/>
      </w:pPr>
      <w:r>
        <w:rPr>
          <w:rFonts w:ascii="Times New Roman" w:hAnsi="Times New Roman"/>
          <w:b/>
          <w:i/>
          <w:sz w:val="20"/>
        </w:rPr>
        <w:t xml:space="preserve">Recommendation. </w:t>
      </w:r>
      <w:r>
        <w:rPr>
          <w:rFonts w:ascii="Times New Roman" w:hAnsi="Times New Roman"/>
          <w:b w:val="0"/>
          <w:i w:val="0"/>
          <w:sz w:val="20"/>
        </w:rPr>
        <w:t>Conform the testing mechanics: test at mini-perm commencement on annualized in-place NOI (or on the Appraiser's projected NOI until twelve months of operating history exists), then move to trailing twelve months once available; align the extension test with the covenant or state expressly why it differs. Add a combined-debt-service coverage measure as a covenant or, at minimum, as a reporting metric. Require an interest rate cap at conversion to the Mini-Perm Period (not only at extension) given that a 200 basis point move takes senior coverage to 1.04x. Require evidence of a take-out strategy (section 17.4 of the draft).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9.3(a)–(c); section 2.14(e)–(g) (extension conditions, including the cap); section 17.4 (take-out reporting); Schedule 6, Part A.</w:t>
      </w:r>
    </w:p>
    <w:p>
      <w:pPr>
        <w:pStyle w:val="Heading3"/>
      </w:pPr>
      <w:r>
        <w:rPr>
          <w:rFonts w:ascii="Times New Roman" w:hAnsi="Times New Roman"/>
          <w:b/>
          <w:i/>
          <w:sz w:val="22"/>
        </w:rPr>
        <w:t>D.  Guarantors, structure and parties</w:t>
      </w:r>
    </w:p>
    <w:p>
      <w:pPr>
        <w:pStyle w:val="Heading2"/>
      </w:pPr>
      <w:r>
        <w:rPr>
          <w:rFonts w:ascii="Times New Roman" w:hAnsi="Times New Roman"/>
          <w:b/>
          <w:sz w:val="22"/>
        </w:rPr>
        <w:t>Issue 14 — Borrower net worth and guarantor liquidity are unsupported by the Record, and the net worth covenant is likely to fail at closing</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Term Sheet § 6.4 and § 6.5 (Borrower net worth of $12,000,000 tested annually; combined guarantor liquidity of $5,000,000 tested quarterly); § 15 (Events of Default: “Any Guarantor's net worth falls below the minimum threshold set forth in Section 6.4”). Credit Memorandum § 2.1 and § 2.3 (Borrower net worth approximately $14,200,000; guarantor liquidity $6,100,000 and $3,200,000 from personal financial statements dated December 15 and 18, 2024; § 2.3.3 notes that Mr. Osei's $11,875,000 guaranty exposure equals approximately 103.3% of his net worth). Organizational Materials § 1.1 and § 1.3 (net worth approximately $14,200,000 “based on the book value of its assets and liabilities”; member capital contributions to date of $8,200,000, consisting solely of the land contribution).</w:t>
      </w:r>
    </w:p>
    <w:p>
      <w:pPr>
        <w:spacing w:after="100"/>
        <w:ind w:left="259"/>
      </w:pPr>
      <w:r>
        <w:rPr>
          <w:rFonts w:ascii="Times New Roman" w:hAnsi="Times New Roman"/>
          <w:b/>
          <w:i/>
          <w:sz w:val="20"/>
        </w:rPr>
        <w:t xml:space="preserve">Analysis. </w:t>
      </w:r>
      <w:r>
        <w:rPr>
          <w:rFonts w:ascii="Times New Roman" w:hAnsi="Times New Roman"/>
          <w:b w:val="0"/>
          <w:i w:val="0"/>
          <w:sz w:val="20"/>
        </w:rPr>
        <w:t>No financial statement for Borrower or either Guarantor is in the Record, so every net worth and liquidity figure is a summary assertion. More importantly, the $14,200,000 Borrower net worth is difficult to reconcile with a single-purpose entity that owns only the Property: land at a cost basis of $8,200,000, subject to the $3,400,000 Triangle deed of trust, plus capitalized site costs of approximately $680,000, produces net assets of approximately $5,480,000; if the mezzanine loan has been drawn to pay for the land (Issue 1), the entity holds cash of $9,200,000 against debt of $12,600,000 and net worth is approximately $4,800,000. Either way the figure is closer to $5,000,000 than to $14,200,000, and a $12,000,000 covenant tested at closing would fail. Note also the cross-reference defect in Term Sheet § 15, which treats section 6.4 (a Borrower covenant) as a Guarantor test — the Term Sheet contains no guarantor net worth covenant at all.</w:t>
      </w:r>
    </w:p>
    <w:p>
      <w:pPr>
        <w:spacing w:after="100"/>
        <w:ind w:left="259"/>
      </w:pPr>
      <w:r>
        <w:rPr>
          <w:rFonts w:ascii="Times New Roman" w:hAnsi="Times New Roman"/>
          <w:b/>
          <w:i/>
          <w:sz w:val="20"/>
        </w:rPr>
        <w:t xml:space="preserve">Consequence. </w:t>
      </w:r>
      <w:r>
        <w:rPr>
          <w:rFonts w:ascii="Times New Roman" w:hAnsi="Times New Roman"/>
          <w:b w:val="0"/>
          <w:i w:val="0"/>
          <w:sz w:val="20"/>
        </w:rPr>
        <w:t>A covenant that is breached at closing is a waiver request on day one, and the credit committee's stated cushion ($2,200,000 above the minimum, per Credit Memorandum § 2.1) may not exist. Guarantor support may likewise be overstated if the liquid asset figures cannot be verified, and the personal financial statements will be approximately two and a half months old at closing, before any equity contribution of approximately $4,080,000 (Issue 3).</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Borrower's interim balance sheet as of a date within 30 days of closing, with a schedule reconciling to the $14,200,000 representation, and a written net worth computation applying the definition in section 9.4(c) of the draft. If the computed figure is below $12,000,000, either reset the covenant to the computed level with a step-up at stabilization, or require an additional capital contribution. Obtain bring-down personal financial statements dated within 30 days of closing and verification of each liquid account. If a guarantor net worth covenant is intended, add it (the draft leaves the point open).</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9.4(a)–(c) (net worth, including a GAAP definition that excludes capitalized interest and unrealized appreciation, and a closing test); section 9.5 (liquidity); section 3.16 (financial information conditions); section 13.13 (Guarantor default).</w:t>
      </w:r>
    </w:p>
    <w:p>
      <w:pPr>
        <w:pStyle w:val="Heading2"/>
      </w:pPr>
      <w:r>
        <w:rPr>
          <w:rFonts w:ascii="Times New Roman" w:hAnsi="Times New Roman"/>
          <w:b/>
          <w:sz w:val="22"/>
        </w:rPr>
        <w:t>Issue 15 — Borrower is not yet a compliant single-purpose entity, the 28% member holds an effective veto, and its affiliate is the mezzanine lender</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Organizational Materials § 1.1 (“the Amended and Restated Operating Agreement … does not currently include provisions for an independent director or independent manager, nor does it contain separateness covenants”); § 2.2 (Operating Agreement §§ 3.1–3.2: major decisions, including any financing over $1,000,000, require 75% approval, which Ms. Vasquez-Torres (62%) and Mr. Osei (10%) cannot reach at 72%, giving Brightleaf Investors Group LLC an effective veto; § 9.1: a pledge of a membership interest requires the Managing Member's written consent); § 1.2 (Thomas R. Chen is the managing member of both Brightleaf Investors Group LLC (28% member) and Brightleaf Mezzanine Capital LLC (mezzanine lender)). Credit Memorandum § 9.3 and § 10.1(4) (SPE covenants, independent manager and non-consolidation opinion as conditions). Term Sheet § 20 (SPE requirements, including the potential appointment of an independent manager).</w:t>
      </w:r>
    </w:p>
    <w:p>
      <w:pPr>
        <w:spacing w:after="100"/>
        <w:ind w:left="259"/>
      </w:pPr>
      <w:r>
        <w:rPr>
          <w:rFonts w:ascii="Times New Roman" w:hAnsi="Times New Roman"/>
          <w:b/>
          <w:i/>
          <w:sz w:val="20"/>
        </w:rPr>
        <w:t xml:space="preserve">Analysis. </w:t>
      </w:r>
      <w:r>
        <w:rPr>
          <w:rFonts w:ascii="Times New Roman" w:hAnsi="Times New Roman"/>
          <w:b w:val="0"/>
          <w:i w:val="0"/>
          <w:sz w:val="20"/>
        </w:rPr>
        <w:t>The three structural protections the Credit Memorandum relies on — separateness covenants, an independent manager and a non-consolidation opinion — do not exist today and have to be created by amendment before closing. The governance arithmetic matters practically as well as theoretically: because the loan and the pledges require 75% member approval, Brightleaf Investors Group LLC's written consent is a closing deliverable, and the same entity is affiliated with the lender whose pledge must be subordinated (Issue 17). That gives an affiliated party two points of leverage over the closing. The independent manager requirement is also the single most effective protection against a voluntary bankruptcy filing, which is a recourse trigger under section 11.4.</w:t>
      </w:r>
    </w:p>
    <w:p>
      <w:pPr>
        <w:spacing w:after="100"/>
        <w:ind w:left="259"/>
      </w:pPr>
      <w:r>
        <w:rPr>
          <w:rFonts w:ascii="Times New Roman" w:hAnsi="Times New Roman"/>
          <w:b/>
          <w:i/>
          <w:sz w:val="20"/>
        </w:rPr>
        <w:t xml:space="preserve">Consequence. </w:t>
      </w:r>
      <w:r>
        <w:rPr>
          <w:rFonts w:ascii="Times New Roman" w:hAnsi="Times New Roman"/>
          <w:b w:val="0"/>
          <w:i w:val="0"/>
          <w:sz w:val="20"/>
        </w:rPr>
        <w:t>Without the amendments, the Bank has no separateness protection, and the Borrower cannot deliver the consents it has promised; with the amendments but without the affiliated member's consent, the pledges are ineffective under § 9.1 of the Operating Agreement.</w:t>
      </w:r>
    </w:p>
    <w:p>
      <w:pPr>
        <w:spacing w:after="100"/>
        <w:ind w:left="259"/>
      </w:pPr>
      <w:r>
        <w:rPr>
          <w:rFonts w:ascii="Times New Roman" w:hAnsi="Times New Roman"/>
          <w:b/>
          <w:i/>
          <w:sz w:val="20"/>
        </w:rPr>
        <w:t xml:space="preserve">Recommendation. </w:t>
      </w:r>
      <w:r>
        <w:rPr>
          <w:rFonts w:ascii="Times New Roman" w:hAnsi="Times New Roman"/>
          <w:b w:val="0"/>
          <w:i w:val="0"/>
          <w:sz w:val="20"/>
        </w:rPr>
        <w:t>Require, as conditions precedent: (a) a member-approved amendment adding the SPE covenants and an independent manager with a bankruptcy-consent right; (b) the Managing Member's written consent to each pledge under § 9.1; (c) the 75% member consent to the financing and the security interests; (d) a non-consolidation opinion from Borrower's counsel; and (e) an annual independent-manager certificate. Confirm that the independent manager is unaffiliated with Mr. Chen. Consider also requiring the independent manager's consent right to be documented in a side letter for the Bank's benefit.</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3.9 (amendments, consents and non-consolidation opinion); Article XV (SPE covenants, including the independent manager); section 13.9 (SPE breach as an Event of Default); section 11.4 (SPE breach as a recourse trigger).</w:t>
      </w:r>
    </w:p>
    <w:p>
      <w:pPr>
        <w:pStyle w:val="Heading2"/>
      </w:pPr>
      <w:r>
        <w:rPr>
          <w:rFonts w:ascii="Times New Roman" w:hAnsi="Times New Roman"/>
          <w:b/>
          <w:sz w:val="22"/>
        </w:rPr>
        <w:t>Issue 16 — The partial repayment guaranty is described inconsistently, and the environmental indemnity parties differ between documents</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Term Sheet § 7.3 (“a partial repayment guaranty … in the amount of 25% of the Loan Amount (25% × $47,500,000 = $11,875,000) … joint and several, meaning that each Guarantor shall be individually liable for the full guaranteed amount”) and § 7.4 (Environmental Indemnity to be executed by “each Guarantor”). Credit Memorandum § 4.3 (“each guarantor will provide a 25% partial repayment guaranty — $11,875,000 per guarantor … a payment guaranty obligating each guarantor to pay … up to $11,875,000 in the event of a payment default or other event of default”) and § 8.2 (environmental indemnity from “both the Borrower and the Guarantors”).</w:t>
      </w:r>
    </w:p>
    <w:p>
      <w:pPr>
        <w:spacing w:after="100"/>
        <w:ind w:left="259"/>
      </w:pPr>
      <w:r>
        <w:rPr>
          <w:rFonts w:ascii="Times New Roman" w:hAnsi="Times New Roman"/>
          <w:b/>
          <w:i/>
          <w:sz w:val="20"/>
        </w:rPr>
        <w:t xml:space="preserve">Analysis. </w:t>
      </w:r>
      <w:r>
        <w:rPr>
          <w:rFonts w:ascii="Times New Roman" w:hAnsi="Times New Roman"/>
          <w:b w:val="0"/>
          <w:i w:val="0"/>
          <w:sz w:val="20"/>
        </w:rPr>
        <w:t>The two descriptions produce materially different liabilities. Under the Term Sheet, $11,875,000 is the aggregate cap on a guaranty that is joint and several, so the Bank's total recovery from both Guarantors is $11,875,000. The Credit Memorandum's “per guarantor” formulation implies $23,750,000 in the aggregate and, separately, describes a payment guaranty triggered by any default rather than a limited 25% recourse obligation with bad-boy carve-outs to full recourse. Those are different products with different pricing. On the environmental indemnity, the Term Sheet names only the Guarantors while the Credit Memorandum names Borrower and Guarantors — the latter is correct for a construction loan where the Borrower is the owner and operator.</w:t>
      </w:r>
    </w:p>
    <w:p>
      <w:pPr>
        <w:spacing w:after="100"/>
        <w:ind w:left="259"/>
      </w:pPr>
      <w:r>
        <w:rPr>
          <w:rFonts w:ascii="Times New Roman" w:hAnsi="Times New Roman"/>
          <w:b/>
          <w:i/>
          <w:sz w:val="20"/>
        </w:rPr>
        <w:t xml:space="preserve">Consequence. </w:t>
      </w:r>
      <w:r>
        <w:rPr>
          <w:rFonts w:ascii="Times New Roman" w:hAnsi="Times New Roman"/>
          <w:b w:val="0"/>
          <w:i w:val="0"/>
          <w:sz w:val="20"/>
        </w:rPr>
        <w:t>An ambiguity in a guaranty invites litigation precisely when the Bank needs it most, and a guaranty that overstates the obtainable recovery (two times the intended amount) distorts the credit analysis in the file used to approve the loan.</w:t>
      </w:r>
    </w:p>
    <w:p>
      <w:pPr>
        <w:spacing w:after="100"/>
        <w:ind w:left="259"/>
      </w:pPr>
      <w:r>
        <w:rPr>
          <w:rFonts w:ascii="Times New Roman" w:hAnsi="Times New Roman"/>
          <w:b/>
          <w:i/>
          <w:sz w:val="20"/>
        </w:rPr>
        <w:t xml:space="preserve">Recommendation. </w:t>
      </w:r>
      <w:r>
        <w:rPr>
          <w:rFonts w:ascii="Times New Roman" w:hAnsi="Times New Roman"/>
          <w:b w:val="0"/>
          <w:i w:val="0"/>
          <w:sz w:val="20"/>
        </w:rPr>
        <w:t>Fix the aggregate cap at $11,875,000 with express language that collections reduce the aggregate dollar for dollar, and specify whether the obligation is a 25% recourse guaranty with bad-boy conversion or a full payment guaranty in that amount; we recommend the former, consistent with the Term Sheet. Confirm the environmental indemnity runs from Borrower and each Guarantor and is unlimited and survives foreclosure. Update the credit file to conform to whichever structure is approved.</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11.3(a)–(c) (aggregate cap of $11,875,000, credit for recoveries, and the fair-value adjustment); section 11.4 (recourse carve-outs); section 11.5 (Borrower and Guarantors).</w:t>
      </w:r>
    </w:p>
    <w:p>
      <w:pPr>
        <w:pStyle w:val="Heading2"/>
      </w:pPr>
      <w:r>
        <w:rPr>
          <w:rFonts w:ascii="Times New Roman" w:hAnsi="Times New Roman"/>
          <w:b/>
          <w:sz w:val="22"/>
        </w:rPr>
        <w:t>Issue 17 — Mezzanine terms are incomplete: pay-in-kind interest is undisclosed in the Term Sheet, the pledge priority is contested, and the mezzanine lender is an affiliate of a 28% member</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Term Sheet § 1.4 (mezzanine loan of $9,200,000 at 12.50% fixed, secured by a pledge of 100% of the membership interests, maturity coterminous with the senior loan “including any extension period”; intercreditor agreement “currently under negotiation and must be executed prior to or simultaneously with the closing”) and § 8 (senior collateral includes “Pledge of 100% of membership interests in the Borrower by all members”). Credit Memorandum § 4.2 and § 9.4 (both loans secured by a pledge of 100% of the membership interests; “mutually exclusive as first-priority security interests”) and § 4.4 (mezzanine payments: “Interest accrues and is paid-in-kind during construction; cash pay during mini-perm”). Organizational Materials § 2.5 (Operating Agreement contains no mechanism to resolve competing pledges) and § 1.2 (common control by Thomas R. Chen).</w:t>
      </w:r>
    </w:p>
    <w:p>
      <w:pPr>
        <w:spacing w:after="100"/>
        <w:ind w:left="259"/>
      </w:pPr>
      <w:r>
        <w:rPr>
          <w:rFonts w:ascii="Times New Roman" w:hAnsi="Times New Roman"/>
          <w:b/>
          <w:i/>
          <w:sz w:val="20"/>
        </w:rPr>
        <w:t xml:space="preserve">Analysis. </w:t>
      </w:r>
      <w:r>
        <w:rPr>
          <w:rFonts w:ascii="Times New Roman" w:hAnsi="Times New Roman"/>
          <w:b w:val="0"/>
          <w:i w:val="0"/>
          <w:sz w:val="20"/>
        </w:rPr>
        <w:t>Two problems. First, the Term Sheet and the Credit Memorandum each promise the senior lender a first-priority pledge of 100% of the membership interests while acknowledging that the mezzanine lender holds a pledge of the same 100%; the only resolution is subordination in an intercreditor agreement that has not been executed and, so far as the Record shows, has not been drafted. Second, and less visibly, the Credit Memorandum discloses that mezzanine interest is paid in kind during construction, but the Term Sheet does not, and nothing in the Record caps the accrual, requires reporting of it, or includes it in any leverage calculation. On the stated terms, $9,200,000 at 12.50% accrues approximately $2,875,000 of interest over the 30-month construction period and approximately $4,025,000 by the mini-perm maturity date, taking aggregate debt to approximately $60,725,000, or 79.7% of the as-stabilized value, with combined coverage below 1.00x if cash pay begins.</w:t>
      </w:r>
    </w:p>
    <w:p>
      <w:pPr>
        <w:spacing w:after="100"/>
        <w:ind w:left="259"/>
      </w:pPr>
      <w:r>
        <w:rPr>
          <w:rFonts w:ascii="Times New Roman" w:hAnsi="Times New Roman"/>
          <w:b/>
          <w:i/>
          <w:sz w:val="20"/>
        </w:rPr>
        <w:t xml:space="preserve">Consequence. </w:t>
      </w:r>
      <w:r>
        <w:rPr>
          <w:rFonts w:ascii="Times New Roman" w:hAnsi="Times New Roman"/>
          <w:b w:val="0"/>
          <w:i w:val="0"/>
          <w:sz w:val="20"/>
        </w:rPr>
        <w:t>Without the intercreditor agreement the Bank's collateral position is undefined, which the Credit Memorandum itself treats as a closing failure; and leverage grows during construction in a way that the approval documents do not reflect, eroding the only cushion (the land) that the file relies on.</w:t>
      </w:r>
    </w:p>
    <w:p>
      <w:pPr>
        <w:spacing w:after="100"/>
        <w:ind w:left="259"/>
      </w:pPr>
      <w:r>
        <w:rPr>
          <w:rFonts w:ascii="Times New Roman" w:hAnsi="Times New Roman"/>
          <w:b/>
          <w:i/>
          <w:sz w:val="20"/>
        </w:rPr>
        <w:t xml:space="preserve">Recommendation. </w:t>
      </w:r>
      <w:r>
        <w:rPr>
          <w:rFonts w:ascii="Times New Roman" w:hAnsi="Times New Roman"/>
          <w:b w:val="0"/>
          <w:i w:val="0"/>
          <w:sz w:val="20"/>
        </w:rPr>
        <w:t>Obtain the mezzanine term sheet or loan agreement and the draft intercreditor agreement now. Require the intercreditor agreement to address: senior first-priority pledge; a standstill of at least 90 days; notice and cure rights; a purchase option at par plus the Exit Fee; prohibition on modification, on prepayment and on any payment while a senior default exists; PIK accrual reporting and a cap; coterminous extension mechanics; and an express acknowledgement of the common control. Add the accrued mezzanine balance to the leverage reported to the Committee and to the loan-to-value covenant calculation.</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3.8 (intercreditor conditions, including the PIK and payment-block provisions); sections 8.13 and 13.10 (mezzanine modifications and cross-default); section 10.6 (pledges); section 9.3(c) (combined coverage disclosure).</w:t>
      </w:r>
    </w:p>
    <w:p>
      <w:pPr>
        <w:pStyle w:val="Heading3"/>
      </w:pPr>
      <w:r>
        <w:rPr>
          <w:rFonts w:ascii="Times New Roman" w:hAnsi="Times New Roman"/>
          <w:b/>
          <w:i/>
          <w:sz w:val="22"/>
        </w:rPr>
        <w:t>E.  Insurance, documentation and legal points</w:t>
      </w:r>
    </w:p>
    <w:p>
      <w:pPr>
        <w:pStyle w:val="Heading2"/>
      </w:pPr>
      <w:r>
        <w:rPr>
          <w:rFonts w:ascii="Times New Roman" w:hAnsi="Times New Roman"/>
          <w:b/>
          <w:sz w:val="22"/>
        </w:rPr>
        <w:t>Issue 18 — The insurance program covers construction only, and the flood zone data conflict</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Term Sheet § 19 and Credit Memorandum § 8.1 (builder's risk of not less than $34,750,000; commercial general liability $5,000,000/$10,000,000; umbrella $10,000,000; workers' compensation; flood insurance “if the Property is determined to be located in a FEMA-designated Special Flood Hazard Area”). Borrower Draw Schedule line 3.09 (builder's risk $210,000). Appraisal § 2 (Zone X on FIRM panel 3710406400J, effective May 2, 2019). Phase I ESA § 2.3 (Zone X on FIRM panel 3720098700J, effective March 2, 2009). Credit Memorandum § 8.1 (architect's professional liability of $2,000,000).</w:t>
      </w:r>
    </w:p>
    <w:p>
      <w:pPr>
        <w:spacing w:after="100"/>
        <w:ind w:left="259"/>
      </w:pPr>
      <w:r>
        <w:rPr>
          <w:rFonts w:ascii="Times New Roman" w:hAnsi="Times New Roman"/>
          <w:b/>
          <w:i/>
          <w:sz w:val="20"/>
        </w:rPr>
        <w:t xml:space="preserve">Analysis. </w:t>
      </w:r>
      <w:r>
        <w:rPr>
          <w:rFonts w:ascii="Times New Roman" w:hAnsi="Times New Roman"/>
          <w:b w:val="0"/>
          <w:i w:val="0"/>
          <w:sz w:val="20"/>
        </w:rPr>
        <w:t>Every insurance requirement in the Record addresses the Construction Period. None specifies property insurance at full replacement value for the twelve-month Mini-Perm Period (during which the completed building — approximately $72,800,000 of as-completed value — will be occupied and income-producing), rent loss or business income coverage, equipment breakdown, or the professional liability coverage the Credit Memorandum requires of the architect. Builder's risk at $34,750,000 is appropriate for construction but is roughly half the replacement value of the finished asset. The two flood determinations also cite different FIRM panels and effective dates, so a current determination from a recognized service is needed before closing.</w:t>
      </w:r>
    </w:p>
    <w:p>
      <w:pPr>
        <w:spacing w:after="100"/>
        <w:ind w:left="259"/>
      </w:pPr>
      <w:r>
        <w:rPr>
          <w:rFonts w:ascii="Times New Roman" w:hAnsi="Times New Roman"/>
          <w:b/>
          <w:i/>
          <w:sz w:val="20"/>
        </w:rPr>
        <w:t xml:space="preserve">Consequence. </w:t>
      </w:r>
      <w:r>
        <w:rPr>
          <w:rFonts w:ascii="Times New Roman" w:hAnsi="Times New Roman"/>
          <w:b w:val="0"/>
          <w:i w:val="0"/>
          <w:sz w:val="20"/>
        </w:rPr>
        <w:t>A casualty during the Mini-Perm Period would leave the Bank with collateral worth substantially more than the insurance proceeds, and no rent loss coverage with which to pay debt service while the building is restored.</w:t>
      </w:r>
    </w:p>
    <w:p>
      <w:pPr>
        <w:spacing w:after="100"/>
        <w:ind w:left="259"/>
      </w:pPr>
      <w:r>
        <w:rPr>
          <w:rFonts w:ascii="Times New Roman" w:hAnsi="Times New Roman"/>
          <w:b/>
          <w:i/>
          <w:sz w:val="20"/>
        </w:rPr>
        <w:t xml:space="preserve">Recommendation. </w:t>
      </w:r>
      <w:r>
        <w:rPr>
          <w:rFonts w:ascii="Times New Roman" w:hAnsi="Times New Roman"/>
          <w:b w:val="0"/>
          <w:i w:val="0"/>
          <w:sz w:val="20"/>
        </w:rPr>
        <w:t>Amend the insurance schedule to require, from Substantial Completion: special-form property insurance at full replacement cost with an agreed-amount endorsement; rent loss of at least twelve months including debt service; equipment breakdown; flood coverage if applicable under a current determination; and architect's professional liability of $2,000,000. Obtain a current flood zone determination before closing and reconcile the two FIRM references in the Record.</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16.1 and 16.2 (construction and mini-perm coverage); section 16.5 (flood determination); Schedule 5.</w:t>
      </w:r>
    </w:p>
    <w:p>
      <w:pPr>
        <w:pStyle w:val="Heading2"/>
      </w:pPr>
      <w:r>
        <w:rPr>
          <w:rFonts w:ascii="Times New Roman" w:hAnsi="Times New Roman"/>
          <w:b/>
          <w:sz w:val="22"/>
        </w:rPr>
        <w:t>Issue 19 — Document-level inconsistencies and drafting points carried forward from the Term Sheet</w:t>
      </w:r>
      <w:r>
        <w:rPr>
          <w:rFonts w:ascii="Times New Roman" w:hAnsi="Times New Roman"/>
          <w:b/>
          <w:i/>
          <w:color w:val="8B1A1A"/>
          <w:sz w:val="18"/>
        </w:rPr>
        <w:t xml:space="preserve">   [Severity: L]</w:t>
      </w:r>
    </w:p>
    <w:p>
      <w:pPr>
        <w:spacing w:after="100"/>
        <w:ind w:left="259"/>
      </w:pPr>
      <w:r>
        <w:rPr>
          <w:rFonts w:ascii="Times New Roman" w:hAnsi="Times New Roman"/>
          <w:b/>
          <w:i/>
          <w:sz w:val="20"/>
        </w:rPr>
        <w:t xml:space="preserve">Record. </w:t>
      </w:r>
      <w:r>
        <w:rPr>
          <w:rFonts w:ascii="Times New Roman" w:hAnsi="Times New Roman"/>
          <w:b w:val="0"/>
          <w:i w:val="0"/>
          <w:sz w:val="20"/>
        </w:rPr>
        <w:t>Term Sheet § 3.1 (“structured as a single advance facility, with loan proceeds to be disbursed in accordance with the approved draw schedule”) against § 9.2 (nine draws); § 15, final bullet (Guarantor net worth keyed to § 6.4, which is a Borrower covenant); § 3.2 (extension “subject to satisfaction of customary conditions to be determined and set forth in the definitive Loan Agreement”, with no conditions stated) against Credit Memorandum § 11 (ten specific conditions); § 3.4 (unused line fee on the “average daily undrawn commitment amount”) against a fully committed construction facility for which the undrawn portion is already reserved for identified uses; § 22 (expense deposit of $75,000 applied to the Lender's costs) against Borrower Draw Schedule line 3.04 ($310,000 of Lender's counsel and title costs funded from loan proceeds); § 18 (four Permitted Exceptions) against Title Commitment Schedule B–Part II (thirteen exceptions, including ad valorem taxes, the zoning exception, the possession exception and the CC&amp;R First Amendment recorded in Book 7102, Page 388).</w:t>
      </w:r>
    </w:p>
    <w:p>
      <w:pPr>
        <w:spacing w:after="100"/>
        <w:ind w:left="259"/>
      </w:pPr>
      <w:r>
        <w:rPr>
          <w:rFonts w:ascii="Times New Roman" w:hAnsi="Times New Roman"/>
          <w:b/>
          <w:i/>
          <w:sz w:val="20"/>
        </w:rPr>
        <w:t xml:space="preserve">Analysis. </w:t>
      </w:r>
      <w:r>
        <w:rPr>
          <w:rFonts w:ascii="Times New Roman" w:hAnsi="Times New Roman"/>
          <w:b w:val="0"/>
          <w:i w:val="0"/>
          <w:sz w:val="20"/>
        </w:rPr>
        <w:t>These are drafting points rather than credit points, but each could produce a dispute: a “single advance” description invites an argument that the Bank must fund once; an Events of Default clause that points to the wrong covenant is unenforceable as written; an extension option with no stated conditions could be read as unconditional; an unused line fee on reserved amounts charges the Borrower for money it cannot draw; the expense deposit and the loan-funded lender-expense line may fund the same costs twice; and an incomplete permitted-exception list gives the Bank a title policy that is broader than what it approved.</w:t>
      </w:r>
    </w:p>
    <w:p>
      <w:pPr>
        <w:spacing w:after="100"/>
        <w:ind w:left="259"/>
      </w:pPr>
      <w:r>
        <w:rPr>
          <w:rFonts w:ascii="Times New Roman" w:hAnsi="Times New Roman"/>
          <w:b/>
          <w:i/>
          <w:sz w:val="20"/>
        </w:rPr>
        <w:t xml:space="preserve">Consequence. </w:t>
      </w:r>
      <w:r>
        <w:rPr>
          <w:rFonts w:ascii="Times New Roman" w:hAnsi="Times New Roman"/>
          <w:b w:val="0"/>
          <w:i w:val="0"/>
          <w:sz w:val="20"/>
        </w:rPr>
        <w:t>Ambiguity in a construction loan agreement is most expensive at the point of a draw, an extension or a default — exactly when the Bank needs the documents to be self-executing.</w:t>
      </w:r>
    </w:p>
    <w:p>
      <w:pPr>
        <w:spacing w:after="100"/>
        <w:ind w:left="259"/>
      </w:pPr>
      <w:r>
        <w:rPr>
          <w:rFonts w:ascii="Times New Roman" w:hAnsi="Times New Roman"/>
          <w:b/>
          <w:i/>
          <w:sz w:val="20"/>
        </w:rPr>
        <w:t xml:space="preserve">Recommendation. </w:t>
      </w:r>
      <w:r>
        <w:rPr>
          <w:rFonts w:ascii="Times New Roman" w:hAnsi="Times New Roman"/>
          <w:b w:val="0"/>
          <w:i w:val="0"/>
          <w:sz w:val="20"/>
        </w:rPr>
        <w:t>Correct each point in the definitive documents: describe the facility as a single commitment with multiple milestone disbursements; state the extension conditions expressly; define the unused line fee base to exclude the interest reserve and contingency; require invoices and a settlement statement showing that no cost is funded twice from the expense deposit and loan proceeds; and list the permitted exceptions completely, including the First Amendment to the CC&amp;Rs and the environmental deed notice.</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2.1 (single commitment, multiple disbursements); section 2.10(c) (unused line fee base) and 2.10(e) (expense deposit); section 2.14 (extension conditions); section 13 (Events of Default, with the cross-reference corrected); Schedule 3 (permitted exceptions).</w:t>
      </w:r>
    </w:p>
    <w:p>
      <w:pPr>
        <w:pStyle w:val="Heading2"/>
      </w:pPr>
      <w:r>
        <w:rPr>
          <w:rFonts w:ascii="Times New Roman" w:hAnsi="Times New Roman"/>
          <w:b/>
          <w:sz w:val="22"/>
        </w:rPr>
        <w:t>Issue 20 — The Term Sheet's permitted exceptions omit matters that appear in the Title Commitment</w:t>
      </w:r>
      <w:r>
        <w:rPr>
          <w:rFonts w:ascii="Times New Roman" w:hAnsi="Times New Roman"/>
          <w:b/>
          <w:i/>
          <w:color w:val="8B1A1A"/>
          <w:sz w:val="18"/>
        </w:rPr>
        <w:t xml:space="preserve">   [Severity: L-M]</w:t>
      </w:r>
    </w:p>
    <w:p>
      <w:pPr>
        <w:spacing w:after="100"/>
        <w:ind w:left="259"/>
      </w:pPr>
      <w:r>
        <w:rPr>
          <w:rFonts w:ascii="Times New Roman" w:hAnsi="Times New Roman"/>
          <w:b/>
          <w:i/>
          <w:sz w:val="20"/>
        </w:rPr>
        <w:t xml:space="preserve">Record. </w:t>
      </w:r>
      <w:r>
        <w:rPr>
          <w:rFonts w:ascii="Times New Roman" w:hAnsi="Times New Roman"/>
          <w:b w:val="0"/>
          <w:i w:val="0"/>
          <w:sz w:val="20"/>
        </w:rPr>
        <w:t>Term Sheet § 18 (Permitted Exceptions: “standard printed exceptions, to be removed or modified as required by the Lender”; the Duke Energy easement; the City of Durham stormwater easement; and the CC&amp;Rs recorded in Book 6984, Page 1155) against Title Commitment, Schedule B–Part II ¶¶ 1–13 (adds ad valorem taxes for 2025 and subsequent years; the Unified Development Ordinance and MU-D zoning restrictions; facts ascertainable by inspection or asserted by persons in possession; and the First Amendment to the CC&amp;Rs recorded in Book 7102, Page 388, dated June 19, 2017).</w:t>
      </w:r>
    </w:p>
    <w:p>
      <w:pPr>
        <w:spacing w:after="100"/>
        <w:ind w:left="259"/>
      </w:pPr>
      <w:r>
        <w:rPr>
          <w:rFonts w:ascii="Times New Roman" w:hAnsi="Times New Roman"/>
          <w:b/>
          <w:i/>
          <w:sz w:val="20"/>
        </w:rPr>
        <w:t xml:space="preserve">Analysis. </w:t>
      </w:r>
      <w:r>
        <w:rPr>
          <w:rFonts w:ascii="Times New Roman" w:hAnsi="Times New Roman"/>
          <w:b w:val="0"/>
          <w:i w:val="0"/>
          <w:sz w:val="20"/>
        </w:rPr>
        <w:t>The Term Sheet's list is incomplete rather than wrong. The tax, zoning and possession exceptions are customary and, in the case of the possession exception, removable with a survey and an owner's affidavit. The First Amendment to the CC&amp;Rs is a substantive omission because the operative architectural review and assessment provisions may be in the amendment. The environmental deed notice (Issue 8) is missing altogether from both lists.</w:t>
      </w:r>
    </w:p>
    <w:p>
      <w:pPr>
        <w:spacing w:after="100"/>
        <w:ind w:left="259"/>
      </w:pPr>
      <w:r>
        <w:rPr>
          <w:rFonts w:ascii="Times New Roman" w:hAnsi="Times New Roman"/>
          <w:b/>
          <w:i/>
          <w:sz w:val="20"/>
        </w:rPr>
        <w:t xml:space="preserve">Consequence. </w:t>
      </w:r>
      <w:r>
        <w:rPr>
          <w:rFonts w:ascii="Times New Roman" w:hAnsi="Times New Roman"/>
          <w:b w:val="0"/>
          <w:i w:val="0"/>
          <w:sz w:val="20"/>
        </w:rPr>
        <w:t>If the Title Policy is issued with exceptions beyond the approved list, the Bank's insured position is narrower than the credit approval assumed, and the difference may not be discovered until a claim.</w:t>
      </w:r>
    </w:p>
    <w:p>
      <w:pPr>
        <w:spacing w:after="100"/>
        <w:ind w:left="259"/>
      </w:pPr>
      <w:r>
        <w:rPr>
          <w:rFonts w:ascii="Times New Roman" w:hAnsi="Times New Roman"/>
          <w:b/>
          <w:i/>
          <w:sz w:val="20"/>
        </w:rPr>
        <w:t xml:space="preserve">Recommendation. </w:t>
      </w:r>
      <w:r>
        <w:rPr>
          <w:rFonts w:ascii="Times New Roman" w:hAnsi="Times New Roman"/>
          <w:b w:val="0"/>
          <w:i w:val="0"/>
          <w:sz w:val="20"/>
        </w:rPr>
        <w:t>Approve a conformed permitted-exception schedule (Schedule 3 to the draft) that lists every exception, identifies which are to be removed and which accepted, and adds the recorded environmental deed notice in the form approved by counsel. Confirm with the Title Company that the standard exceptions will be deleted on delivery of the survey and affidavit.</w:t>
      </w:r>
    </w:p>
    <w:p>
      <w:pPr>
        <w:spacing w:after="100"/>
        <w:ind w:left="259"/>
      </w:pPr>
      <w:r>
        <w:rPr>
          <w:rFonts w:ascii="Times New Roman" w:hAnsi="Times New Roman"/>
          <w:b/>
          <w:i/>
          <w:sz w:val="20"/>
        </w:rPr>
        <w:t xml:space="preserve">Where addressed. </w:t>
      </w:r>
      <w:r>
        <w:rPr>
          <w:rFonts w:ascii="Times New Roman" w:hAnsi="Times New Roman"/>
          <w:b w:val="0"/>
          <w:i w:val="0"/>
          <w:sz w:val="20"/>
        </w:rPr>
        <w:t>Schedule 3 (permitted exceptions); section 3.3 (title conditions).</w:t>
      </w:r>
    </w:p>
    <w:p>
      <w:pPr>
        <w:pStyle w:val="Heading2"/>
      </w:pPr>
      <w:r>
        <w:rPr>
          <w:rFonts w:ascii="Times New Roman" w:hAnsi="Times New Roman"/>
          <w:b/>
          <w:sz w:val="22"/>
        </w:rPr>
        <w:t>Issue 21 — North Carolina legal characterizations and two unbudgeted closing costs should be confirmed</w:t>
      </w:r>
      <w:r>
        <w:rPr>
          <w:rFonts w:ascii="Times New Roman" w:hAnsi="Times New Roman"/>
          <w:b/>
          <w:i/>
          <w:color w:val="8B1A1A"/>
          <w:sz w:val="18"/>
        </w:rPr>
        <w:t xml:space="preserve">   [Severity: L]</w:t>
      </w:r>
    </w:p>
    <w:p>
      <w:pPr>
        <w:spacing w:after="100"/>
        <w:ind w:left="259"/>
      </w:pPr>
      <w:r>
        <w:rPr>
          <w:rFonts w:ascii="Times New Roman" w:hAnsi="Times New Roman"/>
          <w:b/>
          <w:i/>
          <w:sz w:val="20"/>
        </w:rPr>
        <w:t xml:space="preserve">Record. </w:t>
      </w:r>
      <w:r>
        <w:rPr>
          <w:rFonts w:ascii="Times New Roman" w:hAnsi="Times New Roman"/>
          <w:b w:val="0"/>
          <w:i w:val="0"/>
          <w:sz w:val="20"/>
        </w:rPr>
        <w:t>Credit Memorandum § 4.3 (“North Carolina is a judicial foreclosure state and … deficiency judgments following foreclosure are subject to the fair price confirmation hearing requirements of N.C.G.S. § 45-21.36”). Term Sheet § 3.3 (default rate of the contract rate plus 5.00%) and section 2.15 of the draft (late charge of 5.00%). Title Commitment, Schedule A ¶ 3(b) (owner's policy proposed at $8,900,000 in addition to the $47,500,000 loan policy) against Borrower Draw Schedule line 3.07 (“Title Insurance &amp; Recording — Lender's title policy, endorsements, recording fees” $245,000).</w:t>
      </w:r>
    </w:p>
    <w:p>
      <w:pPr>
        <w:spacing w:after="100"/>
        <w:ind w:left="259"/>
      </w:pPr>
      <w:r>
        <w:rPr>
          <w:rFonts w:ascii="Times New Roman" w:hAnsi="Times New Roman"/>
          <w:b/>
          <w:i/>
          <w:sz w:val="20"/>
        </w:rPr>
        <w:t xml:space="preserve">Analysis. </w:t>
      </w:r>
      <w:r>
        <w:rPr>
          <w:rFonts w:ascii="Times New Roman" w:hAnsi="Times New Roman"/>
          <w:b w:val="0"/>
          <w:i w:val="0"/>
          <w:sz w:val="20"/>
        </w:rPr>
        <w:t>Deeds of trust in North Carolina are foreclosed by the trustee's exercise of a power of sale in a special proceeding before the Clerk of Superior Court under Article 2A of Chapter 45 of the General Statutes, with deficiency determinations subject to the fair-value provisions of N.C.G.S. § 45-21.36 — a characterization materially different from “judicial foreclosure,” and one that affects how the remedies article, the receiver provisions and the guaranty analysis should be drafted. Counsel should also confirm that the default rate and the late charge are within the maximum lawful rate for a commercial loan of this size (N.C.G.S. §§ 24-1.1, 24-8), and that the savings clause in section 2.16 is sufficient. On costs, the documentary excise tax payable on the Deed of Trust in North Carolina (approximately $1.00 per $500 of secured indebtedness, or approximately $95,000 on $47,500,000) and the owner's policy premium are not separately identified in the budget; they may be captured in line 3.07, but that should be confirmed rather than assumed.</w:t>
      </w:r>
    </w:p>
    <w:p>
      <w:pPr>
        <w:spacing w:after="100"/>
        <w:ind w:left="259"/>
      </w:pPr>
      <w:r>
        <w:rPr>
          <w:rFonts w:ascii="Times New Roman" w:hAnsi="Times New Roman"/>
          <w:b/>
          <w:i/>
          <w:sz w:val="20"/>
        </w:rPr>
        <w:t xml:space="preserve">Consequence. </w:t>
      </w:r>
      <w:r>
        <w:rPr>
          <w:rFonts w:ascii="Times New Roman" w:hAnsi="Times New Roman"/>
          <w:b w:val="0"/>
          <w:i w:val="0"/>
          <w:sz w:val="20"/>
        </w:rPr>
        <w:t>A mischaracterization of North Carolina foreclosure law in the credit file is a examiner and audit finding waiting to happen, and an unbudgeted $95,000 closing cost is a small but avoidable addition to the funding gap in Issue 3.</w:t>
      </w:r>
    </w:p>
    <w:p>
      <w:pPr>
        <w:spacing w:after="100"/>
        <w:ind w:left="259"/>
      </w:pPr>
      <w:r>
        <w:rPr>
          <w:rFonts w:ascii="Times New Roman" w:hAnsi="Times New Roman"/>
          <w:b/>
          <w:i/>
          <w:sz w:val="20"/>
        </w:rPr>
        <w:t xml:space="preserve">Recommendation. </w:t>
      </w:r>
      <w:r>
        <w:rPr>
          <w:rFonts w:ascii="Times New Roman" w:hAnsi="Times New Roman"/>
          <w:b w:val="0"/>
          <w:i w:val="0"/>
          <w:sz w:val="20"/>
        </w:rPr>
        <w:t>Conform the credit file and any borrower-facing description to North Carolina practice; confirm the rate and charge analysis in a short opinion or memorandum; and obtain a fee quote from the Title Company allocating the loan policy premium, the owner's policy premium, the excise tax and the recording fees, so that line 3.07 can be reconciled to actual invoices.</w:t>
      </w:r>
    </w:p>
    <w:p>
      <w:pPr>
        <w:spacing w:after="100"/>
        <w:ind w:left="259"/>
      </w:pPr>
      <w:r>
        <w:rPr>
          <w:rFonts w:ascii="Times New Roman" w:hAnsi="Times New Roman"/>
          <w:b/>
          <w:i/>
          <w:sz w:val="20"/>
        </w:rPr>
        <w:t xml:space="preserve">Where addressed. </w:t>
      </w:r>
      <w:r>
        <w:rPr>
          <w:rFonts w:ascii="Times New Roman" w:hAnsi="Times New Roman"/>
          <w:b w:val="0"/>
          <w:i w:val="0"/>
          <w:sz w:val="20"/>
        </w:rPr>
        <w:t>Section 11.8 (North Carolina foreclosure and fair value); section 14.1(d) (power of sale under Chapter 45); section 2.16 (maximum rate); section 18.2 (expenses and excise tax).</w:t>
      </w:r>
    </w:p>
    <w:p>
      <w:pPr>
        <w:pStyle w:val="Heading2"/>
      </w:pPr>
      <w:r>
        <w:rPr>
          <w:rFonts w:ascii="Times New Roman" w:hAnsi="Times New Roman"/>
          <w:b/>
          <w:sz w:val="22"/>
        </w:rPr>
        <w:t>Issue 22 — A number of documents necessary to close are not in the Record</w:t>
      </w:r>
      <w:r>
        <w:rPr>
          <w:rFonts w:ascii="Times New Roman" w:hAnsi="Times New Roman"/>
          <w:b/>
          <w:i/>
          <w:color w:val="8B1A1A"/>
          <w:sz w:val="18"/>
        </w:rPr>
        <w:t xml:space="preserve">   [Severity: M]</w:t>
      </w:r>
    </w:p>
    <w:p>
      <w:pPr>
        <w:spacing w:after="100"/>
        <w:ind w:left="259"/>
      </w:pPr>
      <w:r>
        <w:rPr>
          <w:rFonts w:ascii="Times New Roman" w:hAnsi="Times New Roman"/>
          <w:b/>
          <w:i/>
          <w:sz w:val="20"/>
        </w:rPr>
        <w:t xml:space="preserve">Record. </w:t>
      </w:r>
      <w:r>
        <w:rPr>
          <w:rFonts w:ascii="Times New Roman" w:hAnsi="Times New Roman"/>
          <w:b w:val="0"/>
          <w:i w:val="0"/>
          <w:sz w:val="20"/>
        </w:rPr>
        <w:t>The Record contains no GMP construction contract, architect's agreement, Phase II report, NFA letter, recorded deed notice, ALTA survey, payoff letter, complete Operating Agreement, Borrower or Guarantor financial statements and tax returns, draft intercreditor agreement, zoning compliance letter, building permits, insurance certificates, Architectural Review Committee approval, flood determination, non-consolidation opinion, or contractor bonding evidence — each of which is a condition of closing under Term Sheet § 11 and Credit Memorandum § 10.1.</w:t>
      </w:r>
    </w:p>
    <w:p>
      <w:pPr>
        <w:spacing w:after="100"/>
        <w:ind w:left="259"/>
      </w:pPr>
      <w:r>
        <w:rPr>
          <w:rFonts w:ascii="Times New Roman" w:hAnsi="Times New Roman"/>
          <w:b/>
          <w:i/>
          <w:sz w:val="20"/>
        </w:rPr>
        <w:t xml:space="preserve">Analysis. </w:t>
      </w:r>
      <w:r>
        <w:rPr>
          <w:rFonts w:ascii="Times New Roman" w:hAnsi="Times New Roman"/>
          <w:b w:val="0"/>
          <w:i w:val="0"/>
          <w:sz w:val="20"/>
        </w:rPr>
        <w:t>We have drafted the closing conditions to require each item (Article III of the draft) and have not assumed the content of any of them. Where a fact depends on a missing document (the payoff amount, the number and identity of units above the affected area, the actual source of the land purchase funds, the GMP scope exclusions), the draft uses a bracketed placeholder rather than an assumed figure.</w:t>
      </w:r>
    </w:p>
    <w:p>
      <w:pPr>
        <w:spacing w:after="100"/>
        <w:ind w:left="259"/>
      </w:pPr>
      <w:r>
        <w:rPr>
          <w:rFonts w:ascii="Times New Roman" w:hAnsi="Times New Roman"/>
          <w:b/>
          <w:i/>
          <w:sz w:val="20"/>
        </w:rPr>
        <w:t xml:space="preserve">Consequence. </w:t>
      </w:r>
      <w:r>
        <w:rPr>
          <w:rFonts w:ascii="Times New Roman" w:hAnsi="Times New Roman"/>
          <w:b w:val="0"/>
          <w:i w:val="0"/>
          <w:sz w:val="20"/>
        </w:rPr>
        <w:t>Several of the issues above (notably 1, 3, 5 and 11) cannot be closed out on the current Record, and the Bank cannot issue the closing certificate or fund the initial advance on the basis of an unverified file.</w:t>
      </w:r>
    </w:p>
    <w:p>
      <w:pPr>
        <w:spacing w:after="100"/>
        <w:ind w:left="259"/>
      </w:pPr>
      <w:r>
        <w:rPr>
          <w:rFonts w:ascii="Times New Roman" w:hAnsi="Times New Roman"/>
          <w:b/>
          <w:i/>
          <w:sz w:val="20"/>
        </w:rPr>
        <w:t xml:space="preserve">Recommendation. </w:t>
      </w:r>
      <w:r>
        <w:rPr>
          <w:rFonts w:ascii="Times New Roman" w:hAnsi="Times New Roman"/>
          <w:b w:val="0"/>
          <w:i w:val="0"/>
          <w:sz w:val="20"/>
        </w:rPr>
        <w:t>Circulate the diligence request list in Section VIII below to Borrower and its counsel immediately, with a return date that permits review before the February 28, 2025 target closing; if the items cannot be delivered in time, move the closing rather than fund against an incomplete file. Note also that the Phase I ESA's All Appropriate Inquiries shelf life runs to April 26, 2025 and the Title Commitment expires June 5, 2025, so a closing delay past April 26, 2025 requires an updated Phase I.</w:t>
      </w:r>
    </w:p>
    <w:p>
      <w:pPr>
        <w:spacing w:after="100"/>
        <w:ind w:left="259"/>
      </w:pPr>
      <w:r>
        <w:rPr>
          <w:rFonts w:ascii="Times New Roman" w:hAnsi="Times New Roman"/>
          <w:b/>
          <w:i/>
          <w:sz w:val="20"/>
        </w:rPr>
        <w:t xml:space="preserve">Where addressed. </w:t>
      </w:r>
      <w:r>
        <w:rPr>
          <w:rFonts w:ascii="Times New Roman" w:hAnsi="Times New Roman"/>
          <w:b w:val="0"/>
          <w:i w:val="0"/>
          <w:sz w:val="20"/>
        </w:rPr>
        <w:t>Article III (conditions precedent, in 20 sections); section 3.2 (updated Phase I if closing after April 26, 2025).</w:t>
      </w:r>
    </w:p>
    <w:p>
      <w:pPr>
        <w:pStyle w:val="Heading1"/>
        <w:spacing w:before="360"/>
      </w:pPr>
      <w:r>
        <w:rPr>
          <w:rFonts w:ascii="Times New Roman" w:hAnsi="Times New Roman"/>
          <w:b/>
          <w:sz w:val="24"/>
        </w:rPr>
        <w:t>V.  VERIFIED COMPUTATIONS AND RECONCILIATIONS</w:t>
      </w:r>
    </w:p>
    <w:p>
      <w:r>
        <w:rPr>
          <w:rFonts w:ascii="Times New Roman" w:hAnsi="Times New Roman"/>
          <w:b w:val="0"/>
          <w:i w:val="0"/>
          <w:sz w:val="20"/>
        </w:rPr>
        <w:t>Every figure used in this memorandum and in the draft Loan Agreement was recomputed from the source components. Where a source document states a total, we checked the total against its components rather than accepting it. The results are set out below; differences from the Record are noted.</w:t>
      </w:r>
    </w:p>
    <w:p>
      <w:pPr>
        <w:pStyle w:val="Heading3"/>
      </w:pPr>
      <w:r>
        <w:rPr>
          <w:rFonts w:ascii="Times New Roman" w:hAnsi="Times New Roman"/>
          <w:b/>
          <w:i/>
          <w:sz w:val="22"/>
        </w:rPr>
        <w:t>V.1  Sources and uses — does the capital stack balance?</w:t>
      </w:r>
    </w:p>
    <w:tbl>
      <w:tblPr>
        <w:tblStyle w:val="TableGrid"/>
        <w:tblW w:type="auto" w:w="0"/>
        <w:jc w:val="center"/>
        <w:tblLayout w:type="fixed"/>
        <w:tblLook w:firstColumn="1" w:firstRow="1" w:lastColumn="0" w:lastRow="0" w:noHBand="0" w:noVBand="1" w:val="04A0"/>
      </w:tblPr>
      <w:tblGrid>
        <w:gridCol w:w="2808"/>
        <w:gridCol w:w="1584"/>
        <w:gridCol w:w="1512"/>
        <w:gridCol w:w="1224"/>
        <w:gridCol w:w="2160"/>
      </w:tblGrid>
      <w:tr>
        <w:trPr>
          <w:tblHeader w:val="true"/>
        </w:trPr>
        <w:tc>
          <w:tcPr>
            <w:tcW w:type="dxa" w:w="2808"/>
            <w:shd w:val="clear" w:color="auto" w:fill="1F3355"/>
          </w:tcPr>
          <w:p>
            <w:pPr>
              <w:spacing w:before="60" w:after="60"/>
              <w:jc w:val="center"/>
            </w:pPr>
            <w:r/>
            <w:r>
              <w:rPr>
                <w:rFonts w:ascii="Times New Roman" w:hAnsi="Times New Roman"/>
                <w:b/>
                <w:color w:val="FFFFFF"/>
                <w:sz w:val="17"/>
              </w:rPr>
              <w:t>Item</w:t>
            </w:r>
          </w:p>
        </w:tc>
        <w:tc>
          <w:tcPr>
            <w:tcW w:type="dxa" w:w="1584"/>
            <w:shd w:val="clear" w:color="auto" w:fill="1F3355"/>
          </w:tcPr>
          <w:p>
            <w:pPr>
              <w:spacing w:before="60" w:after="60"/>
              <w:jc w:val="center"/>
            </w:pPr>
            <w:r/>
            <w:r>
              <w:rPr>
                <w:rFonts w:ascii="Times New Roman" w:hAnsi="Times New Roman"/>
                <w:b/>
                <w:color w:val="FFFFFF"/>
                <w:sz w:val="17"/>
              </w:rPr>
              <w:t>Record</w:t>
            </w:r>
          </w:p>
        </w:tc>
        <w:tc>
          <w:tcPr>
            <w:tcW w:type="dxa" w:w="1512"/>
            <w:shd w:val="clear" w:color="auto" w:fill="1F3355"/>
          </w:tcPr>
          <w:p>
            <w:pPr>
              <w:spacing w:before="60" w:after="60"/>
              <w:jc w:val="center"/>
            </w:pPr>
            <w:r/>
            <w:r>
              <w:rPr>
                <w:rFonts w:ascii="Times New Roman" w:hAnsi="Times New Roman"/>
                <w:b/>
                <w:color w:val="FFFFFF"/>
                <w:sz w:val="17"/>
              </w:rPr>
              <w:t>Recomputed</w:t>
            </w:r>
          </w:p>
        </w:tc>
        <w:tc>
          <w:tcPr>
            <w:tcW w:type="dxa" w:w="1224"/>
            <w:shd w:val="clear" w:color="auto" w:fill="1F3355"/>
          </w:tcPr>
          <w:p>
            <w:pPr>
              <w:spacing w:before="60" w:after="60"/>
              <w:jc w:val="center"/>
            </w:pPr>
            <w:r/>
            <w:r>
              <w:rPr>
                <w:rFonts w:ascii="Times New Roman" w:hAnsi="Times New Roman"/>
                <w:b/>
                <w:color w:val="FFFFFF"/>
                <w:sz w:val="17"/>
              </w:rPr>
              <w:t>Difference</w:t>
            </w:r>
          </w:p>
        </w:tc>
        <w:tc>
          <w:tcPr>
            <w:tcW w:type="dxa" w:w="2160"/>
            <w:shd w:val="clear" w:color="auto" w:fill="1F3355"/>
          </w:tcPr>
          <w:p>
            <w:pPr>
              <w:spacing w:before="60" w:after="60"/>
              <w:jc w:val="center"/>
            </w:pPr>
            <w:r/>
            <w:r>
              <w:rPr>
                <w:rFonts w:ascii="Times New Roman" w:hAnsi="Times New Roman"/>
                <w:b/>
                <w:color w:val="FFFFFF"/>
                <w:sz w:val="17"/>
              </w:rPr>
              <w:t>Comment</w:t>
            </w:r>
          </w:p>
        </w:tc>
      </w:tr>
      <w:tr>
        <w:trPr>
          <w:cantSplit w:val="true"/>
        </w:trPr>
        <w:tc>
          <w:tcPr>
            <w:tcW w:type="dxa" w:w="2808"/>
          </w:tcPr>
          <w:p>
            <w:pPr>
              <w:spacing w:before="40" w:after="40"/>
              <w:jc w:val="left"/>
            </w:pPr>
            <w:r/>
            <w:r>
              <w:rPr>
                <w:rFonts w:ascii="Times New Roman" w:hAnsi="Times New Roman"/>
                <w:b w:val="0"/>
                <w:i w:val="0"/>
                <w:sz w:val="17"/>
              </w:rPr>
              <w:t>Senior construction loan</w:t>
            </w:r>
          </w:p>
        </w:tc>
        <w:tc>
          <w:tcPr>
            <w:tcW w:type="dxa" w:w="1584"/>
          </w:tcPr>
          <w:p>
            <w:pPr>
              <w:spacing w:before="40" w:after="40"/>
              <w:jc w:val="right"/>
            </w:pPr>
            <w:r/>
            <w:r>
              <w:rPr>
                <w:rFonts w:ascii="Times New Roman" w:hAnsi="Times New Roman"/>
                <w:b w:val="0"/>
                <w:i w:val="0"/>
                <w:sz w:val="17"/>
              </w:rPr>
              <w:t>47,500,000</w:t>
            </w:r>
          </w:p>
        </w:tc>
        <w:tc>
          <w:tcPr>
            <w:tcW w:type="dxa" w:w="1512"/>
          </w:tcPr>
          <w:p>
            <w:pPr>
              <w:spacing w:before="40" w:after="40"/>
              <w:jc w:val="right"/>
            </w:pPr>
            <w:r/>
            <w:r>
              <w:rPr>
                <w:rFonts w:ascii="Times New Roman" w:hAnsi="Times New Roman"/>
                <w:b w:val="0"/>
                <w:i w:val="0"/>
                <w:sz w:val="17"/>
              </w:rPr>
              <w:t>47,500,000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Ties</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Mezzanine loan</w:t>
            </w:r>
          </w:p>
        </w:tc>
        <w:tc>
          <w:tcPr>
            <w:tcW w:type="dxa" w:w="1584"/>
            <w:shd w:val="clear" w:color="auto" w:fill="F7F8FA"/>
          </w:tcPr>
          <w:p>
            <w:pPr>
              <w:spacing w:before="40" w:after="40"/>
              <w:jc w:val="right"/>
            </w:pPr>
            <w:r/>
            <w:r>
              <w:rPr>
                <w:rFonts w:ascii="Times New Roman" w:hAnsi="Times New Roman"/>
                <w:b w:val="0"/>
                <w:i w:val="0"/>
                <w:sz w:val="17"/>
              </w:rPr>
              <w:t>9,200,000</w:t>
            </w:r>
          </w:p>
        </w:tc>
        <w:tc>
          <w:tcPr>
            <w:tcW w:type="dxa" w:w="1512"/>
            <w:shd w:val="clear" w:color="auto" w:fill="F7F8FA"/>
          </w:tcPr>
          <w:p>
            <w:pPr>
              <w:spacing w:before="40" w:after="40"/>
              <w:jc w:val="right"/>
            </w:pPr>
            <w:r/>
            <w:r>
              <w:rPr>
                <w:rFonts w:ascii="Times New Roman" w:hAnsi="Times New Roman"/>
                <w:b w:val="0"/>
                <w:i w:val="0"/>
                <w:sz w:val="17"/>
              </w:rPr>
              <w:t>9,200,000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Ties</w:t>
            </w:r>
          </w:p>
        </w:tc>
      </w:tr>
      <w:tr>
        <w:trPr>
          <w:cantSplit w:val="true"/>
        </w:trPr>
        <w:tc>
          <w:tcPr>
            <w:tcW w:type="dxa" w:w="2808"/>
          </w:tcPr>
          <w:p>
            <w:pPr>
              <w:spacing w:before="40" w:after="40"/>
              <w:jc w:val="left"/>
            </w:pPr>
            <w:r/>
            <w:r>
              <w:rPr>
                <w:rFonts w:ascii="Times New Roman" w:hAnsi="Times New Roman"/>
                <w:b w:val="0"/>
                <w:i w:val="0"/>
                <w:sz w:val="17"/>
              </w:rPr>
              <w:t>Borrower cash equity</w:t>
            </w:r>
          </w:p>
        </w:tc>
        <w:tc>
          <w:tcPr>
            <w:tcW w:type="dxa" w:w="1584"/>
          </w:tcPr>
          <w:p>
            <w:pPr>
              <w:spacing w:before="40" w:after="40"/>
              <w:jc w:val="right"/>
            </w:pPr>
            <w:r/>
            <w:r>
              <w:rPr>
                <w:rFonts w:ascii="Times New Roman" w:hAnsi="Times New Roman"/>
                <w:b w:val="0"/>
                <w:i w:val="0"/>
                <w:sz w:val="17"/>
              </w:rPr>
              <w:t>0</w:t>
            </w:r>
          </w:p>
        </w:tc>
        <w:tc>
          <w:tcPr>
            <w:tcW w:type="dxa" w:w="1512"/>
          </w:tcPr>
          <w:p>
            <w:pPr>
              <w:spacing w:before="40" w:after="40"/>
              <w:jc w:val="right"/>
            </w:pPr>
            <w:r/>
            <w:r>
              <w:rPr>
                <w:rFonts w:ascii="Times New Roman" w:hAnsi="Times New Roman"/>
                <w:b w:val="0"/>
                <w:i w:val="0"/>
                <w:sz w:val="17"/>
              </w:rPr>
              <w:t>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Consistent with zero equity</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Land contribution (in-kind)</w:t>
            </w:r>
          </w:p>
        </w:tc>
        <w:tc>
          <w:tcPr>
            <w:tcW w:type="dxa" w:w="1584"/>
            <w:shd w:val="clear" w:color="auto" w:fill="F7F8FA"/>
          </w:tcPr>
          <w:p>
            <w:pPr>
              <w:spacing w:before="40" w:after="40"/>
              <w:jc w:val="right"/>
            </w:pPr>
            <w:r/>
            <w:r>
              <w:rPr>
                <w:rFonts w:ascii="Times New Roman" w:hAnsi="Times New Roman"/>
                <w:b w:val="0"/>
                <w:i w:val="0"/>
                <w:sz w:val="17"/>
              </w:rPr>
              <w:t>not shown as a source</w:t>
            </w:r>
          </w:p>
        </w:tc>
        <w:tc>
          <w:tcPr>
            <w:tcW w:type="dxa" w:w="1512"/>
            <w:shd w:val="clear" w:color="auto" w:fill="F7F8FA"/>
          </w:tcPr>
          <w:p>
            <w:pPr>
              <w:spacing w:before="40" w:after="40"/>
              <w:jc w:val="right"/>
            </w:pPr>
            <w:r/>
            <w:r>
              <w:rPr>
                <w:rFonts w:ascii="Times New Roman" w:hAnsi="Times New Roman"/>
                <w:b w:val="0"/>
                <w:i w:val="0"/>
                <w:sz w:val="17"/>
              </w:rPr>
              <w:t>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Cannot be a source: see Issue 1</w:t>
            </w:r>
          </w:p>
        </w:tc>
      </w:tr>
      <w:tr>
        <w:trPr>
          <w:cantSplit w:val="true"/>
        </w:trPr>
        <w:tc>
          <w:tcPr>
            <w:tcW w:type="dxa" w:w="2808"/>
          </w:tcPr>
          <w:p>
            <w:pPr>
              <w:spacing w:before="40" w:after="40"/>
              <w:jc w:val="left"/>
            </w:pPr>
            <w:r/>
            <w:r>
              <w:rPr>
                <w:rFonts w:ascii="Times New Roman" w:hAnsi="Times New Roman"/>
                <w:b w:val="0"/>
                <w:i w:val="0"/>
                <w:sz w:val="17"/>
              </w:rPr>
              <w:t>TOTAL SOURCES</w:t>
            </w:r>
          </w:p>
        </w:tc>
        <w:tc>
          <w:tcPr>
            <w:tcW w:type="dxa" w:w="1584"/>
          </w:tcPr>
          <w:p>
            <w:pPr>
              <w:spacing w:before="40" w:after="40"/>
              <w:jc w:val="right"/>
            </w:pPr>
            <w:r/>
            <w:r>
              <w:rPr>
                <w:rFonts w:ascii="Times New Roman" w:hAnsi="Times New Roman"/>
                <w:b w:val="0"/>
                <w:i w:val="0"/>
                <w:sz w:val="17"/>
              </w:rPr>
              <w:t>56,700,000</w:t>
            </w:r>
          </w:p>
        </w:tc>
        <w:tc>
          <w:tcPr>
            <w:tcW w:type="dxa" w:w="1512"/>
          </w:tcPr>
          <w:p>
            <w:pPr>
              <w:spacing w:before="40" w:after="40"/>
              <w:jc w:val="right"/>
            </w:pPr>
            <w:r/>
            <w:r>
              <w:rPr>
                <w:rFonts w:ascii="Times New Roman" w:hAnsi="Times New Roman"/>
                <w:b w:val="0"/>
                <w:i w:val="0"/>
                <w:sz w:val="17"/>
              </w:rPr>
              <w:t>56,700,000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Balances only if mezzanine funded the land</w:t>
            </w:r>
          </w:p>
        </w:tc>
      </w:tr>
      <w:tr>
        <w:trPr>
          <w:cantSplit w:val="true"/>
        </w:trPr>
        <w:tc>
          <w:tcPr>
            <w:tcW w:type="dxa" w:w="2808"/>
            <w:shd w:val="clear" w:color="auto" w:fill="F7F8FA"/>
          </w:tcPr>
          <w:p>
            <w:pPr>
              <w:spacing w:before="40" w:after="40"/>
              <w:jc w:val="left"/>
            </w:pPr>
            <w:r/>
          </w:p>
        </w:tc>
        <w:tc>
          <w:tcPr>
            <w:tcW w:type="dxa" w:w="1584"/>
            <w:shd w:val="clear" w:color="auto" w:fill="F7F8FA"/>
          </w:tcPr>
          <w:p>
            <w:pPr>
              <w:spacing w:before="40" w:after="40"/>
              <w:jc w:val="right"/>
            </w:pPr>
            <w:r/>
          </w:p>
        </w:tc>
        <w:tc>
          <w:tcPr>
            <w:tcW w:type="dxa" w:w="1512"/>
            <w:shd w:val="clear" w:color="auto" w:fill="F7F8FA"/>
          </w:tcPr>
          <w:p>
            <w:pPr>
              <w:spacing w:before="40" w:after="40"/>
              <w:jc w:val="right"/>
            </w:pPr>
            <w:r/>
          </w:p>
        </w:tc>
        <w:tc>
          <w:tcPr>
            <w:tcW w:type="dxa" w:w="1224"/>
            <w:shd w:val="clear" w:color="auto" w:fill="F7F8FA"/>
          </w:tcPr>
          <w:p>
            <w:pPr>
              <w:spacing w:before="40" w:after="40"/>
              <w:jc w:val="right"/>
            </w:pPr>
            <w:r/>
          </w:p>
        </w:tc>
        <w:tc>
          <w:tcPr>
            <w:tcW w:type="dxa" w:w="2160"/>
            <w:shd w:val="clear" w:color="auto" w:fill="F7F8FA"/>
          </w:tcPr>
          <w:p>
            <w:pPr>
              <w:spacing w:before="40" w:after="40"/>
              <w:jc w:val="left"/>
            </w:pPr>
            <w:r/>
          </w:p>
        </w:tc>
      </w:tr>
      <w:tr>
        <w:trPr>
          <w:cantSplit w:val="true"/>
        </w:trPr>
        <w:tc>
          <w:tcPr>
            <w:tcW w:type="dxa" w:w="2808"/>
          </w:tcPr>
          <w:p>
            <w:pPr>
              <w:spacing w:before="40" w:after="40"/>
              <w:jc w:val="left"/>
            </w:pPr>
            <w:r/>
            <w:r>
              <w:rPr>
                <w:rFonts w:ascii="Times New Roman" w:hAnsi="Times New Roman"/>
                <w:b w:val="0"/>
                <w:i w:val="0"/>
                <w:sz w:val="17"/>
              </w:rPr>
              <w:t>Land acquisition</w:t>
            </w:r>
          </w:p>
        </w:tc>
        <w:tc>
          <w:tcPr>
            <w:tcW w:type="dxa" w:w="1584"/>
          </w:tcPr>
          <w:p>
            <w:pPr>
              <w:spacing w:before="40" w:after="40"/>
              <w:jc w:val="right"/>
            </w:pPr>
            <w:r/>
            <w:r>
              <w:rPr>
                <w:rFonts w:ascii="Times New Roman" w:hAnsi="Times New Roman"/>
                <w:b w:val="0"/>
                <w:i w:val="0"/>
                <w:sz w:val="17"/>
              </w:rPr>
              <w:t>8,200,000</w:t>
            </w:r>
          </w:p>
        </w:tc>
        <w:tc>
          <w:tcPr>
            <w:tcW w:type="dxa" w:w="1512"/>
          </w:tcPr>
          <w:p>
            <w:pPr>
              <w:spacing w:before="40" w:after="40"/>
              <w:jc w:val="right"/>
            </w:pPr>
            <w:r/>
            <w:r>
              <w:rPr>
                <w:rFonts w:ascii="Times New Roman" w:hAnsi="Times New Roman"/>
                <w:b w:val="0"/>
                <w:i w:val="0"/>
                <w:sz w:val="17"/>
              </w:rPr>
              <w:t>8,200,000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Funded, per Detailed Budget, by mezzanine</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Hard construction (GMP)</w:t>
            </w:r>
          </w:p>
        </w:tc>
        <w:tc>
          <w:tcPr>
            <w:tcW w:type="dxa" w:w="1584"/>
            <w:shd w:val="clear" w:color="auto" w:fill="F7F8FA"/>
          </w:tcPr>
          <w:p>
            <w:pPr>
              <w:spacing w:before="40" w:after="40"/>
              <w:jc w:val="right"/>
            </w:pPr>
            <w:r/>
            <w:r>
              <w:rPr>
                <w:rFonts w:ascii="Times New Roman" w:hAnsi="Times New Roman"/>
                <w:b w:val="0"/>
                <w:i w:val="0"/>
                <w:sz w:val="17"/>
              </w:rPr>
              <w:t>34,750,000</w:t>
            </w:r>
          </w:p>
        </w:tc>
        <w:tc>
          <w:tcPr>
            <w:tcW w:type="dxa" w:w="1512"/>
            <w:shd w:val="clear" w:color="auto" w:fill="F7F8FA"/>
          </w:tcPr>
          <w:p>
            <w:pPr>
              <w:spacing w:before="40" w:after="40"/>
              <w:jc w:val="right"/>
            </w:pPr>
            <w:r/>
            <w:r>
              <w:rPr>
                <w:rFonts w:ascii="Times New Roman" w:hAnsi="Times New Roman"/>
                <w:b w:val="0"/>
                <w:i w:val="0"/>
                <w:sz w:val="17"/>
              </w:rPr>
              <w:t>34,750,000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Ties to GMP</w:t>
            </w:r>
          </w:p>
        </w:tc>
      </w:tr>
      <w:tr>
        <w:trPr>
          <w:cantSplit w:val="true"/>
        </w:trPr>
        <w:tc>
          <w:tcPr>
            <w:tcW w:type="dxa" w:w="2808"/>
          </w:tcPr>
          <w:p>
            <w:pPr>
              <w:spacing w:before="40" w:after="40"/>
              <w:jc w:val="left"/>
            </w:pPr>
            <w:r/>
            <w:r>
              <w:rPr>
                <w:rFonts w:ascii="Times New Roman" w:hAnsi="Times New Roman"/>
                <w:b w:val="0"/>
                <w:i w:val="0"/>
                <w:sz w:val="17"/>
              </w:rPr>
              <w:t>Soft costs</w:t>
            </w:r>
          </w:p>
        </w:tc>
        <w:tc>
          <w:tcPr>
            <w:tcW w:type="dxa" w:w="1584"/>
          </w:tcPr>
          <w:p>
            <w:pPr>
              <w:spacing w:before="40" w:after="40"/>
              <w:jc w:val="right"/>
            </w:pPr>
            <w:r/>
            <w:r>
              <w:rPr>
                <w:rFonts w:ascii="Times New Roman" w:hAnsi="Times New Roman"/>
                <w:b w:val="0"/>
                <w:i w:val="0"/>
                <w:sz w:val="17"/>
              </w:rPr>
              <w:t>4,150,000</w:t>
            </w:r>
          </w:p>
        </w:tc>
        <w:tc>
          <w:tcPr>
            <w:tcW w:type="dxa" w:w="1512"/>
          </w:tcPr>
          <w:p>
            <w:pPr>
              <w:spacing w:before="40" w:after="40"/>
              <w:jc w:val="right"/>
            </w:pPr>
            <w:r/>
            <w:r>
              <w:rPr>
                <w:rFonts w:ascii="Times New Roman" w:hAnsi="Times New Roman"/>
                <w:b w:val="0"/>
                <w:i w:val="0"/>
                <w:sz w:val="17"/>
              </w:rPr>
              <w:t>4,150,000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Line items sum to $4,150,000</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Interest reserve</w:t>
            </w:r>
          </w:p>
        </w:tc>
        <w:tc>
          <w:tcPr>
            <w:tcW w:type="dxa" w:w="1584"/>
            <w:shd w:val="clear" w:color="auto" w:fill="F7F8FA"/>
          </w:tcPr>
          <w:p>
            <w:pPr>
              <w:spacing w:before="40" w:after="40"/>
              <w:jc w:val="right"/>
            </w:pPr>
            <w:r/>
            <w:r>
              <w:rPr>
                <w:rFonts w:ascii="Times New Roman" w:hAnsi="Times New Roman"/>
                <w:b w:val="0"/>
                <w:i w:val="0"/>
                <w:sz w:val="17"/>
              </w:rPr>
              <w:t>4,850,000</w:t>
            </w:r>
          </w:p>
        </w:tc>
        <w:tc>
          <w:tcPr>
            <w:tcW w:type="dxa" w:w="1512"/>
            <w:shd w:val="clear" w:color="auto" w:fill="F7F8FA"/>
          </w:tcPr>
          <w:p>
            <w:pPr>
              <w:spacing w:before="40" w:after="40"/>
              <w:jc w:val="right"/>
            </w:pPr>
            <w:r/>
            <w:r>
              <w:rPr>
                <w:rFonts w:ascii="Times New Roman" w:hAnsi="Times New Roman"/>
                <w:b w:val="0"/>
                <w:i w:val="0"/>
                <w:sz w:val="17"/>
              </w:rPr>
              <w:t>4,850,000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Adequacy: Issue 12</w:t>
            </w:r>
          </w:p>
        </w:tc>
      </w:tr>
      <w:tr>
        <w:trPr>
          <w:cantSplit w:val="true"/>
        </w:trPr>
        <w:tc>
          <w:tcPr>
            <w:tcW w:type="dxa" w:w="2808"/>
          </w:tcPr>
          <w:p>
            <w:pPr>
              <w:spacing w:before="40" w:after="40"/>
              <w:jc w:val="left"/>
            </w:pPr>
            <w:r/>
            <w:r>
              <w:rPr>
                <w:rFonts w:ascii="Times New Roman" w:hAnsi="Times New Roman"/>
                <w:b w:val="0"/>
                <w:i w:val="0"/>
                <w:sz w:val="17"/>
              </w:rPr>
              <w:t>Origination fee (1.00%)</w:t>
            </w:r>
          </w:p>
        </w:tc>
        <w:tc>
          <w:tcPr>
            <w:tcW w:type="dxa" w:w="1584"/>
          </w:tcPr>
          <w:p>
            <w:pPr>
              <w:spacing w:before="40" w:after="40"/>
              <w:jc w:val="right"/>
            </w:pPr>
            <w:r/>
            <w:r>
              <w:rPr>
                <w:rFonts w:ascii="Times New Roman" w:hAnsi="Times New Roman"/>
                <w:b w:val="0"/>
                <w:i w:val="0"/>
                <w:sz w:val="17"/>
              </w:rPr>
              <w:t>475,000</w:t>
            </w:r>
          </w:p>
        </w:tc>
        <w:tc>
          <w:tcPr>
            <w:tcW w:type="dxa" w:w="1512"/>
          </w:tcPr>
          <w:p>
            <w:pPr>
              <w:spacing w:before="40" w:after="40"/>
              <w:jc w:val="right"/>
            </w:pPr>
            <w:r/>
            <w:r>
              <w:rPr>
                <w:rFonts w:ascii="Times New Roman" w:hAnsi="Times New Roman"/>
                <w:b w:val="0"/>
                <w:i w:val="0"/>
                <w:sz w:val="17"/>
              </w:rPr>
              <w:t>475,000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Ties</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Developer fee (5.00%)</w:t>
            </w:r>
          </w:p>
        </w:tc>
        <w:tc>
          <w:tcPr>
            <w:tcW w:type="dxa" w:w="1584"/>
            <w:shd w:val="clear" w:color="auto" w:fill="F7F8FA"/>
          </w:tcPr>
          <w:p>
            <w:pPr>
              <w:spacing w:before="40" w:after="40"/>
              <w:jc w:val="right"/>
            </w:pPr>
            <w:r/>
            <w:r>
              <w:rPr>
                <w:rFonts w:ascii="Times New Roman" w:hAnsi="Times New Roman"/>
                <w:b w:val="0"/>
                <w:i w:val="0"/>
                <w:sz w:val="17"/>
              </w:rPr>
              <w:t>2,835,000</w:t>
            </w:r>
          </w:p>
        </w:tc>
        <w:tc>
          <w:tcPr>
            <w:tcW w:type="dxa" w:w="1512"/>
            <w:shd w:val="clear" w:color="auto" w:fill="F7F8FA"/>
          </w:tcPr>
          <w:p>
            <w:pPr>
              <w:spacing w:before="40" w:after="40"/>
              <w:jc w:val="right"/>
            </w:pPr>
            <w:r/>
            <w:r>
              <w:rPr>
                <w:rFonts w:ascii="Times New Roman" w:hAnsi="Times New Roman"/>
                <w:b w:val="0"/>
                <w:i w:val="0"/>
                <w:sz w:val="17"/>
              </w:rPr>
              <w:t>2,835,000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Circular definition; 5.26% of other costs</w:t>
            </w:r>
          </w:p>
        </w:tc>
      </w:tr>
      <w:tr>
        <w:trPr>
          <w:cantSplit w:val="true"/>
        </w:trPr>
        <w:tc>
          <w:tcPr>
            <w:tcW w:type="dxa" w:w="2808"/>
          </w:tcPr>
          <w:p>
            <w:pPr>
              <w:spacing w:before="40" w:after="40"/>
              <w:jc w:val="left"/>
            </w:pPr>
            <w:r/>
            <w:r>
              <w:rPr>
                <w:rFonts w:ascii="Times New Roman" w:hAnsi="Times New Roman"/>
                <w:b w:val="0"/>
                <w:i w:val="0"/>
                <w:sz w:val="17"/>
              </w:rPr>
              <w:t>Contingency</w:t>
            </w:r>
          </w:p>
        </w:tc>
        <w:tc>
          <w:tcPr>
            <w:tcW w:type="dxa" w:w="1584"/>
          </w:tcPr>
          <w:p>
            <w:pPr>
              <w:spacing w:before="40" w:after="40"/>
              <w:jc w:val="right"/>
            </w:pPr>
            <w:r/>
            <w:r>
              <w:rPr>
                <w:rFonts w:ascii="Times New Roman" w:hAnsi="Times New Roman"/>
                <w:b w:val="0"/>
                <w:i w:val="0"/>
                <w:sz w:val="17"/>
              </w:rPr>
              <w:t>1,440,000</w:t>
            </w:r>
          </w:p>
        </w:tc>
        <w:tc>
          <w:tcPr>
            <w:tcW w:type="dxa" w:w="1512"/>
          </w:tcPr>
          <w:p>
            <w:pPr>
              <w:spacing w:before="40" w:after="40"/>
              <w:jc w:val="right"/>
            </w:pPr>
            <w:r/>
            <w:r>
              <w:rPr>
                <w:rFonts w:ascii="Times New Roman" w:hAnsi="Times New Roman"/>
                <w:b w:val="0"/>
                <w:i w:val="0"/>
                <w:sz w:val="17"/>
              </w:rPr>
              <w:t>1,440,000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Hard $1,140,000 (3.28%) + soft $300,000 (7.23%)</w:t>
            </w:r>
          </w:p>
        </w:tc>
      </w:tr>
      <w:tr>
        <w:trPr>
          <w:cantSplit w:val="true"/>
        </w:trPr>
        <w:tc>
          <w:tcPr>
            <w:tcW w:type="dxa" w:w="2808"/>
            <w:shd w:val="clear" w:color="auto" w:fill="F7F8FA"/>
          </w:tcPr>
          <w:p>
            <w:pPr>
              <w:spacing w:before="40" w:after="40"/>
              <w:jc w:val="left"/>
            </w:pPr>
            <w:r/>
            <w:r>
              <w:rPr>
                <w:rFonts w:ascii="Times New Roman" w:hAnsi="Times New Roman"/>
                <w:b w:val="0"/>
                <w:i w:val="0"/>
                <w:sz w:val="17"/>
              </w:rPr>
              <w:t>TOTAL USES</w:t>
            </w:r>
          </w:p>
        </w:tc>
        <w:tc>
          <w:tcPr>
            <w:tcW w:type="dxa" w:w="1584"/>
            <w:shd w:val="clear" w:color="auto" w:fill="F7F8FA"/>
          </w:tcPr>
          <w:p>
            <w:pPr>
              <w:spacing w:before="40" w:after="40"/>
              <w:jc w:val="right"/>
            </w:pPr>
            <w:r/>
            <w:r>
              <w:rPr>
                <w:rFonts w:ascii="Times New Roman" w:hAnsi="Times New Roman"/>
                <w:b w:val="0"/>
                <w:i w:val="0"/>
                <w:sz w:val="17"/>
              </w:rPr>
              <w:t>56,700,000</w:t>
            </w:r>
          </w:p>
        </w:tc>
        <w:tc>
          <w:tcPr>
            <w:tcW w:type="dxa" w:w="1512"/>
            <w:shd w:val="clear" w:color="auto" w:fill="F7F8FA"/>
          </w:tcPr>
          <w:p>
            <w:pPr>
              <w:spacing w:before="40" w:after="40"/>
              <w:jc w:val="right"/>
            </w:pPr>
            <w:r/>
            <w:r>
              <w:rPr>
                <w:rFonts w:ascii="Times New Roman" w:hAnsi="Times New Roman"/>
                <w:b w:val="0"/>
                <w:i w:val="0"/>
                <w:sz w:val="17"/>
              </w:rPr>
              <w:t>56,700,000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Ties</w:t>
            </w:r>
          </w:p>
        </w:tc>
      </w:tr>
      <w:tr>
        <w:trPr>
          <w:cantSplit w:val="true"/>
        </w:trPr>
        <w:tc>
          <w:tcPr>
            <w:tcW w:type="dxa" w:w="2808"/>
          </w:tcPr>
          <w:p>
            <w:pPr>
              <w:spacing w:before="40" w:after="40"/>
              <w:jc w:val="left"/>
            </w:pPr>
            <w:r/>
          </w:p>
        </w:tc>
        <w:tc>
          <w:tcPr>
            <w:tcW w:type="dxa" w:w="1584"/>
          </w:tcPr>
          <w:p>
            <w:pPr>
              <w:spacing w:before="40" w:after="40"/>
              <w:jc w:val="right"/>
            </w:pPr>
            <w:r/>
          </w:p>
        </w:tc>
        <w:tc>
          <w:tcPr>
            <w:tcW w:type="dxa" w:w="1512"/>
          </w:tcPr>
          <w:p>
            <w:pPr>
              <w:spacing w:before="40" w:after="40"/>
              <w:jc w:val="right"/>
            </w:pPr>
            <w:r/>
          </w:p>
        </w:tc>
        <w:tc>
          <w:tcPr>
            <w:tcW w:type="dxa" w:w="1224"/>
          </w:tcPr>
          <w:p>
            <w:pPr>
              <w:spacing w:before="40" w:after="40"/>
              <w:jc w:val="right"/>
            </w:pPr>
            <w:r/>
          </w:p>
        </w:tc>
        <w:tc>
          <w:tcPr>
            <w:tcW w:type="dxa" w:w="2160"/>
          </w:tcPr>
          <w:p>
            <w:pPr>
              <w:spacing w:before="40" w:after="40"/>
              <w:jc w:val="left"/>
            </w:pPr>
            <w:r/>
          </w:p>
        </w:tc>
      </w:tr>
      <w:tr>
        <w:trPr>
          <w:cantSplit w:val="true"/>
        </w:trPr>
        <w:tc>
          <w:tcPr>
            <w:tcW w:type="dxa" w:w="2808"/>
            <w:shd w:val="clear" w:color="auto" w:fill="F7F8FA"/>
          </w:tcPr>
          <w:p>
            <w:pPr>
              <w:spacing w:before="40" w:after="40"/>
              <w:jc w:val="left"/>
            </w:pPr>
            <w:r/>
            <w:r>
              <w:rPr>
                <w:rFonts w:ascii="Times New Roman" w:hAnsi="Times New Roman"/>
                <w:b w:val="0"/>
                <w:i w:val="0"/>
                <w:sz w:val="17"/>
              </w:rPr>
              <w:t>Omitted uses (not budgeted)</w:t>
            </w:r>
          </w:p>
        </w:tc>
        <w:tc>
          <w:tcPr>
            <w:tcW w:type="dxa" w:w="1584"/>
            <w:shd w:val="clear" w:color="auto" w:fill="F7F8FA"/>
          </w:tcPr>
          <w:p>
            <w:pPr>
              <w:spacing w:before="40" w:after="40"/>
              <w:jc w:val="right"/>
            </w:pPr>
            <w:r/>
            <w:r>
              <w:rPr>
                <w:rFonts w:ascii="Times New Roman" w:hAnsi="Times New Roman"/>
                <w:b w:val="0"/>
                <w:i w:val="0"/>
                <w:sz w:val="17"/>
              </w:rPr>
              <w:t>—</w:t>
            </w:r>
          </w:p>
        </w:tc>
        <w:tc>
          <w:tcPr>
            <w:tcW w:type="dxa" w:w="1512"/>
            <w:shd w:val="clear" w:color="auto" w:fill="F7F8FA"/>
          </w:tcPr>
          <w:p>
            <w:pPr>
              <w:spacing w:before="40" w:after="40"/>
              <w:jc w:val="right"/>
            </w:pPr>
            <w:r/>
            <w:r>
              <w:rPr>
                <w:rFonts w:ascii="Times New Roman" w:hAnsi="Times New Roman"/>
                <w:b w:val="0"/>
                <w:i w:val="0"/>
                <w:sz w:val="17"/>
              </w:rPr>
              <w:t>up to 4,080,000</w:t>
            </w:r>
          </w:p>
        </w:tc>
        <w:tc>
          <w:tcPr>
            <w:tcW w:type="dxa" w:w="1224"/>
            <w:shd w:val="clear" w:color="auto" w:fill="F7F8FA"/>
          </w:tcPr>
          <w:p>
            <w:pPr>
              <w:spacing w:before="40" w:after="40"/>
              <w:jc w:val="right"/>
            </w:pPr>
            <w:r/>
            <w:r>
              <w:rPr>
                <w:rFonts w:ascii="Times New Roman" w:hAnsi="Times New Roman"/>
                <w:b w:val="0"/>
                <w:i w:val="0"/>
                <w:sz w:val="17"/>
              </w:rPr>
              <w:t>—</w:t>
            </w:r>
          </w:p>
        </w:tc>
        <w:tc>
          <w:tcPr>
            <w:tcW w:type="dxa" w:w="2160"/>
            <w:shd w:val="clear" w:color="auto" w:fill="F7F8FA"/>
          </w:tcPr>
          <w:p>
            <w:pPr>
              <w:spacing w:before="40" w:after="40"/>
              <w:jc w:val="left"/>
            </w:pPr>
            <w:r/>
            <w:r>
              <w:rPr>
                <w:rFonts w:ascii="Times New Roman" w:hAnsi="Times New Roman"/>
                <w:b w:val="0"/>
                <w:i w:val="0"/>
                <w:sz w:val="17"/>
              </w:rPr>
              <w:t>Payoff up to $3,400,000 + site costs ~$680,000</w:t>
            </w:r>
          </w:p>
        </w:tc>
      </w:tr>
      <w:tr>
        <w:trPr>
          <w:cantSplit w:val="true"/>
        </w:trPr>
        <w:tc>
          <w:tcPr>
            <w:tcW w:type="dxa" w:w="2808"/>
          </w:tcPr>
          <w:p>
            <w:pPr>
              <w:spacing w:before="40" w:after="40"/>
              <w:jc w:val="left"/>
            </w:pPr>
            <w:r/>
            <w:r>
              <w:rPr>
                <w:rFonts w:ascii="Times New Roman" w:hAnsi="Times New Roman"/>
                <w:b w:val="0"/>
                <w:i w:val="0"/>
                <w:sz w:val="17"/>
              </w:rPr>
              <w:t>CORRECTED USES</w:t>
            </w:r>
          </w:p>
        </w:tc>
        <w:tc>
          <w:tcPr>
            <w:tcW w:type="dxa" w:w="1584"/>
          </w:tcPr>
          <w:p>
            <w:pPr>
              <w:spacing w:before="40" w:after="40"/>
              <w:jc w:val="right"/>
            </w:pPr>
            <w:r/>
            <w:r>
              <w:rPr>
                <w:rFonts w:ascii="Times New Roman" w:hAnsi="Times New Roman"/>
                <w:b w:val="0"/>
                <w:i w:val="0"/>
                <w:sz w:val="17"/>
              </w:rPr>
              <w:t>—</w:t>
            </w:r>
          </w:p>
        </w:tc>
        <w:tc>
          <w:tcPr>
            <w:tcW w:type="dxa" w:w="1512"/>
          </w:tcPr>
          <w:p>
            <w:pPr>
              <w:spacing w:before="40" w:after="40"/>
              <w:jc w:val="right"/>
            </w:pPr>
            <w:r/>
            <w:r>
              <w:rPr>
                <w:rFonts w:ascii="Times New Roman" w:hAnsi="Times New Roman"/>
                <w:b w:val="0"/>
                <w:i w:val="0"/>
                <w:sz w:val="17"/>
              </w:rPr>
              <w:t>60,780,000</w:t>
            </w:r>
          </w:p>
        </w:tc>
        <w:tc>
          <w:tcPr>
            <w:tcW w:type="dxa" w:w="1224"/>
          </w:tcPr>
          <w:p>
            <w:pPr>
              <w:spacing w:before="40" w:after="40"/>
              <w:jc w:val="right"/>
            </w:pPr>
            <w:r/>
            <w:r>
              <w:rPr>
                <w:rFonts w:ascii="Times New Roman" w:hAnsi="Times New Roman"/>
                <w:b w:val="0"/>
                <w:i w:val="0"/>
                <w:sz w:val="17"/>
              </w:rPr>
              <w:t>—</w:t>
            </w:r>
          </w:p>
        </w:tc>
        <w:tc>
          <w:tcPr>
            <w:tcW w:type="dxa" w:w="2160"/>
          </w:tcPr>
          <w:p>
            <w:pPr>
              <w:spacing w:before="40" w:after="40"/>
              <w:jc w:val="left"/>
            </w:pPr>
            <w:r/>
            <w:r>
              <w:rPr>
                <w:rFonts w:ascii="Times New Roman" w:hAnsi="Times New Roman"/>
                <w:b w:val="0"/>
                <w:i w:val="0"/>
                <w:sz w:val="17"/>
              </w:rPr>
              <w:t>Requires equity of $4,080,000 (Issue 3)</w:t>
            </w:r>
          </w:p>
        </w:tc>
      </w:tr>
    </w:tbl>
    <w:p>
      <w:pPr>
        <w:spacing w:after="40"/>
      </w:pPr>
    </w:p>
    <w:p>
      <w:pPr>
        <w:pStyle w:val="Heading3"/>
      </w:pPr>
      <w:r>
        <w:rPr>
          <w:rFonts w:ascii="Times New Roman" w:hAnsi="Times New Roman"/>
          <w:b/>
          <w:i/>
          <w:sz w:val="22"/>
        </w:rPr>
        <w:t>V.2  Credit metrics</w:t>
      </w:r>
    </w:p>
    <w:tbl>
      <w:tblPr>
        <w:tblStyle w:val="TableGrid"/>
        <w:tblW w:type="auto" w:w="0"/>
        <w:jc w:val="center"/>
        <w:tblLayout w:type="fixed"/>
        <w:tblLook w:firstColumn="1" w:firstRow="1" w:lastColumn="0" w:lastRow="0" w:noHBand="0" w:noVBand="1" w:val="04A0"/>
      </w:tblPr>
      <w:tblGrid>
        <w:gridCol w:w="2160"/>
        <w:gridCol w:w="2448"/>
        <w:gridCol w:w="893"/>
        <w:gridCol w:w="1152"/>
        <w:gridCol w:w="1944"/>
        <w:gridCol w:w="763"/>
      </w:tblGrid>
      <w:tr>
        <w:trPr>
          <w:tblHeader w:val="true"/>
        </w:trPr>
        <w:tc>
          <w:tcPr>
            <w:tcW w:type="dxa" w:w="2160"/>
            <w:shd w:val="clear" w:color="auto" w:fill="1F3355"/>
          </w:tcPr>
          <w:p>
            <w:pPr>
              <w:spacing w:before="60" w:after="60"/>
              <w:jc w:val="center"/>
            </w:pPr>
            <w:r/>
            <w:r>
              <w:rPr>
                <w:rFonts w:ascii="Times New Roman" w:hAnsi="Times New Roman"/>
                <w:b/>
                <w:color w:val="FFFFFF"/>
                <w:sz w:val="16"/>
              </w:rPr>
              <w:t>Metric</w:t>
            </w:r>
          </w:p>
        </w:tc>
        <w:tc>
          <w:tcPr>
            <w:tcW w:type="dxa" w:w="2448"/>
            <w:shd w:val="clear" w:color="auto" w:fill="1F3355"/>
          </w:tcPr>
          <w:p>
            <w:pPr>
              <w:spacing w:before="60" w:after="60"/>
              <w:jc w:val="center"/>
            </w:pPr>
            <w:r/>
            <w:r>
              <w:rPr>
                <w:rFonts w:ascii="Times New Roman" w:hAnsi="Times New Roman"/>
                <w:b/>
                <w:color w:val="FFFFFF"/>
                <w:sz w:val="16"/>
              </w:rPr>
              <w:t>Computation</w:t>
            </w:r>
          </w:p>
        </w:tc>
        <w:tc>
          <w:tcPr>
            <w:tcW w:type="dxa" w:w="893"/>
            <w:shd w:val="clear" w:color="auto" w:fill="1F3355"/>
          </w:tcPr>
          <w:p>
            <w:pPr>
              <w:spacing w:before="60" w:after="60"/>
              <w:jc w:val="center"/>
            </w:pPr>
            <w:r/>
            <w:r>
              <w:rPr>
                <w:rFonts w:ascii="Times New Roman" w:hAnsi="Times New Roman"/>
                <w:b/>
                <w:color w:val="FFFFFF"/>
                <w:sz w:val="16"/>
              </w:rPr>
              <w:t>Result</w:t>
            </w:r>
          </w:p>
        </w:tc>
        <w:tc>
          <w:tcPr>
            <w:tcW w:type="dxa" w:w="1152"/>
            <w:shd w:val="clear" w:color="auto" w:fill="1F3355"/>
          </w:tcPr>
          <w:p>
            <w:pPr>
              <w:spacing w:before="60" w:after="60"/>
              <w:jc w:val="center"/>
            </w:pPr>
            <w:r/>
            <w:r>
              <w:rPr>
                <w:rFonts w:ascii="Times New Roman" w:hAnsi="Times New Roman"/>
                <w:b/>
                <w:color w:val="FFFFFF"/>
                <w:sz w:val="16"/>
              </w:rPr>
              <w:t>Standard</w:t>
            </w:r>
          </w:p>
        </w:tc>
        <w:tc>
          <w:tcPr>
            <w:tcW w:type="dxa" w:w="1944"/>
            <w:shd w:val="clear" w:color="auto" w:fill="1F3355"/>
          </w:tcPr>
          <w:p>
            <w:pPr>
              <w:spacing w:before="60" w:after="60"/>
              <w:jc w:val="center"/>
            </w:pPr>
            <w:r/>
            <w:r>
              <w:rPr>
                <w:rFonts w:ascii="Times New Roman" w:hAnsi="Times New Roman"/>
                <w:b/>
                <w:color w:val="FFFFFF"/>
                <w:sz w:val="16"/>
              </w:rPr>
              <w:t>Comment</w:t>
            </w:r>
          </w:p>
        </w:tc>
        <w:tc>
          <w:tcPr>
            <w:tcW w:type="dxa" w:w="763"/>
            <w:shd w:val="clear" w:color="auto" w:fill="1F3355"/>
          </w:tcPr>
          <w:p>
            <w:pPr>
              <w:spacing w:before="60" w:after="60"/>
              <w:jc w:val="center"/>
            </w:pPr>
            <w:r/>
            <w:r>
              <w:rPr>
                <w:rFonts w:ascii="Times New Roman" w:hAnsi="Times New Roman"/>
                <w:b/>
                <w:color w:val="FFFFFF"/>
                <w:sz w:val="16"/>
              </w:rPr>
              <w:t>Status</w:t>
            </w:r>
          </w:p>
        </w:tc>
      </w:tr>
      <w:tr>
        <w:trPr>
          <w:cantSplit w:val="true"/>
        </w:trPr>
        <w:tc>
          <w:tcPr>
            <w:tcW w:type="dxa" w:w="2160"/>
          </w:tcPr>
          <w:p>
            <w:pPr>
              <w:spacing w:before="40" w:after="40"/>
              <w:jc w:val="left"/>
            </w:pPr>
            <w:r/>
            <w:r>
              <w:rPr>
                <w:rFonts w:ascii="Times New Roman" w:hAnsi="Times New Roman"/>
                <w:b w:val="0"/>
                <w:i w:val="0"/>
                <w:sz w:val="16"/>
              </w:rPr>
              <w:t>Loan-to-cost</w:t>
            </w:r>
          </w:p>
        </w:tc>
        <w:tc>
          <w:tcPr>
            <w:tcW w:type="dxa" w:w="2448"/>
          </w:tcPr>
          <w:p>
            <w:pPr>
              <w:spacing w:before="40" w:after="40"/>
              <w:jc w:val="left"/>
            </w:pPr>
            <w:r/>
            <w:r>
              <w:rPr>
                <w:rFonts w:ascii="Times New Roman" w:hAnsi="Times New Roman"/>
                <w:b w:val="0"/>
                <w:i w:val="0"/>
                <w:sz w:val="16"/>
              </w:rPr>
              <w:t>$47,500,000 ÷ $56,700,000</w:t>
            </w:r>
          </w:p>
        </w:tc>
        <w:tc>
          <w:tcPr>
            <w:tcW w:type="dxa" w:w="893"/>
          </w:tcPr>
          <w:p>
            <w:pPr>
              <w:spacing w:before="40" w:after="40"/>
              <w:jc w:val="right"/>
            </w:pPr>
            <w:r/>
            <w:r>
              <w:rPr>
                <w:rFonts w:ascii="Times New Roman" w:hAnsi="Times New Roman"/>
                <w:b w:val="0"/>
                <w:i w:val="0"/>
                <w:sz w:val="16"/>
              </w:rPr>
              <w:t>83.77%</w:t>
            </w:r>
          </w:p>
        </w:tc>
        <w:tc>
          <w:tcPr>
            <w:tcW w:type="dxa" w:w="1152"/>
          </w:tcPr>
          <w:p>
            <w:pPr>
              <w:spacing w:before="40" w:after="40"/>
              <w:jc w:val="left"/>
            </w:pPr>
            <w:r/>
            <w:r>
              <w:rPr>
                <w:rFonts w:ascii="Times New Roman" w:hAnsi="Times New Roman"/>
                <w:b w:val="0"/>
                <w:i w:val="0"/>
                <w:sz w:val="16"/>
              </w:rPr>
              <w:t>Maximum 80%</w:t>
            </w:r>
          </w:p>
        </w:tc>
        <w:tc>
          <w:tcPr>
            <w:tcW w:type="dxa" w:w="1944"/>
          </w:tcPr>
          <w:p>
            <w:pPr>
              <w:spacing w:before="40" w:after="40"/>
              <w:jc w:val="left"/>
            </w:pPr>
            <w:r/>
            <w:r>
              <w:rPr>
                <w:rFonts w:ascii="Times New Roman" w:hAnsi="Times New Roman"/>
                <w:b w:val="0"/>
                <w:i w:val="0"/>
                <w:sz w:val="16"/>
              </w:rPr>
              <w:t>Excess $2,140,000</w:t>
            </w:r>
          </w:p>
        </w:tc>
        <w:tc>
          <w:tcPr>
            <w:tcW w:type="dxa" w:w="763"/>
          </w:tcPr>
          <w:p>
            <w:pPr>
              <w:spacing w:before="40" w:after="40"/>
              <w:jc w:val="left"/>
            </w:pPr>
            <w:r/>
            <w:r>
              <w:rPr>
                <w:rFonts w:ascii="Times New Roman" w:hAnsi="Times New Roman"/>
                <w:b w:val="0"/>
                <w:i w:val="0"/>
                <w:sz w:val="16"/>
              </w:rPr>
              <w:t>Fails</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Loan-to-cost (corrected)</w:t>
            </w:r>
          </w:p>
        </w:tc>
        <w:tc>
          <w:tcPr>
            <w:tcW w:type="dxa" w:w="2448"/>
            <w:shd w:val="clear" w:color="auto" w:fill="F7F8FA"/>
          </w:tcPr>
          <w:p>
            <w:pPr>
              <w:spacing w:before="40" w:after="40"/>
              <w:jc w:val="left"/>
            </w:pPr>
            <w:r/>
            <w:r>
              <w:rPr>
                <w:rFonts w:ascii="Times New Roman" w:hAnsi="Times New Roman"/>
                <w:b w:val="0"/>
                <w:i w:val="0"/>
                <w:sz w:val="16"/>
              </w:rPr>
              <w:t>$47,500,000 ÷ $60,780,000</w:t>
            </w:r>
          </w:p>
        </w:tc>
        <w:tc>
          <w:tcPr>
            <w:tcW w:type="dxa" w:w="893"/>
            <w:shd w:val="clear" w:color="auto" w:fill="F7F8FA"/>
          </w:tcPr>
          <w:p>
            <w:pPr>
              <w:spacing w:before="40" w:after="40"/>
              <w:jc w:val="right"/>
            </w:pPr>
            <w:r/>
            <w:r>
              <w:rPr>
                <w:rFonts w:ascii="Times New Roman" w:hAnsi="Times New Roman"/>
                <w:b w:val="0"/>
                <w:i w:val="0"/>
                <w:sz w:val="16"/>
              </w:rPr>
              <w:t>78.15%</w:t>
            </w:r>
          </w:p>
        </w:tc>
        <w:tc>
          <w:tcPr>
            <w:tcW w:type="dxa" w:w="1152"/>
            <w:shd w:val="clear" w:color="auto" w:fill="F7F8FA"/>
          </w:tcPr>
          <w:p>
            <w:pPr>
              <w:spacing w:before="40" w:after="40"/>
              <w:jc w:val="left"/>
            </w:pPr>
            <w:r/>
            <w:r>
              <w:rPr>
                <w:rFonts w:ascii="Times New Roman" w:hAnsi="Times New Roman"/>
                <w:b w:val="0"/>
                <w:i w:val="0"/>
                <w:sz w:val="16"/>
              </w:rPr>
              <w:t>Maximum 80%</w:t>
            </w:r>
          </w:p>
        </w:tc>
        <w:tc>
          <w:tcPr>
            <w:tcW w:type="dxa" w:w="1944"/>
            <w:shd w:val="clear" w:color="auto" w:fill="F7F8FA"/>
          </w:tcPr>
          <w:p>
            <w:pPr>
              <w:spacing w:before="40" w:after="40"/>
              <w:jc w:val="left"/>
            </w:pPr>
            <w:r/>
            <w:r>
              <w:rPr>
                <w:rFonts w:ascii="Times New Roman" w:hAnsi="Times New Roman"/>
                <w:b w:val="0"/>
                <w:i w:val="0"/>
                <w:sz w:val="16"/>
              </w:rPr>
              <w:t>Complies only on corrected budget</w:t>
            </w:r>
          </w:p>
        </w:tc>
        <w:tc>
          <w:tcPr>
            <w:tcW w:type="dxa" w:w="763"/>
            <w:shd w:val="clear" w:color="auto" w:fill="F7F8FA"/>
          </w:tcPr>
          <w:p>
            <w:pPr>
              <w:spacing w:before="40" w:after="40"/>
              <w:jc w:val="left"/>
            </w:pPr>
            <w:r/>
            <w:r>
              <w:rPr>
                <w:rFonts w:ascii="Times New Roman" w:hAnsi="Times New Roman"/>
                <w:b w:val="0"/>
                <w:i w:val="0"/>
                <w:sz w:val="16"/>
              </w:rPr>
              <w:t>Pass (corrected)</w:t>
            </w:r>
          </w:p>
        </w:tc>
      </w:tr>
      <w:tr>
        <w:trPr>
          <w:cantSplit w:val="true"/>
        </w:trPr>
        <w:tc>
          <w:tcPr>
            <w:tcW w:type="dxa" w:w="2160"/>
          </w:tcPr>
          <w:p>
            <w:pPr>
              <w:spacing w:before="40" w:after="40"/>
              <w:jc w:val="left"/>
            </w:pPr>
            <w:r/>
            <w:r>
              <w:rPr>
                <w:rFonts w:ascii="Times New Roman" w:hAnsi="Times New Roman"/>
                <w:b w:val="0"/>
                <w:i w:val="0"/>
                <w:sz w:val="16"/>
              </w:rPr>
              <w:t>LTV as-completed</w:t>
            </w:r>
          </w:p>
        </w:tc>
        <w:tc>
          <w:tcPr>
            <w:tcW w:type="dxa" w:w="2448"/>
          </w:tcPr>
          <w:p>
            <w:pPr>
              <w:spacing w:before="40" w:after="40"/>
              <w:jc w:val="left"/>
            </w:pPr>
            <w:r/>
            <w:r>
              <w:rPr>
                <w:rFonts w:ascii="Times New Roman" w:hAnsi="Times New Roman"/>
                <w:b w:val="0"/>
                <w:i w:val="0"/>
                <w:sz w:val="16"/>
              </w:rPr>
              <w:t>$47,500,000 ÷ $72,800,000</w:t>
            </w:r>
          </w:p>
        </w:tc>
        <w:tc>
          <w:tcPr>
            <w:tcW w:type="dxa" w:w="893"/>
          </w:tcPr>
          <w:p>
            <w:pPr>
              <w:spacing w:before="40" w:after="40"/>
              <w:jc w:val="right"/>
            </w:pPr>
            <w:r/>
            <w:r>
              <w:rPr>
                <w:rFonts w:ascii="Times New Roman" w:hAnsi="Times New Roman"/>
                <w:b w:val="0"/>
                <w:i w:val="0"/>
                <w:sz w:val="16"/>
              </w:rPr>
              <w:t>65.25%</w:t>
            </w:r>
          </w:p>
        </w:tc>
        <w:tc>
          <w:tcPr>
            <w:tcW w:type="dxa" w:w="1152"/>
          </w:tcPr>
          <w:p>
            <w:pPr>
              <w:spacing w:before="40" w:after="40"/>
              <w:jc w:val="left"/>
            </w:pPr>
            <w:r/>
            <w:r>
              <w:rPr>
                <w:rFonts w:ascii="Times New Roman" w:hAnsi="Times New Roman"/>
                <w:b w:val="0"/>
                <w:i w:val="0"/>
                <w:sz w:val="16"/>
              </w:rPr>
              <w:t>Maximum 65%</w:t>
            </w:r>
          </w:p>
        </w:tc>
        <w:tc>
          <w:tcPr>
            <w:tcW w:type="dxa" w:w="1944"/>
          </w:tcPr>
          <w:p>
            <w:pPr>
              <w:spacing w:before="40" w:after="40"/>
              <w:jc w:val="left"/>
            </w:pPr>
            <w:r/>
            <w:r>
              <w:rPr>
                <w:rFonts w:ascii="Times New Roman" w:hAnsi="Times New Roman"/>
                <w:b w:val="0"/>
                <w:i w:val="0"/>
                <w:sz w:val="16"/>
              </w:rPr>
              <w:t>Excess $180,000</w:t>
            </w:r>
          </w:p>
        </w:tc>
        <w:tc>
          <w:tcPr>
            <w:tcW w:type="dxa" w:w="763"/>
          </w:tcPr>
          <w:p>
            <w:pPr>
              <w:spacing w:before="40" w:after="40"/>
              <w:jc w:val="left"/>
            </w:pPr>
            <w:r/>
            <w:r>
              <w:rPr>
                <w:rFonts w:ascii="Times New Roman" w:hAnsi="Times New Roman"/>
                <w:b w:val="0"/>
                <w:i w:val="0"/>
                <w:sz w:val="16"/>
              </w:rPr>
              <w:t>Fails</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LTV as-stabilized</w:t>
            </w:r>
          </w:p>
        </w:tc>
        <w:tc>
          <w:tcPr>
            <w:tcW w:type="dxa" w:w="2448"/>
            <w:shd w:val="clear" w:color="auto" w:fill="F7F8FA"/>
          </w:tcPr>
          <w:p>
            <w:pPr>
              <w:spacing w:before="40" w:after="40"/>
              <w:jc w:val="left"/>
            </w:pPr>
            <w:r/>
            <w:r>
              <w:rPr>
                <w:rFonts w:ascii="Times New Roman" w:hAnsi="Times New Roman"/>
                <w:b w:val="0"/>
                <w:i w:val="0"/>
                <w:sz w:val="16"/>
              </w:rPr>
              <w:t>$47,500,000 ÷ $76,200,000</w:t>
            </w:r>
          </w:p>
        </w:tc>
        <w:tc>
          <w:tcPr>
            <w:tcW w:type="dxa" w:w="893"/>
            <w:shd w:val="clear" w:color="auto" w:fill="F7F8FA"/>
          </w:tcPr>
          <w:p>
            <w:pPr>
              <w:spacing w:before="40" w:after="40"/>
              <w:jc w:val="right"/>
            </w:pPr>
            <w:r/>
            <w:r>
              <w:rPr>
                <w:rFonts w:ascii="Times New Roman" w:hAnsi="Times New Roman"/>
                <w:b w:val="0"/>
                <w:i w:val="0"/>
                <w:sz w:val="16"/>
              </w:rPr>
              <w:t>62.34%</w:t>
            </w:r>
          </w:p>
        </w:tc>
        <w:tc>
          <w:tcPr>
            <w:tcW w:type="dxa" w:w="1152"/>
            <w:shd w:val="clear" w:color="auto" w:fill="F7F8FA"/>
          </w:tcPr>
          <w:p>
            <w:pPr>
              <w:spacing w:before="40" w:after="40"/>
              <w:jc w:val="left"/>
            </w:pPr>
            <w:r/>
            <w:r>
              <w:rPr>
                <w:rFonts w:ascii="Times New Roman" w:hAnsi="Times New Roman"/>
                <w:b w:val="0"/>
                <w:i w:val="0"/>
                <w:sz w:val="16"/>
              </w:rPr>
              <w:t>Maximum 65%</w:t>
            </w:r>
          </w:p>
        </w:tc>
        <w:tc>
          <w:tcPr>
            <w:tcW w:type="dxa" w:w="1944"/>
            <w:shd w:val="clear" w:color="auto" w:fill="F7F8FA"/>
          </w:tcPr>
          <w:p>
            <w:pPr>
              <w:spacing w:before="40" w:after="40"/>
              <w:jc w:val="left"/>
            </w:pPr>
            <w:r/>
            <w:r>
              <w:rPr>
                <w:rFonts w:ascii="Times New Roman" w:hAnsi="Times New Roman"/>
                <w:b w:val="0"/>
                <w:i w:val="0"/>
                <w:sz w:val="16"/>
              </w:rPr>
              <w:t>—</w:t>
            </w:r>
          </w:p>
        </w:tc>
        <w:tc>
          <w:tcPr>
            <w:tcW w:type="dxa" w:w="763"/>
            <w:shd w:val="clear" w:color="auto" w:fill="F7F8FA"/>
          </w:tcPr>
          <w:p>
            <w:pPr>
              <w:spacing w:before="40" w:after="40"/>
              <w:jc w:val="left"/>
            </w:pPr>
            <w:r/>
            <w:r>
              <w:rPr>
                <w:rFonts w:ascii="Times New Roman" w:hAnsi="Times New Roman"/>
                <w:b w:val="0"/>
                <w:i w:val="0"/>
                <w:sz w:val="16"/>
              </w:rPr>
              <w:t>Pass</w:t>
            </w:r>
          </w:p>
        </w:tc>
      </w:tr>
      <w:tr>
        <w:trPr>
          <w:cantSplit w:val="true"/>
        </w:trPr>
        <w:tc>
          <w:tcPr>
            <w:tcW w:type="dxa" w:w="2160"/>
          </w:tcPr>
          <w:p>
            <w:pPr>
              <w:spacing w:before="40" w:after="40"/>
              <w:jc w:val="left"/>
            </w:pPr>
            <w:r/>
            <w:r>
              <w:rPr>
                <w:rFonts w:ascii="Times New Roman" w:hAnsi="Times New Roman"/>
                <w:b w:val="0"/>
                <w:i w:val="0"/>
                <w:sz w:val="16"/>
              </w:rPr>
              <w:t>Cap rate (implied)</w:t>
            </w:r>
          </w:p>
        </w:tc>
        <w:tc>
          <w:tcPr>
            <w:tcW w:type="dxa" w:w="2448"/>
          </w:tcPr>
          <w:p>
            <w:pPr>
              <w:spacing w:before="40" w:after="40"/>
              <w:jc w:val="left"/>
            </w:pPr>
            <w:r/>
            <w:r>
              <w:rPr>
                <w:rFonts w:ascii="Times New Roman" w:hAnsi="Times New Roman"/>
                <w:b w:val="0"/>
                <w:i w:val="0"/>
                <w:sz w:val="16"/>
              </w:rPr>
              <w:t>$4,876,800 ÷ $76,200,000</w:t>
            </w:r>
          </w:p>
        </w:tc>
        <w:tc>
          <w:tcPr>
            <w:tcW w:type="dxa" w:w="893"/>
          </w:tcPr>
          <w:p>
            <w:pPr>
              <w:spacing w:before="40" w:after="40"/>
              <w:jc w:val="right"/>
            </w:pPr>
            <w:r/>
            <w:r>
              <w:rPr>
                <w:rFonts w:ascii="Times New Roman" w:hAnsi="Times New Roman"/>
                <w:b w:val="0"/>
                <w:i w:val="0"/>
                <w:sz w:val="16"/>
              </w:rPr>
              <w:t>6.40%</w:t>
            </w:r>
          </w:p>
        </w:tc>
        <w:tc>
          <w:tcPr>
            <w:tcW w:type="dxa" w:w="1152"/>
          </w:tcPr>
          <w:p>
            <w:pPr>
              <w:spacing w:before="40" w:after="40"/>
              <w:jc w:val="left"/>
            </w:pPr>
            <w:r/>
            <w:r>
              <w:rPr>
                <w:rFonts w:ascii="Times New Roman" w:hAnsi="Times New Roman"/>
                <w:b w:val="0"/>
                <w:i w:val="0"/>
                <w:sz w:val="16"/>
              </w:rPr>
              <w:t>—</w:t>
            </w:r>
          </w:p>
        </w:tc>
        <w:tc>
          <w:tcPr>
            <w:tcW w:type="dxa" w:w="1944"/>
          </w:tcPr>
          <w:p>
            <w:pPr>
              <w:spacing w:before="40" w:after="40"/>
              <w:jc w:val="left"/>
            </w:pPr>
            <w:r/>
            <w:r>
              <w:rPr>
                <w:rFonts w:ascii="Times New Roman" w:hAnsi="Times New Roman"/>
                <w:b w:val="0"/>
                <w:i w:val="0"/>
                <w:sz w:val="16"/>
              </w:rPr>
              <w:t>Appraiser's selected rate</w:t>
            </w:r>
          </w:p>
        </w:tc>
        <w:tc>
          <w:tcPr>
            <w:tcW w:type="dxa" w:w="763"/>
          </w:tcPr>
          <w:p>
            <w:pPr>
              <w:spacing w:before="40" w:after="40"/>
              <w:jc w:val="left"/>
            </w:pPr>
            <w:r/>
            <w:r>
              <w:rPr>
                <w:rFonts w:ascii="Times New Roman" w:hAnsi="Times New Roman"/>
                <w:b w:val="0"/>
                <w:i w:val="0"/>
                <w:sz w:val="16"/>
              </w:rPr>
              <w:t>Ties</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DSCR (senior, I/O, 7.85%)</w:t>
            </w:r>
          </w:p>
        </w:tc>
        <w:tc>
          <w:tcPr>
            <w:tcW w:type="dxa" w:w="2448"/>
            <w:shd w:val="clear" w:color="auto" w:fill="F7F8FA"/>
          </w:tcPr>
          <w:p>
            <w:pPr>
              <w:spacing w:before="40" w:after="40"/>
              <w:jc w:val="left"/>
            </w:pPr>
            <w:r/>
            <w:r>
              <w:rPr>
                <w:rFonts w:ascii="Times New Roman" w:hAnsi="Times New Roman"/>
                <w:b w:val="0"/>
                <w:i w:val="0"/>
                <w:sz w:val="16"/>
              </w:rPr>
              <w:t>$4,876,800 ÷ $3,728,750</w:t>
            </w:r>
          </w:p>
        </w:tc>
        <w:tc>
          <w:tcPr>
            <w:tcW w:type="dxa" w:w="893"/>
            <w:shd w:val="clear" w:color="auto" w:fill="F7F8FA"/>
          </w:tcPr>
          <w:p>
            <w:pPr>
              <w:spacing w:before="40" w:after="40"/>
              <w:jc w:val="right"/>
            </w:pPr>
            <w:r/>
            <w:r>
              <w:rPr>
                <w:rFonts w:ascii="Times New Roman" w:hAnsi="Times New Roman"/>
                <w:b w:val="0"/>
                <w:i w:val="0"/>
                <w:sz w:val="16"/>
              </w:rPr>
              <w:t>1.31x</w:t>
            </w:r>
          </w:p>
        </w:tc>
        <w:tc>
          <w:tcPr>
            <w:tcW w:type="dxa" w:w="1152"/>
            <w:shd w:val="clear" w:color="auto" w:fill="F7F8FA"/>
          </w:tcPr>
          <w:p>
            <w:pPr>
              <w:spacing w:before="40" w:after="40"/>
              <w:jc w:val="left"/>
            </w:pPr>
            <w:r/>
            <w:r>
              <w:rPr>
                <w:rFonts w:ascii="Times New Roman" w:hAnsi="Times New Roman"/>
                <w:b w:val="0"/>
                <w:i w:val="0"/>
                <w:sz w:val="16"/>
              </w:rPr>
              <w:t>Minimum 1.25x</w:t>
            </w:r>
          </w:p>
        </w:tc>
        <w:tc>
          <w:tcPr>
            <w:tcW w:type="dxa" w:w="1944"/>
            <w:shd w:val="clear" w:color="auto" w:fill="F7F8FA"/>
          </w:tcPr>
          <w:p>
            <w:pPr>
              <w:spacing w:before="40" w:after="40"/>
              <w:jc w:val="left"/>
            </w:pPr>
            <w:r/>
            <w:r>
              <w:rPr>
                <w:rFonts w:ascii="Times New Roman" w:hAnsi="Times New Roman"/>
                <w:b w:val="0"/>
                <w:i w:val="0"/>
                <w:sz w:val="16"/>
              </w:rPr>
              <w:t>—</w:t>
            </w:r>
          </w:p>
        </w:tc>
        <w:tc>
          <w:tcPr>
            <w:tcW w:type="dxa" w:w="763"/>
            <w:shd w:val="clear" w:color="auto" w:fill="F7F8FA"/>
          </w:tcPr>
          <w:p>
            <w:pPr>
              <w:spacing w:before="40" w:after="40"/>
              <w:jc w:val="left"/>
            </w:pPr>
            <w:r/>
            <w:r>
              <w:rPr>
                <w:rFonts w:ascii="Times New Roman" w:hAnsi="Times New Roman"/>
                <w:b w:val="0"/>
                <w:i w:val="0"/>
                <w:sz w:val="16"/>
              </w:rPr>
              <w:t>Pass</w:t>
            </w:r>
          </w:p>
        </w:tc>
      </w:tr>
      <w:tr>
        <w:trPr>
          <w:cantSplit w:val="true"/>
        </w:trPr>
        <w:tc>
          <w:tcPr>
            <w:tcW w:type="dxa" w:w="2160"/>
          </w:tcPr>
          <w:p>
            <w:pPr>
              <w:spacing w:before="40" w:after="40"/>
              <w:jc w:val="left"/>
            </w:pPr>
            <w:r/>
            <w:r>
              <w:rPr>
                <w:rFonts w:ascii="Times New Roman" w:hAnsi="Times New Roman"/>
                <w:b w:val="0"/>
                <w:i w:val="0"/>
                <w:sz w:val="16"/>
              </w:rPr>
              <w:t>DSCR (+200 bps, 9.85%)</w:t>
            </w:r>
          </w:p>
        </w:tc>
        <w:tc>
          <w:tcPr>
            <w:tcW w:type="dxa" w:w="2448"/>
          </w:tcPr>
          <w:p>
            <w:pPr>
              <w:spacing w:before="40" w:after="40"/>
              <w:jc w:val="left"/>
            </w:pPr>
            <w:r/>
            <w:r>
              <w:rPr>
                <w:rFonts w:ascii="Times New Roman" w:hAnsi="Times New Roman"/>
                <w:b w:val="0"/>
                <w:i w:val="0"/>
                <w:sz w:val="16"/>
              </w:rPr>
              <w:t>$4,876,800 ÷ $4,678,750</w:t>
            </w:r>
          </w:p>
        </w:tc>
        <w:tc>
          <w:tcPr>
            <w:tcW w:type="dxa" w:w="893"/>
          </w:tcPr>
          <w:p>
            <w:pPr>
              <w:spacing w:before="40" w:after="40"/>
              <w:jc w:val="right"/>
            </w:pPr>
            <w:r/>
            <w:r>
              <w:rPr>
                <w:rFonts w:ascii="Times New Roman" w:hAnsi="Times New Roman"/>
                <w:b w:val="0"/>
                <w:i w:val="0"/>
                <w:sz w:val="16"/>
              </w:rPr>
              <w:t>1.04x</w:t>
            </w:r>
          </w:p>
        </w:tc>
        <w:tc>
          <w:tcPr>
            <w:tcW w:type="dxa" w:w="1152"/>
          </w:tcPr>
          <w:p>
            <w:pPr>
              <w:spacing w:before="40" w:after="40"/>
              <w:jc w:val="left"/>
            </w:pPr>
            <w:r/>
            <w:r>
              <w:rPr>
                <w:rFonts w:ascii="Times New Roman" w:hAnsi="Times New Roman"/>
                <w:b w:val="0"/>
                <w:i w:val="0"/>
                <w:sz w:val="16"/>
              </w:rPr>
              <w:t>Minimum 1.25x</w:t>
            </w:r>
          </w:p>
        </w:tc>
        <w:tc>
          <w:tcPr>
            <w:tcW w:type="dxa" w:w="1944"/>
          </w:tcPr>
          <w:p>
            <w:pPr>
              <w:spacing w:before="40" w:after="40"/>
              <w:jc w:val="left"/>
            </w:pPr>
            <w:r/>
            <w:r>
              <w:rPr>
                <w:rFonts w:ascii="Times New Roman" w:hAnsi="Times New Roman"/>
                <w:b w:val="0"/>
                <w:i w:val="0"/>
                <w:sz w:val="16"/>
              </w:rPr>
              <w:t>—</w:t>
            </w:r>
          </w:p>
        </w:tc>
        <w:tc>
          <w:tcPr>
            <w:tcW w:type="dxa" w:w="763"/>
          </w:tcPr>
          <w:p>
            <w:pPr>
              <w:spacing w:before="40" w:after="40"/>
              <w:jc w:val="left"/>
            </w:pPr>
            <w:r/>
            <w:r>
              <w:rPr>
                <w:rFonts w:ascii="Times New Roman" w:hAnsi="Times New Roman"/>
                <w:b w:val="0"/>
                <w:i w:val="0"/>
                <w:sz w:val="16"/>
              </w:rPr>
              <w:t>Fails</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Combined DSCR (senior + mezz 12.50%)</w:t>
            </w:r>
          </w:p>
        </w:tc>
        <w:tc>
          <w:tcPr>
            <w:tcW w:type="dxa" w:w="2448"/>
            <w:shd w:val="clear" w:color="auto" w:fill="F7F8FA"/>
          </w:tcPr>
          <w:p>
            <w:pPr>
              <w:spacing w:before="40" w:after="40"/>
              <w:jc w:val="left"/>
            </w:pPr>
            <w:r/>
            <w:r>
              <w:rPr>
                <w:rFonts w:ascii="Times New Roman" w:hAnsi="Times New Roman"/>
                <w:b w:val="0"/>
                <w:i w:val="0"/>
                <w:sz w:val="16"/>
              </w:rPr>
              <w:t>$4,876,800 ÷ $4,878,750</w:t>
            </w:r>
          </w:p>
        </w:tc>
        <w:tc>
          <w:tcPr>
            <w:tcW w:type="dxa" w:w="893"/>
            <w:shd w:val="clear" w:color="auto" w:fill="F7F8FA"/>
          </w:tcPr>
          <w:p>
            <w:pPr>
              <w:spacing w:before="40" w:after="40"/>
              <w:jc w:val="right"/>
            </w:pPr>
            <w:r/>
            <w:r>
              <w:rPr>
                <w:rFonts w:ascii="Times New Roman" w:hAnsi="Times New Roman"/>
                <w:b w:val="0"/>
                <w:i w:val="0"/>
                <w:sz w:val="16"/>
              </w:rPr>
              <w:t>1.00x</w:t>
            </w:r>
          </w:p>
        </w:tc>
        <w:tc>
          <w:tcPr>
            <w:tcW w:type="dxa" w:w="1152"/>
            <w:shd w:val="clear" w:color="auto" w:fill="F7F8FA"/>
          </w:tcPr>
          <w:p>
            <w:pPr>
              <w:spacing w:before="40" w:after="40"/>
              <w:jc w:val="left"/>
            </w:pPr>
            <w:r/>
            <w:r>
              <w:rPr>
                <w:rFonts w:ascii="Times New Roman" w:hAnsi="Times New Roman"/>
                <w:b w:val="0"/>
                <w:i w:val="0"/>
                <w:sz w:val="16"/>
              </w:rPr>
              <w:t>Not tested</w:t>
            </w:r>
          </w:p>
        </w:tc>
        <w:tc>
          <w:tcPr>
            <w:tcW w:type="dxa" w:w="1944"/>
            <w:shd w:val="clear" w:color="auto" w:fill="F7F8FA"/>
          </w:tcPr>
          <w:p>
            <w:pPr>
              <w:spacing w:before="40" w:after="40"/>
              <w:jc w:val="left"/>
            </w:pPr>
            <w:r/>
            <w:r>
              <w:rPr>
                <w:rFonts w:ascii="Times New Roman" w:hAnsi="Times New Roman"/>
                <w:b w:val="0"/>
                <w:i w:val="0"/>
                <w:sz w:val="16"/>
              </w:rPr>
              <w:t>Excludes PIK accrual</w:t>
            </w:r>
          </w:p>
        </w:tc>
        <w:tc>
          <w:tcPr>
            <w:tcW w:type="dxa" w:w="763"/>
            <w:shd w:val="clear" w:color="auto" w:fill="F7F8FA"/>
          </w:tcPr>
          <w:p>
            <w:pPr>
              <w:spacing w:before="40" w:after="40"/>
              <w:jc w:val="left"/>
            </w:pPr>
            <w:r/>
            <w:r>
              <w:rPr>
                <w:rFonts w:ascii="Times New Roman" w:hAnsi="Times New Roman"/>
                <w:b w:val="0"/>
                <w:i w:val="0"/>
                <w:sz w:val="16"/>
              </w:rPr>
              <w:t>Not tested</w:t>
            </w:r>
          </w:p>
        </w:tc>
      </w:tr>
      <w:tr>
        <w:trPr>
          <w:cantSplit w:val="true"/>
        </w:trPr>
        <w:tc>
          <w:tcPr>
            <w:tcW w:type="dxa" w:w="2160"/>
          </w:tcPr>
          <w:p>
            <w:pPr>
              <w:spacing w:before="40" w:after="40"/>
              <w:jc w:val="left"/>
            </w:pPr>
            <w:r/>
            <w:r>
              <w:rPr>
                <w:rFonts w:ascii="Times New Roman" w:hAnsi="Times New Roman"/>
                <w:b w:val="0"/>
                <w:i w:val="0"/>
                <w:sz w:val="16"/>
              </w:rPr>
              <w:t>Combined LTV (senior + mezz + PIK at 8/2028)</w:t>
            </w:r>
          </w:p>
        </w:tc>
        <w:tc>
          <w:tcPr>
            <w:tcW w:type="dxa" w:w="2448"/>
          </w:tcPr>
          <w:p>
            <w:pPr>
              <w:spacing w:before="40" w:after="40"/>
              <w:jc w:val="left"/>
            </w:pPr>
            <w:r/>
            <w:r>
              <w:rPr>
                <w:rFonts w:ascii="Times New Roman" w:hAnsi="Times New Roman"/>
                <w:b w:val="0"/>
                <w:i w:val="0"/>
                <w:sz w:val="16"/>
              </w:rPr>
              <w:t>$60,725,000 ÷ $76,200,000</w:t>
            </w:r>
          </w:p>
        </w:tc>
        <w:tc>
          <w:tcPr>
            <w:tcW w:type="dxa" w:w="893"/>
          </w:tcPr>
          <w:p>
            <w:pPr>
              <w:spacing w:before="40" w:after="40"/>
              <w:jc w:val="right"/>
            </w:pPr>
            <w:r/>
            <w:r>
              <w:rPr>
                <w:rFonts w:ascii="Times New Roman" w:hAnsi="Times New Roman"/>
                <w:b w:val="0"/>
                <w:i w:val="0"/>
                <w:sz w:val="16"/>
              </w:rPr>
              <w:t>79.7%</w:t>
            </w:r>
          </w:p>
        </w:tc>
        <w:tc>
          <w:tcPr>
            <w:tcW w:type="dxa" w:w="1152"/>
          </w:tcPr>
          <w:p>
            <w:pPr>
              <w:spacing w:before="40" w:after="40"/>
              <w:jc w:val="left"/>
            </w:pPr>
            <w:r/>
            <w:r>
              <w:rPr>
                <w:rFonts w:ascii="Times New Roman" w:hAnsi="Times New Roman"/>
                <w:b w:val="0"/>
                <w:i w:val="0"/>
                <w:sz w:val="16"/>
              </w:rPr>
              <w:t>Not tested</w:t>
            </w:r>
          </w:p>
        </w:tc>
        <w:tc>
          <w:tcPr>
            <w:tcW w:type="dxa" w:w="1944"/>
          </w:tcPr>
          <w:p>
            <w:pPr>
              <w:spacing w:before="40" w:after="40"/>
              <w:jc w:val="left"/>
            </w:pPr>
            <w:r/>
            <w:r>
              <w:rPr>
                <w:rFonts w:ascii="Times New Roman" w:hAnsi="Times New Roman"/>
                <w:b w:val="0"/>
                <w:i w:val="0"/>
                <w:sz w:val="16"/>
              </w:rPr>
              <w:t>—</w:t>
            </w:r>
          </w:p>
        </w:tc>
        <w:tc>
          <w:tcPr>
            <w:tcW w:type="dxa" w:w="763"/>
          </w:tcPr>
          <w:p>
            <w:pPr>
              <w:spacing w:before="40" w:after="40"/>
              <w:jc w:val="left"/>
            </w:pPr>
            <w:r/>
            <w:r>
              <w:rPr>
                <w:rFonts w:ascii="Times New Roman" w:hAnsi="Times New Roman"/>
                <w:b w:val="0"/>
                <w:i w:val="0"/>
                <w:sz w:val="16"/>
              </w:rPr>
              <w:t>Not tested</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Combined leverage at closing</w:t>
            </w:r>
          </w:p>
        </w:tc>
        <w:tc>
          <w:tcPr>
            <w:tcW w:type="dxa" w:w="2448"/>
            <w:shd w:val="clear" w:color="auto" w:fill="F7F8FA"/>
          </w:tcPr>
          <w:p>
            <w:pPr>
              <w:spacing w:before="40" w:after="40"/>
              <w:jc w:val="left"/>
            </w:pPr>
            <w:r/>
            <w:r>
              <w:rPr>
                <w:rFonts w:ascii="Times New Roman" w:hAnsi="Times New Roman"/>
                <w:b w:val="0"/>
                <w:i w:val="0"/>
                <w:sz w:val="16"/>
              </w:rPr>
              <w:t>($47,500,000 + $9,200,000) ÷ $56,700,000</w:t>
            </w:r>
          </w:p>
        </w:tc>
        <w:tc>
          <w:tcPr>
            <w:tcW w:type="dxa" w:w="893"/>
            <w:shd w:val="clear" w:color="auto" w:fill="F7F8FA"/>
          </w:tcPr>
          <w:p>
            <w:pPr>
              <w:spacing w:before="40" w:after="40"/>
              <w:jc w:val="right"/>
            </w:pPr>
            <w:r/>
            <w:r>
              <w:rPr>
                <w:rFonts w:ascii="Times New Roman" w:hAnsi="Times New Roman"/>
                <w:b w:val="0"/>
                <w:i w:val="0"/>
                <w:sz w:val="16"/>
              </w:rPr>
              <w:t>100.0%</w:t>
            </w:r>
          </w:p>
        </w:tc>
        <w:tc>
          <w:tcPr>
            <w:tcW w:type="dxa" w:w="1152"/>
            <w:shd w:val="clear" w:color="auto" w:fill="F7F8FA"/>
          </w:tcPr>
          <w:p>
            <w:pPr>
              <w:spacing w:before="40" w:after="40"/>
              <w:jc w:val="left"/>
            </w:pPr>
            <w:r/>
            <w:r>
              <w:rPr>
                <w:rFonts w:ascii="Times New Roman" w:hAnsi="Times New Roman"/>
                <w:b w:val="0"/>
                <w:i w:val="0"/>
                <w:sz w:val="16"/>
              </w:rPr>
              <w:t>—</w:t>
            </w:r>
          </w:p>
        </w:tc>
        <w:tc>
          <w:tcPr>
            <w:tcW w:type="dxa" w:w="1944"/>
            <w:shd w:val="clear" w:color="auto" w:fill="F7F8FA"/>
          </w:tcPr>
          <w:p>
            <w:pPr>
              <w:spacing w:before="40" w:after="40"/>
              <w:jc w:val="left"/>
            </w:pPr>
            <w:r/>
            <w:r>
              <w:rPr>
                <w:rFonts w:ascii="Times New Roman" w:hAnsi="Times New Roman"/>
                <w:b w:val="0"/>
                <w:i w:val="0"/>
                <w:sz w:val="16"/>
              </w:rPr>
              <w:t>Zero equity cushion</w:t>
            </w:r>
          </w:p>
        </w:tc>
        <w:tc>
          <w:tcPr>
            <w:tcW w:type="dxa" w:w="763"/>
            <w:shd w:val="clear" w:color="auto" w:fill="F7F8FA"/>
          </w:tcPr>
          <w:p>
            <w:pPr>
              <w:spacing w:before="40" w:after="40"/>
              <w:jc w:val="left"/>
            </w:pPr>
            <w:r/>
            <w:r>
              <w:rPr>
                <w:rFonts w:ascii="Times New Roman" w:hAnsi="Times New Roman"/>
                <w:b w:val="0"/>
                <w:i w:val="0"/>
                <w:sz w:val="16"/>
              </w:rPr>
              <w:t>Disclosed</w:t>
            </w:r>
          </w:p>
        </w:tc>
      </w:tr>
      <w:tr>
        <w:trPr>
          <w:cantSplit w:val="true"/>
        </w:trPr>
        <w:tc>
          <w:tcPr>
            <w:tcW w:type="dxa" w:w="2160"/>
          </w:tcPr>
          <w:p>
            <w:pPr>
              <w:spacing w:before="40" w:after="40"/>
              <w:jc w:val="left"/>
            </w:pPr>
            <w:r/>
            <w:r>
              <w:rPr>
                <w:rFonts w:ascii="Times New Roman" w:hAnsi="Times New Roman"/>
                <w:b w:val="0"/>
                <w:i w:val="0"/>
                <w:sz w:val="16"/>
              </w:rPr>
              <w:t>HVCRE contributed capital (as asserted)</w:t>
            </w:r>
          </w:p>
        </w:tc>
        <w:tc>
          <w:tcPr>
            <w:tcW w:type="dxa" w:w="2448"/>
          </w:tcPr>
          <w:p>
            <w:pPr>
              <w:spacing w:before="40" w:after="40"/>
              <w:jc w:val="left"/>
            </w:pPr>
            <w:r/>
            <w:r>
              <w:rPr>
                <w:rFonts w:ascii="Times New Roman" w:hAnsi="Times New Roman"/>
                <w:b w:val="0"/>
                <w:i w:val="0"/>
                <w:sz w:val="16"/>
              </w:rPr>
              <w:t>$10,340,000 ÷ $72,800,000</w:t>
            </w:r>
          </w:p>
        </w:tc>
        <w:tc>
          <w:tcPr>
            <w:tcW w:type="dxa" w:w="893"/>
          </w:tcPr>
          <w:p>
            <w:pPr>
              <w:spacing w:before="40" w:after="40"/>
              <w:jc w:val="right"/>
            </w:pPr>
            <w:r/>
            <w:r>
              <w:rPr>
                <w:rFonts w:ascii="Times New Roman" w:hAnsi="Times New Roman"/>
                <w:b w:val="0"/>
                <w:i w:val="0"/>
                <w:sz w:val="16"/>
              </w:rPr>
              <w:t>14.20%</w:t>
            </w:r>
          </w:p>
        </w:tc>
        <w:tc>
          <w:tcPr>
            <w:tcW w:type="dxa" w:w="1152"/>
          </w:tcPr>
          <w:p>
            <w:pPr>
              <w:spacing w:before="40" w:after="40"/>
              <w:jc w:val="left"/>
            </w:pPr>
            <w:r/>
            <w:r>
              <w:rPr>
                <w:rFonts w:ascii="Times New Roman" w:hAnsi="Times New Roman"/>
                <w:b w:val="0"/>
                <w:i w:val="0"/>
                <w:sz w:val="16"/>
              </w:rPr>
              <w:t>15% threshold</w:t>
            </w:r>
          </w:p>
        </w:tc>
        <w:tc>
          <w:tcPr>
            <w:tcW w:type="dxa" w:w="1944"/>
          </w:tcPr>
          <w:p>
            <w:pPr>
              <w:spacing w:before="40" w:after="40"/>
              <w:jc w:val="left"/>
            </w:pPr>
            <w:r/>
            <w:r>
              <w:rPr>
                <w:rFonts w:ascii="Times New Roman" w:hAnsi="Times New Roman"/>
                <w:b w:val="0"/>
                <w:i w:val="0"/>
                <w:sz w:val="16"/>
              </w:rPr>
              <w:t>$580,000 short</w:t>
            </w:r>
          </w:p>
        </w:tc>
        <w:tc>
          <w:tcPr>
            <w:tcW w:type="dxa" w:w="763"/>
          </w:tcPr>
          <w:p>
            <w:pPr>
              <w:spacing w:before="40" w:after="40"/>
              <w:jc w:val="left"/>
            </w:pPr>
            <w:r/>
            <w:r>
              <w:rPr>
                <w:rFonts w:ascii="Times New Roman" w:hAnsi="Times New Roman"/>
                <w:b w:val="0"/>
                <w:i w:val="0"/>
                <w:sz w:val="16"/>
              </w:rPr>
              <w:t>HVCRE applies</w:t>
            </w:r>
          </w:p>
        </w:tc>
      </w:tr>
      <w:tr>
        <w:trPr>
          <w:cantSplit w:val="true"/>
        </w:trPr>
        <w:tc>
          <w:tcPr>
            <w:tcW w:type="dxa" w:w="2160"/>
            <w:shd w:val="clear" w:color="auto" w:fill="F7F8FA"/>
          </w:tcPr>
          <w:p>
            <w:pPr>
              <w:spacing w:before="40" w:after="40"/>
              <w:jc w:val="left"/>
            </w:pPr>
            <w:r/>
            <w:r>
              <w:rPr>
                <w:rFonts w:ascii="Times New Roman" w:hAnsi="Times New Roman"/>
                <w:b w:val="0"/>
                <w:i w:val="0"/>
                <w:sz w:val="16"/>
              </w:rPr>
              <w:t>HVCRE contributed capital (if land was debt-funded)</w:t>
            </w:r>
          </w:p>
        </w:tc>
        <w:tc>
          <w:tcPr>
            <w:tcW w:type="dxa" w:w="2448"/>
            <w:shd w:val="clear" w:color="auto" w:fill="F7F8FA"/>
          </w:tcPr>
          <w:p>
            <w:pPr>
              <w:spacing w:before="40" w:after="40"/>
              <w:jc w:val="left"/>
            </w:pPr>
            <w:r/>
            <w:r>
              <w:rPr>
                <w:rFonts w:ascii="Times New Roman" w:hAnsi="Times New Roman"/>
                <w:b w:val="0"/>
                <w:i w:val="0"/>
                <w:sz w:val="16"/>
              </w:rPr>
              <w:t>$2,140,000 ÷ $72,800,000</w:t>
            </w:r>
          </w:p>
        </w:tc>
        <w:tc>
          <w:tcPr>
            <w:tcW w:type="dxa" w:w="893"/>
            <w:shd w:val="clear" w:color="auto" w:fill="F7F8FA"/>
          </w:tcPr>
          <w:p>
            <w:pPr>
              <w:spacing w:before="40" w:after="40"/>
              <w:jc w:val="right"/>
            </w:pPr>
            <w:r/>
            <w:r>
              <w:rPr>
                <w:rFonts w:ascii="Times New Roman" w:hAnsi="Times New Roman"/>
                <w:b w:val="0"/>
                <w:i w:val="0"/>
                <w:sz w:val="16"/>
              </w:rPr>
              <w:t>2.94%</w:t>
            </w:r>
          </w:p>
        </w:tc>
        <w:tc>
          <w:tcPr>
            <w:tcW w:type="dxa" w:w="1152"/>
            <w:shd w:val="clear" w:color="auto" w:fill="F7F8FA"/>
          </w:tcPr>
          <w:p>
            <w:pPr>
              <w:spacing w:before="40" w:after="40"/>
              <w:jc w:val="left"/>
            </w:pPr>
            <w:r/>
            <w:r>
              <w:rPr>
                <w:rFonts w:ascii="Times New Roman" w:hAnsi="Times New Roman"/>
                <w:b w:val="0"/>
                <w:i w:val="0"/>
                <w:sz w:val="16"/>
              </w:rPr>
              <w:t>15% threshold</w:t>
            </w:r>
          </w:p>
        </w:tc>
        <w:tc>
          <w:tcPr>
            <w:tcW w:type="dxa" w:w="1944"/>
            <w:shd w:val="clear" w:color="auto" w:fill="F7F8FA"/>
          </w:tcPr>
          <w:p>
            <w:pPr>
              <w:spacing w:before="40" w:after="40"/>
              <w:jc w:val="left"/>
            </w:pPr>
            <w:r/>
            <w:r>
              <w:rPr>
                <w:rFonts w:ascii="Times New Roman" w:hAnsi="Times New Roman"/>
                <w:b w:val="0"/>
                <w:i w:val="0"/>
                <w:sz w:val="16"/>
              </w:rPr>
              <w:t>—</w:t>
            </w:r>
          </w:p>
        </w:tc>
        <w:tc>
          <w:tcPr>
            <w:tcW w:type="dxa" w:w="763"/>
            <w:shd w:val="clear" w:color="auto" w:fill="F7F8FA"/>
          </w:tcPr>
          <w:p>
            <w:pPr>
              <w:spacing w:before="40" w:after="40"/>
              <w:jc w:val="left"/>
            </w:pPr>
            <w:r/>
            <w:r>
              <w:rPr>
                <w:rFonts w:ascii="Times New Roman" w:hAnsi="Times New Roman"/>
                <w:b w:val="0"/>
                <w:i w:val="0"/>
                <w:sz w:val="16"/>
              </w:rPr>
              <w:t>HVCRE clearly applies</w:t>
            </w:r>
          </w:p>
        </w:tc>
      </w:tr>
    </w:tbl>
    <w:p>
      <w:pPr>
        <w:spacing w:after="40"/>
      </w:pPr>
    </w:p>
    <w:p>
      <w:pPr>
        <w:pStyle w:val="Heading3"/>
      </w:pPr>
      <w:r>
        <w:rPr>
          <w:rFonts w:ascii="Times New Roman" w:hAnsi="Times New Roman"/>
          <w:b/>
          <w:i/>
          <w:sz w:val="22"/>
        </w:rPr>
        <w:t>V.3  Interest reserve — independent month-by-month recomputation</w:t>
      </w:r>
    </w:p>
    <w:p>
      <w:r>
        <w:rPr>
          <w:rFonts w:ascii="Times New Roman" w:hAnsi="Times New Roman"/>
          <w:b w:val="0"/>
          <w:i w:val="0"/>
          <w:sz w:val="19"/>
        </w:rPr>
        <w:t>Assumptions: draw timing per the Draw Schedule (Draw 1 in month 1, then months 4, 9, 14, 18, 21, 25 and 30); interest on the daily outstanding balance at SOFR + 3.25%; 30-month Construction Period. Accrual per month = outstanding balance × all-in rate ÷ 12 (a 30/360 convention; the Loan accrues on an actual/360 basis, which would increase every figure below by approximately 1.4%). The model reproduces Borrower's own total at a 3.50% SOFR ($4,628,672 against $4,628,675), which validates the method.</w:t>
      </w:r>
    </w:p>
    <w:tbl>
      <w:tblPr>
        <w:tblStyle w:val="TableGrid"/>
        <w:tblW w:type="auto" w:w="0"/>
        <w:jc w:val="center"/>
        <w:tblLayout w:type="fixed"/>
        <w:tblLook w:firstColumn="1" w:firstRow="1" w:lastColumn="0" w:lastRow="0" w:noHBand="0" w:noVBand="1" w:val="04A0"/>
      </w:tblPr>
      <w:tblGrid>
        <w:gridCol w:w="1080"/>
        <w:gridCol w:w="1152"/>
        <w:gridCol w:w="1656"/>
        <w:gridCol w:w="1728"/>
        <w:gridCol w:w="3744"/>
      </w:tblGrid>
      <w:tr>
        <w:trPr>
          <w:tblHeader w:val="true"/>
        </w:trPr>
        <w:tc>
          <w:tcPr>
            <w:tcW w:type="dxa" w:w="1080"/>
            <w:shd w:val="clear" w:color="auto" w:fill="1F3355"/>
          </w:tcPr>
          <w:p>
            <w:pPr>
              <w:spacing w:before="60" w:after="60"/>
              <w:jc w:val="center"/>
            </w:pPr>
            <w:r/>
            <w:r>
              <w:rPr>
                <w:rFonts w:ascii="Times New Roman" w:hAnsi="Times New Roman"/>
                <w:b/>
                <w:color w:val="FFFFFF"/>
                <w:sz w:val="17"/>
              </w:rPr>
              <w:t>SOFR</w:t>
            </w:r>
          </w:p>
        </w:tc>
        <w:tc>
          <w:tcPr>
            <w:tcW w:type="dxa" w:w="1152"/>
            <w:shd w:val="clear" w:color="auto" w:fill="1F3355"/>
          </w:tcPr>
          <w:p>
            <w:pPr>
              <w:spacing w:before="60" w:after="60"/>
              <w:jc w:val="center"/>
            </w:pPr>
            <w:r/>
            <w:r>
              <w:rPr>
                <w:rFonts w:ascii="Times New Roman" w:hAnsi="Times New Roman"/>
                <w:b/>
                <w:color w:val="FFFFFF"/>
                <w:sz w:val="17"/>
              </w:rPr>
              <w:t>All-in rate</w:t>
            </w:r>
          </w:p>
        </w:tc>
        <w:tc>
          <w:tcPr>
            <w:tcW w:type="dxa" w:w="1656"/>
            <w:shd w:val="clear" w:color="auto" w:fill="1F3355"/>
          </w:tcPr>
          <w:p>
            <w:pPr>
              <w:spacing w:before="60" w:after="60"/>
              <w:jc w:val="center"/>
            </w:pPr>
            <w:r/>
            <w:r>
              <w:rPr>
                <w:rFonts w:ascii="Times New Roman" w:hAnsi="Times New Roman"/>
                <w:b/>
                <w:color w:val="FFFFFF"/>
                <w:sz w:val="17"/>
              </w:rPr>
              <w:t>Projected interest</w:t>
            </w:r>
          </w:p>
        </w:tc>
        <w:tc>
          <w:tcPr>
            <w:tcW w:type="dxa" w:w="1728"/>
            <w:shd w:val="clear" w:color="auto" w:fill="1F3355"/>
          </w:tcPr>
          <w:p>
            <w:pPr>
              <w:spacing w:before="60" w:after="60"/>
              <w:jc w:val="center"/>
            </w:pPr>
            <w:r/>
            <w:r>
              <w:rPr>
                <w:rFonts w:ascii="Times New Roman" w:hAnsi="Times New Roman"/>
                <w:b/>
                <w:color w:val="FFFFFF"/>
                <w:sz w:val="17"/>
              </w:rPr>
              <w:t>Surplus / (shortfall)</w:t>
            </w:r>
          </w:p>
        </w:tc>
        <w:tc>
          <w:tcPr>
            <w:tcW w:type="dxa" w:w="3744"/>
            <w:shd w:val="clear" w:color="auto" w:fill="1F3355"/>
          </w:tcPr>
          <w:p>
            <w:pPr>
              <w:spacing w:before="60" w:after="60"/>
              <w:jc w:val="center"/>
            </w:pPr>
            <w:r/>
            <w:r>
              <w:rPr>
                <w:rFonts w:ascii="Times New Roman" w:hAnsi="Times New Roman"/>
                <w:b/>
                <w:color w:val="FFFFFF"/>
                <w:sz w:val="17"/>
              </w:rPr>
              <w:t>Comment</w:t>
            </w:r>
          </w:p>
        </w:tc>
      </w:tr>
      <w:tr>
        <w:trPr>
          <w:cantSplit w:val="true"/>
        </w:trPr>
        <w:tc>
          <w:tcPr>
            <w:tcW w:type="dxa" w:w="1080"/>
          </w:tcPr>
          <w:p>
            <w:pPr>
              <w:spacing w:before="40" w:after="40"/>
              <w:jc w:val="right"/>
            </w:pPr>
            <w:r/>
            <w:r>
              <w:rPr>
                <w:rFonts w:ascii="Times New Roman" w:hAnsi="Times New Roman"/>
                <w:b w:val="0"/>
                <w:i w:val="0"/>
                <w:sz w:val="17"/>
              </w:rPr>
              <w:t>3.50%</w:t>
            </w:r>
          </w:p>
        </w:tc>
        <w:tc>
          <w:tcPr>
            <w:tcW w:type="dxa" w:w="1152"/>
          </w:tcPr>
          <w:p>
            <w:pPr>
              <w:spacing w:before="40" w:after="40"/>
              <w:jc w:val="right"/>
            </w:pPr>
            <w:r/>
            <w:r>
              <w:rPr>
                <w:rFonts w:ascii="Times New Roman" w:hAnsi="Times New Roman"/>
                <w:b w:val="0"/>
                <w:i w:val="0"/>
                <w:sz w:val="17"/>
              </w:rPr>
              <w:t>6.75%</w:t>
            </w:r>
          </w:p>
        </w:tc>
        <w:tc>
          <w:tcPr>
            <w:tcW w:type="dxa" w:w="1656"/>
          </w:tcPr>
          <w:p>
            <w:pPr>
              <w:spacing w:before="40" w:after="40"/>
              <w:jc w:val="right"/>
            </w:pPr>
            <w:r/>
            <w:r>
              <w:rPr>
                <w:rFonts w:ascii="Times New Roman" w:hAnsi="Times New Roman"/>
                <w:b w:val="0"/>
                <w:i w:val="0"/>
                <w:sz w:val="17"/>
              </w:rPr>
              <w:t>4,628,672</w:t>
            </w:r>
          </w:p>
        </w:tc>
        <w:tc>
          <w:tcPr>
            <w:tcW w:type="dxa" w:w="1728"/>
          </w:tcPr>
          <w:p>
            <w:pPr>
              <w:spacing w:before="40" w:after="40"/>
              <w:jc w:val="right"/>
            </w:pPr>
            <w:r/>
            <w:r>
              <w:rPr>
                <w:rFonts w:ascii="Times New Roman" w:hAnsi="Times New Roman"/>
                <w:b w:val="0"/>
                <w:i w:val="0"/>
                <w:sz w:val="17"/>
              </w:rPr>
              <w:t>221,328</w:t>
            </w:r>
          </w:p>
        </w:tc>
        <w:tc>
          <w:tcPr>
            <w:tcW w:type="dxa" w:w="3744"/>
          </w:tcPr>
          <w:p>
            <w:pPr>
              <w:spacing w:before="40" w:after="40"/>
              <w:jc w:val="left"/>
            </w:pPr>
            <w:r/>
            <w:r>
              <w:rPr>
                <w:rFonts w:ascii="Times New Roman" w:hAnsi="Times New Roman"/>
                <w:b w:val="0"/>
                <w:i w:val="0"/>
                <w:sz w:val="17"/>
              </w:rPr>
              <w:t>Borrower's assumption; conclusion “APPEARS ADEQUATE”</w:t>
            </w:r>
          </w:p>
        </w:tc>
      </w:tr>
      <w:tr>
        <w:trPr>
          <w:cantSplit w:val="true"/>
        </w:trPr>
        <w:tc>
          <w:tcPr>
            <w:tcW w:type="dxa" w:w="1080"/>
            <w:shd w:val="clear" w:color="auto" w:fill="F7F8FA"/>
          </w:tcPr>
          <w:p>
            <w:pPr>
              <w:spacing w:before="40" w:after="40"/>
              <w:jc w:val="right"/>
            </w:pPr>
            <w:r/>
            <w:r>
              <w:rPr>
                <w:rFonts w:ascii="Times New Roman" w:hAnsi="Times New Roman"/>
                <w:b w:val="0"/>
                <w:i w:val="0"/>
                <w:sz w:val="17"/>
              </w:rPr>
              <w:t>4.00%</w:t>
            </w:r>
          </w:p>
        </w:tc>
        <w:tc>
          <w:tcPr>
            <w:tcW w:type="dxa" w:w="1152"/>
            <w:shd w:val="clear" w:color="auto" w:fill="F7F8FA"/>
          </w:tcPr>
          <w:p>
            <w:pPr>
              <w:spacing w:before="40" w:after="40"/>
              <w:jc w:val="right"/>
            </w:pPr>
            <w:r/>
            <w:r>
              <w:rPr>
                <w:rFonts w:ascii="Times New Roman" w:hAnsi="Times New Roman"/>
                <w:b w:val="0"/>
                <w:i w:val="0"/>
                <w:sz w:val="17"/>
              </w:rPr>
              <w:t>7.25%</w:t>
            </w:r>
          </w:p>
        </w:tc>
        <w:tc>
          <w:tcPr>
            <w:tcW w:type="dxa" w:w="1656"/>
            <w:shd w:val="clear" w:color="auto" w:fill="F7F8FA"/>
          </w:tcPr>
          <w:p>
            <w:pPr>
              <w:spacing w:before="40" w:after="40"/>
              <w:jc w:val="right"/>
            </w:pPr>
            <w:r/>
            <w:r>
              <w:rPr>
                <w:rFonts w:ascii="Times New Roman" w:hAnsi="Times New Roman"/>
                <w:b w:val="0"/>
                <w:i w:val="0"/>
                <w:sz w:val="17"/>
              </w:rPr>
              <w:t>4,971,536</w:t>
            </w:r>
          </w:p>
        </w:tc>
        <w:tc>
          <w:tcPr>
            <w:tcW w:type="dxa" w:w="1728"/>
            <w:shd w:val="clear" w:color="auto" w:fill="F7F8FA"/>
          </w:tcPr>
          <w:p>
            <w:pPr>
              <w:spacing w:before="40" w:after="40"/>
              <w:jc w:val="right"/>
            </w:pPr>
            <w:r/>
            <w:r>
              <w:rPr>
                <w:rFonts w:ascii="Times New Roman" w:hAnsi="Times New Roman"/>
                <w:b w:val="0"/>
                <w:i w:val="0"/>
                <w:sz w:val="17"/>
              </w:rPr>
              <w:t>(121,536)</w:t>
            </w:r>
          </w:p>
        </w:tc>
        <w:tc>
          <w:tcPr>
            <w:tcW w:type="dxa" w:w="3744"/>
            <w:shd w:val="clear" w:color="auto" w:fill="F7F8FA"/>
          </w:tcPr>
          <w:p>
            <w:pPr>
              <w:spacing w:before="40" w:after="40"/>
              <w:jc w:val="left"/>
            </w:pPr>
            <w:r/>
            <w:r>
              <w:rPr>
                <w:rFonts w:ascii="Times New Roman" w:hAnsi="Times New Roman"/>
                <w:b w:val="0"/>
                <w:i w:val="0"/>
                <w:sz w:val="17"/>
              </w:rPr>
              <w:t>Shortfall begins</w:t>
            </w:r>
          </w:p>
        </w:tc>
      </w:tr>
      <w:tr>
        <w:trPr>
          <w:cantSplit w:val="true"/>
        </w:trPr>
        <w:tc>
          <w:tcPr>
            <w:tcW w:type="dxa" w:w="1080"/>
          </w:tcPr>
          <w:p>
            <w:pPr>
              <w:spacing w:before="40" w:after="40"/>
              <w:jc w:val="right"/>
            </w:pPr>
            <w:r/>
            <w:r>
              <w:rPr>
                <w:rFonts w:ascii="Times New Roman" w:hAnsi="Times New Roman"/>
                <w:b w:val="0"/>
                <w:i w:val="0"/>
                <w:sz w:val="17"/>
              </w:rPr>
              <w:t>4.35%</w:t>
            </w:r>
          </w:p>
        </w:tc>
        <w:tc>
          <w:tcPr>
            <w:tcW w:type="dxa" w:w="1152"/>
          </w:tcPr>
          <w:p>
            <w:pPr>
              <w:spacing w:before="40" w:after="40"/>
              <w:jc w:val="right"/>
            </w:pPr>
            <w:r/>
            <w:r>
              <w:rPr>
                <w:rFonts w:ascii="Times New Roman" w:hAnsi="Times New Roman"/>
                <w:b w:val="0"/>
                <w:i w:val="0"/>
                <w:sz w:val="17"/>
              </w:rPr>
              <w:t>7.60%</w:t>
            </w:r>
          </w:p>
        </w:tc>
        <w:tc>
          <w:tcPr>
            <w:tcW w:type="dxa" w:w="1656"/>
          </w:tcPr>
          <w:p>
            <w:pPr>
              <w:spacing w:before="40" w:after="40"/>
              <w:jc w:val="right"/>
            </w:pPr>
            <w:r/>
            <w:r>
              <w:rPr>
                <w:rFonts w:ascii="Times New Roman" w:hAnsi="Times New Roman"/>
                <w:b w:val="0"/>
                <w:i w:val="0"/>
                <w:sz w:val="17"/>
              </w:rPr>
              <w:t>5,211,542</w:t>
            </w:r>
          </w:p>
        </w:tc>
        <w:tc>
          <w:tcPr>
            <w:tcW w:type="dxa" w:w="1728"/>
          </w:tcPr>
          <w:p>
            <w:pPr>
              <w:spacing w:before="40" w:after="40"/>
              <w:jc w:val="right"/>
            </w:pPr>
            <w:r/>
            <w:r>
              <w:rPr>
                <w:rFonts w:ascii="Times New Roman" w:hAnsi="Times New Roman"/>
                <w:b w:val="0"/>
                <w:i w:val="0"/>
                <w:sz w:val="17"/>
              </w:rPr>
              <w:t>(361,542)</w:t>
            </w:r>
          </w:p>
        </w:tc>
        <w:tc>
          <w:tcPr>
            <w:tcW w:type="dxa" w:w="3744"/>
          </w:tcPr>
          <w:p>
            <w:pPr>
              <w:spacing w:before="40" w:after="40"/>
              <w:jc w:val="left"/>
            </w:pPr>
            <w:r/>
            <w:r>
              <w:rPr>
                <w:rFonts w:ascii="Times New Roman" w:hAnsi="Times New Roman"/>
                <w:b w:val="0"/>
                <w:i w:val="0"/>
                <w:sz w:val="17"/>
              </w:rPr>
              <w:t>Credit Memorandum's market assumption; CM states $(565,000) using an average-balance method</w:t>
            </w:r>
          </w:p>
        </w:tc>
      </w:tr>
      <w:tr>
        <w:trPr>
          <w:cantSplit w:val="true"/>
        </w:trPr>
        <w:tc>
          <w:tcPr>
            <w:tcW w:type="dxa" w:w="1080"/>
            <w:shd w:val="clear" w:color="auto" w:fill="F7F8FA"/>
          </w:tcPr>
          <w:p>
            <w:pPr>
              <w:spacing w:before="40" w:after="40"/>
              <w:jc w:val="right"/>
            </w:pPr>
            <w:r/>
            <w:r>
              <w:rPr>
                <w:rFonts w:ascii="Times New Roman" w:hAnsi="Times New Roman"/>
                <w:b w:val="0"/>
                <w:i w:val="0"/>
                <w:sz w:val="17"/>
              </w:rPr>
              <w:t>4.75%</w:t>
            </w:r>
          </w:p>
        </w:tc>
        <w:tc>
          <w:tcPr>
            <w:tcW w:type="dxa" w:w="1152"/>
            <w:shd w:val="clear" w:color="auto" w:fill="F7F8FA"/>
          </w:tcPr>
          <w:p>
            <w:pPr>
              <w:spacing w:before="40" w:after="40"/>
              <w:jc w:val="right"/>
            </w:pPr>
            <w:r/>
            <w:r>
              <w:rPr>
                <w:rFonts w:ascii="Times New Roman" w:hAnsi="Times New Roman"/>
                <w:b w:val="0"/>
                <w:i w:val="0"/>
                <w:sz w:val="17"/>
              </w:rPr>
              <w:t>8.00%</w:t>
            </w:r>
          </w:p>
        </w:tc>
        <w:tc>
          <w:tcPr>
            <w:tcW w:type="dxa" w:w="1656"/>
            <w:shd w:val="clear" w:color="auto" w:fill="F7F8FA"/>
          </w:tcPr>
          <w:p>
            <w:pPr>
              <w:spacing w:before="40" w:after="40"/>
              <w:jc w:val="right"/>
            </w:pPr>
            <w:r/>
            <w:r>
              <w:rPr>
                <w:rFonts w:ascii="Times New Roman" w:hAnsi="Times New Roman"/>
                <w:b w:val="0"/>
                <w:i w:val="0"/>
                <w:sz w:val="17"/>
              </w:rPr>
              <w:t>5,485,833</w:t>
            </w:r>
          </w:p>
        </w:tc>
        <w:tc>
          <w:tcPr>
            <w:tcW w:type="dxa" w:w="1728"/>
            <w:shd w:val="clear" w:color="auto" w:fill="F7F8FA"/>
          </w:tcPr>
          <w:p>
            <w:pPr>
              <w:spacing w:before="40" w:after="40"/>
              <w:jc w:val="right"/>
            </w:pPr>
            <w:r/>
            <w:r>
              <w:rPr>
                <w:rFonts w:ascii="Times New Roman" w:hAnsi="Times New Roman"/>
                <w:b w:val="0"/>
                <w:i w:val="0"/>
                <w:sz w:val="17"/>
              </w:rPr>
              <w:t>(635,833)</w:t>
            </w:r>
          </w:p>
        </w:tc>
        <w:tc>
          <w:tcPr>
            <w:tcW w:type="dxa" w:w="3744"/>
            <w:shd w:val="clear" w:color="auto" w:fill="F7F8FA"/>
          </w:tcPr>
          <w:p>
            <w:pPr>
              <w:spacing w:before="40" w:after="40"/>
              <w:jc w:val="left"/>
            </w:pPr>
            <w:r/>
            <w:r>
              <w:rPr>
                <w:rFonts w:ascii="Times New Roman" w:hAnsi="Times New Roman"/>
                <w:b w:val="0"/>
                <w:i w:val="0"/>
                <w:sz w:val="17"/>
              </w:rPr>
              <w:t>Borrower's sensitivity table shows $(640,165)</w:t>
            </w:r>
          </w:p>
        </w:tc>
      </w:tr>
      <w:tr>
        <w:trPr>
          <w:cantSplit w:val="true"/>
        </w:trPr>
        <w:tc>
          <w:tcPr>
            <w:tcW w:type="dxa" w:w="1080"/>
          </w:tcPr>
          <w:p>
            <w:pPr>
              <w:spacing w:before="40" w:after="40"/>
              <w:jc w:val="right"/>
            </w:pPr>
            <w:r/>
            <w:r>
              <w:rPr>
                <w:rFonts w:ascii="Times New Roman" w:hAnsi="Times New Roman"/>
                <w:b w:val="0"/>
                <w:i w:val="0"/>
                <w:sz w:val="17"/>
              </w:rPr>
              <w:t>5.25%</w:t>
            </w:r>
          </w:p>
        </w:tc>
        <w:tc>
          <w:tcPr>
            <w:tcW w:type="dxa" w:w="1152"/>
          </w:tcPr>
          <w:p>
            <w:pPr>
              <w:spacing w:before="40" w:after="40"/>
              <w:jc w:val="right"/>
            </w:pPr>
            <w:r/>
            <w:r>
              <w:rPr>
                <w:rFonts w:ascii="Times New Roman" w:hAnsi="Times New Roman"/>
                <w:b w:val="0"/>
                <w:i w:val="0"/>
                <w:sz w:val="17"/>
              </w:rPr>
              <w:t>8.50%</w:t>
            </w:r>
          </w:p>
        </w:tc>
        <w:tc>
          <w:tcPr>
            <w:tcW w:type="dxa" w:w="1656"/>
          </w:tcPr>
          <w:p>
            <w:pPr>
              <w:spacing w:before="40" w:after="40"/>
              <w:jc w:val="right"/>
            </w:pPr>
            <w:r/>
            <w:r>
              <w:rPr>
                <w:rFonts w:ascii="Times New Roman" w:hAnsi="Times New Roman"/>
                <w:b w:val="0"/>
                <w:i w:val="0"/>
                <w:sz w:val="17"/>
              </w:rPr>
              <w:t>5,828,698</w:t>
            </w:r>
          </w:p>
        </w:tc>
        <w:tc>
          <w:tcPr>
            <w:tcW w:type="dxa" w:w="1728"/>
          </w:tcPr>
          <w:p>
            <w:pPr>
              <w:spacing w:before="40" w:after="40"/>
              <w:jc w:val="right"/>
            </w:pPr>
            <w:r/>
            <w:r>
              <w:rPr>
                <w:rFonts w:ascii="Times New Roman" w:hAnsi="Times New Roman"/>
                <w:b w:val="0"/>
                <w:i w:val="0"/>
                <w:sz w:val="17"/>
              </w:rPr>
              <w:t>(978,698)</w:t>
            </w:r>
          </w:p>
        </w:tc>
        <w:tc>
          <w:tcPr>
            <w:tcW w:type="dxa" w:w="3744"/>
          </w:tcPr>
          <w:p>
            <w:pPr>
              <w:spacing w:before="40" w:after="40"/>
              <w:jc w:val="left"/>
            </w:pPr>
            <w:r/>
            <w:r>
              <w:rPr>
                <w:rFonts w:ascii="Times New Roman" w:hAnsi="Times New Roman"/>
                <w:b w:val="0"/>
                <w:i w:val="0"/>
                <w:sz w:val="17"/>
              </w:rPr>
              <w:t>Borrower's sensitivity table shows $(982,060)</w:t>
            </w:r>
          </w:p>
        </w:tc>
      </w:tr>
      <w:tr>
        <w:trPr>
          <w:cantSplit w:val="true"/>
        </w:trPr>
        <w:tc>
          <w:tcPr>
            <w:tcW w:type="dxa" w:w="1080"/>
            <w:shd w:val="clear" w:color="auto" w:fill="F7F8FA"/>
          </w:tcPr>
          <w:p>
            <w:pPr>
              <w:spacing w:before="40" w:after="40"/>
              <w:jc w:val="right"/>
            </w:pPr>
            <w:r/>
            <w:r>
              <w:rPr>
                <w:rFonts w:ascii="Times New Roman" w:hAnsi="Times New Roman"/>
                <w:b w:val="0"/>
                <w:i w:val="0"/>
                <w:sz w:val="17"/>
              </w:rPr>
              <w:t>5.35%</w:t>
            </w:r>
          </w:p>
        </w:tc>
        <w:tc>
          <w:tcPr>
            <w:tcW w:type="dxa" w:w="1152"/>
            <w:shd w:val="clear" w:color="auto" w:fill="F7F8FA"/>
          </w:tcPr>
          <w:p>
            <w:pPr>
              <w:spacing w:before="40" w:after="40"/>
              <w:jc w:val="right"/>
            </w:pPr>
            <w:r/>
            <w:r>
              <w:rPr>
                <w:rFonts w:ascii="Times New Roman" w:hAnsi="Times New Roman"/>
                <w:b w:val="0"/>
                <w:i w:val="0"/>
                <w:sz w:val="17"/>
              </w:rPr>
              <w:t>8.60%</w:t>
            </w:r>
          </w:p>
        </w:tc>
        <w:tc>
          <w:tcPr>
            <w:tcW w:type="dxa" w:w="1656"/>
            <w:shd w:val="clear" w:color="auto" w:fill="F7F8FA"/>
          </w:tcPr>
          <w:p>
            <w:pPr>
              <w:spacing w:before="40" w:after="40"/>
              <w:jc w:val="right"/>
            </w:pPr>
            <w:r/>
            <w:r>
              <w:rPr>
                <w:rFonts w:ascii="Times New Roman" w:hAnsi="Times New Roman"/>
                <w:b w:val="0"/>
                <w:i w:val="0"/>
                <w:sz w:val="17"/>
              </w:rPr>
              <w:t>5,897,271</w:t>
            </w:r>
          </w:p>
        </w:tc>
        <w:tc>
          <w:tcPr>
            <w:tcW w:type="dxa" w:w="1728"/>
            <w:shd w:val="clear" w:color="auto" w:fill="F7F8FA"/>
          </w:tcPr>
          <w:p>
            <w:pPr>
              <w:spacing w:before="40" w:after="40"/>
              <w:jc w:val="right"/>
            </w:pPr>
            <w:r/>
            <w:r>
              <w:rPr>
                <w:rFonts w:ascii="Times New Roman" w:hAnsi="Times New Roman"/>
                <w:b w:val="0"/>
                <w:i w:val="0"/>
                <w:sz w:val="17"/>
              </w:rPr>
              <w:t>(1,047,271)</w:t>
            </w:r>
          </w:p>
        </w:tc>
        <w:tc>
          <w:tcPr>
            <w:tcW w:type="dxa" w:w="3744"/>
            <w:shd w:val="clear" w:color="auto" w:fill="F7F8FA"/>
          </w:tcPr>
          <w:p>
            <w:pPr>
              <w:spacing w:before="40" w:after="40"/>
              <w:jc w:val="left"/>
            </w:pPr>
            <w:r/>
            <w:r>
              <w:rPr>
                <w:rFonts w:ascii="Times New Roman" w:hAnsi="Times New Roman"/>
                <w:b w:val="0"/>
                <w:i w:val="0"/>
                <w:sz w:val="17"/>
              </w:rPr>
              <w:t>(+100 bps scenario in Credit Memorandum § 6.2)</w:t>
            </w:r>
          </w:p>
        </w:tc>
      </w:tr>
      <w:tr>
        <w:trPr>
          <w:cantSplit w:val="true"/>
        </w:trPr>
        <w:tc>
          <w:tcPr>
            <w:tcW w:type="dxa" w:w="1080"/>
          </w:tcPr>
          <w:p>
            <w:pPr>
              <w:spacing w:before="40" w:after="40"/>
              <w:jc w:val="right"/>
            </w:pPr>
            <w:r/>
            <w:r>
              <w:rPr>
                <w:rFonts w:ascii="Times New Roman" w:hAnsi="Times New Roman"/>
                <w:b w:val="0"/>
                <w:i w:val="0"/>
                <w:sz w:val="17"/>
              </w:rPr>
              <w:t>Breakeven</w:t>
            </w:r>
          </w:p>
        </w:tc>
        <w:tc>
          <w:tcPr>
            <w:tcW w:type="dxa" w:w="1152"/>
          </w:tcPr>
          <w:p>
            <w:pPr>
              <w:spacing w:before="40" w:after="40"/>
              <w:jc w:val="right"/>
            </w:pPr>
            <w:r/>
            <w:r>
              <w:rPr>
                <w:rFonts w:ascii="Times New Roman" w:hAnsi="Times New Roman"/>
                <w:b w:val="0"/>
                <w:i w:val="0"/>
                <w:sz w:val="17"/>
              </w:rPr>
              <w:t>7.07%</w:t>
            </w:r>
          </w:p>
        </w:tc>
        <w:tc>
          <w:tcPr>
            <w:tcW w:type="dxa" w:w="1656"/>
          </w:tcPr>
          <w:p>
            <w:pPr>
              <w:spacing w:before="40" w:after="40"/>
              <w:jc w:val="right"/>
            </w:pPr>
            <w:r/>
            <w:r>
              <w:rPr>
                <w:rFonts w:ascii="Times New Roman" w:hAnsi="Times New Roman"/>
                <w:b w:val="0"/>
                <w:i w:val="0"/>
                <w:sz w:val="17"/>
              </w:rPr>
              <w:t>4,850,000</w:t>
            </w:r>
          </w:p>
        </w:tc>
        <w:tc>
          <w:tcPr>
            <w:tcW w:type="dxa" w:w="1728"/>
          </w:tcPr>
          <w:p>
            <w:pPr>
              <w:spacing w:before="40" w:after="40"/>
              <w:jc w:val="right"/>
            </w:pPr>
            <w:r/>
            <w:r>
              <w:rPr>
                <w:rFonts w:ascii="Times New Roman" w:hAnsi="Times New Roman"/>
                <w:b w:val="0"/>
                <w:i w:val="0"/>
                <w:sz w:val="17"/>
              </w:rPr>
              <w:t>0</w:t>
            </w:r>
          </w:p>
        </w:tc>
        <w:tc>
          <w:tcPr>
            <w:tcW w:type="dxa" w:w="3744"/>
          </w:tcPr>
          <w:p>
            <w:pPr>
              <w:spacing w:before="40" w:after="40"/>
              <w:jc w:val="left"/>
            </w:pPr>
            <w:r/>
            <w:r>
              <w:rPr>
                <w:rFonts w:ascii="Times New Roman" w:hAnsi="Times New Roman"/>
                <w:b w:val="0"/>
                <w:i w:val="0"/>
                <w:sz w:val="17"/>
              </w:rPr>
              <w:t>Reserve is adequate only if SOFR averages 3.82% or less</w:t>
            </w:r>
          </w:p>
        </w:tc>
      </w:tr>
    </w:tbl>
    <w:p>
      <w:pPr>
        <w:spacing w:after="40"/>
      </w:pPr>
    </w:p>
    <w:p>
      <w:pPr>
        <w:pStyle w:val="Heading3"/>
      </w:pPr>
      <w:r>
        <w:rPr>
          <w:rFonts w:ascii="Times New Roman" w:hAnsi="Times New Roman"/>
          <w:b/>
          <w:i/>
          <w:sz w:val="22"/>
        </w:rPr>
        <w:t>V.4  Draw schedule — what the Term Sheet does versus what it says</w:t>
      </w:r>
    </w:p>
    <w:tbl>
      <w:tblPr>
        <w:tblStyle w:val="TableGrid"/>
        <w:tblW w:type="auto" w:w="0"/>
        <w:jc w:val="center"/>
        <w:tblLayout w:type="fixed"/>
        <w:tblLook w:firstColumn="1" w:firstRow="1" w:lastColumn="0" w:lastRow="0" w:noHBand="0" w:noVBand="1" w:val="04A0"/>
      </w:tblPr>
      <w:tblGrid>
        <w:gridCol w:w="1656"/>
        <w:gridCol w:w="1224"/>
        <w:gridCol w:w="1368"/>
        <w:gridCol w:w="3384"/>
        <w:gridCol w:w="1728"/>
      </w:tblGrid>
      <w:tr>
        <w:trPr>
          <w:tblHeader w:val="true"/>
        </w:trPr>
        <w:tc>
          <w:tcPr>
            <w:tcW w:type="dxa" w:w="1656"/>
            <w:shd w:val="clear" w:color="auto" w:fill="1F3355"/>
          </w:tcPr>
          <w:p>
            <w:pPr>
              <w:spacing w:before="60" w:after="60"/>
              <w:jc w:val="center"/>
            </w:pPr>
            <w:r/>
            <w:r>
              <w:rPr>
                <w:rFonts w:ascii="Times New Roman" w:hAnsi="Times New Roman"/>
                <w:b/>
                <w:color w:val="FFFFFF"/>
                <w:sz w:val="16"/>
              </w:rPr>
              <w:t>Draw</w:t>
            </w:r>
          </w:p>
        </w:tc>
        <w:tc>
          <w:tcPr>
            <w:tcW w:type="dxa" w:w="1224"/>
            <w:shd w:val="clear" w:color="auto" w:fill="1F3355"/>
          </w:tcPr>
          <w:p>
            <w:pPr>
              <w:spacing w:before="60" w:after="60"/>
              <w:jc w:val="center"/>
            </w:pPr>
            <w:r/>
            <w:r>
              <w:rPr>
                <w:rFonts w:ascii="Times New Roman" w:hAnsi="Times New Roman"/>
                <w:b/>
                <w:color w:val="FFFFFF"/>
                <w:sz w:val="16"/>
              </w:rPr>
              <w:t>Term Sheet</w:t>
            </w:r>
          </w:p>
        </w:tc>
        <w:tc>
          <w:tcPr>
            <w:tcW w:type="dxa" w:w="1368"/>
            <w:shd w:val="clear" w:color="auto" w:fill="1F3355"/>
          </w:tcPr>
          <w:p>
            <w:pPr>
              <w:spacing w:before="60" w:after="60"/>
              <w:jc w:val="center"/>
            </w:pPr>
            <w:r/>
            <w:r>
              <w:rPr>
                <w:rFonts w:ascii="Times New Roman" w:hAnsi="Times New Roman"/>
                <w:b/>
                <w:color w:val="FFFFFF"/>
                <w:sz w:val="16"/>
              </w:rPr>
              <w:t>Recomputed</w:t>
            </w:r>
          </w:p>
        </w:tc>
        <w:tc>
          <w:tcPr>
            <w:tcW w:type="dxa" w:w="3384"/>
            <w:shd w:val="clear" w:color="auto" w:fill="1F3355"/>
          </w:tcPr>
          <w:p>
            <w:pPr>
              <w:spacing w:before="60" w:after="60"/>
              <w:jc w:val="center"/>
            </w:pPr>
            <w:r/>
            <w:r>
              <w:rPr>
                <w:rFonts w:ascii="Times New Roman" w:hAnsi="Times New Roman"/>
                <w:b/>
                <w:color w:val="FFFFFF"/>
                <w:sz w:val="16"/>
              </w:rPr>
              <w:t>Composition</w:t>
            </w:r>
          </w:p>
        </w:tc>
        <w:tc>
          <w:tcPr>
            <w:tcW w:type="dxa" w:w="1728"/>
            <w:shd w:val="clear" w:color="auto" w:fill="1F3355"/>
          </w:tcPr>
          <w:p>
            <w:pPr>
              <w:spacing w:before="60" w:after="60"/>
              <w:jc w:val="center"/>
            </w:pPr>
            <w:r/>
            <w:r>
              <w:rPr>
                <w:rFonts w:ascii="Times New Roman" w:hAnsi="Times New Roman"/>
                <w:b/>
                <w:color w:val="FFFFFF"/>
                <w:sz w:val="16"/>
              </w:rPr>
              <w:t>Finding</w:t>
            </w:r>
          </w:p>
        </w:tc>
      </w:tr>
      <w:tr>
        <w:trPr>
          <w:cantSplit w:val="true"/>
        </w:trPr>
        <w:tc>
          <w:tcPr>
            <w:tcW w:type="dxa" w:w="1656"/>
          </w:tcPr>
          <w:p>
            <w:pPr>
              <w:spacing w:before="40" w:after="40"/>
              <w:jc w:val="left"/>
            </w:pPr>
            <w:r/>
            <w:r>
              <w:rPr>
                <w:rFonts w:ascii="Times New Roman" w:hAnsi="Times New Roman"/>
                <w:b w:val="0"/>
                <w:i w:val="0"/>
                <w:sz w:val="16"/>
              </w:rPr>
              <w:t>1</w:t>
            </w:r>
          </w:p>
        </w:tc>
        <w:tc>
          <w:tcPr>
            <w:tcW w:type="dxa" w:w="1224"/>
          </w:tcPr>
          <w:p>
            <w:pPr>
              <w:spacing w:before="40" w:after="40"/>
              <w:jc w:val="right"/>
            </w:pPr>
            <w:r/>
            <w:r>
              <w:rPr>
                <w:rFonts w:ascii="Times New Roman" w:hAnsi="Times New Roman"/>
                <w:b w:val="0"/>
                <w:i w:val="0"/>
                <w:sz w:val="16"/>
              </w:rPr>
              <w:t>9,475,000</w:t>
            </w:r>
          </w:p>
        </w:tc>
        <w:tc>
          <w:tcPr>
            <w:tcW w:type="dxa" w:w="1368"/>
          </w:tcPr>
          <w:p>
            <w:pPr>
              <w:spacing w:before="40" w:after="40"/>
              <w:jc w:val="right"/>
            </w:pPr>
            <w:r/>
            <w:r>
              <w:rPr>
                <w:rFonts w:ascii="Times New Roman" w:hAnsi="Times New Roman"/>
                <w:b w:val="0"/>
                <w:i w:val="0"/>
                <w:sz w:val="16"/>
              </w:rPr>
              <w:t>9,475,000</w:t>
            </w:r>
          </w:p>
        </w:tc>
        <w:tc>
          <w:tcPr>
            <w:tcW w:type="dxa" w:w="3384"/>
          </w:tcPr>
          <w:p>
            <w:pPr>
              <w:spacing w:before="40" w:after="40"/>
              <w:jc w:val="left"/>
            </w:pPr>
            <w:r/>
            <w:r>
              <w:rPr>
                <w:rFonts w:ascii="Times New Roman" w:hAnsi="Times New Roman"/>
                <w:b w:val="0"/>
                <w:i w:val="0"/>
                <w:sz w:val="16"/>
              </w:rPr>
              <w:t>Soft costs 4,150,000 + interest reserve 4,850,000 + origination 475,000</w:t>
            </w:r>
          </w:p>
        </w:tc>
        <w:tc>
          <w:tcPr>
            <w:tcW w:type="dxa" w:w="1728"/>
          </w:tcPr>
          <w:p>
            <w:pPr>
              <w:spacing w:before="40" w:after="40"/>
              <w:jc w:val="left"/>
            </w:pPr>
            <w:r/>
            <w:r>
              <w:rPr>
                <w:rFonts w:ascii="Times New Roman" w:hAnsi="Times New Roman"/>
                <w:b w:val="0"/>
                <w:i w:val="0"/>
                <w:sz w:val="16"/>
              </w:rPr>
              <w:t>Consistent</w:t>
            </w:r>
          </w:p>
        </w:tc>
      </w:tr>
      <w:tr>
        <w:trPr>
          <w:cantSplit w:val="true"/>
        </w:trPr>
        <w:tc>
          <w:tcPr>
            <w:tcW w:type="dxa" w:w="1656"/>
            <w:shd w:val="clear" w:color="auto" w:fill="F7F8FA"/>
          </w:tcPr>
          <w:p>
            <w:pPr>
              <w:spacing w:before="40" w:after="40"/>
              <w:jc w:val="left"/>
            </w:pPr>
            <w:r/>
            <w:r>
              <w:rPr>
                <w:rFonts w:ascii="Times New Roman" w:hAnsi="Times New Roman"/>
                <w:b w:val="0"/>
                <w:i w:val="0"/>
                <w:sz w:val="16"/>
              </w:rPr>
              <w:t>2–8 (gross hard cost)</w:t>
            </w:r>
          </w:p>
        </w:tc>
        <w:tc>
          <w:tcPr>
            <w:tcW w:type="dxa" w:w="1224"/>
            <w:shd w:val="clear" w:color="auto" w:fill="F7F8FA"/>
          </w:tcPr>
          <w:p>
            <w:pPr>
              <w:spacing w:before="40" w:after="40"/>
              <w:jc w:val="right"/>
            </w:pPr>
            <w:r/>
            <w:r>
              <w:rPr>
                <w:rFonts w:ascii="Times New Roman" w:hAnsi="Times New Roman"/>
                <w:b w:val="0"/>
                <w:i w:val="0"/>
                <w:sz w:val="16"/>
              </w:rPr>
              <w:t>34,750,000</w:t>
            </w:r>
          </w:p>
        </w:tc>
        <w:tc>
          <w:tcPr>
            <w:tcW w:type="dxa" w:w="1368"/>
            <w:shd w:val="clear" w:color="auto" w:fill="F7F8FA"/>
          </w:tcPr>
          <w:p>
            <w:pPr>
              <w:spacing w:before="40" w:after="40"/>
              <w:jc w:val="right"/>
            </w:pPr>
            <w:r/>
            <w:r>
              <w:rPr>
                <w:rFonts w:ascii="Times New Roman" w:hAnsi="Times New Roman"/>
                <w:b w:val="0"/>
                <w:i w:val="0"/>
                <w:sz w:val="16"/>
              </w:rPr>
              <w:t>34,750,000</w:t>
            </w:r>
          </w:p>
        </w:tc>
        <w:tc>
          <w:tcPr>
            <w:tcW w:type="dxa" w:w="3384"/>
            <w:shd w:val="clear" w:color="auto" w:fill="F7F8FA"/>
          </w:tcPr>
          <w:p>
            <w:pPr>
              <w:spacing w:before="40" w:after="40"/>
              <w:jc w:val="left"/>
            </w:pPr>
            <w:r/>
            <w:r>
              <w:rPr>
                <w:rFonts w:ascii="Times New Roman" w:hAnsi="Times New Roman"/>
                <w:b w:val="0"/>
                <w:i w:val="0"/>
                <w:sz w:val="16"/>
              </w:rPr>
              <w:t>Equals 100% of the GMP</w:t>
            </w:r>
          </w:p>
        </w:tc>
        <w:tc>
          <w:tcPr>
            <w:tcW w:type="dxa" w:w="1728"/>
            <w:shd w:val="clear" w:color="auto" w:fill="F7F8FA"/>
          </w:tcPr>
          <w:p>
            <w:pPr>
              <w:spacing w:before="40" w:after="40"/>
              <w:jc w:val="left"/>
            </w:pPr>
            <w:r/>
            <w:r>
              <w:rPr>
                <w:rFonts w:ascii="Times New Roman" w:hAnsi="Times New Roman"/>
                <w:b w:val="0"/>
                <w:i w:val="0"/>
                <w:sz w:val="16"/>
              </w:rPr>
              <w:t>No retainage withheld</w:t>
            </w:r>
          </w:p>
        </w:tc>
      </w:tr>
      <w:tr>
        <w:trPr>
          <w:cantSplit w:val="true"/>
        </w:trPr>
        <w:tc>
          <w:tcPr>
            <w:tcW w:type="dxa" w:w="1656"/>
          </w:tcPr>
          <w:p>
            <w:pPr>
              <w:spacing w:before="40" w:after="40"/>
              <w:jc w:val="left"/>
            </w:pPr>
            <w:r/>
            <w:r>
              <w:rPr>
                <w:rFonts w:ascii="Times New Roman" w:hAnsi="Times New Roman"/>
                <w:b w:val="0"/>
                <w:i w:val="0"/>
                <w:sz w:val="16"/>
              </w:rPr>
              <w:t>10% retainage</w:t>
            </w:r>
          </w:p>
        </w:tc>
        <w:tc>
          <w:tcPr>
            <w:tcW w:type="dxa" w:w="1224"/>
          </w:tcPr>
          <w:p>
            <w:pPr>
              <w:spacing w:before="40" w:after="40"/>
              <w:jc w:val="right"/>
            </w:pPr>
            <w:r/>
            <w:r>
              <w:rPr>
                <w:rFonts w:ascii="Times New Roman" w:hAnsi="Times New Roman"/>
                <w:b w:val="0"/>
                <w:i w:val="0"/>
                <w:sz w:val="16"/>
              </w:rPr>
              <w:t>0</w:t>
            </w:r>
          </w:p>
        </w:tc>
        <w:tc>
          <w:tcPr>
            <w:tcW w:type="dxa" w:w="1368"/>
          </w:tcPr>
          <w:p>
            <w:pPr>
              <w:spacing w:before="40" w:after="40"/>
              <w:jc w:val="right"/>
            </w:pPr>
            <w:r/>
            <w:r>
              <w:rPr>
                <w:rFonts w:ascii="Times New Roman" w:hAnsi="Times New Roman"/>
                <w:b w:val="0"/>
                <w:i w:val="0"/>
                <w:sz w:val="16"/>
              </w:rPr>
              <w:t>3,475,000</w:t>
            </w:r>
          </w:p>
        </w:tc>
        <w:tc>
          <w:tcPr>
            <w:tcW w:type="dxa" w:w="3384"/>
          </w:tcPr>
          <w:p>
            <w:pPr>
              <w:spacing w:before="40" w:after="40"/>
              <w:jc w:val="left"/>
            </w:pPr>
            <w:r/>
            <w:r>
              <w:rPr>
                <w:rFonts w:ascii="Times New Roman" w:hAnsi="Times New Roman"/>
                <w:b w:val="0"/>
                <w:i w:val="0"/>
                <w:sz w:val="16"/>
              </w:rPr>
              <w:t>Section 9.1 requires a 10% holdback</w:t>
            </w:r>
          </w:p>
        </w:tc>
        <w:tc>
          <w:tcPr>
            <w:tcW w:type="dxa" w:w="1728"/>
          </w:tcPr>
          <w:p>
            <w:pPr>
              <w:spacing w:before="40" w:after="40"/>
              <w:jc w:val="left"/>
            </w:pPr>
            <w:r/>
            <w:r>
              <w:rPr>
                <w:rFonts w:ascii="Times New Roman" w:hAnsi="Times New Roman"/>
                <w:b w:val="0"/>
                <w:i w:val="0"/>
                <w:sz w:val="16"/>
              </w:rPr>
              <w:t>Not implemented</w:t>
            </w:r>
          </w:p>
        </w:tc>
      </w:tr>
      <w:tr>
        <w:trPr>
          <w:cantSplit w:val="true"/>
        </w:trPr>
        <w:tc>
          <w:tcPr>
            <w:tcW w:type="dxa" w:w="1656"/>
            <w:shd w:val="clear" w:color="auto" w:fill="F7F8FA"/>
          </w:tcPr>
          <w:p>
            <w:pPr>
              <w:spacing w:before="40" w:after="40"/>
              <w:jc w:val="left"/>
            </w:pPr>
            <w:r/>
            <w:r>
              <w:rPr>
                <w:rFonts w:ascii="Times New Roman" w:hAnsi="Times New Roman"/>
                <w:b w:val="0"/>
                <w:i w:val="0"/>
                <w:sz w:val="16"/>
              </w:rPr>
              <w:t>Draw 9 as labelled</w:t>
            </w:r>
          </w:p>
        </w:tc>
        <w:tc>
          <w:tcPr>
            <w:tcW w:type="dxa" w:w="1224"/>
            <w:shd w:val="clear" w:color="auto" w:fill="F7F8FA"/>
          </w:tcPr>
          <w:p>
            <w:pPr>
              <w:spacing w:before="40" w:after="40"/>
              <w:jc w:val="right"/>
            </w:pPr>
            <w:r/>
            <w:r>
              <w:rPr>
                <w:rFonts w:ascii="Times New Roman" w:hAnsi="Times New Roman"/>
                <w:b w:val="0"/>
                <w:i w:val="0"/>
                <w:sz w:val="16"/>
              </w:rPr>
              <w:t>3,275,000</w:t>
            </w:r>
          </w:p>
        </w:tc>
        <w:tc>
          <w:tcPr>
            <w:tcW w:type="dxa" w:w="1368"/>
            <w:shd w:val="clear" w:color="auto" w:fill="F7F8FA"/>
          </w:tcPr>
          <w:p>
            <w:pPr>
              <w:spacing w:before="40" w:after="40"/>
              <w:jc w:val="right"/>
            </w:pPr>
            <w:r/>
            <w:r>
              <w:rPr>
                <w:rFonts w:ascii="Times New Roman" w:hAnsi="Times New Roman"/>
                <w:b w:val="0"/>
                <w:i w:val="0"/>
                <w:sz w:val="16"/>
              </w:rPr>
              <w:t>3,475,000</w:t>
            </w:r>
          </w:p>
        </w:tc>
        <w:tc>
          <w:tcPr>
            <w:tcW w:type="dxa" w:w="3384"/>
            <w:shd w:val="clear" w:color="auto" w:fill="F7F8FA"/>
          </w:tcPr>
          <w:p>
            <w:pPr>
              <w:spacing w:before="40" w:after="40"/>
              <w:jc w:val="left"/>
            </w:pPr>
            <w:r/>
            <w:r>
              <w:rPr>
                <w:rFonts w:ascii="Times New Roman" w:hAnsi="Times New Roman"/>
                <w:b w:val="0"/>
                <w:i w:val="0"/>
                <w:sz w:val="16"/>
              </w:rPr>
              <w:t>Labelled “Retainage Release”</w:t>
            </w:r>
          </w:p>
        </w:tc>
        <w:tc>
          <w:tcPr>
            <w:tcW w:type="dxa" w:w="1728"/>
            <w:shd w:val="clear" w:color="auto" w:fill="F7F8FA"/>
          </w:tcPr>
          <w:p>
            <w:pPr>
              <w:spacing w:before="40" w:after="40"/>
              <w:jc w:val="left"/>
            </w:pPr>
            <w:r/>
            <w:r>
              <w:rPr>
                <w:rFonts w:ascii="Times New Roman" w:hAnsi="Times New Roman"/>
                <w:b w:val="0"/>
                <w:i w:val="0"/>
                <w:sz w:val="16"/>
              </w:rPr>
              <w:t>Understated by $200,000</w:t>
            </w:r>
          </w:p>
        </w:tc>
      </w:tr>
      <w:tr>
        <w:trPr>
          <w:cantSplit w:val="true"/>
        </w:trPr>
        <w:tc>
          <w:tcPr>
            <w:tcW w:type="dxa" w:w="1656"/>
          </w:tcPr>
          <w:p>
            <w:pPr>
              <w:spacing w:before="40" w:after="40"/>
              <w:jc w:val="left"/>
            </w:pPr>
            <w:r/>
            <w:r>
              <w:rPr>
                <w:rFonts w:ascii="Times New Roman" w:hAnsi="Times New Roman"/>
                <w:b w:val="0"/>
                <w:i w:val="0"/>
                <w:sz w:val="16"/>
              </w:rPr>
              <w:t>Draw 9 decomposed</w:t>
            </w:r>
          </w:p>
        </w:tc>
        <w:tc>
          <w:tcPr>
            <w:tcW w:type="dxa" w:w="1224"/>
          </w:tcPr>
          <w:p>
            <w:pPr>
              <w:spacing w:before="40" w:after="40"/>
              <w:jc w:val="right"/>
            </w:pPr>
            <w:r/>
            <w:r>
              <w:rPr>
                <w:rFonts w:ascii="Times New Roman" w:hAnsi="Times New Roman"/>
                <w:b w:val="0"/>
                <w:i w:val="0"/>
                <w:sz w:val="16"/>
              </w:rPr>
              <w:t>3,275,000</w:t>
            </w:r>
          </w:p>
        </w:tc>
        <w:tc>
          <w:tcPr>
            <w:tcW w:type="dxa" w:w="1368"/>
          </w:tcPr>
          <w:p>
            <w:pPr>
              <w:spacing w:before="40" w:after="40"/>
              <w:jc w:val="right"/>
            </w:pPr>
            <w:r/>
            <w:r>
              <w:rPr>
                <w:rFonts w:ascii="Times New Roman" w:hAnsi="Times New Roman"/>
                <w:b w:val="0"/>
                <w:i w:val="0"/>
                <w:sz w:val="16"/>
              </w:rPr>
              <w:t>1,440,000 + 1,835,000</w:t>
            </w:r>
          </w:p>
        </w:tc>
        <w:tc>
          <w:tcPr>
            <w:tcW w:type="dxa" w:w="3384"/>
          </w:tcPr>
          <w:p>
            <w:pPr>
              <w:spacing w:before="40" w:after="40"/>
              <w:jc w:val="left"/>
            </w:pPr>
            <w:r/>
            <w:r>
              <w:rPr>
                <w:rFonts w:ascii="Times New Roman" w:hAnsi="Times New Roman"/>
                <w:b w:val="0"/>
                <w:i w:val="0"/>
                <w:sz w:val="16"/>
              </w:rPr>
              <w:t>Contingency $1,440,000 + Loan-funded Developer Fee $1,835,000</w:t>
            </w:r>
          </w:p>
        </w:tc>
        <w:tc>
          <w:tcPr>
            <w:tcW w:type="dxa" w:w="1728"/>
          </w:tcPr>
          <w:p>
            <w:pPr>
              <w:spacing w:before="40" w:after="40"/>
              <w:jc w:val="left"/>
            </w:pPr>
            <w:r/>
            <w:r>
              <w:rPr>
                <w:rFonts w:ascii="Times New Roman" w:hAnsi="Times New Roman"/>
                <w:b w:val="0"/>
                <w:i w:val="0"/>
                <w:sz w:val="16"/>
              </w:rPr>
              <w:t>Mislabelled</w:t>
            </w:r>
          </w:p>
        </w:tc>
      </w:tr>
      <w:tr>
        <w:trPr>
          <w:cantSplit w:val="true"/>
        </w:trPr>
        <w:tc>
          <w:tcPr>
            <w:tcW w:type="dxa" w:w="1656"/>
            <w:shd w:val="clear" w:color="auto" w:fill="F7F8FA"/>
          </w:tcPr>
          <w:p>
            <w:pPr>
              <w:spacing w:before="40" w:after="40"/>
              <w:jc w:val="left"/>
            </w:pPr>
            <w:r/>
            <w:r>
              <w:rPr>
                <w:rFonts w:ascii="Times New Roman" w:hAnsi="Times New Roman"/>
                <w:b w:val="0"/>
                <w:i w:val="0"/>
                <w:sz w:val="16"/>
              </w:rPr>
              <w:t>Borrower's component columns</w:t>
            </w:r>
          </w:p>
        </w:tc>
        <w:tc>
          <w:tcPr>
            <w:tcW w:type="dxa" w:w="1224"/>
            <w:shd w:val="clear" w:color="auto" w:fill="F7F8FA"/>
          </w:tcPr>
          <w:p>
            <w:pPr>
              <w:spacing w:before="40" w:after="40"/>
              <w:jc w:val="right"/>
            </w:pPr>
            <w:r/>
            <w:r>
              <w:rPr>
                <w:rFonts w:ascii="Times New Roman" w:hAnsi="Times New Roman"/>
                <w:b w:val="0"/>
                <w:i w:val="0"/>
                <w:sz w:val="16"/>
              </w:rPr>
              <w:t>47,500,000 (stated)</w:t>
            </w:r>
          </w:p>
        </w:tc>
        <w:tc>
          <w:tcPr>
            <w:tcW w:type="dxa" w:w="1368"/>
            <w:shd w:val="clear" w:color="auto" w:fill="F7F8FA"/>
          </w:tcPr>
          <w:p>
            <w:pPr>
              <w:spacing w:before="40" w:after="40"/>
              <w:jc w:val="right"/>
            </w:pPr>
            <w:r/>
            <w:r>
              <w:rPr>
                <w:rFonts w:ascii="Times New Roman" w:hAnsi="Times New Roman"/>
                <w:b w:val="0"/>
                <w:i w:val="0"/>
                <w:sz w:val="16"/>
              </w:rPr>
              <w:t>48,500,000 (recomputed)</w:t>
            </w:r>
          </w:p>
        </w:tc>
        <w:tc>
          <w:tcPr>
            <w:tcW w:type="dxa" w:w="3384"/>
            <w:shd w:val="clear" w:color="auto" w:fill="F7F8FA"/>
          </w:tcPr>
          <w:p>
            <w:pPr>
              <w:spacing w:before="40" w:after="40"/>
              <w:jc w:val="left"/>
            </w:pPr>
            <w:r/>
            <w:r>
              <w:rPr>
                <w:rFonts w:ascii="Times New Roman" w:hAnsi="Times New Roman"/>
                <w:b w:val="0"/>
                <w:i w:val="0"/>
                <w:sz w:val="16"/>
              </w:rPr>
              <w:t>Includes the $1,000,000 of Developer Fee attributed to the mezzanine</w:t>
            </w:r>
          </w:p>
        </w:tc>
        <w:tc>
          <w:tcPr>
            <w:tcW w:type="dxa" w:w="1728"/>
            <w:shd w:val="clear" w:color="auto" w:fill="F7F8FA"/>
          </w:tcPr>
          <w:p>
            <w:pPr>
              <w:spacing w:before="40" w:after="40"/>
              <w:jc w:val="left"/>
            </w:pPr>
            <w:r/>
            <w:r>
              <w:rPr>
                <w:rFonts w:ascii="Times New Roman" w:hAnsi="Times New Roman"/>
                <w:b w:val="0"/>
                <w:i w:val="0"/>
                <w:sz w:val="16"/>
              </w:rPr>
              <w:t>$1,000,000 imbalance</w:t>
            </w:r>
          </w:p>
        </w:tc>
      </w:tr>
      <w:tr>
        <w:trPr>
          <w:cantSplit w:val="true"/>
        </w:trPr>
        <w:tc>
          <w:tcPr>
            <w:tcW w:type="dxa" w:w="1656"/>
          </w:tcPr>
          <w:p>
            <w:pPr>
              <w:spacing w:before="40" w:after="40"/>
              <w:jc w:val="left"/>
            </w:pPr>
            <w:r/>
            <w:r>
              <w:rPr>
                <w:rFonts w:ascii="Times New Roman" w:hAnsi="Times New Roman"/>
                <w:b w:val="0"/>
                <w:i w:val="0"/>
                <w:sz w:val="16"/>
              </w:rPr>
              <w:t>Conformed schedule (draft Sch. 1)</w:t>
            </w:r>
          </w:p>
        </w:tc>
        <w:tc>
          <w:tcPr>
            <w:tcW w:type="dxa" w:w="1224"/>
          </w:tcPr>
          <w:p>
            <w:pPr>
              <w:spacing w:before="40" w:after="40"/>
              <w:jc w:val="right"/>
            </w:pPr>
            <w:r/>
            <w:r>
              <w:rPr>
                <w:rFonts w:ascii="Times New Roman" w:hAnsi="Times New Roman"/>
                <w:b w:val="0"/>
                <w:i w:val="0"/>
                <w:sz w:val="16"/>
              </w:rPr>
              <w:t>—</w:t>
            </w:r>
          </w:p>
        </w:tc>
        <w:tc>
          <w:tcPr>
            <w:tcW w:type="dxa" w:w="1368"/>
          </w:tcPr>
          <w:p>
            <w:pPr>
              <w:spacing w:before="40" w:after="40"/>
              <w:jc w:val="right"/>
            </w:pPr>
            <w:r/>
            <w:r>
              <w:rPr>
                <w:rFonts w:ascii="Times New Roman" w:hAnsi="Times New Roman"/>
                <w:b w:val="0"/>
                <w:i w:val="0"/>
                <w:sz w:val="16"/>
              </w:rPr>
              <w:t>47,500,000</w:t>
            </w:r>
          </w:p>
        </w:tc>
        <w:tc>
          <w:tcPr>
            <w:tcW w:type="dxa" w:w="3384"/>
          </w:tcPr>
          <w:p>
            <w:pPr>
              <w:spacing w:before="40" w:after="40"/>
              <w:jc w:val="left"/>
            </w:pPr>
            <w:r/>
            <w:r>
              <w:rPr>
                <w:rFonts w:ascii="Times New Roman" w:hAnsi="Times New Roman"/>
                <w:b w:val="0"/>
                <w:i w:val="0"/>
                <w:sz w:val="16"/>
              </w:rPr>
              <w:t>Hard 31,275,000 net + 3,475,000 retainage + soft 4,150,000 + reserve 4,850,000 + fee 475,000 + contingency 1,440,000 + Developer Fee 1,835,000</w:t>
            </w:r>
          </w:p>
        </w:tc>
        <w:tc>
          <w:tcPr>
            <w:tcW w:type="dxa" w:w="1728"/>
          </w:tcPr>
          <w:p>
            <w:pPr>
              <w:spacing w:before="40" w:after="40"/>
              <w:jc w:val="left"/>
            </w:pPr>
            <w:r/>
            <w:r>
              <w:rPr>
                <w:rFonts w:ascii="Times New Roman" w:hAnsi="Times New Roman"/>
                <w:b w:val="0"/>
                <w:i w:val="0"/>
                <w:sz w:val="16"/>
              </w:rPr>
              <w:t>Foots exactly</w:t>
            </w:r>
          </w:p>
        </w:tc>
      </w:tr>
    </w:tbl>
    <w:p>
      <w:pPr>
        <w:spacing w:after="40"/>
      </w:pPr>
    </w:p>
    <w:p>
      <w:pPr>
        <w:pStyle w:val="Heading3"/>
      </w:pPr>
      <w:r>
        <w:rPr>
          <w:rFonts w:ascii="Times New Roman" w:hAnsi="Times New Roman"/>
          <w:b/>
          <w:i/>
          <w:sz w:val="22"/>
        </w:rPr>
        <w:t>V.5  Income, value and environmental sensitivities</w:t>
      </w:r>
    </w:p>
    <w:tbl>
      <w:tblPr>
        <w:tblStyle w:val="TableGrid"/>
        <w:tblW w:type="auto" w:w="0"/>
        <w:jc w:val="center"/>
        <w:tblLayout w:type="fixed"/>
        <w:tblLook w:firstColumn="1" w:firstRow="1" w:lastColumn="0" w:lastRow="0" w:noHBand="0" w:noVBand="1" w:val="04A0"/>
      </w:tblPr>
      <w:tblGrid>
        <w:gridCol w:w="2304"/>
        <w:gridCol w:w="3024"/>
        <w:gridCol w:w="1512"/>
        <w:gridCol w:w="2520"/>
      </w:tblGrid>
      <w:tr>
        <w:trPr>
          <w:tblHeader w:val="true"/>
        </w:trPr>
        <w:tc>
          <w:tcPr>
            <w:tcW w:type="dxa" w:w="2304"/>
            <w:shd w:val="clear" w:color="auto" w:fill="1F3355"/>
          </w:tcPr>
          <w:p>
            <w:pPr>
              <w:spacing w:before="60" w:after="60"/>
              <w:jc w:val="center"/>
            </w:pPr>
            <w:r/>
            <w:r>
              <w:rPr>
                <w:rFonts w:ascii="Times New Roman" w:hAnsi="Times New Roman"/>
                <w:b/>
                <w:color w:val="FFFFFF"/>
                <w:sz w:val="16"/>
              </w:rPr>
              <w:t>Check</w:t>
            </w:r>
          </w:p>
        </w:tc>
        <w:tc>
          <w:tcPr>
            <w:tcW w:type="dxa" w:w="3024"/>
            <w:shd w:val="clear" w:color="auto" w:fill="1F3355"/>
          </w:tcPr>
          <w:p>
            <w:pPr>
              <w:spacing w:before="60" w:after="60"/>
              <w:jc w:val="center"/>
            </w:pPr>
            <w:r/>
            <w:r>
              <w:rPr>
                <w:rFonts w:ascii="Times New Roman" w:hAnsi="Times New Roman"/>
                <w:b/>
                <w:color w:val="FFFFFF"/>
                <w:sz w:val="16"/>
              </w:rPr>
              <w:t>Computation</w:t>
            </w:r>
          </w:p>
        </w:tc>
        <w:tc>
          <w:tcPr>
            <w:tcW w:type="dxa" w:w="1512"/>
            <w:shd w:val="clear" w:color="auto" w:fill="1F3355"/>
          </w:tcPr>
          <w:p>
            <w:pPr>
              <w:spacing w:before="60" w:after="60"/>
              <w:jc w:val="center"/>
            </w:pPr>
            <w:r/>
            <w:r>
              <w:rPr>
                <w:rFonts w:ascii="Times New Roman" w:hAnsi="Times New Roman"/>
                <w:b/>
                <w:color w:val="FFFFFF"/>
                <w:sz w:val="16"/>
              </w:rPr>
              <w:t>Record figure</w:t>
            </w:r>
          </w:p>
        </w:tc>
        <w:tc>
          <w:tcPr>
            <w:tcW w:type="dxa" w:w="2520"/>
            <w:shd w:val="clear" w:color="auto" w:fill="1F3355"/>
          </w:tcPr>
          <w:p>
            <w:pPr>
              <w:spacing w:before="60" w:after="60"/>
              <w:jc w:val="center"/>
            </w:pPr>
            <w:r/>
            <w:r>
              <w:rPr>
                <w:rFonts w:ascii="Times New Roman" w:hAnsi="Times New Roman"/>
                <w:b/>
                <w:color w:val="FFFFFF"/>
                <w:sz w:val="16"/>
              </w:rPr>
              <w:t>Finding</w:t>
            </w:r>
          </w:p>
        </w:tc>
      </w:tr>
      <w:tr>
        <w:trPr>
          <w:cantSplit w:val="true"/>
        </w:trPr>
        <w:tc>
          <w:tcPr>
            <w:tcW w:type="dxa" w:w="2304"/>
          </w:tcPr>
          <w:p>
            <w:pPr>
              <w:spacing w:before="40" w:after="40"/>
              <w:jc w:val="left"/>
            </w:pPr>
            <w:r/>
            <w:r>
              <w:rPr>
                <w:rFonts w:ascii="Times New Roman" w:hAnsi="Times New Roman"/>
                <w:b w:val="0"/>
                <w:i w:val="0"/>
                <w:sz w:val="16"/>
              </w:rPr>
              <w:t>Residential income at $2,245/month</w:t>
            </w:r>
          </w:p>
        </w:tc>
        <w:tc>
          <w:tcPr>
            <w:tcW w:type="dxa" w:w="3024"/>
          </w:tcPr>
          <w:p>
            <w:pPr>
              <w:spacing w:before="40" w:after="40"/>
              <w:jc w:val="left"/>
            </w:pPr>
            <w:r/>
            <w:r>
              <w:rPr>
                <w:rFonts w:ascii="Times New Roman" w:hAnsi="Times New Roman"/>
                <w:b w:val="0"/>
                <w:i w:val="0"/>
                <w:sz w:val="16"/>
              </w:rPr>
              <w:t>212 × $2,245 × 12 = $5,711,280</w:t>
            </w:r>
          </w:p>
        </w:tc>
        <w:tc>
          <w:tcPr>
            <w:tcW w:type="dxa" w:w="1512"/>
          </w:tcPr>
          <w:p>
            <w:pPr>
              <w:spacing w:before="40" w:after="40"/>
              <w:jc w:val="left"/>
            </w:pPr>
            <w:r/>
            <w:r>
              <w:rPr>
                <w:rFonts w:ascii="Times New Roman" w:hAnsi="Times New Roman"/>
                <w:b w:val="0"/>
                <w:i w:val="0"/>
                <w:sz w:val="16"/>
              </w:rPr>
              <w:t>$5,712,000 stated</w:t>
            </w:r>
          </w:p>
        </w:tc>
        <w:tc>
          <w:tcPr>
            <w:tcW w:type="dxa" w:w="2520"/>
          </w:tcPr>
          <w:p>
            <w:pPr>
              <w:spacing w:before="40" w:after="40"/>
              <w:jc w:val="left"/>
            </w:pPr>
            <w:r/>
            <w:r>
              <w:rPr>
                <w:rFonts w:ascii="Times New Roman" w:hAnsi="Times New Roman"/>
                <w:b w:val="0"/>
                <w:i w:val="0"/>
                <w:sz w:val="16"/>
              </w:rPr>
              <w:t>$720 rounding difference; immaterial</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Gross potential income</w:t>
            </w:r>
          </w:p>
        </w:tc>
        <w:tc>
          <w:tcPr>
            <w:tcW w:type="dxa" w:w="3024"/>
            <w:shd w:val="clear" w:color="auto" w:fill="F7F8FA"/>
          </w:tcPr>
          <w:p>
            <w:pPr>
              <w:spacing w:before="40" w:after="40"/>
              <w:jc w:val="left"/>
            </w:pPr>
            <w:r/>
            <w:r>
              <w:rPr>
                <w:rFonts w:ascii="Times New Roman" w:hAnsi="Times New Roman"/>
                <w:b w:val="0"/>
                <w:i w:val="0"/>
                <w:sz w:val="16"/>
              </w:rPr>
              <w:t>$5,711,280 + $552,000 + $198,000 = $6,461,280</w:t>
            </w:r>
          </w:p>
        </w:tc>
        <w:tc>
          <w:tcPr>
            <w:tcW w:type="dxa" w:w="1512"/>
            <w:shd w:val="clear" w:color="auto" w:fill="F7F8FA"/>
          </w:tcPr>
          <w:p>
            <w:pPr>
              <w:spacing w:before="40" w:after="40"/>
              <w:jc w:val="left"/>
            </w:pPr>
            <w:r/>
            <w:r>
              <w:rPr>
                <w:rFonts w:ascii="Times New Roman" w:hAnsi="Times New Roman"/>
                <w:b w:val="0"/>
                <w:i w:val="0"/>
                <w:sz w:val="16"/>
              </w:rPr>
              <w:t>$6,462,000 stated</w:t>
            </w:r>
          </w:p>
        </w:tc>
        <w:tc>
          <w:tcPr>
            <w:tcW w:type="dxa" w:w="2520"/>
            <w:shd w:val="clear" w:color="auto" w:fill="F7F8FA"/>
          </w:tcPr>
          <w:p>
            <w:pPr>
              <w:spacing w:before="40" w:after="40"/>
              <w:jc w:val="left"/>
            </w:pPr>
            <w:r/>
            <w:r>
              <w:rPr>
                <w:rFonts w:ascii="Times New Roman" w:hAnsi="Times New Roman"/>
                <w:b w:val="0"/>
                <w:i w:val="0"/>
                <w:sz w:val="16"/>
              </w:rPr>
              <w:t>Follows from the rounding above</w:t>
            </w:r>
          </w:p>
        </w:tc>
      </w:tr>
      <w:tr>
        <w:trPr>
          <w:cantSplit w:val="true"/>
        </w:trPr>
        <w:tc>
          <w:tcPr>
            <w:tcW w:type="dxa" w:w="2304"/>
          </w:tcPr>
          <w:p>
            <w:pPr>
              <w:spacing w:before="40" w:after="40"/>
              <w:jc w:val="left"/>
            </w:pPr>
            <w:r/>
            <w:r>
              <w:rPr>
                <w:rFonts w:ascii="Times New Roman" w:hAnsi="Times New Roman"/>
                <w:b w:val="0"/>
                <w:i w:val="0"/>
                <w:sz w:val="16"/>
              </w:rPr>
              <w:t>Vacancy and credit loss at 5.0%</w:t>
            </w:r>
          </w:p>
        </w:tc>
        <w:tc>
          <w:tcPr>
            <w:tcW w:type="dxa" w:w="3024"/>
          </w:tcPr>
          <w:p>
            <w:pPr>
              <w:spacing w:before="40" w:after="40"/>
              <w:jc w:val="left"/>
            </w:pPr>
            <w:r/>
            <w:r>
              <w:rPr>
                <w:rFonts w:ascii="Times New Roman" w:hAnsi="Times New Roman"/>
                <w:b w:val="0"/>
                <w:i w:val="0"/>
                <w:sz w:val="16"/>
              </w:rPr>
              <w:t>$6,462,000 × 5.0% = $323,100</w:t>
            </w:r>
          </w:p>
        </w:tc>
        <w:tc>
          <w:tcPr>
            <w:tcW w:type="dxa" w:w="1512"/>
          </w:tcPr>
          <w:p>
            <w:pPr>
              <w:spacing w:before="40" w:after="40"/>
              <w:jc w:val="left"/>
            </w:pPr>
            <w:r/>
            <w:r>
              <w:rPr>
                <w:rFonts w:ascii="Times New Roman" w:hAnsi="Times New Roman"/>
                <w:b w:val="0"/>
                <w:i w:val="0"/>
                <w:sz w:val="16"/>
              </w:rPr>
              <w:t>$323,100</w:t>
            </w:r>
          </w:p>
        </w:tc>
        <w:tc>
          <w:tcPr>
            <w:tcW w:type="dxa" w:w="2520"/>
          </w:tcPr>
          <w:p>
            <w:pPr>
              <w:spacing w:before="40" w:after="40"/>
              <w:jc w:val="left"/>
            </w:pPr>
            <w:r/>
            <w:r>
              <w:rPr>
                <w:rFonts w:ascii="Times New Roman" w:hAnsi="Times New Roman"/>
                <w:b w:val="0"/>
                <w:i w:val="0"/>
                <w:sz w:val="16"/>
              </w:rPr>
              <w:t>Ties; note submarket vacancy of 5.8% per Appraisal § 4</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Effective gross income</w:t>
            </w:r>
          </w:p>
        </w:tc>
        <w:tc>
          <w:tcPr>
            <w:tcW w:type="dxa" w:w="3024"/>
            <w:shd w:val="clear" w:color="auto" w:fill="F7F8FA"/>
          </w:tcPr>
          <w:p>
            <w:pPr>
              <w:spacing w:before="40" w:after="40"/>
              <w:jc w:val="left"/>
            </w:pPr>
            <w:r/>
            <w:r>
              <w:rPr>
                <w:rFonts w:ascii="Times New Roman" w:hAnsi="Times New Roman"/>
                <w:b w:val="0"/>
                <w:i w:val="0"/>
                <w:sz w:val="16"/>
              </w:rPr>
              <w:t>$6,462,000 − $323,100 = $6,138,900</w:t>
            </w:r>
          </w:p>
        </w:tc>
        <w:tc>
          <w:tcPr>
            <w:tcW w:type="dxa" w:w="1512"/>
            <w:shd w:val="clear" w:color="auto" w:fill="F7F8FA"/>
          </w:tcPr>
          <w:p>
            <w:pPr>
              <w:spacing w:before="40" w:after="40"/>
              <w:jc w:val="left"/>
            </w:pPr>
            <w:r/>
            <w:r>
              <w:rPr>
                <w:rFonts w:ascii="Times New Roman" w:hAnsi="Times New Roman"/>
                <w:b w:val="0"/>
                <w:i w:val="0"/>
                <w:sz w:val="16"/>
              </w:rPr>
              <w:t>$6,138,900</w:t>
            </w:r>
          </w:p>
        </w:tc>
        <w:tc>
          <w:tcPr>
            <w:tcW w:type="dxa" w:w="2520"/>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2304"/>
          </w:tcPr>
          <w:p>
            <w:pPr>
              <w:spacing w:before="40" w:after="40"/>
              <w:jc w:val="left"/>
            </w:pPr>
            <w:r/>
            <w:r>
              <w:rPr>
                <w:rFonts w:ascii="Times New Roman" w:hAnsi="Times New Roman"/>
                <w:b w:val="0"/>
                <w:i w:val="0"/>
                <w:sz w:val="16"/>
              </w:rPr>
              <w:t>Operating expenses</w:t>
            </w:r>
          </w:p>
        </w:tc>
        <w:tc>
          <w:tcPr>
            <w:tcW w:type="dxa" w:w="3024"/>
          </w:tcPr>
          <w:p>
            <w:pPr>
              <w:spacing w:before="40" w:after="40"/>
              <w:jc w:val="left"/>
            </w:pPr>
            <w:r/>
            <w:r>
              <w:rPr>
                <w:rFonts w:ascii="Times New Roman" w:hAnsi="Times New Roman"/>
                <w:b w:val="0"/>
                <w:i w:val="0"/>
                <w:sz w:val="16"/>
              </w:rPr>
              <w:t>Line items sum to $1,262,100</w:t>
            </w:r>
          </w:p>
        </w:tc>
        <w:tc>
          <w:tcPr>
            <w:tcW w:type="dxa" w:w="1512"/>
          </w:tcPr>
          <w:p>
            <w:pPr>
              <w:spacing w:before="40" w:after="40"/>
              <w:jc w:val="left"/>
            </w:pPr>
            <w:r/>
            <w:r>
              <w:rPr>
                <w:rFonts w:ascii="Times New Roman" w:hAnsi="Times New Roman"/>
                <w:b w:val="0"/>
                <w:i w:val="0"/>
                <w:sz w:val="16"/>
              </w:rPr>
              <w:t>$1,262,100</w:t>
            </w:r>
          </w:p>
        </w:tc>
        <w:tc>
          <w:tcPr>
            <w:tcW w:type="dxa" w:w="2520"/>
          </w:tcPr>
          <w:p>
            <w:pPr>
              <w:spacing w:before="40" w:after="40"/>
              <w:jc w:val="left"/>
            </w:pPr>
            <w:r/>
            <w:r>
              <w:rPr>
                <w:rFonts w:ascii="Times New Roman" w:hAnsi="Times New Roman"/>
                <w:b w:val="0"/>
                <w:i w:val="0"/>
                <w:sz w:val="16"/>
              </w:rPr>
              <w:t>Ties; expense ratio 20.56%</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Net operating income</w:t>
            </w:r>
          </w:p>
        </w:tc>
        <w:tc>
          <w:tcPr>
            <w:tcW w:type="dxa" w:w="3024"/>
            <w:shd w:val="clear" w:color="auto" w:fill="F7F8FA"/>
          </w:tcPr>
          <w:p>
            <w:pPr>
              <w:spacing w:before="40" w:after="40"/>
              <w:jc w:val="left"/>
            </w:pPr>
            <w:r/>
            <w:r>
              <w:rPr>
                <w:rFonts w:ascii="Times New Roman" w:hAnsi="Times New Roman"/>
                <w:b w:val="0"/>
                <w:i w:val="0"/>
                <w:sz w:val="16"/>
              </w:rPr>
              <w:t>$6,138,900 − $1,262,100 = $4,876,800</w:t>
            </w:r>
          </w:p>
        </w:tc>
        <w:tc>
          <w:tcPr>
            <w:tcW w:type="dxa" w:w="1512"/>
            <w:shd w:val="clear" w:color="auto" w:fill="F7F8FA"/>
          </w:tcPr>
          <w:p>
            <w:pPr>
              <w:spacing w:before="40" w:after="40"/>
              <w:jc w:val="left"/>
            </w:pPr>
            <w:r/>
            <w:r>
              <w:rPr>
                <w:rFonts w:ascii="Times New Roman" w:hAnsi="Times New Roman"/>
                <w:b w:val="0"/>
                <w:i w:val="0"/>
                <w:sz w:val="16"/>
              </w:rPr>
              <w:t>$4,876,800</w:t>
            </w:r>
          </w:p>
        </w:tc>
        <w:tc>
          <w:tcPr>
            <w:tcW w:type="dxa" w:w="2520"/>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2304"/>
          </w:tcPr>
          <w:p>
            <w:pPr>
              <w:spacing w:before="40" w:after="40"/>
              <w:jc w:val="left"/>
            </w:pPr>
            <w:r/>
            <w:r>
              <w:rPr>
                <w:rFonts w:ascii="Times New Roman" w:hAnsi="Times New Roman"/>
                <w:b w:val="0"/>
                <w:i w:val="0"/>
                <w:sz w:val="16"/>
              </w:rPr>
              <w:t>CC&amp;R assessment omitted</w:t>
            </w:r>
          </w:p>
        </w:tc>
        <w:tc>
          <w:tcPr>
            <w:tcW w:type="dxa" w:w="3024"/>
          </w:tcPr>
          <w:p>
            <w:pPr>
              <w:spacing w:before="40" w:after="40"/>
              <w:jc w:val="left"/>
            </w:pPr>
            <w:r/>
            <w:r>
              <w:rPr>
                <w:rFonts w:ascii="Times New Roman" w:hAnsi="Times New Roman"/>
                <w:b w:val="0"/>
                <w:i w:val="0"/>
                <w:sz w:val="16"/>
              </w:rPr>
              <w:t>$0.12 × 287,500 sq. ft. = $34,500</w:t>
            </w:r>
          </w:p>
        </w:tc>
        <w:tc>
          <w:tcPr>
            <w:tcW w:type="dxa" w:w="1512"/>
          </w:tcPr>
          <w:p>
            <w:pPr>
              <w:spacing w:before="40" w:after="40"/>
              <w:jc w:val="left"/>
            </w:pPr>
            <w:r/>
            <w:r>
              <w:rPr>
                <w:rFonts w:ascii="Times New Roman" w:hAnsi="Times New Roman"/>
                <w:b w:val="0"/>
                <w:i w:val="0"/>
                <w:sz w:val="16"/>
              </w:rPr>
              <w:t>not in Appraisal § 7</w:t>
            </w:r>
          </w:p>
        </w:tc>
        <w:tc>
          <w:tcPr>
            <w:tcW w:type="dxa" w:w="2520"/>
          </w:tcPr>
          <w:p>
            <w:pPr>
              <w:spacing w:before="40" w:after="40"/>
              <w:jc w:val="left"/>
            </w:pPr>
            <w:r/>
            <w:r>
              <w:rPr>
                <w:rFonts w:ascii="Times New Roman" w:hAnsi="Times New Roman"/>
                <w:b w:val="0"/>
                <w:i w:val="0"/>
                <w:sz w:val="16"/>
              </w:rPr>
              <w:t>NOI → $4,842,300; DSCR → 1.30x</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Loss of 14 units (Credit Memorandum)</w:t>
            </w:r>
          </w:p>
        </w:tc>
        <w:tc>
          <w:tcPr>
            <w:tcW w:type="dxa" w:w="3024"/>
            <w:shd w:val="clear" w:color="auto" w:fill="F7F8FA"/>
          </w:tcPr>
          <w:p>
            <w:pPr>
              <w:spacing w:before="40" w:after="40"/>
              <w:jc w:val="left"/>
            </w:pPr>
            <w:r/>
            <w:r>
              <w:rPr>
                <w:rFonts w:ascii="Times New Roman" w:hAnsi="Times New Roman"/>
                <w:b w:val="0"/>
                <w:i w:val="0"/>
                <w:sz w:val="16"/>
              </w:rPr>
              <w:t>14 × $2,245 × 12 = $377,160</w:t>
            </w:r>
          </w:p>
        </w:tc>
        <w:tc>
          <w:tcPr>
            <w:tcW w:type="dxa" w:w="1512"/>
            <w:shd w:val="clear" w:color="auto" w:fill="F7F8FA"/>
          </w:tcPr>
          <w:p>
            <w:pPr>
              <w:spacing w:before="40" w:after="40"/>
              <w:jc w:val="left"/>
            </w:pPr>
            <w:r/>
            <w:r>
              <w:rPr>
                <w:rFonts w:ascii="Times New Roman" w:hAnsi="Times New Roman"/>
                <w:b w:val="0"/>
                <w:i w:val="0"/>
                <w:sz w:val="16"/>
              </w:rPr>
              <w:t>CM: $377,160</w:t>
            </w:r>
          </w:p>
        </w:tc>
        <w:tc>
          <w:tcPr>
            <w:tcW w:type="dxa" w:w="2520"/>
            <w:shd w:val="clear" w:color="auto" w:fill="F7F8FA"/>
          </w:tcPr>
          <w:p>
            <w:pPr>
              <w:spacing w:before="40" w:after="40"/>
              <w:jc w:val="left"/>
            </w:pPr>
            <w:r/>
            <w:r>
              <w:rPr>
                <w:rFonts w:ascii="Times New Roman" w:hAnsi="Times New Roman"/>
                <w:b w:val="0"/>
                <w:i w:val="0"/>
                <w:sz w:val="16"/>
              </w:rPr>
              <w:t>NOI → $4,499,640; DSCR → 1.21x</w:t>
            </w:r>
          </w:p>
        </w:tc>
      </w:tr>
      <w:tr>
        <w:trPr>
          <w:cantSplit w:val="true"/>
        </w:trPr>
        <w:tc>
          <w:tcPr>
            <w:tcW w:type="dxa" w:w="2304"/>
          </w:tcPr>
          <w:p>
            <w:pPr>
              <w:spacing w:before="40" w:after="40"/>
              <w:jc w:val="left"/>
            </w:pPr>
            <w:r/>
            <w:r>
              <w:rPr>
                <w:rFonts w:ascii="Times New Roman" w:hAnsi="Times New Roman"/>
                <w:b w:val="0"/>
                <w:i w:val="0"/>
                <w:sz w:val="16"/>
              </w:rPr>
              <w:t>Loss of 23 units (proportional overlay)</w:t>
            </w:r>
          </w:p>
        </w:tc>
        <w:tc>
          <w:tcPr>
            <w:tcW w:type="dxa" w:w="3024"/>
          </w:tcPr>
          <w:p>
            <w:pPr>
              <w:spacing w:before="40" w:after="40"/>
              <w:jc w:val="left"/>
            </w:pPr>
            <w:r/>
            <w:r>
              <w:rPr>
                <w:rFonts w:ascii="Times New Roman" w:hAnsi="Times New Roman"/>
                <w:b w:val="0"/>
                <w:i w:val="0"/>
                <w:sz w:val="16"/>
              </w:rPr>
              <w:t>23 × $2,245 × 12 = $619,620</w:t>
            </w:r>
          </w:p>
        </w:tc>
        <w:tc>
          <w:tcPr>
            <w:tcW w:type="dxa" w:w="1512"/>
          </w:tcPr>
          <w:p>
            <w:pPr>
              <w:spacing w:before="40" w:after="40"/>
              <w:jc w:val="left"/>
            </w:pPr>
            <w:r/>
            <w:r>
              <w:rPr>
                <w:rFonts w:ascii="Times New Roman" w:hAnsi="Times New Roman"/>
                <w:b w:val="0"/>
                <w:i w:val="0"/>
                <w:sz w:val="16"/>
              </w:rPr>
              <w:t>not in Record</w:t>
            </w:r>
          </w:p>
        </w:tc>
        <w:tc>
          <w:tcPr>
            <w:tcW w:type="dxa" w:w="2520"/>
          </w:tcPr>
          <w:p>
            <w:pPr>
              <w:spacing w:before="40" w:after="40"/>
              <w:jc w:val="left"/>
            </w:pPr>
            <w:r/>
            <w:r>
              <w:rPr>
                <w:rFonts w:ascii="Times New Roman" w:hAnsi="Times New Roman"/>
                <w:b w:val="0"/>
                <w:i w:val="0"/>
                <w:sz w:val="16"/>
              </w:rPr>
              <w:t>NOI → $4,257,180; DSCR → 1.14x</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Real estate taxes</w:t>
            </w:r>
          </w:p>
        </w:tc>
        <w:tc>
          <w:tcPr>
            <w:tcW w:type="dxa" w:w="3024"/>
            <w:shd w:val="clear" w:color="auto" w:fill="F7F8FA"/>
          </w:tcPr>
          <w:p>
            <w:pPr>
              <w:spacing w:before="40" w:after="40"/>
              <w:jc w:val="left"/>
            </w:pPr>
            <w:r/>
            <w:r>
              <w:rPr>
                <w:rFonts w:ascii="Times New Roman" w:hAnsi="Times New Roman"/>
                <w:b w:val="0"/>
                <w:i w:val="0"/>
                <w:sz w:val="16"/>
              </w:rPr>
              <w:t>$49,065 ÷ $7,250,000 = 0.677% effective</w:t>
            </w:r>
          </w:p>
        </w:tc>
        <w:tc>
          <w:tcPr>
            <w:tcW w:type="dxa" w:w="1512"/>
            <w:shd w:val="clear" w:color="auto" w:fill="F7F8FA"/>
          </w:tcPr>
          <w:p>
            <w:pPr>
              <w:spacing w:before="40" w:after="40"/>
              <w:jc w:val="left"/>
            </w:pPr>
            <w:r/>
            <w:r>
              <w:rPr>
                <w:rFonts w:ascii="Times New Roman" w:hAnsi="Times New Roman"/>
                <w:b w:val="0"/>
                <w:i w:val="0"/>
                <w:sz w:val="16"/>
              </w:rPr>
              <w:t>$412,000 budgeted</w:t>
            </w:r>
          </w:p>
        </w:tc>
        <w:tc>
          <w:tcPr>
            <w:tcW w:type="dxa" w:w="2520"/>
            <w:shd w:val="clear" w:color="auto" w:fill="F7F8FA"/>
          </w:tcPr>
          <w:p>
            <w:pPr>
              <w:spacing w:before="40" w:after="40"/>
              <w:jc w:val="left"/>
            </w:pPr>
            <w:r/>
            <w:r>
              <w:rPr>
                <w:rFonts w:ascii="Times New Roman" w:hAnsi="Times New Roman"/>
                <w:b w:val="0"/>
                <w:i w:val="0"/>
                <w:sz w:val="16"/>
              </w:rPr>
              <w:t>Implies assessed value of ~$60.9M; confirm with Durham County</w:t>
            </w:r>
          </w:p>
        </w:tc>
      </w:tr>
      <w:tr>
        <w:trPr>
          <w:cantSplit w:val="true"/>
        </w:trPr>
        <w:tc>
          <w:tcPr>
            <w:tcW w:type="dxa" w:w="2304"/>
          </w:tcPr>
          <w:p>
            <w:pPr>
              <w:spacing w:before="40" w:after="40"/>
              <w:jc w:val="left"/>
            </w:pPr>
            <w:r/>
            <w:r>
              <w:rPr>
                <w:rFonts w:ascii="Times New Roman" w:hAnsi="Times New Roman"/>
                <w:b w:val="0"/>
                <w:i w:val="0"/>
                <w:sz w:val="16"/>
              </w:rPr>
              <w:t>Price per unit / per sq. ft.</w:t>
            </w:r>
          </w:p>
        </w:tc>
        <w:tc>
          <w:tcPr>
            <w:tcW w:type="dxa" w:w="3024"/>
          </w:tcPr>
          <w:p>
            <w:pPr>
              <w:spacing w:before="40" w:after="40"/>
              <w:jc w:val="left"/>
            </w:pPr>
            <w:r/>
            <w:r>
              <w:rPr>
                <w:rFonts w:ascii="Times New Roman" w:hAnsi="Times New Roman"/>
                <w:b w:val="0"/>
                <w:i w:val="0"/>
                <w:sz w:val="16"/>
              </w:rPr>
              <w:t>$72,800,000 ÷ 212 = $343,396; ÷ 287,500 = $253.22</w:t>
            </w:r>
          </w:p>
        </w:tc>
        <w:tc>
          <w:tcPr>
            <w:tcW w:type="dxa" w:w="1512"/>
          </w:tcPr>
          <w:p>
            <w:pPr>
              <w:spacing w:before="40" w:after="40"/>
              <w:jc w:val="left"/>
            </w:pPr>
            <w:r/>
            <w:r>
              <w:rPr>
                <w:rFonts w:ascii="Times New Roman" w:hAnsi="Times New Roman"/>
                <w:b w:val="0"/>
                <w:i w:val="0"/>
                <w:sz w:val="16"/>
              </w:rPr>
              <w:t>Appraisal: same</w:t>
            </w:r>
          </w:p>
        </w:tc>
        <w:tc>
          <w:tcPr>
            <w:tcW w:type="dxa" w:w="2520"/>
          </w:tcPr>
          <w:p>
            <w:pPr>
              <w:spacing w:before="40" w:after="40"/>
              <w:jc w:val="left"/>
            </w:pPr>
            <w:r/>
            <w:r>
              <w:rPr>
                <w:rFonts w:ascii="Times New Roman" w:hAnsi="Times New Roman"/>
                <w:b w:val="0"/>
                <w:i w:val="0"/>
                <w:sz w:val="16"/>
              </w:rPr>
              <w:t>Ties</w:t>
            </w:r>
          </w:p>
        </w:tc>
      </w:tr>
      <w:tr>
        <w:trPr>
          <w:cantSplit w:val="true"/>
        </w:trPr>
        <w:tc>
          <w:tcPr>
            <w:tcW w:type="dxa" w:w="2304"/>
            <w:shd w:val="clear" w:color="auto" w:fill="F7F8FA"/>
          </w:tcPr>
          <w:p>
            <w:pPr>
              <w:spacing w:before="40" w:after="40"/>
              <w:jc w:val="left"/>
            </w:pPr>
            <w:r/>
            <w:r>
              <w:rPr>
                <w:rFonts w:ascii="Times New Roman" w:hAnsi="Times New Roman"/>
                <w:b w:val="0"/>
                <w:i w:val="0"/>
                <w:sz w:val="16"/>
              </w:rPr>
              <w:t>Unit and area cross-check</w:t>
            </w:r>
          </w:p>
        </w:tc>
        <w:tc>
          <w:tcPr>
            <w:tcW w:type="dxa" w:w="3024"/>
            <w:shd w:val="clear" w:color="auto" w:fill="F7F8FA"/>
          </w:tcPr>
          <w:p>
            <w:pPr>
              <w:spacing w:before="40" w:after="40"/>
              <w:jc w:val="left"/>
            </w:pPr>
            <w:r/>
            <w:r>
              <w:rPr>
                <w:rFonts w:ascii="Times New Roman" w:hAnsi="Times New Roman"/>
                <w:b w:val="0"/>
                <w:i w:val="0"/>
                <w:sz w:val="16"/>
              </w:rPr>
              <w:t>180,650 res. sq. ft. + 18,400 retail = 199,050; GBA 287,500; residual 88,450 sq. ft. for 276 spaces (≈320 sq. ft./space)</w:t>
            </w:r>
          </w:p>
        </w:tc>
        <w:tc>
          <w:tcPr>
            <w:tcW w:type="dxa" w:w="1512"/>
            <w:shd w:val="clear" w:color="auto" w:fill="F7F8FA"/>
          </w:tcPr>
          <w:p>
            <w:pPr>
              <w:spacing w:before="40" w:after="40"/>
              <w:jc w:val="left"/>
            </w:pPr>
            <w:r/>
            <w:r>
              <w:rPr>
                <w:rFonts w:ascii="Times New Roman" w:hAnsi="Times New Roman"/>
                <w:b w:val="0"/>
                <w:i w:val="0"/>
                <w:sz w:val="16"/>
              </w:rPr>
              <w:t>Appraisal § 3</w:t>
            </w:r>
          </w:p>
        </w:tc>
        <w:tc>
          <w:tcPr>
            <w:tcW w:type="dxa" w:w="2520"/>
            <w:shd w:val="clear" w:color="auto" w:fill="F7F8FA"/>
          </w:tcPr>
          <w:p>
            <w:pPr>
              <w:spacing w:before="40" w:after="40"/>
              <w:jc w:val="left"/>
            </w:pPr>
            <w:r/>
            <w:r>
              <w:rPr>
                <w:rFonts w:ascii="Times New Roman" w:hAnsi="Times New Roman"/>
                <w:b w:val="0"/>
                <w:i w:val="0"/>
                <w:sz w:val="16"/>
              </w:rPr>
              <w:t>Consistent</w:t>
            </w:r>
          </w:p>
        </w:tc>
      </w:tr>
    </w:tbl>
    <w:p>
      <w:pPr>
        <w:spacing w:after="40"/>
      </w:pPr>
    </w:p>
    <w:p>
      <w:pPr>
        <w:pStyle w:val="Heading3"/>
      </w:pPr>
      <w:r>
        <w:rPr>
          <w:rFonts w:ascii="Times New Roman" w:hAnsi="Times New Roman"/>
          <w:b/>
          <w:i/>
          <w:sz w:val="22"/>
        </w:rPr>
        <w:t>V.6  Acreage, frontage and date intervals</w:t>
      </w:r>
    </w:p>
    <w:tbl>
      <w:tblPr>
        <w:tblStyle w:val="TableGrid"/>
        <w:tblW w:type="auto" w:w="0"/>
        <w:jc w:val="center"/>
        <w:tblLayout w:type="fixed"/>
        <w:tblLook w:firstColumn="1" w:firstRow="1" w:lastColumn="0" w:lastRow="0" w:noHBand="0" w:noVBand="1" w:val="04A0"/>
      </w:tblPr>
      <w:tblGrid>
        <w:gridCol w:w="1944"/>
        <w:gridCol w:w="2520"/>
        <w:gridCol w:w="1368"/>
        <w:gridCol w:w="1800"/>
        <w:gridCol w:w="1728"/>
      </w:tblGrid>
      <w:tr>
        <w:trPr>
          <w:tblHeader w:val="true"/>
        </w:trPr>
        <w:tc>
          <w:tcPr>
            <w:tcW w:type="dxa" w:w="1944"/>
            <w:shd w:val="clear" w:color="auto" w:fill="1F3355"/>
          </w:tcPr>
          <w:p>
            <w:pPr>
              <w:spacing w:before="60" w:after="60"/>
              <w:jc w:val="center"/>
            </w:pPr>
            <w:r/>
            <w:r>
              <w:rPr>
                <w:rFonts w:ascii="Times New Roman" w:hAnsi="Times New Roman"/>
                <w:b/>
                <w:color w:val="FFFFFF"/>
                <w:sz w:val="16"/>
              </w:rPr>
              <w:t>Item</w:t>
            </w:r>
          </w:p>
        </w:tc>
        <w:tc>
          <w:tcPr>
            <w:tcW w:type="dxa" w:w="2520"/>
            <w:shd w:val="clear" w:color="auto" w:fill="1F3355"/>
          </w:tcPr>
          <w:p>
            <w:pPr>
              <w:spacing w:before="60" w:after="60"/>
              <w:jc w:val="center"/>
            </w:pPr>
            <w:r/>
            <w:r>
              <w:rPr>
                <w:rFonts w:ascii="Times New Roman" w:hAnsi="Times New Roman"/>
                <w:b/>
                <w:color w:val="FFFFFF"/>
                <w:sz w:val="16"/>
              </w:rPr>
              <w:t>Computation</w:t>
            </w:r>
          </w:p>
        </w:tc>
        <w:tc>
          <w:tcPr>
            <w:tcW w:type="dxa" w:w="1368"/>
            <w:shd w:val="clear" w:color="auto" w:fill="1F3355"/>
          </w:tcPr>
          <w:p>
            <w:pPr>
              <w:spacing w:before="60" w:after="60"/>
              <w:jc w:val="center"/>
            </w:pPr>
            <w:r/>
            <w:r>
              <w:rPr>
                <w:rFonts w:ascii="Times New Roman" w:hAnsi="Times New Roman"/>
                <w:b/>
                <w:color w:val="FFFFFF"/>
                <w:sz w:val="16"/>
              </w:rPr>
              <w:t>Result</w:t>
            </w:r>
          </w:p>
        </w:tc>
        <w:tc>
          <w:tcPr>
            <w:tcW w:type="dxa" w:w="1800"/>
            <w:shd w:val="clear" w:color="auto" w:fill="1F3355"/>
          </w:tcPr>
          <w:p>
            <w:pPr>
              <w:spacing w:before="60" w:after="60"/>
              <w:jc w:val="center"/>
            </w:pPr>
            <w:r/>
            <w:r>
              <w:rPr>
                <w:rFonts w:ascii="Times New Roman" w:hAnsi="Times New Roman"/>
                <w:b/>
                <w:color w:val="FFFFFF"/>
                <w:sz w:val="16"/>
              </w:rPr>
              <w:t>Record figure</w:t>
            </w:r>
          </w:p>
        </w:tc>
        <w:tc>
          <w:tcPr>
            <w:tcW w:type="dxa" w:w="1728"/>
            <w:shd w:val="clear" w:color="auto" w:fill="1F3355"/>
          </w:tcPr>
          <w:p>
            <w:pPr>
              <w:spacing w:before="60" w:after="60"/>
              <w:jc w:val="center"/>
            </w:pPr>
            <w:r/>
            <w:r>
              <w:rPr>
                <w:rFonts w:ascii="Times New Roman" w:hAnsi="Times New Roman"/>
                <w:b/>
                <w:color w:val="FFFFFF"/>
                <w:sz w:val="16"/>
              </w:rPr>
              <w:t>Finding</w:t>
            </w:r>
          </w:p>
        </w:tc>
      </w:tr>
      <w:tr>
        <w:trPr>
          <w:cantSplit w:val="true"/>
        </w:trPr>
        <w:tc>
          <w:tcPr>
            <w:tcW w:type="dxa" w:w="1944"/>
          </w:tcPr>
          <w:p>
            <w:pPr>
              <w:spacing w:before="40" w:after="40"/>
              <w:jc w:val="left"/>
            </w:pPr>
            <w:r/>
            <w:r>
              <w:rPr>
                <w:rFonts w:ascii="Times New Roman" w:hAnsi="Times New Roman"/>
                <w:b w:val="0"/>
                <w:i w:val="0"/>
                <w:sz w:val="16"/>
              </w:rPr>
              <w:t>Parcel 1 (PIN 0821-04-72-3341)</w:t>
            </w:r>
          </w:p>
        </w:tc>
        <w:tc>
          <w:tcPr>
            <w:tcW w:type="dxa" w:w="2520"/>
          </w:tcPr>
          <w:p>
            <w:pPr>
              <w:spacing w:before="40" w:after="40"/>
              <w:jc w:val="left"/>
            </w:pPr>
            <w:r/>
            <w:r>
              <w:rPr>
                <w:rFonts w:ascii="Times New Roman" w:hAnsi="Times New Roman"/>
                <w:b w:val="0"/>
                <w:i w:val="0"/>
                <w:sz w:val="16"/>
              </w:rPr>
              <w:t>305.41 ft. × 298.62 ft. = 91,202 sq. ft.</w:t>
            </w:r>
          </w:p>
        </w:tc>
        <w:tc>
          <w:tcPr>
            <w:tcW w:type="dxa" w:w="1368"/>
          </w:tcPr>
          <w:p>
            <w:pPr>
              <w:spacing w:before="40" w:after="40"/>
              <w:jc w:val="left"/>
            </w:pPr>
            <w:r/>
            <w:r>
              <w:rPr>
                <w:rFonts w:ascii="Times New Roman" w:hAnsi="Times New Roman"/>
                <w:b w:val="0"/>
                <w:i w:val="0"/>
                <w:sz w:val="16"/>
              </w:rPr>
              <w:t>2.094 acres</w:t>
            </w:r>
          </w:p>
        </w:tc>
        <w:tc>
          <w:tcPr>
            <w:tcW w:type="dxa" w:w="1800"/>
          </w:tcPr>
          <w:p>
            <w:pPr>
              <w:spacing w:before="40" w:after="40"/>
              <w:jc w:val="left"/>
            </w:pPr>
            <w:r/>
            <w:r>
              <w:rPr>
                <w:rFonts w:ascii="Times New Roman" w:hAnsi="Times New Roman"/>
                <w:b w:val="0"/>
                <w:i w:val="0"/>
                <w:sz w:val="16"/>
              </w:rPr>
              <w:t>2.09 acres (Title)</w:t>
            </w:r>
          </w:p>
        </w:tc>
        <w:tc>
          <w:tcPr>
            <w:tcW w:type="dxa" w:w="1728"/>
          </w:tcPr>
          <w:p>
            <w:pPr>
              <w:spacing w:before="40" w:after="40"/>
              <w:jc w:val="left"/>
            </w:pPr>
            <w:r/>
            <w:r>
              <w:rPr>
                <w:rFonts w:ascii="Times New Roman" w:hAnsi="Times New Roman"/>
                <w:b w:val="0"/>
                <w:i w:val="0"/>
                <w:sz w:val="16"/>
              </w:rPr>
              <w:t>Phase I states 1.89 acres — does not tie</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Parcel 2 (PIN 0821-04-72-4102)</w:t>
            </w:r>
          </w:p>
        </w:tc>
        <w:tc>
          <w:tcPr>
            <w:tcW w:type="dxa" w:w="2520"/>
            <w:shd w:val="clear" w:color="auto" w:fill="F7F8FA"/>
          </w:tcPr>
          <w:p>
            <w:pPr>
              <w:spacing w:before="40" w:after="40"/>
              <w:jc w:val="left"/>
            </w:pPr>
            <w:r/>
            <w:r>
              <w:rPr>
                <w:rFonts w:ascii="Times New Roman" w:hAnsi="Times New Roman"/>
                <w:b w:val="0"/>
                <w:i w:val="0"/>
                <w:sz w:val="16"/>
              </w:rPr>
              <w:t>297.63 ft. × 201.88 ft. = 60,086 sq. ft.</w:t>
            </w:r>
          </w:p>
        </w:tc>
        <w:tc>
          <w:tcPr>
            <w:tcW w:type="dxa" w:w="1368"/>
            <w:shd w:val="clear" w:color="auto" w:fill="F7F8FA"/>
          </w:tcPr>
          <w:p>
            <w:pPr>
              <w:spacing w:before="40" w:after="40"/>
              <w:jc w:val="left"/>
            </w:pPr>
            <w:r/>
            <w:r>
              <w:rPr>
                <w:rFonts w:ascii="Times New Roman" w:hAnsi="Times New Roman"/>
                <w:b w:val="0"/>
                <w:i w:val="0"/>
                <w:sz w:val="16"/>
              </w:rPr>
              <w:t>1.379 acres</w:t>
            </w:r>
          </w:p>
        </w:tc>
        <w:tc>
          <w:tcPr>
            <w:tcW w:type="dxa" w:w="1800"/>
            <w:shd w:val="clear" w:color="auto" w:fill="F7F8FA"/>
          </w:tcPr>
          <w:p>
            <w:pPr>
              <w:spacing w:before="40" w:after="40"/>
              <w:jc w:val="left"/>
            </w:pPr>
            <w:r/>
            <w:r>
              <w:rPr>
                <w:rFonts w:ascii="Times New Roman" w:hAnsi="Times New Roman"/>
                <w:b w:val="0"/>
                <w:i w:val="0"/>
                <w:sz w:val="16"/>
              </w:rPr>
              <w:t>1.38 acres (Title)</w:t>
            </w:r>
          </w:p>
        </w:tc>
        <w:tc>
          <w:tcPr>
            <w:tcW w:type="dxa" w:w="1728"/>
            <w:shd w:val="clear" w:color="auto" w:fill="F7F8FA"/>
          </w:tcPr>
          <w:p>
            <w:pPr>
              <w:spacing w:before="40" w:after="40"/>
              <w:jc w:val="left"/>
            </w:pPr>
            <w:r/>
            <w:r>
              <w:rPr>
                <w:rFonts w:ascii="Times New Roman" w:hAnsi="Times New Roman"/>
                <w:b w:val="0"/>
                <w:i w:val="0"/>
                <w:sz w:val="16"/>
              </w:rPr>
              <w:t>Phase I states 1.58 acres — does not tie</w:t>
            </w:r>
          </w:p>
        </w:tc>
      </w:tr>
      <w:tr>
        <w:trPr>
          <w:cantSplit w:val="true"/>
        </w:trPr>
        <w:tc>
          <w:tcPr>
            <w:tcW w:type="dxa" w:w="1944"/>
          </w:tcPr>
          <w:p>
            <w:pPr>
              <w:spacing w:before="40" w:after="40"/>
              <w:jc w:val="left"/>
            </w:pPr>
            <w:r/>
            <w:r>
              <w:rPr>
                <w:rFonts w:ascii="Times New Roman" w:hAnsi="Times New Roman"/>
                <w:b w:val="0"/>
                <w:i w:val="0"/>
                <w:sz w:val="16"/>
              </w:rPr>
              <w:t>Combined site</w:t>
            </w:r>
          </w:p>
        </w:tc>
        <w:tc>
          <w:tcPr>
            <w:tcW w:type="dxa" w:w="2520"/>
          </w:tcPr>
          <w:p>
            <w:pPr>
              <w:spacing w:before="40" w:after="40"/>
              <w:jc w:val="left"/>
            </w:pPr>
            <w:r/>
            <w:r>
              <w:rPr>
                <w:rFonts w:ascii="Times New Roman" w:hAnsi="Times New Roman"/>
                <w:b w:val="0"/>
                <w:i w:val="0"/>
                <w:sz w:val="16"/>
              </w:rPr>
              <w:t>151,288 sq. ft.</w:t>
            </w:r>
          </w:p>
        </w:tc>
        <w:tc>
          <w:tcPr>
            <w:tcW w:type="dxa" w:w="1368"/>
          </w:tcPr>
          <w:p>
            <w:pPr>
              <w:spacing w:before="40" w:after="40"/>
              <w:jc w:val="left"/>
            </w:pPr>
            <w:r/>
            <w:r>
              <w:rPr>
                <w:rFonts w:ascii="Times New Roman" w:hAnsi="Times New Roman"/>
                <w:b w:val="0"/>
                <w:i w:val="0"/>
                <w:sz w:val="16"/>
              </w:rPr>
              <w:t>3.473 acres</w:t>
            </w:r>
          </w:p>
        </w:tc>
        <w:tc>
          <w:tcPr>
            <w:tcW w:type="dxa" w:w="1800"/>
          </w:tcPr>
          <w:p>
            <w:pPr>
              <w:spacing w:before="40" w:after="40"/>
              <w:jc w:val="left"/>
            </w:pPr>
            <w:r/>
            <w:r>
              <w:rPr>
                <w:rFonts w:ascii="Times New Roman" w:hAnsi="Times New Roman"/>
                <w:b w:val="0"/>
                <w:i w:val="0"/>
                <w:sz w:val="16"/>
              </w:rPr>
              <w:t>3.47 acres (all documents)</w:t>
            </w:r>
          </w:p>
        </w:tc>
        <w:tc>
          <w:tcPr>
            <w:tcW w:type="dxa" w:w="1728"/>
          </w:tcPr>
          <w:p>
            <w:pPr>
              <w:spacing w:before="40" w:after="40"/>
              <w:jc w:val="left"/>
            </w:pPr>
            <w:r/>
            <w:r>
              <w:rPr>
                <w:rFonts w:ascii="Times New Roman" w:hAnsi="Times New Roman"/>
                <w:b w:val="0"/>
                <w:i w:val="0"/>
                <w:sz w:val="16"/>
              </w:rPr>
              <w:t>Ties</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Foster Street frontage</w:t>
            </w:r>
          </w:p>
        </w:tc>
        <w:tc>
          <w:tcPr>
            <w:tcW w:type="dxa" w:w="2520"/>
            <w:shd w:val="clear" w:color="auto" w:fill="F7F8FA"/>
          </w:tcPr>
          <w:p>
            <w:pPr>
              <w:spacing w:before="40" w:after="40"/>
              <w:jc w:val="left"/>
            </w:pPr>
            <w:r/>
            <w:r>
              <w:rPr>
                <w:rFonts w:ascii="Times New Roman" w:hAnsi="Times New Roman"/>
                <w:b w:val="0"/>
                <w:i w:val="0"/>
                <w:sz w:val="16"/>
              </w:rPr>
              <w:t>298.62 ft. + 201.88 ft. = 500.50 ft.</w:t>
            </w:r>
          </w:p>
        </w:tc>
        <w:tc>
          <w:tcPr>
            <w:tcW w:type="dxa" w:w="1368"/>
            <w:shd w:val="clear" w:color="auto" w:fill="F7F8FA"/>
          </w:tcPr>
          <w:p>
            <w:pPr>
              <w:spacing w:before="40" w:after="40"/>
              <w:jc w:val="left"/>
            </w:pPr>
            <w:r/>
            <w:r>
              <w:rPr>
                <w:rFonts w:ascii="Times New Roman" w:hAnsi="Times New Roman"/>
                <w:b w:val="0"/>
                <w:i w:val="0"/>
                <w:sz w:val="16"/>
              </w:rPr>
              <w:t>—</w:t>
            </w:r>
          </w:p>
        </w:tc>
        <w:tc>
          <w:tcPr>
            <w:tcW w:type="dxa" w:w="1800"/>
            <w:shd w:val="clear" w:color="auto" w:fill="F7F8FA"/>
          </w:tcPr>
          <w:p>
            <w:pPr>
              <w:spacing w:before="40" w:after="40"/>
              <w:jc w:val="left"/>
            </w:pPr>
            <w:r/>
            <w:r>
              <w:rPr>
                <w:rFonts w:ascii="Times New Roman" w:hAnsi="Times New Roman"/>
                <w:b w:val="0"/>
                <w:i w:val="0"/>
                <w:sz w:val="16"/>
              </w:rPr>
              <w:t>420 ft. (Appraisal)</w:t>
            </w:r>
          </w:p>
        </w:tc>
        <w:tc>
          <w:tcPr>
            <w:tcW w:type="dxa" w:w="1728"/>
            <w:shd w:val="clear" w:color="auto" w:fill="F7F8FA"/>
          </w:tcPr>
          <w:p>
            <w:pPr>
              <w:spacing w:before="40" w:after="40"/>
              <w:jc w:val="left"/>
            </w:pPr>
            <w:r/>
            <w:r>
              <w:rPr>
                <w:rFonts w:ascii="Times New Roman" w:hAnsi="Times New Roman"/>
                <w:b w:val="0"/>
                <w:i w:val="0"/>
                <w:sz w:val="16"/>
              </w:rPr>
              <w:t>Appraisal understated by ~80 ft.</w:t>
            </w:r>
          </w:p>
        </w:tc>
      </w:tr>
      <w:tr>
        <w:trPr>
          <w:cantSplit w:val="true"/>
        </w:trPr>
        <w:tc>
          <w:tcPr>
            <w:tcW w:type="dxa" w:w="1944"/>
          </w:tcPr>
          <w:p>
            <w:pPr>
              <w:spacing w:before="40" w:after="40"/>
              <w:jc w:val="left"/>
            </w:pPr>
            <w:r/>
            <w:r>
              <w:rPr>
                <w:rFonts w:ascii="Times New Roman" w:hAnsi="Times New Roman"/>
                <w:b w:val="0"/>
                <w:i w:val="0"/>
                <w:sz w:val="16"/>
              </w:rPr>
              <w:t>Affected Area</w:t>
            </w:r>
          </w:p>
        </w:tc>
        <w:tc>
          <w:tcPr>
            <w:tcW w:type="dxa" w:w="2520"/>
          </w:tcPr>
          <w:p>
            <w:pPr>
              <w:spacing w:before="40" w:after="40"/>
              <w:jc w:val="left"/>
            </w:pPr>
            <w:r/>
            <w:r>
              <w:rPr>
                <w:rFonts w:ascii="Times New Roman" w:hAnsi="Times New Roman"/>
                <w:b w:val="0"/>
                <w:i w:val="0"/>
                <w:sz w:val="16"/>
              </w:rPr>
              <w:t>100 ft. × 165 ft. = 16,500 sq. ft. = 0.379 acres</w:t>
            </w:r>
          </w:p>
        </w:tc>
        <w:tc>
          <w:tcPr>
            <w:tcW w:type="dxa" w:w="1368"/>
          </w:tcPr>
          <w:p>
            <w:pPr>
              <w:spacing w:before="40" w:after="40"/>
              <w:jc w:val="left"/>
            </w:pPr>
            <w:r/>
            <w:r>
              <w:rPr>
                <w:rFonts w:ascii="Times New Roman" w:hAnsi="Times New Roman"/>
                <w:b w:val="0"/>
                <w:i w:val="0"/>
                <w:sz w:val="16"/>
              </w:rPr>
              <w:t>0.38 acres</w:t>
            </w:r>
          </w:p>
        </w:tc>
        <w:tc>
          <w:tcPr>
            <w:tcW w:type="dxa" w:w="1800"/>
          </w:tcPr>
          <w:p>
            <w:pPr>
              <w:spacing w:before="40" w:after="40"/>
              <w:jc w:val="left"/>
            </w:pPr>
            <w:r/>
            <w:r>
              <w:rPr>
                <w:rFonts w:ascii="Times New Roman" w:hAnsi="Times New Roman"/>
                <w:b w:val="0"/>
                <w:i w:val="0"/>
                <w:sz w:val="16"/>
              </w:rPr>
              <w:t>0.38 acres (NFA)</w:t>
            </w:r>
          </w:p>
        </w:tc>
        <w:tc>
          <w:tcPr>
            <w:tcW w:type="dxa" w:w="1728"/>
          </w:tcPr>
          <w:p>
            <w:pPr>
              <w:spacing w:before="40" w:after="40"/>
              <w:jc w:val="left"/>
            </w:pPr>
            <w:r/>
            <w:r>
              <w:rPr>
                <w:rFonts w:ascii="Times New Roman" w:hAnsi="Times New Roman"/>
                <w:b w:val="0"/>
                <w:i w:val="0"/>
                <w:sz w:val="16"/>
              </w:rPr>
              <w:t>Ties; = 10.9% of the site</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Construction Period</w:t>
            </w:r>
          </w:p>
        </w:tc>
        <w:tc>
          <w:tcPr>
            <w:tcW w:type="dxa" w:w="2520"/>
            <w:shd w:val="clear" w:color="auto" w:fill="F7F8FA"/>
          </w:tcPr>
          <w:p>
            <w:pPr>
              <w:spacing w:before="40" w:after="40"/>
              <w:jc w:val="left"/>
            </w:pPr>
            <w:r/>
            <w:r>
              <w:rPr>
                <w:rFonts w:ascii="Times New Roman" w:hAnsi="Times New Roman"/>
                <w:b w:val="0"/>
                <w:i w:val="0"/>
                <w:sz w:val="16"/>
              </w:rPr>
              <w:t>February 28, 2025 + 30 months</w:t>
            </w:r>
          </w:p>
        </w:tc>
        <w:tc>
          <w:tcPr>
            <w:tcW w:type="dxa" w:w="1368"/>
            <w:shd w:val="clear" w:color="auto" w:fill="F7F8FA"/>
          </w:tcPr>
          <w:p>
            <w:pPr>
              <w:spacing w:before="40" w:after="40"/>
              <w:jc w:val="left"/>
            </w:pPr>
            <w:r/>
            <w:r>
              <w:rPr>
                <w:rFonts w:ascii="Times New Roman" w:hAnsi="Times New Roman"/>
                <w:b w:val="0"/>
                <w:i w:val="0"/>
                <w:sz w:val="16"/>
              </w:rPr>
              <w:t>August 28, 2027</w:t>
            </w:r>
          </w:p>
        </w:tc>
        <w:tc>
          <w:tcPr>
            <w:tcW w:type="dxa" w:w="1800"/>
            <w:shd w:val="clear" w:color="auto" w:fill="F7F8FA"/>
          </w:tcPr>
          <w:p>
            <w:pPr>
              <w:spacing w:before="40" w:after="40"/>
              <w:jc w:val="left"/>
            </w:pPr>
            <w:r/>
            <w:r>
              <w:rPr>
                <w:rFonts w:ascii="Times New Roman" w:hAnsi="Times New Roman"/>
                <w:b w:val="0"/>
                <w:i w:val="0"/>
                <w:sz w:val="16"/>
              </w:rPr>
              <w:t>August 28, 2027</w:t>
            </w:r>
          </w:p>
        </w:tc>
        <w:tc>
          <w:tcPr>
            <w:tcW w:type="dxa" w:w="1728"/>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1944"/>
          </w:tcPr>
          <w:p>
            <w:pPr>
              <w:spacing w:before="40" w:after="40"/>
              <w:jc w:val="left"/>
            </w:pPr>
            <w:r/>
            <w:r>
              <w:rPr>
                <w:rFonts w:ascii="Times New Roman" w:hAnsi="Times New Roman"/>
                <w:b w:val="0"/>
                <w:i w:val="0"/>
                <w:sz w:val="16"/>
              </w:rPr>
              <w:t>Mini-Perm Period</w:t>
            </w:r>
          </w:p>
        </w:tc>
        <w:tc>
          <w:tcPr>
            <w:tcW w:type="dxa" w:w="2520"/>
          </w:tcPr>
          <w:p>
            <w:pPr>
              <w:spacing w:before="40" w:after="40"/>
              <w:jc w:val="left"/>
            </w:pPr>
            <w:r/>
            <w:r>
              <w:rPr>
                <w:rFonts w:ascii="Times New Roman" w:hAnsi="Times New Roman"/>
                <w:b w:val="0"/>
                <w:i w:val="0"/>
                <w:sz w:val="16"/>
              </w:rPr>
              <w:t>August 28, 2027 + 12 months</w:t>
            </w:r>
          </w:p>
        </w:tc>
        <w:tc>
          <w:tcPr>
            <w:tcW w:type="dxa" w:w="1368"/>
          </w:tcPr>
          <w:p>
            <w:pPr>
              <w:spacing w:before="40" w:after="40"/>
              <w:jc w:val="left"/>
            </w:pPr>
            <w:r/>
            <w:r>
              <w:rPr>
                <w:rFonts w:ascii="Times New Roman" w:hAnsi="Times New Roman"/>
                <w:b w:val="0"/>
                <w:i w:val="0"/>
                <w:sz w:val="16"/>
              </w:rPr>
              <w:t>August 28, 2028</w:t>
            </w:r>
          </w:p>
        </w:tc>
        <w:tc>
          <w:tcPr>
            <w:tcW w:type="dxa" w:w="1800"/>
          </w:tcPr>
          <w:p>
            <w:pPr>
              <w:spacing w:before="40" w:after="40"/>
              <w:jc w:val="left"/>
            </w:pPr>
            <w:r/>
            <w:r>
              <w:rPr>
                <w:rFonts w:ascii="Times New Roman" w:hAnsi="Times New Roman"/>
                <w:b w:val="0"/>
                <w:i w:val="0"/>
                <w:sz w:val="16"/>
              </w:rPr>
              <w:t>August 28, 2028</w:t>
            </w:r>
          </w:p>
        </w:tc>
        <w:tc>
          <w:tcPr>
            <w:tcW w:type="dxa" w:w="1728"/>
          </w:tcPr>
          <w:p>
            <w:pPr>
              <w:spacing w:before="40" w:after="40"/>
              <w:jc w:val="left"/>
            </w:pPr>
            <w:r/>
            <w:r>
              <w:rPr>
                <w:rFonts w:ascii="Times New Roman" w:hAnsi="Times New Roman"/>
                <w:b w:val="0"/>
                <w:i w:val="0"/>
                <w:sz w:val="16"/>
              </w:rPr>
              <w:t>Ties</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Extension</w:t>
            </w:r>
          </w:p>
        </w:tc>
        <w:tc>
          <w:tcPr>
            <w:tcW w:type="dxa" w:w="2520"/>
            <w:shd w:val="clear" w:color="auto" w:fill="F7F8FA"/>
          </w:tcPr>
          <w:p>
            <w:pPr>
              <w:spacing w:before="40" w:after="40"/>
              <w:jc w:val="left"/>
            </w:pPr>
            <w:r/>
            <w:r>
              <w:rPr>
                <w:rFonts w:ascii="Times New Roman" w:hAnsi="Times New Roman"/>
                <w:b w:val="0"/>
                <w:i w:val="0"/>
                <w:sz w:val="16"/>
              </w:rPr>
              <w:t>August 28, 2028 + 6 months</w:t>
            </w:r>
          </w:p>
        </w:tc>
        <w:tc>
          <w:tcPr>
            <w:tcW w:type="dxa" w:w="1368"/>
            <w:shd w:val="clear" w:color="auto" w:fill="F7F8FA"/>
          </w:tcPr>
          <w:p>
            <w:pPr>
              <w:spacing w:before="40" w:after="40"/>
              <w:jc w:val="left"/>
            </w:pPr>
            <w:r/>
            <w:r>
              <w:rPr>
                <w:rFonts w:ascii="Times New Roman" w:hAnsi="Times New Roman"/>
                <w:b w:val="0"/>
                <w:i w:val="0"/>
                <w:sz w:val="16"/>
              </w:rPr>
              <w:t>February 28, 2029</w:t>
            </w:r>
          </w:p>
        </w:tc>
        <w:tc>
          <w:tcPr>
            <w:tcW w:type="dxa" w:w="1800"/>
            <w:shd w:val="clear" w:color="auto" w:fill="F7F8FA"/>
          </w:tcPr>
          <w:p>
            <w:pPr>
              <w:spacing w:before="40" w:after="40"/>
              <w:jc w:val="left"/>
            </w:pPr>
            <w:r/>
            <w:r>
              <w:rPr>
                <w:rFonts w:ascii="Times New Roman" w:hAnsi="Times New Roman"/>
                <w:b w:val="0"/>
                <w:i w:val="0"/>
                <w:sz w:val="16"/>
              </w:rPr>
              <w:t>February 28, 2029</w:t>
            </w:r>
          </w:p>
        </w:tc>
        <w:tc>
          <w:tcPr>
            <w:tcW w:type="dxa" w:w="1728"/>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1944"/>
          </w:tcPr>
          <w:p>
            <w:pPr>
              <w:spacing w:before="40" w:after="40"/>
              <w:jc w:val="left"/>
            </w:pPr>
            <w:r/>
            <w:r>
              <w:rPr>
                <w:rFonts w:ascii="Times New Roman" w:hAnsi="Times New Roman"/>
                <w:b w:val="0"/>
                <w:i w:val="0"/>
                <w:sz w:val="16"/>
              </w:rPr>
              <w:t>Substantial completion vs. maturity</w:t>
            </w:r>
          </w:p>
        </w:tc>
        <w:tc>
          <w:tcPr>
            <w:tcW w:type="dxa" w:w="2520"/>
          </w:tcPr>
          <w:p>
            <w:pPr>
              <w:spacing w:before="40" w:after="40"/>
              <w:jc w:val="left"/>
            </w:pPr>
            <w:r/>
            <w:r>
              <w:rPr>
                <w:rFonts w:ascii="Times New Roman" w:hAnsi="Times New Roman"/>
                <w:b w:val="0"/>
                <w:i w:val="0"/>
                <w:sz w:val="16"/>
              </w:rPr>
              <w:t>August 31, 2027 against August 28, 2027</w:t>
            </w:r>
          </w:p>
        </w:tc>
        <w:tc>
          <w:tcPr>
            <w:tcW w:type="dxa" w:w="1368"/>
          </w:tcPr>
          <w:p>
            <w:pPr>
              <w:spacing w:before="40" w:after="40"/>
              <w:jc w:val="left"/>
            </w:pPr>
            <w:r/>
            <w:r>
              <w:rPr>
                <w:rFonts w:ascii="Times New Roman" w:hAnsi="Times New Roman"/>
                <w:b w:val="0"/>
                <w:i w:val="0"/>
                <w:sz w:val="16"/>
              </w:rPr>
              <w:t>3 days after</w:t>
            </w:r>
          </w:p>
        </w:tc>
        <w:tc>
          <w:tcPr>
            <w:tcW w:type="dxa" w:w="1800"/>
          </w:tcPr>
          <w:p>
            <w:pPr>
              <w:spacing w:before="40" w:after="40"/>
              <w:jc w:val="left"/>
            </w:pPr>
            <w:r/>
            <w:r>
              <w:rPr>
                <w:rFonts w:ascii="Times New Roman" w:hAnsi="Times New Roman"/>
                <w:b w:val="0"/>
                <w:i w:val="0"/>
                <w:sz w:val="16"/>
              </w:rPr>
              <w:t>Both stated</w:t>
            </w:r>
          </w:p>
        </w:tc>
        <w:tc>
          <w:tcPr>
            <w:tcW w:type="dxa" w:w="1728"/>
          </w:tcPr>
          <w:p>
            <w:pPr>
              <w:spacing w:before="40" w:after="40"/>
              <w:jc w:val="left"/>
            </w:pPr>
            <w:r/>
            <w:r>
              <w:rPr>
                <w:rFonts w:ascii="Times New Roman" w:hAnsi="Times New Roman"/>
                <w:b w:val="0"/>
                <w:i w:val="0"/>
                <w:sz w:val="16"/>
              </w:rPr>
              <w:t>Project completion post-dates the Construction Maturity Date</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Stabilization</w:t>
            </w:r>
          </w:p>
        </w:tc>
        <w:tc>
          <w:tcPr>
            <w:tcW w:type="dxa" w:w="2520"/>
            <w:shd w:val="clear" w:color="auto" w:fill="F7F8FA"/>
          </w:tcPr>
          <w:p>
            <w:pPr>
              <w:spacing w:before="40" w:after="40"/>
              <w:jc w:val="left"/>
            </w:pPr>
            <w:r/>
            <w:r>
              <w:rPr>
                <w:rFonts w:ascii="Times New Roman" w:hAnsi="Times New Roman"/>
                <w:b w:val="0"/>
                <w:i w:val="0"/>
                <w:sz w:val="16"/>
              </w:rPr>
              <w:t>August 31, 2027 + 9 months</w:t>
            </w:r>
          </w:p>
        </w:tc>
        <w:tc>
          <w:tcPr>
            <w:tcW w:type="dxa" w:w="1368"/>
            <w:shd w:val="clear" w:color="auto" w:fill="F7F8FA"/>
          </w:tcPr>
          <w:p>
            <w:pPr>
              <w:spacing w:before="40" w:after="40"/>
              <w:jc w:val="left"/>
            </w:pPr>
            <w:r/>
            <w:r>
              <w:rPr>
                <w:rFonts w:ascii="Times New Roman" w:hAnsi="Times New Roman"/>
                <w:b w:val="0"/>
                <w:i w:val="0"/>
                <w:sz w:val="16"/>
              </w:rPr>
              <w:t>May 2028</w:t>
            </w:r>
          </w:p>
        </w:tc>
        <w:tc>
          <w:tcPr>
            <w:tcW w:type="dxa" w:w="1800"/>
            <w:shd w:val="clear" w:color="auto" w:fill="F7F8FA"/>
          </w:tcPr>
          <w:p>
            <w:pPr>
              <w:spacing w:before="40" w:after="40"/>
              <w:jc w:val="left"/>
            </w:pPr>
            <w:r/>
            <w:r>
              <w:rPr>
                <w:rFonts w:ascii="Times New Roman" w:hAnsi="Times New Roman"/>
                <w:b w:val="0"/>
                <w:i w:val="0"/>
                <w:sz w:val="16"/>
              </w:rPr>
              <w:t>May 2028</w:t>
            </w:r>
          </w:p>
        </w:tc>
        <w:tc>
          <w:tcPr>
            <w:tcW w:type="dxa" w:w="1728"/>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1944"/>
          </w:tcPr>
          <w:p>
            <w:pPr>
              <w:spacing w:before="40" w:after="40"/>
              <w:jc w:val="left"/>
            </w:pPr>
            <w:r/>
            <w:r>
              <w:rPr>
                <w:rFonts w:ascii="Times New Roman" w:hAnsi="Times New Roman"/>
                <w:b w:val="0"/>
                <w:i w:val="0"/>
                <w:sz w:val="16"/>
              </w:rPr>
              <w:t>Exclusivity period</w:t>
            </w:r>
          </w:p>
        </w:tc>
        <w:tc>
          <w:tcPr>
            <w:tcW w:type="dxa" w:w="2520"/>
          </w:tcPr>
          <w:p>
            <w:pPr>
              <w:spacing w:before="40" w:after="40"/>
              <w:jc w:val="left"/>
            </w:pPr>
            <w:r/>
            <w:r>
              <w:rPr>
                <w:rFonts w:ascii="Times New Roman" w:hAnsi="Times New Roman"/>
                <w:b w:val="0"/>
                <w:i w:val="0"/>
                <w:sz w:val="16"/>
              </w:rPr>
              <w:t>January 10, 2025 + 60 days</w:t>
            </w:r>
          </w:p>
        </w:tc>
        <w:tc>
          <w:tcPr>
            <w:tcW w:type="dxa" w:w="1368"/>
          </w:tcPr>
          <w:p>
            <w:pPr>
              <w:spacing w:before="40" w:after="40"/>
              <w:jc w:val="left"/>
            </w:pPr>
            <w:r/>
            <w:r>
              <w:rPr>
                <w:rFonts w:ascii="Times New Roman" w:hAnsi="Times New Roman"/>
                <w:b w:val="0"/>
                <w:i w:val="0"/>
                <w:sz w:val="16"/>
              </w:rPr>
              <w:t>March 11, 2025</w:t>
            </w:r>
          </w:p>
        </w:tc>
        <w:tc>
          <w:tcPr>
            <w:tcW w:type="dxa" w:w="1800"/>
          </w:tcPr>
          <w:p>
            <w:pPr>
              <w:spacing w:before="40" w:after="40"/>
              <w:jc w:val="left"/>
            </w:pPr>
            <w:r/>
            <w:r>
              <w:rPr>
                <w:rFonts w:ascii="Times New Roman" w:hAnsi="Times New Roman"/>
                <w:b w:val="0"/>
                <w:i w:val="0"/>
                <w:sz w:val="16"/>
              </w:rPr>
              <w:t>March 11, 2025</w:t>
            </w:r>
          </w:p>
        </w:tc>
        <w:tc>
          <w:tcPr>
            <w:tcW w:type="dxa" w:w="1728"/>
          </w:tcPr>
          <w:p>
            <w:pPr>
              <w:spacing w:before="40" w:after="40"/>
              <w:jc w:val="left"/>
            </w:pPr>
            <w:r/>
            <w:r>
              <w:rPr>
                <w:rFonts w:ascii="Times New Roman" w:hAnsi="Times New Roman"/>
                <w:b w:val="0"/>
                <w:i w:val="0"/>
                <w:sz w:val="16"/>
              </w:rPr>
              <w:t>Ties</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NFA deed notice deadline</w:t>
            </w:r>
          </w:p>
        </w:tc>
        <w:tc>
          <w:tcPr>
            <w:tcW w:type="dxa" w:w="2520"/>
            <w:shd w:val="clear" w:color="auto" w:fill="F7F8FA"/>
          </w:tcPr>
          <w:p>
            <w:pPr>
              <w:spacing w:before="40" w:after="40"/>
              <w:jc w:val="left"/>
            </w:pPr>
            <w:r/>
            <w:r>
              <w:rPr>
                <w:rFonts w:ascii="Times New Roman" w:hAnsi="Times New Roman"/>
                <w:b w:val="0"/>
                <w:i w:val="0"/>
                <w:sz w:val="16"/>
              </w:rPr>
              <w:t>September 30, 2024 + 60 days</w:t>
            </w:r>
          </w:p>
        </w:tc>
        <w:tc>
          <w:tcPr>
            <w:tcW w:type="dxa" w:w="1368"/>
            <w:shd w:val="clear" w:color="auto" w:fill="F7F8FA"/>
          </w:tcPr>
          <w:p>
            <w:pPr>
              <w:spacing w:before="40" w:after="40"/>
              <w:jc w:val="left"/>
            </w:pPr>
            <w:r/>
            <w:r>
              <w:rPr>
                <w:rFonts w:ascii="Times New Roman" w:hAnsi="Times New Roman"/>
                <w:b w:val="0"/>
                <w:i w:val="0"/>
                <w:sz w:val="16"/>
              </w:rPr>
              <w:t>November 29, 2024</w:t>
            </w:r>
          </w:p>
        </w:tc>
        <w:tc>
          <w:tcPr>
            <w:tcW w:type="dxa" w:w="1800"/>
            <w:shd w:val="clear" w:color="auto" w:fill="F7F8FA"/>
          </w:tcPr>
          <w:p>
            <w:pPr>
              <w:spacing w:before="40" w:after="40"/>
              <w:jc w:val="left"/>
            </w:pPr>
            <w:r/>
            <w:r>
              <w:rPr>
                <w:rFonts w:ascii="Times New Roman" w:hAnsi="Times New Roman"/>
                <w:b w:val="0"/>
                <w:i w:val="0"/>
                <w:sz w:val="16"/>
              </w:rPr>
              <w:t>November 29, 2024</w:t>
            </w:r>
          </w:p>
        </w:tc>
        <w:tc>
          <w:tcPr>
            <w:tcW w:type="dxa" w:w="1728"/>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1944"/>
          </w:tcPr>
          <w:p>
            <w:pPr>
              <w:spacing w:before="40" w:after="40"/>
              <w:jc w:val="left"/>
            </w:pPr>
            <w:r/>
            <w:r>
              <w:rPr>
                <w:rFonts w:ascii="Times New Roman" w:hAnsi="Times New Roman"/>
                <w:b w:val="0"/>
                <w:i w:val="0"/>
                <w:sz w:val="16"/>
              </w:rPr>
              <w:t>Phase I AAI shelf life</w:t>
            </w:r>
          </w:p>
        </w:tc>
        <w:tc>
          <w:tcPr>
            <w:tcW w:type="dxa" w:w="2520"/>
          </w:tcPr>
          <w:p>
            <w:pPr>
              <w:spacing w:before="40" w:after="40"/>
              <w:jc w:val="left"/>
            </w:pPr>
            <w:r/>
            <w:r>
              <w:rPr>
                <w:rFonts w:ascii="Times New Roman" w:hAnsi="Times New Roman"/>
                <w:b w:val="0"/>
                <w:i w:val="0"/>
                <w:sz w:val="16"/>
              </w:rPr>
              <w:t>October 28, 2024 + 180 days</w:t>
            </w:r>
          </w:p>
        </w:tc>
        <w:tc>
          <w:tcPr>
            <w:tcW w:type="dxa" w:w="1368"/>
          </w:tcPr>
          <w:p>
            <w:pPr>
              <w:spacing w:before="40" w:after="40"/>
              <w:jc w:val="left"/>
            </w:pPr>
            <w:r/>
            <w:r>
              <w:rPr>
                <w:rFonts w:ascii="Times New Roman" w:hAnsi="Times New Roman"/>
                <w:b w:val="0"/>
                <w:i w:val="0"/>
                <w:sz w:val="16"/>
              </w:rPr>
              <w:t>April 26, 2025</w:t>
            </w:r>
          </w:p>
        </w:tc>
        <w:tc>
          <w:tcPr>
            <w:tcW w:type="dxa" w:w="1800"/>
          </w:tcPr>
          <w:p>
            <w:pPr>
              <w:spacing w:before="40" w:after="40"/>
              <w:jc w:val="left"/>
            </w:pPr>
            <w:r/>
            <w:r>
              <w:rPr>
                <w:rFonts w:ascii="Times New Roman" w:hAnsi="Times New Roman"/>
                <w:b w:val="0"/>
                <w:i w:val="0"/>
                <w:sz w:val="16"/>
              </w:rPr>
              <w:t>April 26, 2025</w:t>
            </w:r>
          </w:p>
        </w:tc>
        <w:tc>
          <w:tcPr>
            <w:tcW w:type="dxa" w:w="1728"/>
          </w:tcPr>
          <w:p>
            <w:pPr>
              <w:spacing w:before="40" w:after="40"/>
              <w:jc w:val="left"/>
            </w:pPr>
            <w:r/>
            <w:r>
              <w:rPr>
                <w:rFonts w:ascii="Times New Roman" w:hAnsi="Times New Roman"/>
                <w:b w:val="0"/>
                <w:i w:val="0"/>
                <w:sz w:val="16"/>
              </w:rPr>
              <w:t>Closes the window before a delayed closing</w:t>
            </w:r>
          </w:p>
        </w:tc>
      </w:tr>
      <w:tr>
        <w:trPr>
          <w:cantSplit w:val="true"/>
        </w:trPr>
        <w:tc>
          <w:tcPr>
            <w:tcW w:type="dxa" w:w="1944"/>
            <w:shd w:val="clear" w:color="auto" w:fill="F7F8FA"/>
          </w:tcPr>
          <w:p>
            <w:pPr>
              <w:spacing w:before="40" w:after="40"/>
              <w:jc w:val="left"/>
            </w:pPr>
            <w:r/>
            <w:r>
              <w:rPr>
                <w:rFonts w:ascii="Times New Roman" w:hAnsi="Times New Roman"/>
                <w:b w:val="0"/>
                <w:i w:val="0"/>
                <w:sz w:val="16"/>
              </w:rPr>
              <w:t>Title Commitment expiration</w:t>
            </w:r>
          </w:p>
        </w:tc>
        <w:tc>
          <w:tcPr>
            <w:tcW w:type="dxa" w:w="2520"/>
            <w:shd w:val="clear" w:color="auto" w:fill="F7F8FA"/>
          </w:tcPr>
          <w:p>
            <w:pPr>
              <w:spacing w:before="40" w:after="40"/>
              <w:jc w:val="left"/>
            </w:pPr>
            <w:r/>
            <w:r>
              <w:rPr>
                <w:rFonts w:ascii="Times New Roman" w:hAnsi="Times New Roman"/>
                <w:b w:val="0"/>
                <w:i w:val="0"/>
                <w:sz w:val="16"/>
              </w:rPr>
              <w:t>December 5, 2024 + 6 months</w:t>
            </w:r>
          </w:p>
        </w:tc>
        <w:tc>
          <w:tcPr>
            <w:tcW w:type="dxa" w:w="1368"/>
            <w:shd w:val="clear" w:color="auto" w:fill="F7F8FA"/>
          </w:tcPr>
          <w:p>
            <w:pPr>
              <w:spacing w:before="40" w:after="40"/>
              <w:jc w:val="left"/>
            </w:pPr>
            <w:r/>
            <w:r>
              <w:rPr>
                <w:rFonts w:ascii="Times New Roman" w:hAnsi="Times New Roman"/>
                <w:b w:val="0"/>
                <w:i w:val="0"/>
                <w:sz w:val="16"/>
              </w:rPr>
              <w:t>June 5, 2025</w:t>
            </w:r>
          </w:p>
        </w:tc>
        <w:tc>
          <w:tcPr>
            <w:tcW w:type="dxa" w:w="1800"/>
            <w:shd w:val="clear" w:color="auto" w:fill="F7F8FA"/>
          </w:tcPr>
          <w:p>
            <w:pPr>
              <w:spacing w:before="40" w:after="40"/>
              <w:jc w:val="left"/>
            </w:pPr>
            <w:r/>
            <w:r>
              <w:rPr>
                <w:rFonts w:ascii="Times New Roman" w:hAnsi="Times New Roman"/>
                <w:b w:val="0"/>
                <w:i w:val="0"/>
                <w:sz w:val="16"/>
              </w:rPr>
              <w:t>June 5, 2025</w:t>
            </w:r>
          </w:p>
        </w:tc>
        <w:tc>
          <w:tcPr>
            <w:tcW w:type="dxa" w:w="1728"/>
            <w:shd w:val="clear" w:color="auto" w:fill="F7F8FA"/>
          </w:tcPr>
          <w:p>
            <w:pPr>
              <w:spacing w:before="40" w:after="40"/>
              <w:jc w:val="left"/>
            </w:pPr>
            <w:r/>
            <w:r>
              <w:rPr>
                <w:rFonts w:ascii="Times New Roman" w:hAnsi="Times New Roman"/>
                <w:b w:val="0"/>
                <w:i w:val="0"/>
                <w:sz w:val="16"/>
              </w:rPr>
              <w:t>Ties</w:t>
            </w:r>
          </w:p>
        </w:tc>
      </w:tr>
      <w:tr>
        <w:trPr>
          <w:cantSplit w:val="true"/>
        </w:trPr>
        <w:tc>
          <w:tcPr>
            <w:tcW w:type="dxa" w:w="1944"/>
          </w:tcPr>
          <w:p>
            <w:pPr>
              <w:spacing w:before="40" w:after="40"/>
              <w:jc w:val="left"/>
            </w:pPr>
            <w:r/>
            <w:r>
              <w:rPr>
                <w:rFonts w:ascii="Times New Roman" w:hAnsi="Times New Roman"/>
                <w:b w:val="0"/>
                <w:i w:val="0"/>
                <w:sz w:val="16"/>
              </w:rPr>
              <w:t>Land acquisition date</w:t>
            </w:r>
          </w:p>
        </w:tc>
        <w:tc>
          <w:tcPr>
            <w:tcW w:type="dxa" w:w="2520"/>
          </w:tcPr>
          <w:p>
            <w:pPr>
              <w:spacing w:before="40" w:after="40"/>
              <w:jc w:val="left"/>
            </w:pPr>
            <w:r/>
            <w:r>
              <w:rPr>
                <w:rFonts w:ascii="Times New Roman" w:hAnsi="Times New Roman"/>
                <w:b w:val="0"/>
                <w:i w:val="0"/>
                <w:sz w:val="16"/>
              </w:rPr>
              <w:t>—</w:t>
            </w:r>
          </w:p>
        </w:tc>
        <w:tc>
          <w:tcPr>
            <w:tcW w:type="dxa" w:w="1368"/>
          </w:tcPr>
          <w:p>
            <w:pPr>
              <w:spacing w:before="40" w:after="40"/>
              <w:jc w:val="left"/>
            </w:pPr>
            <w:r/>
            <w:r>
              <w:rPr>
                <w:rFonts w:ascii="Times New Roman" w:hAnsi="Times New Roman"/>
                <w:b w:val="0"/>
                <w:i w:val="0"/>
                <w:sz w:val="16"/>
              </w:rPr>
              <w:t>—</w:t>
            </w:r>
          </w:p>
        </w:tc>
        <w:tc>
          <w:tcPr>
            <w:tcW w:type="dxa" w:w="1800"/>
          </w:tcPr>
          <w:p>
            <w:pPr>
              <w:spacing w:before="40" w:after="40"/>
              <w:jc w:val="left"/>
            </w:pPr>
            <w:r/>
            <w:r>
              <w:rPr>
                <w:rFonts w:ascii="Times New Roman" w:hAnsi="Times New Roman"/>
                <w:b w:val="0"/>
                <w:i w:val="0"/>
                <w:sz w:val="16"/>
              </w:rPr>
              <w:t>Phase I: 2022; Title deed: June 12, 2023; Appraisal and Credit Memorandum: “early 2024”</w:t>
            </w:r>
          </w:p>
        </w:tc>
        <w:tc>
          <w:tcPr>
            <w:tcW w:type="dxa" w:w="1728"/>
          </w:tcPr>
          <w:p>
            <w:pPr>
              <w:spacing w:before="40" w:after="40"/>
              <w:jc w:val="left"/>
            </w:pPr>
            <w:r/>
            <w:r>
              <w:rPr>
                <w:rFonts w:ascii="Times New Roman" w:hAnsi="Times New Roman"/>
                <w:b w:val="0"/>
                <w:i w:val="0"/>
                <w:sz w:val="16"/>
              </w:rPr>
              <w:t>Three different dates — see Issue 1</w:t>
            </w:r>
          </w:p>
        </w:tc>
      </w:tr>
    </w:tbl>
    <w:p>
      <w:pPr>
        <w:spacing w:after="40"/>
      </w:pPr>
    </w:p>
    <w:p>
      <w:pPr>
        <w:pStyle w:val="Heading1"/>
        <w:spacing w:before="360"/>
      </w:pPr>
      <w:r>
        <w:rPr>
          <w:rFonts w:ascii="Times New Roman" w:hAnsi="Times New Roman"/>
          <w:b/>
          <w:sz w:val="24"/>
        </w:rPr>
        <w:t>VI.  SOURCE DOCUMENT INVENTORY AND SOURCE-TO-ISSUE LOG</w:t>
      </w:r>
    </w:p>
    <w:p>
      <w:r>
        <w:rPr>
          <w:rFonts w:ascii="Times New Roman" w:hAnsi="Times New Roman"/>
          <w:b w:val="0"/>
          <w:i w:val="0"/>
          <w:sz w:val="20"/>
        </w:rPr>
        <w:t>The following table records each document in the Record, the propositions we relied on and where they appear, and the reliability assessment that supports its use.</w:t>
      </w:r>
    </w:p>
    <w:tbl>
      <w:tblPr>
        <w:tblStyle w:val="TableGrid"/>
        <w:tblW w:type="auto" w:w="0"/>
        <w:jc w:val="center"/>
        <w:tblLayout w:type="fixed"/>
        <w:tblLook w:firstColumn="1" w:firstRow="1" w:lastColumn="0" w:lastRow="0" w:noHBand="0" w:noVBand="1" w:val="04A0"/>
      </w:tblPr>
      <w:tblGrid>
        <w:gridCol w:w="1584"/>
        <w:gridCol w:w="1008"/>
        <w:gridCol w:w="1296"/>
        <w:gridCol w:w="2736"/>
        <w:gridCol w:w="864"/>
        <w:gridCol w:w="1872"/>
      </w:tblGrid>
      <w:tr>
        <w:trPr>
          <w:tblHeader w:val="true"/>
        </w:trPr>
        <w:tc>
          <w:tcPr>
            <w:tcW w:type="dxa" w:w="1584"/>
            <w:shd w:val="clear" w:color="auto" w:fill="1F3355"/>
          </w:tcPr>
          <w:p>
            <w:pPr>
              <w:spacing w:before="60" w:after="60"/>
              <w:jc w:val="center"/>
            </w:pPr>
            <w:r/>
            <w:r>
              <w:rPr>
                <w:rFonts w:ascii="Times New Roman" w:hAnsi="Times New Roman"/>
                <w:b/>
                <w:color w:val="FFFFFF"/>
                <w:sz w:val="15"/>
              </w:rPr>
              <w:t>Document</w:t>
            </w:r>
          </w:p>
        </w:tc>
        <w:tc>
          <w:tcPr>
            <w:tcW w:type="dxa" w:w="1008"/>
            <w:shd w:val="clear" w:color="auto" w:fill="1F3355"/>
          </w:tcPr>
          <w:p>
            <w:pPr>
              <w:spacing w:before="60" w:after="60"/>
              <w:jc w:val="center"/>
            </w:pPr>
            <w:r/>
            <w:r>
              <w:rPr>
                <w:rFonts w:ascii="Times New Roman" w:hAnsi="Times New Roman"/>
                <w:b/>
                <w:color w:val="FFFFFF"/>
                <w:sz w:val="15"/>
              </w:rPr>
              <w:t>Date</w:t>
            </w:r>
          </w:p>
        </w:tc>
        <w:tc>
          <w:tcPr>
            <w:tcW w:type="dxa" w:w="1296"/>
            <w:shd w:val="clear" w:color="auto" w:fill="1F3355"/>
          </w:tcPr>
          <w:p>
            <w:pPr>
              <w:spacing w:before="60" w:after="60"/>
              <w:jc w:val="center"/>
            </w:pPr>
            <w:r/>
            <w:r>
              <w:rPr>
                <w:rFonts w:ascii="Times New Roman" w:hAnsi="Times New Roman"/>
                <w:b/>
                <w:color w:val="FFFFFF"/>
                <w:sz w:val="15"/>
              </w:rPr>
              <w:t>Author</w:t>
            </w:r>
          </w:p>
        </w:tc>
        <w:tc>
          <w:tcPr>
            <w:tcW w:type="dxa" w:w="2736"/>
            <w:shd w:val="clear" w:color="auto" w:fill="1F3355"/>
          </w:tcPr>
          <w:p>
            <w:pPr>
              <w:spacing w:before="60" w:after="60"/>
              <w:jc w:val="center"/>
            </w:pPr>
            <w:r/>
            <w:r>
              <w:rPr>
                <w:rFonts w:ascii="Times New Roman" w:hAnsi="Times New Roman"/>
                <w:b/>
                <w:color w:val="FFFFFF"/>
                <w:sz w:val="15"/>
              </w:rPr>
              <w:t>Propositions relied on</w:t>
            </w:r>
          </w:p>
        </w:tc>
        <w:tc>
          <w:tcPr>
            <w:tcW w:type="dxa" w:w="864"/>
            <w:shd w:val="clear" w:color="auto" w:fill="1F3355"/>
          </w:tcPr>
          <w:p>
            <w:pPr>
              <w:spacing w:before="60" w:after="60"/>
              <w:jc w:val="center"/>
            </w:pPr>
            <w:r/>
            <w:r>
              <w:rPr>
                <w:rFonts w:ascii="Times New Roman" w:hAnsi="Times New Roman"/>
                <w:b/>
                <w:color w:val="FFFFFF"/>
                <w:sz w:val="15"/>
              </w:rPr>
              <w:t>Issues</w:t>
            </w:r>
          </w:p>
        </w:tc>
        <w:tc>
          <w:tcPr>
            <w:tcW w:type="dxa" w:w="1872"/>
            <w:shd w:val="clear" w:color="auto" w:fill="1F3355"/>
          </w:tcPr>
          <w:p>
            <w:pPr>
              <w:spacing w:before="60" w:after="60"/>
              <w:jc w:val="center"/>
            </w:pPr>
            <w:r/>
            <w:r>
              <w:rPr>
                <w:rFonts w:ascii="Times New Roman" w:hAnsi="Times New Roman"/>
                <w:b/>
                <w:color w:val="FFFFFF"/>
                <w:sz w:val="15"/>
              </w:rPr>
              <w:t>Reliability assessment</w:t>
            </w:r>
          </w:p>
        </w:tc>
      </w:tr>
      <w:tr>
        <w:trPr>
          <w:cantSplit w:val="true"/>
        </w:trPr>
        <w:tc>
          <w:tcPr>
            <w:tcW w:type="dxa" w:w="1584"/>
          </w:tcPr>
          <w:p>
            <w:pPr>
              <w:spacing w:before="40" w:after="40"/>
              <w:jc w:val="left"/>
            </w:pPr>
            <w:r/>
            <w:r>
              <w:rPr>
                <w:rFonts w:ascii="Times New Roman" w:hAnsi="Times New Roman"/>
                <w:b w:val="0"/>
                <w:i w:val="0"/>
                <w:sz w:val="15"/>
              </w:rPr>
              <w:t>Executed Term Sheet</w:t>
            </w:r>
          </w:p>
        </w:tc>
        <w:tc>
          <w:tcPr>
            <w:tcW w:type="dxa" w:w="1008"/>
          </w:tcPr>
          <w:p>
            <w:pPr>
              <w:spacing w:before="40" w:after="40"/>
              <w:jc w:val="left"/>
            </w:pPr>
            <w:r/>
            <w:r>
              <w:rPr>
                <w:rFonts w:ascii="Times New Roman" w:hAnsi="Times New Roman"/>
                <w:b w:val="0"/>
                <w:i w:val="0"/>
                <w:sz w:val="15"/>
              </w:rPr>
              <w:t>Jan. 10, 2025</w:t>
            </w:r>
          </w:p>
        </w:tc>
        <w:tc>
          <w:tcPr>
            <w:tcW w:type="dxa" w:w="1296"/>
          </w:tcPr>
          <w:p>
            <w:pPr>
              <w:spacing w:before="40" w:after="40"/>
              <w:jc w:val="left"/>
            </w:pPr>
            <w:r/>
            <w:r>
              <w:rPr>
                <w:rFonts w:ascii="Times New Roman" w:hAnsi="Times New Roman"/>
                <w:b w:val="0"/>
                <w:i w:val="0"/>
                <w:sz w:val="15"/>
              </w:rPr>
              <w:t>Lender / Borrower</w:t>
            </w:r>
          </w:p>
        </w:tc>
        <w:tc>
          <w:tcPr>
            <w:tcW w:type="dxa" w:w="2736"/>
          </w:tcPr>
          <w:p>
            <w:pPr>
              <w:spacing w:before="40" w:after="40"/>
              <w:jc w:val="left"/>
            </w:pPr>
            <w:r/>
            <w:r>
              <w:rPr>
                <w:rFonts w:ascii="Times New Roman" w:hAnsi="Times New Roman"/>
                <w:b w:val="0"/>
                <w:i w:val="0"/>
                <w:sz w:val="15"/>
              </w:rPr>
              <w:t>Loan amount, rate, fees, term and maturity dates, valuation ratios, budget, guaranties, collateral, draw mechanics, interest reserve, conditions precedent, covenants, permitted exceptions, insurance</w:t>
            </w:r>
          </w:p>
        </w:tc>
        <w:tc>
          <w:tcPr>
            <w:tcW w:type="dxa" w:w="864"/>
          </w:tcPr>
          <w:p>
            <w:pPr>
              <w:spacing w:before="40" w:after="40"/>
              <w:jc w:val="left"/>
            </w:pPr>
            <w:r/>
            <w:r>
              <w:rPr>
                <w:rFonts w:ascii="Times New Roman" w:hAnsi="Times New Roman"/>
                <w:b w:val="0"/>
                <w:i w:val="0"/>
                <w:sz w:val="15"/>
              </w:rPr>
              <w:t>1–5, 12–20</w:t>
            </w:r>
          </w:p>
        </w:tc>
        <w:tc>
          <w:tcPr>
            <w:tcW w:type="dxa" w:w="1872"/>
          </w:tcPr>
          <w:p>
            <w:pPr>
              <w:spacing w:before="40" w:after="40"/>
              <w:jc w:val="left"/>
            </w:pPr>
            <w:r/>
            <w:r>
              <w:rPr>
                <w:rFonts w:ascii="Times New Roman" w:hAnsi="Times New Roman"/>
                <w:b w:val="0"/>
                <w:i w:val="0"/>
                <w:sz w:val="15"/>
              </w:rPr>
              <w:t>Binding only as to §§ 22–23. Contains internal inconsistencies at §§ 3.1/9.2, 15 and 18, and omits NFA conditions 2–4.</w:t>
            </w:r>
          </w:p>
        </w:tc>
      </w:tr>
      <w:tr>
        <w:trPr>
          <w:cantSplit w:val="true"/>
        </w:trPr>
        <w:tc>
          <w:tcPr>
            <w:tcW w:type="dxa" w:w="1584"/>
            <w:shd w:val="clear" w:color="auto" w:fill="F7F8FA"/>
          </w:tcPr>
          <w:p>
            <w:pPr>
              <w:spacing w:before="40" w:after="40"/>
              <w:jc w:val="left"/>
            </w:pPr>
            <w:r/>
            <w:r>
              <w:rPr>
                <w:rFonts w:ascii="Times New Roman" w:hAnsi="Times New Roman"/>
                <w:b w:val="0"/>
                <w:i w:val="0"/>
                <w:sz w:val="15"/>
              </w:rPr>
              <w:t>Credit Memorandum</w:t>
            </w:r>
          </w:p>
        </w:tc>
        <w:tc>
          <w:tcPr>
            <w:tcW w:type="dxa" w:w="1008"/>
            <w:shd w:val="clear" w:color="auto" w:fill="F7F8FA"/>
          </w:tcPr>
          <w:p>
            <w:pPr>
              <w:spacing w:before="40" w:after="40"/>
              <w:jc w:val="left"/>
            </w:pPr>
            <w:r/>
            <w:r>
              <w:rPr>
                <w:rFonts w:ascii="Times New Roman" w:hAnsi="Times New Roman"/>
                <w:b w:val="0"/>
                <w:i w:val="0"/>
                <w:sz w:val="15"/>
              </w:rPr>
              <w:t>Jan. 22, 2025</w:t>
            </w:r>
          </w:p>
        </w:tc>
        <w:tc>
          <w:tcPr>
            <w:tcW w:type="dxa" w:w="1296"/>
            <w:shd w:val="clear" w:color="auto" w:fill="F7F8FA"/>
          </w:tcPr>
          <w:p>
            <w:pPr>
              <w:spacing w:before="40" w:after="40"/>
              <w:jc w:val="left"/>
            </w:pPr>
            <w:r/>
            <w:r>
              <w:rPr>
                <w:rFonts w:ascii="Times New Roman" w:hAnsi="Times New Roman"/>
                <w:b w:val="0"/>
                <w:i w:val="0"/>
                <w:sz w:val="15"/>
              </w:rPr>
              <w:t>D. Forsythe / Senior Loan Committee</w:t>
            </w:r>
          </w:p>
        </w:tc>
        <w:tc>
          <w:tcPr>
            <w:tcW w:type="dxa" w:w="2736"/>
            <w:shd w:val="clear" w:color="auto" w:fill="F7F8FA"/>
          </w:tcPr>
          <w:p>
            <w:pPr>
              <w:spacing w:before="40" w:after="40"/>
              <w:jc w:val="left"/>
            </w:pPr>
            <w:r/>
            <w:r>
              <w:rPr>
                <w:rFonts w:ascii="Times New Roman" w:hAnsi="Times New Roman"/>
                <w:b w:val="0"/>
                <w:i w:val="0"/>
                <w:sz w:val="15"/>
              </w:rPr>
              <w:t>LTC analysis and equity-escrow condition, mezzanine terms (including PIK), risk factors, extension conditions, environmental and title risk analysis, HVCRE</w:t>
            </w:r>
          </w:p>
        </w:tc>
        <w:tc>
          <w:tcPr>
            <w:tcW w:type="dxa" w:w="864"/>
            <w:shd w:val="clear" w:color="auto" w:fill="F7F8FA"/>
          </w:tcPr>
          <w:p>
            <w:pPr>
              <w:spacing w:before="40" w:after="40"/>
              <w:jc w:val="left"/>
            </w:pPr>
            <w:r/>
            <w:r>
              <w:rPr>
                <w:rFonts w:ascii="Times New Roman" w:hAnsi="Times New Roman"/>
                <w:b w:val="0"/>
                <w:i w:val="0"/>
                <w:sz w:val="15"/>
              </w:rPr>
              <w:t>1–5, 8, 11–18</w:t>
            </w:r>
          </w:p>
        </w:tc>
        <w:tc>
          <w:tcPr>
            <w:tcW w:type="dxa" w:w="1872"/>
            <w:shd w:val="clear" w:color="auto" w:fill="F7F8FA"/>
          </w:tcPr>
          <w:p>
            <w:pPr>
              <w:spacing w:before="40" w:after="40"/>
              <w:jc w:val="left"/>
            </w:pPr>
            <w:r/>
            <w:r>
              <w:rPr>
                <w:rFonts w:ascii="Times New Roman" w:hAnsi="Times New Roman"/>
                <w:b w:val="0"/>
                <w:i w:val="0"/>
                <w:sz w:val="15"/>
              </w:rPr>
              <w:t>Approval document. Applies a 70% LTV policy maximum inconsistent with the Term Sheet; asserts 14 units above the Affected Area without support; states combined equity of $0 but also treats the land as contributed capital.</w:t>
            </w:r>
          </w:p>
        </w:tc>
      </w:tr>
      <w:tr>
        <w:trPr>
          <w:cantSplit w:val="true"/>
        </w:trPr>
        <w:tc>
          <w:tcPr>
            <w:tcW w:type="dxa" w:w="1584"/>
          </w:tcPr>
          <w:p>
            <w:pPr>
              <w:spacing w:before="40" w:after="40"/>
              <w:jc w:val="left"/>
            </w:pPr>
            <w:r/>
            <w:r>
              <w:rPr>
                <w:rFonts w:ascii="Times New Roman" w:hAnsi="Times New Roman"/>
                <w:b w:val="0"/>
                <w:i w:val="0"/>
                <w:sz w:val="15"/>
              </w:rPr>
              <w:t>Appraisal executive summary</w:t>
            </w:r>
          </w:p>
        </w:tc>
        <w:tc>
          <w:tcPr>
            <w:tcW w:type="dxa" w:w="1008"/>
          </w:tcPr>
          <w:p>
            <w:pPr>
              <w:spacing w:before="40" w:after="40"/>
              <w:jc w:val="left"/>
            </w:pPr>
            <w:r/>
            <w:r>
              <w:rPr>
                <w:rFonts w:ascii="Times New Roman" w:hAnsi="Times New Roman"/>
                <w:b w:val="0"/>
                <w:i w:val="0"/>
                <w:sz w:val="15"/>
              </w:rPr>
              <w:t>Nov. 15, 2024</w:t>
            </w:r>
          </w:p>
        </w:tc>
        <w:tc>
          <w:tcPr>
            <w:tcW w:type="dxa" w:w="1296"/>
          </w:tcPr>
          <w:p>
            <w:pPr>
              <w:spacing w:before="40" w:after="40"/>
              <w:jc w:val="left"/>
            </w:pPr>
            <w:r/>
            <w:r>
              <w:rPr>
                <w:rFonts w:ascii="Times New Roman" w:hAnsi="Times New Roman"/>
                <w:b w:val="0"/>
                <w:i w:val="0"/>
                <w:sz w:val="15"/>
              </w:rPr>
              <w:t>Ridgeline Appraisal (L. Haverford, MAI)</w:t>
            </w:r>
          </w:p>
        </w:tc>
        <w:tc>
          <w:tcPr>
            <w:tcW w:type="dxa" w:w="2736"/>
          </w:tcPr>
          <w:p>
            <w:pPr>
              <w:spacing w:before="40" w:after="40"/>
              <w:jc w:val="left"/>
            </w:pPr>
            <w:r/>
            <w:r>
              <w:rPr>
                <w:rFonts w:ascii="Times New Roman" w:hAnsi="Times New Roman"/>
                <w:b w:val="0"/>
                <w:i w:val="0"/>
                <w:sz w:val="15"/>
              </w:rPr>
              <w:t>As-is $8,900,000; as-completed $72,800,000; as-stabilized $76,200,000; NOI $4,876,800; cap rate 6.40%; rent comparables; lease-up assumptions; CC&amp;R and ARC statements; environmental assumptions</w:t>
            </w:r>
          </w:p>
        </w:tc>
        <w:tc>
          <w:tcPr>
            <w:tcW w:type="dxa" w:w="864"/>
          </w:tcPr>
          <w:p>
            <w:pPr>
              <w:spacing w:before="40" w:after="40"/>
              <w:jc w:val="left"/>
            </w:pPr>
            <w:r/>
            <w:r>
              <w:rPr>
                <w:rFonts w:ascii="Times New Roman" w:hAnsi="Times New Roman"/>
                <w:b w:val="0"/>
                <w:i w:val="0"/>
                <w:sz w:val="15"/>
              </w:rPr>
              <w:t>3, 4, 6–11, 13</w:t>
            </w:r>
          </w:p>
        </w:tc>
        <w:tc>
          <w:tcPr>
            <w:tcW w:type="dxa" w:w="1872"/>
          </w:tcPr>
          <w:p>
            <w:pPr>
              <w:spacing w:before="40" w:after="40"/>
              <w:jc w:val="left"/>
            </w:pPr>
            <w:r/>
            <w:r>
              <w:rPr>
                <w:rFonts w:ascii="Times New Roman" w:hAnsi="Times New Roman"/>
                <w:b w:val="0"/>
                <w:i w:val="0"/>
                <w:sz w:val="15"/>
              </w:rPr>
              <w:t>FIRREA-compliant summary of a 187-page report we have not seen. Contains the 320 cubic yard and 1950s UST statements that conflict with the Phase I, a 420-foot frontage figure that conflicts with the survey, and an ARC approval statement the Title Officer contradicts.</w:t>
            </w:r>
          </w:p>
        </w:tc>
      </w:tr>
      <w:tr>
        <w:trPr>
          <w:cantSplit w:val="true"/>
        </w:trPr>
        <w:tc>
          <w:tcPr>
            <w:tcW w:type="dxa" w:w="1584"/>
            <w:shd w:val="clear" w:color="auto" w:fill="F7F8FA"/>
          </w:tcPr>
          <w:p>
            <w:pPr>
              <w:spacing w:before="40" w:after="40"/>
              <w:jc w:val="left"/>
            </w:pPr>
            <w:r/>
            <w:r>
              <w:rPr>
                <w:rFonts w:ascii="Times New Roman" w:hAnsi="Times New Roman"/>
                <w:b w:val="0"/>
                <w:i w:val="0"/>
                <w:sz w:val="15"/>
              </w:rPr>
              <w:t>Preliminary Title Commitment NC-2024-88712</w:t>
            </w:r>
          </w:p>
        </w:tc>
        <w:tc>
          <w:tcPr>
            <w:tcW w:type="dxa" w:w="1008"/>
            <w:shd w:val="clear" w:color="auto" w:fill="F7F8FA"/>
          </w:tcPr>
          <w:p>
            <w:pPr>
              <w:spacing w:before="40" w:after="40"/>
              <w:jc w:val="left"/>
            </w:pPr>
            <w:r/>
            <w:r>
              <w:rPr>
                <w:rFonts w:ascii="Times New Roman" w:hAnsi="Times New Roman"/>
                <w:b w:val="0"/>
                <w:i w:val="0"/>
                <w:sz w:val="15"/>
              </w:rPr>
              <w:t>Eff. Dec. 5, 2024</w:t>
            </w:r>
          </w:p>
        </w:tc>
        <w:tc>
          <w:tcPr>
            <w:tcW w:type="dxa" w:w="1296"/>
            <w:shd w:val="clear" w:color="auto" w:fill="F7F8FA"/>
          </w:tcPr>
          <w:p>
            <w:pPr>
              <w:spacing w:before="40" w:after="40"/>
              <w:jc w:val="left"/>
            </w:pPr>
            <w:r/>
            <w:r>
              <w:rPr>
                <w:rFonts w:ascii="Times New Roman" w:hAnsi="Times New Roman"/>
                <w:b w:val="0"/>
                <w:i w:val="0"/>
                <w:sz w:val="15"/>
              </w:rPr>
              <w:t>Aldersgate Title &amp; Escrow (P. Langley)</w:t>
            </w:r>
          </w:p>
        </w:tc>
        <w:tc>
          <w:tcPr>
            <w:tcW w:type="dxa" w:w="2736"/>
            <w:shd w:val="clear" w:color="auto" w:fill="F7F8FA"/>
          </w:tcPr>
          <w:p>
            <w:pPr>
              <w:spacing w:before="40" w:after="40"/>
              <w:jc w:val="left"/>
            </w:pPr>
            <w:r/>
            <w:r>
              <w:rPr>
                <w:rFonts w:ascii="Times New Roman" w:hAnsi="Times New Roman"/>
                <w:b w:val="0"/>
                <w:i w:val="0"/>
                <w:sz w:val="15"/>
              </w:rPr>
              <w:t>Vesting deed, legal descriptions and acreages, zoning, requirements (payoff, survey, taxes), all exceptions, CC&amp;R terms and ARC requirements, mechanics' lien relation-back note, environmental exclusion</w:t>
            </w:r>
          </w:p>
        </w:tc>
        <w:tc>
          <w:tcPr>
            <w:tcW w:type="dxa" w:w="864"/>
            <w:shd w:val="clear" w:color="auto" w:fill="F7F8FA"/>
          </w:tcPr>
          <w:p>
            <w:pPr>
              <w:spacing w:before="40" w:after="40"/>
              <w:jc w:val="left"/>
            </w:pPr>
            <w:r/>
            <w:r>
              <w:rPr>
                <w:rFonts w:ascii="Times New Roman" w:hAnsi="Times New Roman"/>
                <w:b w:val="0"/>
                <w:i w:val="0"/>
                <w:sz w:val="15"/>
              </w:rPr>
              <w:t>2, 7–10, 17, 20, 21</w:t>
            </w:r>
          </w:p>
        </w:tc>
        <w:tc>
          <w:tcPr>
            <w:tcW w:type="dxa" w:w="1872"/>
            <w:shd w:val="clear" w:color="auto" w:fill="F7F8FA"/>
          </w:tcPr>
          <w:p>
            <w:pPr>
              <w:spacing w:before="40" w:after="40"/>
              <w:jc w:val="left"/>
            </w:pPr>
            <w:r/>
            <w:r>
              <w:rPr>
                <w:rFonts w:ascii="Times New Roman" w:hAnsi="Times New Roman"/>
                <w:b w:val="0"/>
                <w:i w:val="0"/>
                <w:sz w:val="15"/>
              </w:rPr>
              <w:t>Primary source for title and for the legal descriptions. Environmental matters expressly excluded (Note 5), so it cannot confirm or deny recording of the NFA deed notice.</w:t>
            </w:r>
          </w:p>
        </w:tc>
      </w:tr>
      <w:tr>
        <w:trPr>
          <w:cantSplit w:val="true"/>
        </w:trPr>
        <w:tc>
          <w:tcPr>
            <w:tcW w:type="dxa" w:w="1584"/>
          </w:tcPr>
          <w:p>
            <w:pPr>
              <w:spacing w:before="40" w:after="40"/>
              <w:jc w:val="left"/>
            </w:pPr>
            <w:r/>
            <w:r>
              <w:rPr>
                <w:rFonts w:ascii="Times New Roman" w:hAnsi="Times New Roman"/>
                <w:b w:val="0"/>
                <w:i w:val="0"/>
                <w:sz w:val="15"/>
              </w:rPr>
              <w:t>Phase I ESA (excerpted)</w:t>
            </w:r>
          </w:p>
        </w:tc>
        <w:tc>
          <w:tcPr>
            <w:tcW w:type="dxa" w:w="1008"/>
          </w:tcPr>
          <w:p>
            <w:pPr>
              <w:spacing w:before="40" w:after="40"/>
              <w:jc w:val="left"/>
            </w:pPr>
            <w:r/>
            <w:r>
              <w:rPr>
                <w:rFonts w:ascii="Times New Roman" w:hAnsi="Times New Roman"/>
                <w:b w:val="0"/>
                <w:i w:val="0"/>
                <w:sz w:val="15"/>
              </w:rPr>
              <w:t>Oct. 28, 2024</w:t>
            </w:r>
          </w:p>
        </w:tc>
        <w:tc>
          <w:tcPr>
            <w:tcW w:type="dxa" w:w="1296"/>
          </w:tcPr>
          <w:p>
            <w:pPr>
              <w:spacing w:before="40" w:after="40"/>
              <w:jc w:val="left"/>
            </w:pPr>
            <w:r/>
            <w:r>
              <w:rPr>
                <w:rFonts w:ascii="Times New Roman" w:hAnsi="Times New Roman"/>
                <w:b w:val="0"/>
                <w:i w:val="0"/>
                <w:sz w:val="15"/>
              </w:rPr>
              <w:t>Sentinel Environmental (J. Whitfield, P.E.)</w:t>
            </w:r>
          </w:p>
        </w:tc>
        <w:tc>
          <w:tcPr>
            <w:tcW w:type="dxa" w:w="2736"/>
          </w:tcPr>
          <w:p>
            <w:pPr>
              <w:spacing w:before="40" w:after="40"/>
              <w:jc w:val="left"/>
            </w:pPr>
            <w:r/>
            <w:r>
              <w:rPr>
                <w:rFonts w:ascii="Times New Roman" w:hAnsi="Times New Roman"/>
                <w:b w:val="0"/>
                <w:i w:val="0"/>
                <w:sz w:val="15"/>
              </w:rPr>
              <w:t>One REC; contamination concentrations against residential and non-residential standards; soil gas results; remediation scope and cost; the four NFA conditions and their deadlines; consultant's refusal to opine on the unit overlay; AAI shelf life</w:t>
            </w:r>
          </w:p>
        </w:tc>
        <w:tc>
          <w:tcPr>
            <w:tcW w:type="dxa" w:w="864"/>
          </w:tcPr>
          <w:p>
            <w:pPr>
              <w:spacing w:before="40" w:after="40"/>
              <w:jc w:val="left"/>
            </w:pPr>
            <w:r/>
            <w:r>
              <w:rPr>
                <w:rFonts w:ascii="Times New Roman" w:hAnsi="Times New Roman"/>
                <w:b w:val="0"/>
                <w:i w:val="0"/>
                <w:sz w:val="15"/>
              </w:rPr>
              <w:t>6, 7, 8, 10, 11</w:t>
            </w:r>
          </w:p>
        </w:tc>
        <w:tc>
          <w:tcPr>
            <w:tcW w:type="dxa" w:w="1872"/>
          </w:tcPr>
          <w:p>
            <w:pPr>
              <w:spacing w:before="40" w:after="40"/>
              <w:jc w:val="left"/>
            </w:pPr>
            <w:r/>
            <w:r>
              <w:rPr>
                <w:rFonts w:ascii="Times New Roman" w:hAnsi="Times New Roman"/>
                <w:b w:val="0"/>
                <w:i w:val="0"/>
                <w:sz w:val="15"/>
              </w:rPr>
              <w:t>ASTM E1527-21 compliant as of its date. Parcel acreages and orientation conflict with the survey; the consulting contract caps liability at the $12,500 fee.</w:t>
            </w:r>
          </w:p>
        </w:tc>
      </w:tr>
      <w:tr>
        <w:trPr>
          <w:cantSplit w:val="true"/>
        </w:trPr>
        <w:tc>
          <w:tcPr>
            <w:tcW w:type="dxa" w:w="1584"/>
            <w:shd w:val="clear" w:color="auto" w:fill="F7F8FA"/>
          </w:tcPr>
          <w:p>
            <w:pPr>
              <w:spacing w:before="40" w:after="40"/>
              <w:jc w:val="left"/>
            </w:pPr>
            <w:r/>
            <w:r>
              <w:rPr>
                <w:rFonts w:ascii="Times New Roman" w:hAnsi="Times New Roman"/>
                <w:b w:val="0"/>
                <w:i w:val="0"/>
                <w:sz w:val="15"/>
              </w:rPr>
              <w:t>Borrower organizational materials and OA excerpts</w:t>
            </w:r>
          </w:p>
        </w:tc>
        <w:tc>
          <w:tcPr>
            <w:tcW w:type="dxa" w:w="1008"/>
            <w:shd w:val="clear" w:color="auto" w:fill="F7F8FA"/>
          </w:tcPr>
          <w:p>
            <w:pPr>
              <w:spacing w:before="40" w:after="40"/>
              <w:jc w:val="left"/>
            </w:pPr>
            <w:r/>
            <w:r>
              <w:rPr>
                <w:rFonts w:ascii="Times New Roman" w:hAnsi="Times New Roman"/>
                <w:b w:val="0"/>
                <w:i w:val="0"/>
                <w:sz w:val="15"/>
              </w:rPr>
              <w:t>Jan. 2025</w:t>
            </w:r>
          </w:p>
        </w:tc>
        <w:tc>
          <w:tcPr>
            <w:tcW w:type="dxa" w:w="1296"/>
            <w:shd w:val="clear" w:color="auto" w:fill="F7F8FA"/>
          </w:tcPr>
          <w:p>
            <w:pPr>
              <w:spacing w:before="40" w:after="40"/>
              <w:jc w:val="left"/>
            </w:pPr>
            <w:r/>
            <w:r>
              <w:rPr>
                <w:rFonts w:ascii="Times New Roman" w:hAnsi="Times New Roman"/>
                <w:b w:val="0"/>
                <w:i w:val="0"/>
                <w:sz w:val="15"/>
              </w:rPr>
              <w:t>Calloway &amp; Strauss (J. Ngo)</w:t>
            </w:r>
          </w:p>
        </w:tc>
        <w:tc>
          <w:tcPr>
            <w:tcW w:type="dxa" w:w="2736"/>
            <w:shd w:val="clear" w:color="auto" w:fill="F7F8FA"/>
          </w:tcPr>
          <w:p>
            <w:pPr>
              <w:spacing w:before="40" w:after="40"/>
              <w:jc w:val="left"/>
            </w:pPr>
            <w:r/>
            <w:r>
              <w:rPr>
                <w:rFonts w:ascii="Times New Roman" w:hAnsi="Times New Roman"/>
                <w:b w:val="0"/>
                <w:i w:val="0"/>
                <w:sz w:val="15"/>
              </w:rPr>
              <w:t>Ownership percentages, capital contributions, land contribution recital, 75% major-decision threshold, pledge consent requirement, absence of SPE provisions and independent manager, affiliate relationship, $14,200,000 net worth</w:t>
            </w:r>
          </w:p>
        </w:tc>
        <w:tc>
          <w:tcPr>
            <w:tcW w:type="dxa" w:w="864"/>
            <w:shd w:val="clear" w:color="auto" w:fill="F7F8FA"/>
          </w:tcPr>
          <w:p>
            <w:pPr>
              <w:spacing w:before="40" w:after="40"/>
              <w:jc w:val="left"/>
            </w:pPr>
            <w:r/>
            <w:r>
              <w:rPr>
                <w:rFonts w:ascii="Times New Roman" w:hAnsi="Times New Roman"/>
                <w:b w:val="0"/>
                <w:i w:val="0"/>
                <w:sz w:val="15"/>
              </w:rPr>
              <w:t>1, 14, 15, 17</w:t>
            </w:r>
          </w:p>
        </w:tc>
        <w:tc>
          <w:tcPr>
            <w:tcW w:type="dxa" w:w="1872"/>
            <w:shd w:val="clear" w:color="auto" w:fill="F7F8FA"/>
          </w:tcPr>
          <w:p>
            <w:pPr>
              <w:spacing w:before="40" w:after="40"/>
              <w:jc w:val="left"/>
            </w:pPr>
            <w:r/>
            <w:r>
              <w:rPr>
                <w:rFonts w:ascii="Times New Roman" w:hAnsi="Times New Roman"/>
                <w:b w:val="0"/>
                <w:i w:val="0"/>
                <w:sz w:val="15"/>
              </w:rPr>
              <w:t>Certification is undated. Conflicts with the Credit Memorandum on member capital contributions and with the title record on how the land was acquired.</w:t>
            </w:r>
          </w:p>
        </w:tc>
      </w:tr>
      <w:tr>
        <w:trPr>
          <w:cantSplit w:val="true"/>
        </w:trPr>
        <w:tc>
          <w:tcPr>
            <w:tcW w:type="dxa" w:w="1584"/>
          </w:tcPr>
          <w:p>
            <w:pPr>
              <w:spacing w:before="40" w:after="40"/>
              <w:jc w:val="left"/>
            </w:pPr>
            <w:r/>
            <w:r>
              <w:rPr>
                <w:rFonts w:ascii="Times New Roman" w:hAnsi="Times New Roman"/>
                <w:b w:val="0"/>
                <w:i w:val="0"/>
                <w:sz w:val="15"/>
              </w:rPr>
              <w:t>Construction budget and draw schedule</w:t>
            </w:r>
          </w:p>
        </w:tc>
        <w:tc>
          <w:tcPr>
            <w:tcW w:type="dxa" w:w="1008"/>
          </w:tcPr>
          <w:p>
            <w:pPr>
              <w:spacing w:before="40" w:after="40"/>
              <w:jc w:val="left"/>
            </w:pPr>
            <w:r/>
            <w:r>
              <w:rPr>
                <w:rFonts w:ascii="Times New Roman" w:hAnsi="Times New Roman"/>
                <w:b w:val="0"/>
                <w:i w:val="0"/>
                <w:sz w:val="15"/>
              </w:rPr>
              <w:t>Jan. 8, 2025</w:t>
            </w:r>
          </w:p>
        </w:tc>
        <w:tc>
          <w:tcPr>
            <w:tcW w:type="dxa" w:w="1296"/>
          </w:tcPr>
          <w:p>
            <w:pPr>
              <w:spacing w:before="40" w:after="40"/>
              <w:jc w:val="left"/>
            </w:pPr>
            <w:r/>
            <w:r>
              <w:rPr>
                <w:rFonts w:ascii="Times New Roman" w:hAnsi="Times New Roman"/>
                <w:b w:val="0"/>
                <w:i w:val="0"/>
                <w:sz w:val="15"/>
              </w:rPr>
              <w:t>Harborview Capital Partners (E. Vasquez-Torres)</w:t>
            </w:r>
          </w:p>
        </w:tc>
        <w:tc>
          <w:tcPr>
            <w:tcW w:type="dxa" w:w="2736"/>
          </w:tcPr>
          <w:p>
            <w:pPr>
              <w:spacing w:before="40" w:after="40"/>
              <w:jc w:val="left"/>
            </w:pPr>
            <w:r/>
            <w:r>
              <w:rPr>
                <w:rFonts w:ascii="Times New Roman" w:hAnsi="Times New Roman"/>
                <w:b w:val="0"/>
                <w:i w:val="0"/>
                <w:sz w:val="15"/>
              </w:rPr>
              <w:t>Line-item budget, funding sources by line, retainage calculation, draw timing, interest reserve model and sensitivity, land funded by mezzanine loan (line 1.01)</w:t>
            </w:r>
          </w:p>
        </w:tc>
        <w:tc>
          <w:tcPr>
            <w:tcW w:type="dxa" w:w="864"/>
          </w:tcPr>
          <w:p>
            <w:pPr>
              <w:spacing w:before="40" w:after="40"/>
              <w:jc w:val="left"/>
            </w:pPr>
            <w:r/>
            <w:r>
              <w:rPr>
                <w:rFonts w:ascii="Times New Roman" w:hAnsi="Times New Roman"/>
                <w:b w:val="0"/>
                <w:i w:val="0"/>
                <w:sz w:val="15"/>
              </w:rPr>
              <w:t>1–6, 12</w:t>
            </w:r>
          </w:p>
        </w:tc>
        <w:tc>
          <w:tcPr>
            <w:tcW w:type="dxa" w:w="1872"/>
          </w:tcPr>
          <w:p>
            <w:pPr>
              <w:spacing w:before="40" w:after="40"/>
              <w:jc w:val="left"/>
            </w:pPr>
            <w:r/>
            <w:r>
              <w:rPr>
                <w:rFonts w:ascii="Times New Roman" w:hAnsi="Times New Roman"/>
                <w:b w:val="0"/>
                <w:i w:val="0"/>
                <w:sz w:val="15"/>
              </w:rPr>
              <w:t>Borrower-prepared and unaudited. Contains a $1,000,000 component imbalance and an interest reserve conclusion that its own sensitivity table contradicts.</w:t>
            </w:r>
          </w:p>
        </w:tc>
      </w:tr>
    </w:tbl>
    <w:p>
      <w:pPr>
        <w:spacing w:after="40"/>
      </w:pPr>
    </w:p>
    <w:p>
      <w:pPr>
        <w:pStyle w:val="Heading1"/>
        <w:spacing w:before="360"/>
      </w:pPr>
      <w:r>
        <w:rPr>
          <w:rFonts w:ascii="Times New Roman" w:hAnsi="Times New Roman"/>
          <w:b/>
          <w:sz w:val="24"/>
        </w:rPr>
        <w:t>VII.  EXTRACTED FACTS, ASSUMPTIONS, CHARACTERIZATIONS AND OPEN QUESTIONS</w:t>
      </w:r>
    </w:p>
    <w:p>
      <w:r>
        <w:rPr>
          <w:rFonts w:ascii="Times New Roman" w:hAnsi="Times New Roman"/>
          <w:b w:val="0"/>
          <w:i w:val="0"/>
          <w:sz w:val="20"/>
        </w:rPr>
        <w:t>In accordance with our practice, the following are kept separate so that the Bank can see which statements rest on documentary evidence, which rest on an assumption, which are legal conclusions, and which remain open.</w:t>
      </w:r>
    </w:p>
    <w:p>
      <w:pPr>
        <w:pStyle w:val="Heading3"/>
      </w:pPr>
      <w:r>
        <w:rPr>
          <w:rFonts w:ascii="Times New Roman" w:hAnsi="Times New Roman"/>
          <w:b/>
          <w:i/>
          <w:sz w:val="22"/>
        </w:rPr>
        <w:t>A.  Facts established by the Record (documented)</w:t>
      </w:r>
    </w:p>
    <w:p>
      <w:pPr>
        <w:spacing w:after="100"/>
        <w:ind w:left="576" w:hanging="288"/>
      </w:pPr>
      <w:r>
        <w:rPr>
          <w:rFonts w:ascii="Times New Roman" w:hAnsi="Times New Roman"/>
        </w:rPr>
        <w:t>•</w:t>
        <w:tab/>
      </w:r>
      <w:r>
        <w:rPr>
          <w:rFonts w:ascii="Times New Roman" w:hAnsi="Times New Roman"/>
          <w:b w:val="0"/>
          <w:i w:val="0"/>
          <w:sz w:val="19"/>
        </w:rPr>
        <w:t>Borrower is a North Carolina limited liability company (NC SOS File No. 1923847) formed March 14, 2019, with its principal office at 400 West Main Street, Suite 310, Durham (Term Sheet § 1.2; Organizational Materials § 1.1).</w:t>
      </w:r>
    </w:p>
    <w:p>
      <w:pPr>
        <w:spacing w:after="100"/>
        <w:ind w:left="576" w:hanging="288"/>
      </w:pPr>
      <w:r>
        <w:rPr>
          <w:rFonts w:ascii="Times New Roman" w:hAnsi="Times New Roman"/>
        </w:rPr>
        <w:t>•</w:t>
        <w:tab/>
      </w:r>
      <w:r>
        <w:rPr>
          <w:rFonts w:ascii="Times New Roman" w:hAnsi="Times New Roman"/>
          <w:b w:val="0"/>
          <w:i w:val="0"/>
          <w:sz w:val="19"/>
        </w:rPr>
        <w:t>Membership interests are held 62% by Elena Vasquez-Torres (Managing Member), 28% by Brightleaf Investors Group LLC (NC SOS No. 2045612) and 10% by Reginald K. Osei (Term Sheet § 1.2; Organizational Materials § 1.2).</w:t>
      </w:r>
    </w:p>
    <w:p>
      <w:pPr>
        <w:spacing w:after="100"/>
        <w:ind w:left="576" w:hanging="288"/>
      </w:pPr>
      <w:r>
        <w:rPr>
          <w:rFonts w:ascii="Times New Roman" w:hAnsi="Times New Roman"/>
        </w:rPr>
        <w:t>•</w:t>
        <w:tab/>
      </w:r>
      <w:r>
        <w:rPr>
          <w:rFonts w:ascii="Times New Roman" w:hAnsi="Times New Roman"/>
          <w:b w:val="0"/>
          <w:i w:val="0"/>
          <w:sz w:val="19"/>
        </w:rPr>
        <w:t>Fee title to both parcels vested in Borrower by Special Warranty Deed recorded in Book 7598, Pages 443 and 445, dated June 12, 2023, from Foster Street Properties LLC (Title Commitment, Schedule A § 5 and § 6).</w:t>
      </w:r>
    </w:p>
    <w:p>
      <w:pPr>
        <w:spacing w:after="100"/>
        <w:ind w:left="576" w:hanging="288"/>
      </w:pPr>
      <w:r>
        <w:rPr>
          <w:rFonts w:ascii="Times New Roman" w:hAnsi="Times New Roman"/>
        </w:rPr>
        <w:t>•</w:t>
        <w:tab/>
      </w:r>
      <w:r>
        <w:rPr>
          <w:rFonts w:ascii="Times New Roman" w:hAnsi="Times New Roman"/>
          <w:b w:val="0"/>
          <w:i w:val="0"/>
          <w:sz w:val="19"/>
        </w:rPr>
        <w:t>The combined site is approximately 3.47 acres (151,288 square feet per the metes and bounds), zoned MU-D (Title Commitment, Schedule A §§ 6–7; Appraisal § 2).</w:t>
      </w:r>
    </w:p>
    <w:p>
      <w:pPr>
        <w:spacing w:after="100"/>
        <w:ind w:left="576" w:hanging="288"/>
      </w:pPr>
      <w:r>
        <w:rPr>
          <w:rFonts w:ascii="Times New Roman" w:hAnsi="Times New Roman"/>
        </w:rPr>
        <w:t>•</w:t>
        <w:tab/>
      </w:r>
      <w:r>
        <w:rPr>
          <w:rFonts w:ascii="Times New Roman" w:hAnsi="Times New Roman"/>
          <w:b w:val="0"/>
          <w:i w:val="0"/>
          <w:sz w:val="19"/>
        </w:rPr>
        <w:t>A deed of trust for the benefit of Triangle Commercial Bank dated September 14, 2018, recorded in Book 6215, Page 892, securing an original principal amount of $3,400,000, remains unreleased of record (Title Commitment, Schedule B–II ¶ 10).</w:t>
      </w:r>
    </w:p>
    <w:p>
      <w:pPr>
        <w:spacing w:after="100"/>
        <w:ind w:left="576" w:hanging="288"/>
      </w:pPr>
      <w:r>
        <w:rPr>
          <w:rFonts w:ascii="Times New Roman" w:hAnsi="Times New Roman"/>
        </w:rPr>
        <w:t>•</w:t>
        <w:tab/>
      </w:r>
      <w:r>
        <w:rPr>
          <w:rFonts w:ascii="Times New Roman" w:hAnsi="Times New Roman"/>
          <w:b w:val="0"/>
          <w:i w:val="0"/>
          <w:sz w:val="19"/>
        </w:rPr>
        <w:t>The Property is subject to a recorded Duke Energy easement (Book 4387, Page 621), a City of Durham stormwater easement (Book 7421, Page 212) and the Brightleaf Historic District Association CC&amp;Rs (Book 6984, Page 1155, as amended in Book 7102, Page 388) (Title Commitment, Schedule B–II ¶¶ 8–11).</w:t>
      </w:r>
    </w:p>
    <w:p>
      <w:pPr>
        <w:spacing w:after="100"/>
        <w:ind w:left="576" w:hanging="288"/>
      </w:pPr>
      <w:r>
        <w:rPr>
          <w:rFonts w:ascii="Times New Roman" w:hAnsi="Times New Roman"/>
        </w:rPr>
        <w:t>•</w:t>
        <w:tab/>
      </w:r>
      <w:r>
        <w:rPr>
          <w:rFonts w:ascii="Times New Roman" w:hAnsi="Times New Roman"/>
          <w:b w:val="0"/>
          <w:i w:val="0"/>
          <w:sz w:val="19"/>
        </w:rPr>
        <w:t>The Phase II investigation detected TPH-DRO at up to 847 mg/kg against a 100 mg/kg residential goal and benzene at 0.42 mg/kg against 0.065 mg/kg, with soil gas benzene at 185 µg/m³ against a 31 µg/m³ screening level (Phase I ESA § 5).</w:t>
      </w:r>
    </w:p>
    <w:p>
      <w:pPr>
        <w:spacing w:after="100"/>
        <w:ind w:left="576" w:hanging="288"/>
      </w:pPr>
      <w:r>
        <w:rPr>
          <w:rFonts w:ascii="Times New Roman" w:hAnsi="Times New Roman"/>
        </w:rPr>
        <w:t>•</w:t>
        <w:tab/>
      </w:r>
      <w:r>
        <w:rPr>
          <w:rFonts w:ascii="Times New Roman" w:hAnsi="Times New Roman"/>
          <w:b w:val="0"/>
          <w:i w:val="0"/>
          <w:sz w:val="19"/>
        </w:rPr>
        <w:t>NCDEQ issued a conditional No Further Action letter on September 30, 2024 imposing four conditions (Phase I ESA § 7).</w:t>
      </w:r>
    </w:p>
    <w:p>
      <w:pPr>
        <w:spacing w:after="100"/>
        <w:ind w:left="576" w:hanging="288"/>
      </w:pPr>
      <w:r>
        <w:rPr>
          <w:rFonts w:ascii="Times New Roman" w:hAnsi="Times New Roman"/>
        </w:rPr>
        <w:t>•</w:t>
        <w:tab/>
      </w:r>
      <w:r>
        <w:rPr>
          <w:rFonts w:ascii="Times New Roman" w:hAnsi="Times New Roman"/>
          <w:b w:val="0"/>
          <w:i w:val="0"/>
          <w:sz w:val="19"/>
        </w:rPr>
        <w:t>The 2024 ad valorem taxes were $29,847.12 on Parcel 0821-04-72-3341 and $19,218.44 on Parcel 0821-04-72-4102, both paid (Title Commitment, Schedule B–II ¶ 7).</w:t>
      </w:r>
    </w:p>
    <w:p>
      <w:pPr>
        <w:spacing w:after="100"/>
        <w:ind w:left="576" w:hanging="288"/>
      </w:pPr>
      <w:r>
        <w:rPr>
          <w:rFonts w:ascii="Times New Roman" w:hAnsi="Times New Roman"/>
        </w:rPr>
        <w:t>•</w:t>
        <w:tab/>
      </w:r>
      <w:r>
        <w:rPr>
          <w:rFonts w:ascii="Times New Roman" w:hAnsi="Times New Roman"/>
          <w:b w:val="0"/>
          <w:i w:val="0"/>
          <w:sz w:val="19"/>
        </w:rPr>
        <w:t>The general contractor's GMP is $34,750,000 and the Appraiser was furnished an executed copy of the contract (Appraisal § 3).</w:t>
      </w:r>
    </w:p>
    <w:p>
      <w:pPr>
        <w:pStyle w:val="Heading3"/>
      </w:pPr>
      <w:r>
        <w:rPr>
          <w:rFonts w:ascii="Times New Roman" w:hAnsi="Times New Roman"/>
          <w:b/>
          <w:i/>
          <w:sz w:val="22"/>
        </w:rPr>
        <w:t>B.  Assumptions made in this memorandum and in the draft (not established by the Record)</w:t>
      </w:r>
    </w:p>
    <w:p>
      <w:pPr>
        <w:spacing w:after="100"/>
        <w:ind w:left="576" w:hanging="288"/>
      </w:pPr>
      <w:r>
        <w:rPr>
          <w:rFonts w:ascii="Times New Roman" w:hAnsi="Times New Roman"/>
        </w:rPr>
        <w:t>•</w:t>
        <w:tab/>
      </w:r>
      <w:r>
        <w:rPr>
          <w:rFonts w:ascii="Times New Roman" w:hAnsi="Times New Roman"/>
          <w:b w:val="0"/>
          <w:i w:val="0"/>
          <w:sz w:val="19"/>
        </w:rPr>
        <w:t>That the title commitment's metes and bounds are accurate for the parcels as currently configured; we have not seen a survey.</w:t>
      </w:r>
    </w:p>
    <w:p>
      <w:pPr>
        <w:spacing w:after="100"/>
        <w:ind w:left="576" w:hanging="288"/>
      </w:pPr>
      <w:r>
        <w:rPr>
          <w:rFonts w:ascii="Times New Roman" w:hAnsi="Times New Roman"/>
        </w:rPr>
        <w:t>•</w:t>
        <w:tab/>
      </w:r>
      <w:r>
        <w:rPr>
          <w:rFonts w:ascii="Times New Roman" w:hAnsi="Times New Roman"/>
          <w:b w:val="0"/>
          <w:i w:val="0"/>
          <w:sz w:val="19"/>
        </w:rPr>
        <w:t>That the descriptions of work completed in August and September 2024 (demolition and remediation) were paid in full, and therefore that no mechanics' lien has attached; no invoices or waivers are in the Record.</w:t>
      </w:r>
    </w:p>
    <w:p>
      <w:pPr>
        <w:spacing w:after="100"/>
        <w:ind w:left="576" w:hanging="288"/>
      </w:pPr>
      <w:r>
        <w:rPr>
          <w:rFonts w:ascii="Times New Roman" w:hAnsi="Times New Roman"/>
        </w:rPr>
        <w:t>•</w:t>
        <w:tab/>
      </w:r>
      <w:r>
        <w:rPr>
          <w:rFonts w:ascii="Times New Roman" w:hAnsi="Times New Roman"/>
          <w:b w:val="0"/>
          <w:i w:val="0"/>
          <w:sz w:val="19"/>
        </w:rPr>
        <w:t>That the Phase I ESA has been supplemented by a Phase II report that we have not seen, and that the NFA Letter is in the form summarized in the Phase I ESA.</w:t>
      </w:r>
    </w:p>
    <w:p>
      <w:pPr>
        <w:spacing w:after="100"/>
        <w:ind w:left="576" w:hanging="288"/>
      </w:pPr>
      <w:r>
        <w:rPr>
          <w:rFonts w:ascii="Times New Roman" w:hAnsi="Times New Roman"/>
        </w:rPr>
        <w:t>•</w:t>
        <w:tab/>
      </w:r>
      <w:r>
        <w:rPr>
          <w:rFonts w:ascii="Times New Roman" w:hAnsi="Times New Roman"/>
          <w:b w:val="0"/>
          <w:i w:val="0"/>
          <w:sz w:val="19"/>
        </w:rPr>
        <w:t>That the mezzanine loan has not yet been funded in full, that its accrued PIK balance is as computed on simple interest at 12.50%, and that no mezzanine interest has been paid in cash.</w:t>
      </w:r>
    </w:p>
    <w:p>
      <w:pPr>
        <w:spacing w:after="100"/>
        <w:ind w:left="576" w:hanging="288"/>
      </w:pPr>
      <w:r>
        <w:rPr>
          <w:rFonts w:ascii="Times New Roman" w:hAnsi="Times New Roman"/>
        </w:rPr>
        <w:t>•</w:t>
        <w:tab/>
      </w:r>
      <w:r>
        <w:rPr>
          <w:rFonts w:ascii="Times New Roman" w:hAnsi="Times New Roman"/>
          <w:b w:val="0"/>
          <w:i w:val="0"/>
          <w:sz w:val="19"/>
        </w:rPr>
        <w:t>That the appraisal summary accurately reflects the 187-page report, including the lease-up and capitalization assumptions.</w:t>
      </w:r>
    </w:p>
    <w:p>
      <w:pPr>
        <w:spacing w:after="100"/>
        <w:ind w:left="576" w:hanging="288"/>
      </w:pPr>
      <w:r>
        <w:rPr>
          <w:rFonts w:ascii="Times New Roman" w:hAnsi="Times New Roman"/>
        </w:rPr>
        <w:t>•</w:t>
        <w:tab/>
      </w:r>
      <w:r>
        <w:rPr>
          <w:rFonts w:ascii="Times New Roman" w:hAnsi="Times New Roman"/>
          <w:b w:val="0"/>
          <w:i w:val="0"/>
          <w:sz w:val="19"/>
        </w:rPr>
        <w:t>That the Guarantors' liquid asset figures are as summarized in the Credit Memorandum from personal financial statements we have not seen.</w:t>
      </w:r>
    </w:p>
    <w:p>
      <w:pPr>
        <w:pStyle w:val="Heading3"/>
      </w:pPr>
      <w:r>
        <w:rPr>
          <w:rFonts w:ascii="Times New Roman" w:hAnsi="Times New Roman"/>
          <w:b/>
          <w:i/>
          <w:sz w:val="22"/>
        </w:rPr>
        <w:t>C.  Legal characterizations (conclusions of law, subject to confirmation)</w:t>
      </w:r>
    </w:p>
    <w:p>
      <w:pPr>
        <w:spacing w:after="100"/>
        <w:ind w:left="576" w:hanging="288"/>
      </w:pPr>
      <w:r>
        <w:rPr>
          <w:rFonts w:ascii="Times New Roman" w:hAnsi="Times New Roman"/>
        </w:rPr>
        <w:t>•</w:t>
        <w:tab/>
      </w:r>
      <w:r>
        <w:rPr>
          <w:rFonts w:ascii="Times New Roman" w:hAnsi="Times New Roman"/>
          <w:b w:val="0"/>
          <w:i w:val="0"/>
          <w:sz w:val="19"/>
        </w:rPr>
        <w:t>That a deed of trust in North Carolina is enforced by the trustee's power of sale in a special proceeding under Article 2A of Chapter 45, with deficiency determinations subject to N.C.G.S. § 45-21.36 (Issue 21).</w:t>
      </w:r>
    </w:p>
    <w:p>
      <w:pPr>
        <w:spacing w:after="100"/>
        <w:ind w:left="576" w:hanging="288"/>
      </w:pPr>
      <w:r>
        <w:rPr>
          <w:rFonts w:ascii="Times New Roman" w:hAnsi="Times New Roman"/>
        </w:rPr>
        <w:t>•</w:t>
        <w:tab/>
      </w:r>
      <w:r>
        <w:rPr>
          <w:rFonts w:ascii="Times New Roman" w:hAnsi="Times New Roman"/>
          <w:b w:val="0"/>
          <w:i w:val="0"/>
          <w:sz w:val="19"/>
        </w:rPr>
        <w:t>That a mechanics' lien claim relates back to the first furnishing of labor or materials under N.C.G.S. § 44A-10 and may therefore prime a later-recorded deed of trust (Issue 10).</w:t>
      </w:r>
    </w:p>
    <w:p>
      <w:pPr>
        <w:spacing w:after="100"/>
        <w:ind w:left="576" w:hanging="288"/>
      </w:pPr>
      <w:r>
        <w:rPr>
          <w:rFonts w:ascii="Times New Roman" w:hAnsi="Times New Roman"/>
        </w:rPr>
        <w:t>•</w:t>
        <w:tab/>
      </w:r>
      <w:r>
        <w:rPr>
          <w:rFonts w:ascii="Times New Roman" w:hAnsi="Times New Roman"/>
          <w:b w:val="0"/>
          <w:i w:val="0"/>
          <w:sz w:val="19"/>
        </w:rPr>
        <w:t>That the NFA non-residential use restriction, as written, reaches residential occupancy of space above the affected area until NCDEQ modifies the determination (Issue 11) — the conservative reading, and one we recommend resolving by written interpretation rather than by assumption.</w:t>
      </w:r>
    </w:p>
    <w:p>
      <w:pPr>
        <w:spacing w:after="100"/>
        <w:ind w:left="576" w:hanging="288"/>
      </w:pPr>
      <w:r>
        <w:rPr>
          <w:rFonts w:ascii="Times New Roman" w:hAnsi="Times New Roman"/>
        </w:rPr>
        <w:t>•</w:t>
        <w:tab/>
      </w:r>
      <w:r>
        <w:rPr>
          <w:rFonts w:ascii="Times New Roman" w:hAnsi="Times New Roman"/>
          <w:b w:val="0"/>
          <w:i w:val="0"/>
          <w:sz w:val="19"/>
        </w:rPr>
        <w:t>That a pledge of a membership interest requires the Managing Member's written consent under § 9.1 of the Operating Agreement, and that the borrowing requires 75% member approval under § 3.2 (Issue 15).</w:t>
      </w:r>
    </w:p>
    <w:p>
      <w:pPr>
        <w:spacing w:after="100"/>
        <w:ind w:left="576" w:hanging="288"/>
      </w:pPr>
      <w:r>
        <w:rPr>
          <w:rFonts w:ascii="Times New Roman" w:hAnsi="Times New Roman"/>
        </w:rPr>
        <w:t>•</w:t>
        <w:tab/>
      </w:r>
      <w:r>
        <w:rPr>
          <w:rFonts w:ascii="Times New Roman" w:hAnsi="Times New Roman"/>
          <w:b w:val="0"/>
          <w:i w:val="0"/>
          <w:sz w:val="19"/>
        </w:rPr>
        <w:t>That the requirement of an unlimited, surviving environmental indemnity is enforceable against the Guarantors in North Carolina and is not a penalty; a short opinion should confirm this before closing.</w:t>
      </w:r>
    </w:p>
    <w:p>
      <w:pPr>
        <w:pStyle w:val="Heading3"/>
      </w:pPr>
      <w:r>
        <w:rPr>
          <w:rFonts w:ascii="Times New Roman" w:hAnsi="Times New Roman"/>
          <w:b/>
          <w:i/>
          <w:sz w:val="22"/>
        </w:rPr>
        <w:t>D.  Open questions requiring a party's response</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What was the actual source of the $8,200,000 used to acquire the land in June 2023, and did any portion come from Brightleaf Mezzanine Capital LLC or Thomas R. Chen?</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What is the current outstanding balance of the Triangle Commercial Bank deed of trust, and is a payoff letter obtainable?</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Was the NFA deed notice recorded, and if so on what date and in what form? If not, has NCDEQ consented to late filing?</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Has NCDEQ been asked, in writing, whether residential occupancy above the affected area is permitted, and if so what was the response?</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How many units, and which unit types, sit above the 0.38-acre affected area?</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Has the Architectural Review Committee approved the final plans, or has the 60-day deemed approval period run?</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Has the soil management plan been submitted to and approved by NCDEQ?</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Does the GMP scope include the demolition and remediation already completed, and if so has a credit been given?</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Has any mezzanine interest been paid in cash, and what is the current accrued balance?</w:t>
      </w:r>
    </w:p>
    <w:p>
      <w:pPr>
        <w:tabs>
          <w:tab w:pos="504" w:val="left"/>
        </w:tabs>
        <w:spacing w:after="140"/>
        <w:ind w:left="504" w:hanging="288"/>
      </w:pPr>
      <w:r>
        <w:rPr>
          <w:rFonts w:ascii="Times New Roman" w:hAnsi="Times New Roman"/>
          <w:b w:val="0"/>
          <w:sz w:val="19"/>
        </w:rPr>
        <w:t>•</w:t>
        <w:tab/>
      </w:r>
      <w:r>
        <w:rPr>
          <w:rFonts w:ascii="Times New Roman" w:hAnsi="Times New Roman"/>
          <w:b w:val="0"/>
          <w:i w:val="0"/>
          <w:sz w:val="19"/>
        </w:rPr>
        <w:t>What is Borrower's actual net worth on a GAAP basis as of the most recent month-end?</w:t>
      </w:r>
    </w:p>
    <w:p>
      <w:pPr>
        <w:pStyle w:val="Heading1"/>
        <w:spacing w:before="360"/>
      </w:pPr>
      <w:r>
        <w:rPr>
          <w:rFonts w:ascii="Times New Roman" w:hAnsi="Times New Roman"/>
          <w:b/>
          <w:sz w:val="24"/>
        </w:rPr>
        <w:t>VIII.  OUTSTANDING DILIGENCE — REQUEST LIST</w:t>
      </w:r>
    </w:p>
    <w:p>
      <w:r>
        <w:rPr>
          <w:rFonts w:ascii="Times New Roman" w:hAnsi="Times New Roman"/>
          <w:b w:val="0"/>
          <w:i w:val="0"/>
          <w:sz w:val="19"/>
        </w:rPr>
        <w:t>The following items are required to close under Article III of the draft and are not in the Record. We recommend circulating this list immediately, with a return date of February 14, 2025 to permit review before a February 28, 2025 closing; the items marked (*) are gating and, if not received, the closing should move rather than fund against an incomplete file.</w:t>
      </w:r>
    </w:p>
    <w:tbl>
      <w:tblPr>
        <w:tblStyle w:val="TableGrid"/>
        <w:tblW w:type="auto" w:w="0"/>
        <w:jc w:val="center"/>
        <w:tblLayout w:type="fixed"/>
        <w:tblLook w:firstColumn="1" w:firstRow="1" w:lastColumn="0" w:lastRow="0" w:noHBand="0" w:noVBand="1" w:val="04A0"/>
      </w:tblPr>
      <w:tblGrid>
        <w:gridCol w:w="360"/>
        <w:gridCol w:w="4824"/>
        <w:gridCol w:w="792"/>
        <w:gridCol w:w="2232"/>
        <w:gridCol w:w="1080"/>
      </w:tblGrid>
      <w:tr>
        <w:trPr>
          <w:tblHeader w:val="true"/>
        </w:trPr>
        <w:tc>
          <w:tcPr>
            <w:tcW w:type="dxa" w:w="360"/>
            <w:shd w:val="clear" w:color="auto" w:fill="1F3355"/>
          </w:tcPr>
          <w:p>
            <w:pPr>
              <w:spacing w:before="60" w:after="60"/>
              <w:jc w:val="center"/>
            </w:pPr>
            <w:r/>
            <w:r>
              <w:rPr>
                <w:rFonts w:ascii="Times New Roman" w:hAnsi="Times New Roman"/>
                <w:b/>
                <w:color w:val="FFFFFF"/>
                <w:sz w:val="17"/>
              </w:rPr>
              <w:t>*</w:t>
            </w:r>
          </w:p>
        </w:tc>
        <w:tc>
          <w:tcPr>
            <w:tcW w:type="dxa" w:w="4824"/>
            <w:shd w:val="clear" w:color="auto" w:fill="1F3355"/>
          </w:tcPr>
          <w:p>
            <w:pPr>
              <w:spacing w:before="60" w:after="60"/>
              <w:jc w:val="center"/>
            </w:pPr>
            <w:r/>
            <w:r>
              <w:rPr>
                <w:rFonts w:ascii="Times New Roman" w:hAnsi="Times New Roman"/>
                <w:b/>
                <w:color w:val="FFFFFF"/>
                <w:sz w:val="17"/>
              </w:rPr>
              <w:t>Diligence item</w:t>
            </w:r>
          </w:p>
        </w:tc>
        <w:tc>
          <w:tcPr>
            <w:tcW w:type="dxa" w:w="792"/>
            <w:shd w:val="clear" w:color="auto" w:fill="1F3355"/>
          </w:tcPr>
          <w:p>
            <w:pPr>
              <w:spacing w:before="60" w:after="60"/>
              <w:jc w:val="center"/>
            </w:pPr>
            <w:r/>
            <w:r>
              <w:rPr>
                <w:rFonts w:ascii="Times New Roman" w:hAnsi="Times New Roman"/>
                <w:b/>
                <w:color w:val="FFFFFF"/>
                <w:sz w:val="17"/>
              </w:rPr>
              <w:t>Issue</w:t>
            </w:r>
          </w:p>
        </w:tc>
        <w:tc>
          <w:tcPr>
            <w:tcW w:type="dxa" w:w="2232"/>
            <w:shd w:val="clear" w:color="auto" w:fill="1F3355"/>
          </w:tcPr>
          <w:p>
            <w:pPr>
              <w:spacing w:before="60" w:after="60"/>
              <w:jc w:val="center"/>
            </w:pPr>
            <w:r/>
            <w:r>
              <w:rPr>
                <w:rFonts w:ascii="Times New Roman" w:hAnsi="Times New Roman"/>
                <w:b/>
                <w:color w:val="FFFFFF"/>
                <w:sz w:val="17"/>
              </w:rPr>
              <w:t>Responsible</w:t>
            </w:r>
          </w:p>
        </w:tc>
        <w:tc>
          <w:tcPr>
            <w:tcW w:type="dxa" w:w="1080"/>
            <w:shd w:val="clear" w:color="auto" w:fill="1F3355"/>
          </w:tcPr>
          <w:p>
            <w:pPr>
              <w:spacing w:before="60" w:after="60"/>
              <w:jc w:val="center"/>
            </w:pPr>
            <w:r/>
            <w:r>
              <w:rPr>
                <w:rFonts w:ascii="Times New Roman" w:hAnsi="Times New Roman"/>
                <w:b/>
                <w:color w:val="FFFFFF"/>
                <w:sz w:val="17"/>
              </w:rPr>
              <w:t>Return by</w:t>
            </w:r>
          </w:p>
        </w:tc>
      </w:tr>
      <w:tr>
        <w:trPr>
          <w:cantSplit w:val="true"/>
        </w:trPr>
        <w:tc>
          <w:tcPr>
            <w:tcW w:type="dxa" w:w="360"/>
          </w:tcPr>
          <w:p>
            <w:pPr>
              <w:spacing w:before="40" w:after="40"/>
              <w:jc w:val="left"/>
            </w:pPr>
            <w:r/>
            <w:r>
              <w:rPr>
                <w:rFonts w:ascii="Times New Roman" w:hAnsi="Times New Roman"/>
                <w:b w:val="0"/>
                <w:i w:val="0"/>
                <w:sz w:val="17"/>
              </w:rPr>
              <w:t>*</w:t>
            </w:r>
          </w:p>
        </w:tc>
        <w:tc>
          <w:tcPr>
            <w:tcW w:type="dxa" w:w="4824"/>
          </w:tcPr>
          <w:p>
            <w:pPr>
              <w:spacing w:before="40" w:after="40"/>
              <w:jc w:val="left"/>
            </w:pPr>
            <w:r/>
            <w:r>
              <w:rPr>
                <w:rFonts w:ascii="Times New Roman" w:hAnsi="Times New Roman"/>
                <w:b w:val="0"/>
                <w:i w:val="0"/>
                <w:sz w:val="17"/>
              </w:rPr>
              <w:t>Recorded NFA deed notice, or NCDEQ consent to late recording plus confirmation that the NFA remains in effect</w:t>
            </w:r>
          </w:p>
        </w:tc>
        <w:tc>
          <w:tcPr>
            <w:tcW w:type="dxa" w:w="792"/>
          </w:tcPr>
          <w:p>
            <w:pPr>
              <w:spacing w:before="40" w:after="40"/>
              <w:jc w:val="left"/>
            </w:pPr>
            <w:r/>
            <w:r>
              <w:rPr>
                <w:rFonts w:ascii="Times New Roman" w:hAnsi="Times New Roman"/>
                <w:b w:val="0"/>
                <w:i w:val="0"/>
                <w:sz w:val="17"/>
              </w:rPr>
              <w:t>8, 11</w:t>
            </w:r>
          </w:p>
        </w:tc>
        <w:tc>
          <w:tcPr>
            <w:tcW w:type="dxa" w:w="2232"/>
          </w:tcPr>
          <w:p>
            <w:pPr>
              <w:spacing w:before="40" w:after="40"/>
              <w:jc w:val="left"/>
            </w:pPr>
            <w:r/>
            <w:r>
              <w:rPr>
                <w:rFonts w:ascii="Times New Roman" w:hAnsi="Times New Roman"/>
                <w:b w:val="0"/>
                <w:i w:val="0"/>
                <w:sz w:val="17"/>
              </w:rPr>
              <w:t>Borrower / environmental counsel</w:t>
            </w:r>
          </w:p>
        </w:tc>
        <w:tc>
          <w:tcPr>
            <w:tcW w:type="dxa" w:w="1080"/>
          </w:tcPr>
          <w:p>
            <w:pPr>
              <w:spacing w:before="40" w:after="40"/>
              <w:jc w:val="left"/>
            </w:pPr>
            <w:r/>
            <w:r>
              <w:rPr>
                <w:rFonts w:ascii="Times New Roman" w:hAnsi="Times New Roman"/>
                <w:b w:val="0"/>
                <w:i w:val="0"/>
                <w:sz w:val="17"/>
              </w:rPr>
              <w:t>Feb. 7</w:t>
            </w:r>
          </w:p>
        </w:tc>
      </w:tr>
      <w:tr>
        <w:trPr>
          <w:cantSplit w:val="true"/>
        </w:trPr>
        <w:tc>
          <w:tcPr>
            <w:tcW w:type="dxa" w:w="360"/>
            <w:shd w:val="clear" w:color="auto" w:fill="F7F8FA"/>
          </w:tcPr>
          <w:p>
            <w:pPr>
              <w:spacing w:before="40" w:after="40"/>
              <w:jc w:val="left"/>
            </w:pPr>
            <w:r/>
            <w:r>
              <w:rPr>
                <w:rFonts w:ascii="Times New Roman" w:hAnsi="Times New Roman"/>
                <w:b w:val="0"/>
                <w:i w:val="0"/>
                <w:sz w:val="17"/>
              </w:rPr>
              <w:t>*</w:t>
            </w:r>
          </w:p>
        </w:tc>
        <w:tc>
          <w:tcPr>
            <w:tcW w:type="dxa" w:w="4824"/>
            <w:shd w:val="clear" w:color="auto" w:fill="F7F8FA"/>
          </w:tcPr>
          <w:p>
            <w:pPr>
              <w:spacing w:before="40" w:after="40"/>
              <w:jc w:val="left"/>
            </w:pPr>
            <w:r/>
            <w:r>
              <w:rPr>
                <w:rFonts w:ascii="Times New Roman" w:hAnsi="Times New Roman"/>
                <w:b w:val="0"/>
                <w:i w:val="0"/>
                <w:sz w:val="17"/>
              </w:rPr>
              <w:t>Triangle Commercial Bank payoff letter (within 30 days) and recordable certificate of satisfaction</w:t>
            </w:r>
          </w:p>
        </w:tc>
        <w:tc>
          <w:tcPr>
            <w:tcW w:type="dxa" w:w="792"/>
            <w:shd w:val="clear" w:color="auto" w:fill="F7F8FA"/>
          </w:tcPr>
          <w:p>
            <w:pPr>
              <w:spacing w:before="40" w:after="40"/>
              <w:jc w:val="left"/>
            </w:pPr>
            <w:r/>
            <w:r>
              <w:rPr>
                <w:rFonts w:ascii="Times New Roman" w:hAnsi="Times New Roman"/>
                <w:b w:val="0"/>
                <w:i w:val="0"/>
                <w:sz w:val="17"/>
              </w:rPr>
              <w:t>2</w:t>
            </w:r>
          </w:p>
        </w:tc>
        <w:tc>
          <w:tcPr>
            <w:tcW w:type="dxa" w:w="2232"/>
            <w:shd w:val="clear" w:color="auto" w:fill="F7F8FA"/>
          </w:tcPr>
          <w:p>
            <w:pPr>
              <w:spacing w:before="40" w:after="40"/>
              <w:jc w:val="left"/>
            </w:pPr>
            <w:r/>
            <w:r>
              <w:rPr>
                <w:rFonts w:ascii="Times New Roman" w:hAnsi="Times New Roman"/>
                <w:b w:val="0"/>
                <w:i w:val="0"/>
                <w:sz w:val="17"/>
              </w:rPr>
              <w:t>Borrower / Title Company</w:t>
            </w:r>
          </w:p>
        </w:tc>
        <w:tc>
          <w:tcPr>
            <w:tcW w:type="dxa" w:w="1080"/>
            <w:shd w:val="clear" w:color="auto" w:fill="F7F8FA"/>
          </w:tcPr>
          <w:p>
            <w:pPr>
              <w:spacing w:before="40" w:after="40"/>
              <w:jc w:val="left"/>
            </w:pPr>
            <w:r/>
            <w:r>
              <w:rPr>
                <w:rFonts w:ascii="Times New Roman" w:hAnsi="Times New Roman"/>
                <w:b w:val="0"/>
                <w:i w:val="0"/>
                <w:sz w:val="17"/>
              </w:rPr>
              <w:t>Feb. 7</w:t>
            </w:r>
          </w:p>
        </w:tc>
      </w:tr>
      <w:tr>
        <w:trPr>
          <w:cantSplit w:val="true"/>
        </w:trPr>
        <w:tc>
          <w:tcPr>
            <w:tcW w:type="dxa" w:w="360"/>
          </w:tcPr>
          <w:p>
            <w:pPr>
              <w:spacing w:before="40" w:after="40"/>
              <w:jc w:val="left"/>
            </w:pPr>
            <w:r/>
            <w:r>
              <w:rPr>
                <w:rFonts w:ascii="Times New Roman" w:hAnsi="Times New Roman"/>
                <w:b w:val="0"/>
                <w:i w:val="0"/>
                <w:sz w:val="17"/>
              </w:rPr>
              <w:t>*</w:t>
            </w:r>
          </w:p>
        </w:tc>
        <w:tc>
          <w:tcPr>
            <w:tcW w:type="dxa" w:w="4824"/>
          </w:tcPr>
          <w:p>
            <w:pPr>
              <w:spacing w:before="40" w:after="40"/>
              <w:jc w:val="left"/>
            </w:pPr>
            <w:r/>
            <w:r>
              <w:rPr>
                <w:rFonts w:ascii="Times New Roman" w:hAnsi="Times New Roman"/>
                <w:b w:val="0"/>
                <w:i w:val="0"/>
                <w:sz w:val="17"/>
              </w:rPr>
              <w:t>Certified sources and uses showing the source of the 2023 land purchase and of each member contribution</w:t>
            </w:r>
          </w:p>
        </w:tc>
        <w:tc>
          <w:tcPr>
            <w:tcW w:type="dxa" w:w="792"/>
          </w:tcPr>
          <w:p>
            <w:pPr>
              <w:spacing w:before="40" w:after="40"/>
              <w:jc w:val="left"/>
            </w:pPr>
            <w:r/>
            <w:r>
              <w:rPr>
                <w:rFonts w:ascii="Times New Roman" w:hAnsi="Times New Roman"/>
                <w:b w:val="0"/>
                <w:i w:val="0"/>
                <w:sz w:val="17"/>
              </w:rPr>
              <w:t>1, 3</w:t>
            </w:r>
          </w:p>
        </w:tc>
        <w:tc>
          <w:tcPr>
            <w:tcW w:type="dxa" w:w="2232"/>
          </w:tcPr>
          <w:p>
            <w:pPr>
              <w:spacing w:before="40" w:after="40"/>
              <w:jc w:val="left"/>
            </w:pPr>
            <w:r/>
            <w:r>
              <w:rPr>
                <w:rFonts w:ascii="Times New Roman" w:hAnsi="Times New Roman"/>
                <w:b w:val="0"/>
                <w:i w:val="0"/>
                <w:sz w:val="17"/>
              </w:rPr>
              <w:t>Borrower</w:t>
            </w:r>
          </w:p>
        </w:tc>
        <w:tc>
          <w:tcPr>
            <w:tcW w:type="dxa" w:w="1080"/>
          </w:tcPr>
          <w:p>
            <w:pPr>
              <w:spacing w:before="40" w:after="40"/>
              <w:jc w:val="left"/>
            </w:pPr>
            <w:r/>
            <w:r>
              <w:rPr>
                <w:rFonts w:ascii="Times New Roman" w:hAnsi="Times New Roman"/>
                <w:b w:val="0"/>
                <w:i w:val="0"/>
                <w:sz w:val="17"/>
              </w:rPr>
              <w:t>Feb. 7</w:t>
            </w:r>
          </w:p>
        </w:tc>
      </w:tr>
      <w:tr>
        <w:trPr>
          <w:cantSplit w:val="true"/>
        </w:trPr>
        <w:tc>
          <w:tcPr>
            <w:tcW w:type="dxa" w:w="360"/>
            <w:shd w:val="clear" w:color="auto" w:fill="F7F8FA"/>
          </w:tcPr>
          <w:p>
            <w:pPr>
              <w:spacing w:before="40" w:after="40"/>
              <w:jc w:val="left"/>
            </w:pPr>
            <w:r/>
            <w:r>
              <w:rPr>
                <w:rFonts w:ascii="Times New Roman" w:hAnsi="Times New Roman"/>
                <w:b w:val="0"/>
                <w:i w:val="0"/>
                <w:sz w:val="17"/>
              </w:rPr>
              <w:t>*</w:t>
            </w:r>
          </w:p>
        </w:tc>
        <w:tc>
          <w:tcPr>
            <w:tcW w:type="dxa" w:w="4824"/>
            <w:shd w:val="clear" w:color="auto" w:fill="F7F8FA"/>
          </w:tcPr>
          <w:p>
            <w:pPr>
              <w:spacing w:before="40" w:after="40"/>
              <w:jc w:val="left"/>
            </w:pPr>
            <w:r/>
            <w:r>
              <w:rPr>
                <w:rFonts w:ascii="Times New Roman" w:hAnsi="Times New Roman"/>
                <w:b w:val="0"/>
                <w:i w:val="0"/>
                <w:sz w:val="17"/>
              </w:rPr>
              <w:t>Architect's unit-by-unit overlay of the Affected Area on floors 1–6; NCDEQ written interpretation on residential occupancy above the area</w:t>
            </w:r>
          </w:p>
        </w:tc>
        <w:tc>
          <w:tcPr>
            <w:tcW w:type="dxa" w:w="792"/>
            <w:shd w:val="clear" w:color="auto" w:fill="F7F8FA"/>
          </w:tcPr>
          <w:p>
            <w:pPr>
              <w:spacing w:before="40" w:after="40"/>
              <w:jc w:val="left"/>
            </w:pPr>
            <w:r/>
            <w:r>
              <w:rPr>
                <w:rFonts w:ascii="Times New Roman" w:hAnsi="Times New Roman"/>
                <w:b w:val="0"/>
                <w:i w:val="0"/>
                <w:sz w:val="17"/>
              </w:rPr>
              <w:t>7, 11</w:t>
            </w:r>
          </w:p>
        </w:tc>
        <w:tc>
          <w:tcPr>
            <w:tcW w:type="dxa" w:w="2232"/>
            <w:shd w:val="clear" w:color="auto" w:fill="F7F8FA"/>
          </w:tcPr>
          <w:p>
            <w:pPr>
              <w:spacing w:before="40" w:after="40"/>
              <w:jc w:val="left"/>
            </w:pPr>
            <w:r/>
            <w:r>
              <w:rPr>
                <w:rFonts w:ascii="Times New Roman" w:hAnsi="Times New Roman"/>
                <w:b w:val="0"/>
                <w:i w:val="0"/>
                <w:sz w:val="17"/>
              </w:rPr>
              <w:t>Borrower / Architect</w:t>
            </w:r>
          </w:p>
        </w:tc>
        <w:tc>
          <w:tcPr>
            <w:tcW w:type="dxa" w:w="1080"/>
            <w:shd w:val="clear" w:color="auto" w:fill="F7F8FA"/>
          </w:tcPr>
          <w:p>
            <w:pPr>
              <w:spacing w:before="40" w:after="40"/>
              <w:jc w:val="left"/>
            </w:pPr>
            <w:r/>
            <w:r>
              <w:rPr>
                <w:rFonts w:ascii="Times New Roman" w:hAnsi="Times New Roman"/>
                <w:b w:val="0"/>
                <w:i w:val="0"/>
                <w:sz w:val="17"/>
              </w:rPr>
              <w:t>Feb. 14</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ALTA/NSPS survey with the Table A items in section 3.4, including the Affected Area by metes and bounds</w:t>
            </w:r>
          </w:p>
        </w:tc>
        <w:tc>
          <w:tcPr>
            <w:tcW w:type="dxa" w:w="792"/>
          </w:tcPr>
          <w:p>
            <w:pPr>
              <w:spacing w:before="40" w:after="40"/>
              <w:jc w:val="left"/>
            </w:pPr>
            <w:r/>
            <w:r>
              <w:rPr>
                <w:rFonts w:ascii="Times New Roman" w:hAnsi="Times New Roman"/>
                <w:b w:val="0"/>
                <w:i w:val="0"/>
                <w:sz w:val="17"/>
              </w:rPr>
              <w:t>7</w:t>
            </w:r>
          </w:p>
        </w:tc>
        <w:tc>
          <w:tcPr>
            <w:tcW w:type="dxa" w:w="2232"/>
          </w:tcPr>
          <w:p>
            <w:pPr>
              <w:spacing w:before="40" w:after="40"/>
              <w:jc w:val="left"/>
            </w:pPr>
            <w:r/>
            <w:r>
              <w:rPr>
                <w:rFonts w:ascii="Times New Roman" w:hAnsi="Times New Roman"/>
                <w:b w:val="0"/>
                <w:i w:val="0"/>
                <w:sz w:val="17"/>
              </w:rPr>
              <w:t>Borrower</w:t>
            </w:r>
          </w:p>
        </w:tc>
        <w:tc>
          <w:tcPr>
            <w:tcW w:type="dxa" w:w="1080"/>
          </w:tcPr>
          <w:p>
            <w:pPr>
              <w:spacing w:before="40" w:after="40"/>
              <w:jc w:val="left"/>
            </w:pPr>
            <w:r/>
            <w:r>
              <w:rPr>
                <w:rFonts w:ascii="Times New Roman" w:hAnsi="Times New Roman"/>
                <w:b w:val="0"/>
                <w:i w:val="0"/>
                <w:sz w:val="17"/>
              </w:rPr>
              <w:t>Feb. 14</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Final unconditional lien waivers and paid invoices from the demolition, remediation, abatement and geotechnical consultants</w:t>
            </w:r>
          </w:p>
        </w:tc>
        <w:tc>
          <w:tcPr>
            <w:tcW w:type="dxa" w:w="792"/>
            <w:shd w:val="clear" w:color="auto" w:fill="F7F8FA"/>
          </w:tcPr>
          <w:p>
            <w:pPr>
              <w:spacing w:before="40" w:after="40"/>
              <w:jc w:val="left"/>
            </w:pPr>
            <w:r/>
            <w:r>
              <w:rPr>
                <w:rFonts w:ascii="Times New Roman" w:hAnsi="Times New Roman"/>
                <w:b w:val="0"/>
                <w:i w:val="0"/>
                <w:sz w:val="17"/>
              </w:rPr>
              <w:t>10</w:t>
            </w:r>
          </w:p>
        </w:tc>
        <w:tc>
          <w:tcPr>
            <w:tcW w:type="dxa" w:w="2232"/>
            <w:shd w:val="clear" w:color="auto" w:fill="F7F8FA"/>
          </w:tcPr>
          <w:p>
            <w:pPr>
              <w:spacing w:before="40" w:after="40"/>
              <w:jc w:val="left"/>
            </w:pPr>
            <w:r/>
            <w:r>
              <w:rPr>
                <w:rFonts w:ascii="Times New Roman" w:hAnsi="Times New Roman"/>
                <w:b w:val="0"/>
                <w:i w:val="0"/>
                <w:sz w:val="17"/>
              </w:rPr>
              <w:t>Borrower</w:t>
            </w:r>
          </w:p>
        </w:tc>
        <w:tc>
          <w:tcPr>
            <w:tcW w:type="dxa" w:w="1080"/>
            <w:shd w:val="clear" w:color="auto" w:fill="F7F8FA"/>
          </w:tcPr>
          <w:p>
            <w:pPr>
              <w:spacing w:before="40" w:after="40"/>
              <w:jc w:val="left"/>
            </w:pPr>
            <w:r/>
            <w:r>
              <w:rPr>
                <w:rFonts w:ascii="Times New Roman" w:hAnsi="Times New Roman"/>
                <w:b w:val="0"/>
                <w:i w:val="0"/>
                <w:sz w:val="17"/>
              </w:rPr>
              <w:t>Feb. 14</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Executed GMP contract with full exhibits, schedule of values and confirmation of scope exclusions; architect's agreement and consents to assignment</w:t>
            </w:r>
          </w:p>
        </w:tc>
        <w:tc>
          <w:tcPr>
            <w:tcW w:type="dxa" w:w="792"/>
          </w:tcPr>
          <w:p>
            <w:pPr>
              <w:spacing w:before="40" w:after="40"/>
              <w:jc w:val="left"/>
            </w:pPr>
            <w:r/>
            <w:r>
              <w:rPr>
                <w:rFonts w:ascii="Times New Roman" w:hAnsi="Times New Roman"/>
                <w:b w:val="0"/>
                <w:i w:val="0"/>
                <w:sz w:val="17"/>
              </w:rPr>
              <w:t>5</w:t>
            </w:r>
          </w:p>
        </w:tc>
        <w:tc>
          <w:tcPr>
            <w:tcW w:type="dxa" w:w="2232"/>
          </w:tcPr>
          <w:p>
            <w:pPr>
              <w:spacing w:before="40" w:after="40"/>
              <w:jc w:val="left"/>
            </w:pPr>
            <w:r/>
            <w:r>
              <w:rPr>
                <w:rFonts w:ascii="Times New Roman" w:hAnsi="Times New Roman"/>
                <w:b w:val="0"/>
                <w:i w:val="0"/>
                <w:sz w:val="17"/>
              </w:rPr>
              <w:t>Borrower</w:t>
            </w:r>
          </w:p>
        </w:tc>
        <w:tc>
          <w:tcPr>
            <w:tcW w:type="dxa" w:w="1080"/>
          </w:tcPr>
          <w:p>
            <w:pPr>
              <w:spacing w:before="40" w:after="40"/>
              <w:jc w:val="left"/>
            </w:pPr>
            <w:r/>
            <w:r>
              <w:rPr>
                <w:rFonts w:ascii="Times New Roman" w:hAnsi="Times New Roman"/>
                <w:b w:val="0"/>
                <w:i w:val="0"/>
                <w:sz w:val="17"/>
              </w:rPr>
              <w:t>Feb. 14</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NCDEQ-approved soil management plan; vapor mitigation system design and engineer's certification</w:t>
            </w:r>
          </w:p>
        </w:tc>
        <w:tc>
          <w:tcPr>
            <w:tcW w:type="dxa" w:w="792"/>
            <w:shd w:val="clear" w:color="auto" w:fill="F7F8FA"/>
          </w:tcPr>
          <w:p>
            <w:pPr>
              <w:spacing w:before="40" w:after="40"/>
              <w:jc w:val="left"/>
            </w:pPr>
            <w:r/>
            <w:r>
              <w:rPr>
                <w:rFonts w:ascii="Times New Roman" w:hAnsi="Times New Roman"/>
                <w:b w:val="0"/>
                <w:i w:val="0"/>
                <w:sz w:val="17"/>
              </w:rPr>
              <w:t>11</w:t>
            </w:r>
          </w:p>
        </w:tc>
        <w:tc>
          <w:tcPr>
            <w:tcW w:type="dxa" w:w="2232"/>
            <w:shd w:val="clear" w:color="auto" w:fill="F7F8FA"/>
          </w:tcPr>
          <w:p>
            <w:pPr>
              <w:spacing w:before="40" w:after="40"/>
              <w:jc w:val="left"/>
            </w:pPr>
            <w:r/>
            <w:r>
              <w:rPr>
                <w:rFonts w:ascii="Times New Roman" w:hAnsi="Times New Roman"/>
                <w:b w:val="0"/>
                <w:i w:val="0"/>
                <w:sz w:val="17"/>
              </w:rPr>
              <w:t>Borrower</w:t>
            </w:r>
          </w:p>
        </w:tc>
        <w:tc>
          <w:tcPr>
            <w:tcW w:type="dxa" w:w="1080"/>
            <w:shd w:val="clear" w:color="auto" w:fill="F7F8FA"/>
          </w:tcPr>
          <w:p>
            <w:pPr>
              <w:spacing w:before="40" w:after="40"/>
              <w:jc w:val="left"/>
            </w:pPr>
            <w:r/>
            <w:r>
              <w:rPr>
                <w:rFonts w:ascii="Times New Roman" w:hAnsi="Times New Roman"/>
                <w:b w:val="0"/>
                <w:i w:val="0"/>
                <w:sz w:val="17"/>
              </w:rPr>
              <w:t>Feb. 14</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Architectural Review Committee approval or evidence of submission and lapse of the 60-day period; Association estoppel</w:t>
            </w:r>
          </w:p>
        </w:tc>
        <w:tc>
          <w:tcPr>
            <w:tcW w:type="dxa" w:w="792"/>
          </w:tcPr>
          <w:p>
            <w:pPr>
              <w:spacing w:before="40" w:after="40"/>
              <w:jc w:val="left"/>
            </w:pPr>
            <w:r/>
            <w:r>
              <w:rPr>
                <w:rFonts w:ascii="Times New Roman" w:hAnsi="Times New Roman"/>
                <w:b w:val="0"/>
                <w:i w:val="0"/>
                <w:sz w:val="17"/>
              </w:rPr>
              <w:t>9</w:t>
            </w:r>
          </w:p>
        </w:tc>
        <w:tc>
          <w:tcPr>
            <w:tcW w:type="dxa" w:w="2232"/>
          </w:tcPr>
          <w:p>
            <w:pPr>
              <w:spacing w:before="40" w:after="40"/>
              <w:jc w:val="left"/>
            </w:pPr>
            <w:r/>
            <w:r>
              <w:rPr>
                <w:rFonts w:ascii="Times New Roman" w:hAnsi="Times New Roman"/>
                <w:b w:val="0"/>
                <w:i w:val="0"/>
                <w:sz w:val="17"/>
              </w:rPr>
              <w:t>Borrower</w:t>
            </w:r>
          </w:p>
        </w:tc>
        <w:tc>
          <w:tcPr>
            <w:tcW w:type="dxa" w:w="1080"/>
          </w:tcPr>
          <w:p>
            <w:pPr>
              <w:spacing w:before="40" w:after="40"/>
              <w:jc w:val="left"/>
            </w:pPr>
            <w:r/>
            <w:r>
              <w:rPr>
                <w:rFonts w:ascii="Times New Roman" w:hAnsi="Times New Roman"/>
                <w:b w:val="0"/>
                <w:i w:val="0"/>
                <w:sz w:val="17"/>
              </w:rPr>
              <w:t>Feb. 14</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Amended and restated Operating Agreement (SPE covenants and independent manager) with member consents at 75%; Managing Member consent to each pledge</w:t>
            </w:r>
          </w:p>
        </w:tc>
        <w:tc>
          <w:tcPr>
            <w:tcW w:type="dxa" w:w="792"/>
            <w:shd w:val="clear" w:color="auto" w:fill="F7F8FA"/>
          </w:tcPr>
          <w:p>
            <w:pPr>
              <w:spacing w:before="40" w:after="40"/>
              <w:jc w:val="left"/>
            </w:pPr>
            <w:r/>
            <w:r>
              <w:rPr>
                <w:rFonts w:ascii="Times New Roman" w:hAnsi="Times New Roman"/>
                <w:b w:val="0"/>
                <w:i w:val="0"/>
                <w:sz w:val="17"/>
              </w:rPr>
              <w:t>15</w:t>
            </w:r>
          </w:p>
        </w:tc>
        <w:tc>
          <w:tcPr>
            <w:tcW w:type="dxa" w:w="2232"/>
            <w:shd w:val="clear" w:color="auto" w:fill="F7F8FA"/>
          </w:tcPr>
          <w:p>
            <w:pPr>
              <w:spacing w:before="40" w:after="40"/>
              <w:jc w:val="left"/>
            </w:pPr>
            <w:r/>
            <w:r>
              <w:rPr>
                <w:rFonts w:ascii="Times New Roman" w:hAnsi="Times New Roman"/>
                <w:b w:val="0"/>
                <w:i w:val="0"/>
                <w:sz w:val="17"/>
              </w:rPr>
              <w:t>Borrower</w:t>
            </w:r>
          </w:p>
        </w:tc>
        <w:tc>
          <w:tcPr>
            <w:tcW w:type="dxa" w:w="1080"/>
            <w:shd w:val="clear" w:color="auto" w:fill="F7F8FA"/>
          </w:tcPr>
          <w:p>
            <w:pPr>
              <w:spacing w:before="40" w:after="40"/>
              <w:jc w:val="left"/>
            </w:pPr>
            <w:r/>
            <w:r>
              <w:rPr>
                <w:rFonts w:ascii="Times New Roman" w:hAnsi="Times New Roman"/>
                <w:b w:val="0"/>
                <w:i w:val="0"/>
                <w:sz w:val="17"/>
              </w:rPr>
              <w:t>Feb. 14</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Draft and executed intercreditor agreement; mezzanine loan documents and current PIK balance</w:t>
            </w:r>
          </w:p>
        </w:tc>
        <w:tc>
          <w:tcPr>
            <w:tcW w:type="dxa" w:w="792"/>
          </w:tcPr>
          <w:p>
            <w:pPr>
              <w:spacing w:before="40" w:after="40"/>
              <w:jc w:val="left"/>
            </w:pPr>
            <w:r/>
            <w:r>
              <w:rPr>
                <w:rFonts w:ascii="Times New Roman" w:hAnsi="Times New Roman"/>
                <w:b w:val="0"/>
                <w:i w:val="0"/>
                <w:sz w:val="17"/>
              </w:rPr>
              <w:t>17</w:t>
            </w:r>
          </w:p>
        </w:tc>
        <w:tc>
          <w:tcPr>
            <w:tcW w:type="dxa" w:w="2232"/>
          </w:tcPr>
          <w:p>
            <w:pPr>
              <w:spacing w:before="40" w:after="40"/>
              <w:jc w:val="left"/>
            </w:pPr>
            <w:r/>
            <w:r>
              <w:rPr>
                <w:rFonts w:ascii="Times New Roman" w:hAnsi="Times New Roman"/>
                <w:b w:val="0"/>
                <w:i w:val="0"/>
                <w:sz w:val="17"/>
              </w:rPr>
              <w:t>Bank / Mezzanine Lender</w:t>
            </w:r>
          </w:p>
        </w:tc>
        <w:tc>
          <w:tcPr>
            <w:tcW w:type="dxa" w:w="1080"/>
          </w:tcPr>
          <w:p>
            <w:pPr>
              <w:spacing w:before="40" w:after="40"/>
              <w:jc w:val="left"/>
            </w:pPr>
            <w:r/>
            <w:r>
              <w:rPr>
                <w:rFonts w:ascii="Times New Roman" w:hAnsi="Times New Roman"/>
                <w:b w:val="0"/>
                <w:i w:val="0"/>
                <w:sz w:val="17"/>
              </w:rPr>
              <w:t>Feb. 14</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Borrower financial statements (audited or reviewed) and a GAAP net worth computation; Guarantor personal financial statements dated within 30 days and account verifications; two years of tax returns</w:t>
            </w:r>
          </w:p>
        </w:tc>
        <w:tc>
          <w:tcPr>
            <w:tcW w:type="dxa" w:w="792"/>
            <w:shd w:val="clear" w:color="auto" w:fill="F7F8FA"/>
          </w:tcPr>
          <w:p>
            <w:pPr>
              <w:spacing w:before="40" w:after="40"/>
              <w:jc w:val="left"/>
            </w:pPr>
            <w:r/>
            <w:r>
              <w:rPr>
                <w:rFonts w:ascii="Times New Roman" w:hAnsi="Times New Roman"/>
                <w:b w:val="0"/>
                <w:i w:val="0"/>
                <w:sz w:val="17"/>
              </w:rPr>
              <w:t>14</w:t>
            </w:r>
          </w:p>
        </w:tc>
        <w:tc>
          <w:tcPr>
            <w:tcW w:type="dxa" w:w="2232"/>
            <w:shd w:val="clear" w:color="auto" w:fill="F7F8FA"/>
          </w:tcPr>
          <w:p>
            <w:pPr>
              <w:spacing w:before="40" w:after="40"/>
              <w:jc w:val="left"/>
            </w:pPr>
            <w:r/>
            <w:r>
              <w:rPr>
                <w:rFonts w:ascii="Times New Roman" w:hAnsi="Times New Roman"/>
                <w:b w:val="0"/>
                <w:i w:val="0"/>
                <w:sz w:val="17"/>
              </w:rPr>
              <w:t>Borrower / Guarantors</w:t>
            </w:r>
          </w:p>
        </w:tc>
        <w:tc>
          <w:tcPr>
            <w:tcW w:type="dxa" w:w="1080"/>
            <w:shd w:val="clear" w:color="auto" w:fill="F7F8FA"/>
          </w:tcPr>
          <w:p>
            <w:pPr>
              <w:spacing w:before="40" w:after="40"/>
              <w:jc w:val="left"/>
            </w:pPr>
            <w:r/>
            <w:r>
              <w:rPr>
                <w:rFonts w:ascii="Times New Roman" w:hAnsi="Times New Roman"/>
                <w:b w:val="0"/>
                <w:i w:val="0"/>
                <w:sz w:val="17"/>
              </w:rPr>
              <w:t>Feb. 21</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Zoning compliance letter, building and grading permits, erosion control approval</w:t>
            </w:r>
          </w:p>
        </w:tc>
        <w:tc>
          <w:tcPr>
            <w:tcW w:type="dxa" w:w="792"/>
          </w:tcPr>
          <w:p>
            <w:pPr>
              <w:spacing w:before="40" w:after="40"/>
              <w:jc w:val="left"/>
            </w:pPr>
            <w:r/>
            <w:r>
              <w:rPr>
                <w:rFonts w:ascii="Times New Roman" w:hAnsi="Times New Roman"/>
                <w:b w:val="0"/>
                <w:i w:val="0"/>
                <w:sz w:val="17"/>
              </w:rPr>
              <w:t>—</w:t>
            </w:r>
          </w:p>
        </w:tc>
        <w:tc>
          <w:tcPr>
            <w:tcW w:type="dxa" w:w="2232"/>
          </w:tcPr>
          <w:p>
            <w:pPr>
              <w:spacing w:before="40" w:after="40"/>
              <w:jc w:val="left"/>
            </w:pPr>
            <w:r/>
            <w:r>
              <w:rPr>
                <w:rFonts w:ascii="Times New Roman" w:hAnsi="Times New Roman"/>
                <w:b w:val="0"/>
                <w:i w:val="0"/>
                <w:sz w:val="17"/>
              </w:rPr>
              <w:t>Borrower</w:t>
            </w:r>
          </w:p>
        </w:tc>
        <w:tc>
          <w:tcPr>
            <w:tcW w:type="dxa" w:w="1080"/>
          </w:tcPr>
          <w:p>
            <w:pPr>
              <w:spacing w:before="40" w:after="40"/>
              <w:jc w:val="left"/>
            </w:pPr>
            <w:r/>
            <w:r>
              <w:rPr>
                <w:rFonts w:ascii="Times New Roman" w:hAnsi="Times New Roman"/>
                <w:b w:val="0"/>
                <w:i w:val="0"/>
                <w:sz w:val="17"/>
              </w:rPr>
              <w:t>Feb. 21</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Insurance certificates and endorsements (construction and, for the mini-perm, property and rent loss); current flood determination</w:t>
            </w:r>
          </w:p>
        </w:tc>
        <w:tc>
          <w:tcPr>
            <w:tcW w:type="dxa" w:w="792"/>
            <w:shd w:val="clear" w:color="auto" w:fill="F7F8FA"/>
          </w:tcPr>
          <w:p>
            <w:pPr>
              <w:spacing w:before="40" w:after="40"/>
              <w:jc w:val="left"/>
            </w:pPr>
            <w:r/>
            <w:r>
              <w:rPr>
                <w:rFonts w:ascii="Times New Roman" w:hAnsi="Times New Roman"/>
                <w:b w:val="0"/>
                <w:i w:val="0"/>
                <w:sz w:val="17"/>
              </w:rPr>
              <w:t>18</w:t>
            </w:r>
          </w:p>
        </w:tc>
        <w:tc>
          <w:tcPr>
            <w:tcW w:type="dxa" w:w="2232"/>
            <w:shd w:val="clear" w:color="auto" w:fill="F7F8FA"/>
          </w:tcPr>
          <w:p>
            <w:pPr>
              <w:spacing w:before="40" w:after="40"/>
              <w:jc w:val="left"/>
            </w:pPr>
            <w:r/>
            <w:r>
              <w:rPr>
                <w:rFonts w:ascii="Times New Roman" w:hAnsi="Times New Roman"/>
                <w:b w:val="0"/>
                <w:i w:val="0"/>
                <w:sz w:val="17"/>
              </w:rPr>
              <w:t>Borrower</w:t>
            </w:r>
          </w:p>
        </w:tc>
        <w:tc>
          <w:tcPr>
            <w:tcW w:type="dxa" w:w="1080"/>
            <w:shd w:val="clear" w:color="auto" w:fill="F7F8FA"/>
          </w:tcPr>
          <w:p>
            <w:pPr>
              <w:spacing w:before="40" w:after="40"/>
              <w:jc w:val="left"/>
            </w:pPr>
            <w:r/>
            <w:r>
              <w:rPr>
                <w:rFonts w:ascii="Times New Roman" w:hAnsi="Times New Roman"/>
                <w:b w:val="0"/>
                <w:i w:val="0"/>
                <w:sz w:val="17"/>
              </w:rPr>
              <w:t>Feb. 21</w:t>
            </w:r>
          </w:p>
        </w:tc>
      </w:tr>
      <w:tr>
        <w:trPr>
          <w:cantSplit w:val="true"/>
        </w:trPr>
        <w:tc>
          <w:tcPr>
            <w:tcW w:type="dxa" w:w="360"/>
          </w:tcPr>
          <w:p>
            <w:pPr>
              <w:spacing w:before="40" w:after="40"/>
              <w:jc w:val="left"/>
            </w:pPr>
            <w:r/>
          </w:p>
        </w:tc>
        <w:tc>
          <w:tcPr>
            <w:tcW w:type="dxa" w:w="4824"/>
          </w:tcPr>
          <w:p>
            <w:pPr>
              <w:spacing w:before="40" w:after="40"/>
              <w:jc w:val="left"/>
            </w:pPr>
            <w:r/>
            <w:r>
              <w:rPr>
                <w:rFonts w:ascii="Times New Roman" w:hAnsi="Times New Roman"/>
                <w:b w:val="0"/>
                <w:i w:val="0"/>
                <w:sz w:val="17"/>
              </w:rPr>
              <w:t>Non-consolidation opinion, enforceability and perfection opinions, title pro forma with endorsements</w:t>
            </w:r>
          </w:p>
        </w:tc>
        <w:tc>
          <w:tcPr>
            <w:tcW w:type="dxa" w:w="792"/>
          </w:tcPr>
          <w:p>
            <w:pPr>
              <w:spacing w:before="40" w:after="40"/>
              <w:jc w:val="left"/>
            </w:pPr>
            <w:r/>
            <w:r>
              <w:rPr>
                <w:rFonts w:ascii="Times New Roman" w:hAnsi="Times New Roman"/>
                <w:b w:val="0"/>
                <w:i w:val="0"/>
                <w:sz w:val="17"/>
              </w:rPr>
              <w:t>—</w:t>
            </w:r>
          </w:p>
        </w:tc>
        <w:tc>
          <w:tcPr>
            <w:tcW w:type="dxa" w:w="2232"/>
          </w:tcPr>
          <w:p>
            <w:pPr>
              <w:spacing w:before="40" w:after="40"/>
              <w:jc w:val="left"/>
            </w:pPr>
            <w:r/>
            <w:r>
              <w:rPr>
                <w:rFonts w:ascii="Times New Roman" w:hAnsi="Times New Roman"/>
                <w:b w:val="0"/>
                <w:i w:val="0"/>
                <w:sz w:val="17"/>
              </w:rPr>
              <w:t>Borrower's counsel / Title Company</w:t>
            </w:r>
          </w:p>
        </w:tc>
        <w:tc>
          <w:tcPr>
            <w:tcW w:type="dxa" w:w="1080"/>
          </w:tcPr>
          <w:p>
            <w:pPr>
              <w:spacing w:before="40" w:after="40"/>
              <w:jc w:val="left"/>
            </w:pPr>
            <w:r/>
            <w:r>
              <w:rPr>
                <w:rFonts w:ascii="Times New Roman" w:hAnsi="Times New Roman"/>
                <w:b w:val="0"/>
                <w:i w:val="0"/>
                <w:sz w:val="17"/>
              </w:rPr>
              <w:t>Feb. 21</w:t>
            </w:r>
          </w:p>
        </w:tc>
      </w:tr>
      <w:tr>
        <w:trPr>
          <w:cantSplit w:val="true"/>
        </w:trPr>
        <w:tc>
          <w:tcPr>
            <w:tcW w:type="dxa" w:w="360"/>
            <w:shd w:val="clear" w:color="auto" w:fill="F7F8FA"/>
          </w:tcPr>
          <w:p>
            <w:pPr>
              <w:spacing w:before="40" w:after="40"/>
              <w:jc w:val="left"/>
            </w:pPr>
            <w:r/>
          </w:p>
        </w:tc>
        <w:tc>
          <w:tcPr>
            <w:tcW w:type="dxa" w:w="4824"/>
            <w:shd w:val="clear" w:color="auto" w:fill="F7F8FA"/>
          </w:tcPr>
          <w:p>
            <w:pPr>
              <w:spacing w:before="40" w:after="40"/>
              <w:jc w:val="left"/>
            </w:pPr>
            <w:r/>
            <w:r>
              <w:rPr>
                <w:rFonts w:ascii="Times New Roman" w:hAnsi="Times New Roman"/>
                <w:b w:val="0"/>
                <w:i w:val="0"/>
                <w:sz w:val="17"/>
              </w:rPr>
              <w:t>Contractor financial statements and bonding capacity evidence; Phase II report; full appraisal report</w:t>
            </w:r>
          </w:p>
        </w:tc>
        <w:tc>
          <w:tcPr>
            <w:tcW w:type="dxa" w:w="792"/>
            <w:shd w:val="clear" w:color="auto" w:fill="F7F8FA"/>
          </w:tcPr>
          <w:p>
            <w:pPr>
              <w:spacing w:before="40" w:after="40"/>
              <w:jc w:val="left"/>
            </w:pPr>
            <w:r/>
            <w:r>
              <w:rPr>
                <w:rFonts w:ascii="Times New Roman" w:hAnsi="Times New Roman"/>
                <w:b w:val="0"/>
                <w:i w:val="0"/>
                <w:sz w:val="17"/>
              </w:rPr>
              <w:t>22</w:t>
            </w:r>
          </w:p>
        </w:tc>
        <w:tc>
          <w:tcPr>
            <w:tcW w:type="dxa" w:w="2232"/>
            <w:shd w:val="clear" w:color="auto" w:fill="F7F8FA"/>
          </w:tcPr>
          <w:p>
            <w:pPr>
              <w:spacing w:before="40" w:after="40"/>
              <w:jc w:val="left"/>
            </w:pPr>
            <w:r/>
            <w:r>
              <w:rPr>
                <w:rFonts w:ascii="Times New Roman" w:hAnsi="Times New Roman"/>
                <w:b w:val="0"/>
                <w:i w:val="0"/>
                <w:sz w:val="17"/>
              </w:rPr>
              <w:t>Borrower / Bank</w:t>
            </w:r>
          </w:p>
        </w:tc>
        <w:tc>
          <w:tcPr>
            <w:tcW w:type="dxa" w:w="1080"/>
            <w:shd w:val="clear" w:color="auto" w:fill="F7F8FA"/>
          </w:tcPr>
          <w:p>
            <w:pPr>
              <w:spacing w:before="40" w:after="40"/>
              <w:jc w:val="left"/>
            </w:pPr>
            <w:r/>
            <w:r>
              <w:rPr>
                <w:rFonts w:ascii="Times New Roman" w:hAnsi="Times New Roman"/>
                <w:b w:val="0"/>
                <w:i w:val="0"/>
                <w:sz w:val="17"/>
              </w:rPr>
              <w:t>Feb. 21</w:t>
            </w:r>
          </w:p>
        </w:tc>
      </w:tr>
    </w:tbl>
    <w:p>
      <w:pPr>
        <w:spacing w:after="40"/>
      </w:pPr>
    </w:p>
    <w:p>
      <w:pPr>
        <w:pStyle w:val="Heading1"/>
        <w:spacing w:before="360"/>
      </w:pPr>
      <w:r>
        <w:rPr>
          <w:rFonts w:ascii="Times New Roman" w:hAnsi="Times New Roman"/>
          <w:b/>
          <w:sz w:val="24"/>
        </w:rPr>
        <w:t>IX.  CONSOLIDATED CLOSING CONDITIONS CHECKLIST</w:t>
      </w:r>
    </w:p>
    <w:p>
      <w:r>
        <w:rPr>
          <w:rFonts w:ascii="Times New Roman" w:hAnsi="Times New Roman"/>
          <w:b w:val="0"/>
          <w:i w:val="0"/>
          <w:sz w:val="19"/>
        </w:rPr>
        <w:t>The draft Loan Agreement organizes the conditions precedent in Article III. The table maps each condition to the issue it addresses and records the current status on the Record.</w:t>
      </w:r>
    </w:p>
    <w:tbl>
      <w:tblPr>
        <w:tblStyle w:val="TableGrid"/>
        <w:tblW w:type="auto" w:w="0"/>
        <w:jc w:val="center"/>
        <w:tblLayout w:type="fixed"/>
        <w:tblLook w:firstColumn="1" w:firstRow="1" w:lastColumn="0" w:lastRow="0" w:noHBand="0" w:noVBand="1" w:val="04A0"/>
      </w:tblPr>
      <w:tblGrid>
        <w:gridCol w:w="4392"/>
        <w:gridCol w:w="720"/>
        <w:gridCol w:w="936"/>
        <w:gridCol w:w="3240"/>
      </w:tblGrid>
      <w:tr>
        <w:trPr>
          <w:tblHeader w:val="true"/>
        </w:trPr>
        <w:tc>
          <w:tcPr>
            <w:tcW w:type="dxa" w:w="4392"/>
            <w:shd w:val="clear" w:color="auto" w:fill="1F3355"/>
          </w:tcPr>
          <w:p>
            <w:pPr>
              <w:spacing w:before="60" w:after="60"/>
              <w:jc w:val="center"/>
            </w:pPr>
            <w:r/>
            <w:r>
              <w:rPr>
                <w:rFonts w:ascii="Times New Roman" w:hAnsi="Times New Roman"/>
                <w:b/>
                <w:color w:val="FFFFFF"/>
                <w:sz w:val="17"/>
              </w:rPr>
              <w:t>Condition</w:t>
            </w:r>
          </w:p>
        </w:tc>
        <w:tc>
          <w:tcPr>
            <w:tcW w:type="dxa" w:w="720"/>
            <w:shd w:val="clear" w:color="auto" w:fill="1F3355"/>
          </w:tcPr>
          <w:p>
            <w:pPr>
              <w:spacing w:before="60" w:after="60"/>
              <w:jc w:val="center"/>
            </w:pPr>
            <w:r/>
            <w:r>
              <w:rPr>
                <w:rFonts w:ascii="Times New Roman" w:hAnsi="Times New Roman"/>
                <w:b/>
                <w:color w:val="FFFFFF"/>
                <w:sz w:val="17"/>
              </w:rPr>
              <w:t>§</w:t>
            </w:r>
          </w:p>
        </w:tc>
        <w:tc>
          <w:tcPr>
            <w:tcW w:type="dxa" w:w="936"/>
            <w:shd w:val="clear" w:color="auto" w:fill="1F3355"/>
          </w:tcPr>
          <w:p>
            <w:pPr>
              <w:spacing w:before="60" w:after="60"/>
              <w:jc w:val="center"/>
            </w:pPr>
            <w:r/>
            <w:r>
              <w:rPr>
                <w:rFonts w:ascii="Times New Roman" w:hAnsi="Times New Roman"/>
                <w:b/>
                <w:color w:val="FFFFFF"/>
                <w:sz w:val="17"/>
              </w:rPr>
              <w:t>Issue</w:t>
            </w:r>
          </w:p>
        </w:tc>
        <w:tc>
          <w:tcPr>
            <w:tcW w:type="dxa" w:w="3240"/>
            <w:shd w:val="clear" w:color="auto" w:fill="1F3355"/>
          </w:tcPr>
          <w:p>
            <w:pPr>
              <w:spacing w:before="60" w:after="60"/>
              <w:jc w:val="center"/>
            </w:pPr>
            <w:r/>
            <w:r>
              <w:rPr>
                <w:rFonts w:ascii="Times New Roman" w:hAnsi="Times New Roman"/>
                <w:b/>
                <w:color w:val="FFFFFF"/>
                <w:sz w:val="17"/>
              </w:rPr>
              <w:t>Status</w:t>
            </w:r>
          </w:p>
        </w:tc>
      </w:tr>
      <w:tr>
        <w:trPr>
          <w:cantSplit w:val="true"/>
        </w:trPr>
        <w:tc>
          <w:tcPr>
            <w:tcW w:type="dxa" w:w="4392"/>
          </w:tcPr>
          <w:p>
            <w:pPr>
              <w:spacing w:before="40" w:after="40"/>
              <w:jc w:val="left"/>
            </w:pPr>
            <w:r/>
            <w:r>
              <w:rPr>
                <w:rFonts w:ascii="Times New Roman" w:hAnsi="Times New Roman"/>
                <w:b w:val="0"/>
                <w:i w:val="0"/>
                <w:sz w:val="17"/>
              </w:rPr>
              <w:t>Loan Documents executed and delivered</w:t>
            </w:r>
          </w:p>
        </w:tc>
        <w:tc>
          <w:tcPr>
            <w:tcW w:type="dxa" w:w="720"/>
          </w:tcPr>
          <w:p>
            <w:pPr>
              <w:spacing w:before="40" w:after="40"/>
              <w:jc w:val="left"/>
            </w:pPr>
            <w:r/>
            <w:r>
              <w:rPr>
                <w:rFonts w:ascii="Times New Roman" w:hAnsi="Times New Roman"/>
                <w:b w:val="0"/>
                <w:i w:val="0"/>
                <w:sz w:val="17"/>
              </w:rPr>
              <w:t>3.1</w:t>
            </w:r>
          </w:p>
        </w:tc>
        <w:tc>
          <w:tcPr>
            <w:tcW w:type="dxa" w:w="936"/>
          </w:tcPr>
          <w:p>
            <w:pPr>
              <w:spacing w:before="40" w:after="40"/>
              <w:jc w:val="left"/>
            </w:pPr>
            <w:r/>
            <w:r>
              <w:rPr>
                <w:rFonts w:ascii="Times New Roman" w:hAnsi="Times New Roman"/>
                <w:b w:val="0"/>
                <w:i w:val="0"/>
                <w:sz w:val="17"/>
              </w:rPr>
              <w:t>—</w:t>
            </w:r>
          </w:p>
        </w:tc>
        <w:tc>
          <w:tcPr>
            <w:tcW w:type="dxa" w:w="3240"/>
          </w:tcPr>
          <w:p>
            <w:pPr>
              <w:spacing w:before="40" w:after="40"/>
              <w:jc w:val="left"/>
            </w:pPr>
            <w:r/>
            <w:r>
              <w:rPr>
                <w:rFonts w:ascii="Times New Roman" w:hAnsi="Times New Roman"/>
                <w:b w:val="0"/>
                <w:i w:val="0"/>
                <w:sz w:val="17"/>
              </w:rPr>
              <w:t>Outstanding (draft circulated)</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Appraisal, Phase I, Phase II, geotechnical, updated Phase I if closing after 4/26/2025</w:t>
            </w:r>
          </w:p>
        </w:tc>
        <w:tc>
          <w:tcPr>
            <w:tcW w:type="dxa" w:w="720"/>
            <w:shd w:val="clear" w:color="auto" w:fill="F7F8FA"/>
          </w:tcPr>
          <w:p>
            <w:pPr>
              <w:spacing w:before="40" w:after="40"/>
              <w:jc w:val="left"/>
            </w:pPr>
            <w:r/>
            <w:r>
              <w:rPr>
                <w:rFonts w:ascii="Times New Roman" w:hAnsi="Times New Roman"/>
                <w:b w:val="0"/>
                <w:i w:val="0"/>
                <w:sz w:val="17"/>
              </w:rPr>
              <w:t>3.2</w:t>
            </w:r>
          </w:p>
        </w:tc>
        <w:tc>
          <w:tcPr>
            <w:tcW w:type="dxa" w:w="936"/>
            <w:shd w:val="clear" w:color="auto" w:fill="F7F8FA"/>
          </w:tcPr>
          <w:p>
            <w:pPr>
              <w:spacing w:before="40" w:after="40"/>
              <w:jc w:val="left"/>
            </w:pPr>
            <w:r/>
            <w:r>
              <w:rPr>
                <w:rFonts w:ascii="Times New Roman" w:hAnsi="Times New Roman"/>
                <w:b w:val="0"/>
                <w:i w:val="0"/>
                <w:sz w:val="17"/>
              </w:rPr>
              <w:t>6</w:t>
            </w:r>
          </w:p>
        </w:tc>
        <w:tc>
          <w:tcPr>
            <w:tcW w:type="dxa" w:w="3240"/>
            <w:shd w:val="clear" w:color="auto" w:fill="F7F8FA"/>
          </w:tcPr>
          <w:p>
            <w:pPr>
              <w:spacing w:before="40" w:after="40"/>
              <w:jc w:val="left"/>
            </w:pPr>
            <w:r/>
            <w:r>
              <w:rPr>
                <w:rFonts w:ascii="Times New Roman" w:hAnsi="Times New Roman"/>
                <w:b w:val="0"/>
                <w:i w:val="0"/>
                <w:sz w:val="17"/>
              </w:rPr>
              <w:t>Partially satisfied; Phase II and full appraisal not in Record</w:t>
            </w:r>
          </w:p>
        </w:tc>
      </w:tr>
      <w:tr>
        <w:trPr>
          <w:cantSplit w:val="true"/>
        </w:trPr>
        <w:tc>
          <w:tcPr>
            <w:tcW w:type="dxa" w:w="4392"/>
          </w:tcPr>
          <w:p>
            <w:pPr>
              <w:spacing w:before="40" w:after="40"/>
              <w:jc w:val="left"/>
            </w:pPr>
            <w:r/>
            <w:r>
              <w:rPr>
                <w:rFonts w:ascii="Times New Roman" w:hAnsi="Times New Roman"/>
                <w:b w:val="0"/>
                <w:i w:val="0"/>
                <w:sz w:val="17"/>
              </w:rPr>
              <w:t>Title policy (pro forma, endorsements, no mechanics' or prior deed of trust exceptions)</w:t>
            </w:r>
          </w:p>
        </w:tc>
        <w:tc>
          <w:tcPr>
            <w:tcW w:type="dxa" w:w="720"/>
          </w:tcPr>
          <w:p>
            <w:pPr>
              <w:spacing w:before="40" w:after="40"/>
              <w:jc w:val="left"/>
            </w:pPr>
            <w:r/>
            <w:r>
              <w:rPr>
                <w:rFonts w:ascii="Times New Roman" w:hAnsi="Times New Roman"/>
                <w:b w:val="0"/>
                <w:i w:val="0"/>
                <w:sz w:val="17"/>
              </w:rPr>
              <w:t>3.3</w:t>
            </w:r>
          </w:p>
        </w:tc>
        <w:tc>
          <w:tcPr>
            <w:tcW w:type="dxa" w:w="936"/>
          </w:tcPr>
          <w:p>
            <w:pPr>
              <w:spacing w:before="40" w:after="40"/>
              <w:jc w:val="left"/>
            </w:pPr>
            <w:r/>
            <w:r>
              <w:rPr>
                <w:rFonts w:ascii="Times New Roman" w:hAnsi="Times New Roman"/>
                <w:b w:val="0"/>
                <w:i w:val="0"/>
                <w:sz w:val="17"/>
              </w:rPr>
              <w:t>2, 10, 20</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ALTA survey with Table A items and Affected Area depiction</w:t>
            </w:r>
          </w:p>
        </w:tc>
        <w:tc>
          <w:tcPr>
            <w:tcW w:type="dxa" w:w="720"/>
            <w:shd w:val="clear" w:color="auto" w:fill="F7F8FA"/>
          </w:tcPr>
          <w:p>
            <w:pPr>
              <w:spacing w:before="40" w:after="40"/>
              <w:jc w:val="left"/>
            </w:pPr>
            <w:r/>
            <w:r>
              <w:rPr>
                <w:rFonts w:ascii="Times New Roman" w:hAnsi="Times New Roman"/>
                <w:b w:val="0"/>
                <w:i w:val="0"/>
                <w:sz w:val="17"/>
              </w:rPr>
              <w:t>3.4</w:t>
            </w:r>
          </w:p>
        </w:tc>
        <w:tc>
          <w:tcPr>
            <w:tcW w:type="dxa" w:w="936"/>
            <w:shd w:val="clear" w:color="auto" w:fill="F7F8FA"/>
          </w:tcPr>
          <w:p>
            <w:pPr>
              <w:spacing w:before="40" w:after="40"/>
              <w:jc w:val="left"/>
            </w:pPr>
            <w:r/>
            <w:r>
              <w:rPr>
                <w:rFonts w:ascii="Times New Roman" w:hAnsi="Times New Roman"/>
                <w:b w:val="0"/>
                <w:i w:val="0"/>
                <w:sz w:val="17"/>
              </w:rPr>
              <w:t>7</w:t>
            </w:r>
          </w:p>
        </w:tc>
        <w:tc>
          <w:tcPr>
            <w:tcW w:type="dxa" w:w="3240"/>
            <w:shd w:val="clear" w:color="auto" w:fill="F7F8FA"/>
          </w:tcPr>
          <w:p>
            <w:pPr>
              <w:spacing w:before="40" w:after="40"/>
              <w:jc w:val="left"/>
            </w:pPr>
            <w:r/>
            <w:r>
              <w:rPr>
                <w:rFonts w:ascii="Times New Roman" w:hAnsi="Times New Roman"/>
                <w:b w:val="0"/>
                <w:i w:val="0"/>
                <w:sz w:val="17"/>
              </w:rPr>
              <w:t>Outstanding</w:t>
            </w:r>
          </w:p>
        </w:tc>
      </w:tr>
      <w:tr>
        <w:trPr>
          <w:cantSplit w:val="true"/>
        </w:trPr>
        <w:tc>
          <w:tcPr>
            <w:tcW w:type="dxa" w:w="4392"/>
          </w:tcPr>
          <w:p>
            <w:pPr>
              <w:spacing w:before="40" w:after="40"/>
              <w:jc w:val="left"/>
            </w:pPr>
            <w:r/>
            <w:r>
              <w:rPr>
                <w:rFonts w:ascii="Times New Roman" w:hAnsi="Times New Roman"/>
                <w:b w:val="0"/>
                <w:i w:val="0"/>
                <w:sz w:val="17"/>
              </w:rPr>
              <w:t>NFA conditions (deed notice, soil plan, vapor design, overlay plan, reliance letter, PLL if required)</w:t>
            </w:r>
          </w:p>
        </w:tc>
        <w:tc>
          <w:tcPr>
            <w:tcW w:type="dxa" w:w="720"/>
          </w:tcPr>
          <w:p>
            <w:pPr>
              <w:spacing w:before="40" w:after="40"/>
              <w:jc w:val="left"/>
            </w:pPr>
            <w:r/>
            <w:r>
              <w:rPr>
                <w:rFonts w:ascii="Times New Roman" w:hAnsi="Times New Roman"/>
                <w:b w:val="0"/>
                <w:i w:val="0"/>
                <w:sz w:val="17"/>
              </w:rPr>
              <w:t>3.5</w:t>
            </w:r>
          </w:p>
        </w:tc>
        <w:tc>
          <w:tcPr>
            <w:tcW w:type="dxa" w:w="936"/>
          </w:tcPr>
          <w:p>
            <w:pPr>
              <w:spacing w:before="40" w:after="40"/>
              <w:jc w:val="left"/>
            </w:pPr>
            <w:r/>
            <w:r>
              <w:rPr>
                <w:rFonts w:ascii="Times New Roman" w:hAnsi="Times New Roman"/>
                <w:b w:val="0"/>
                <w:i w:val="0"/>
                <w:sz w:val="17"/>
              </w:rPr>
              <w:t>6, 8, 11</w:t>
            </w:r>
          </w:p>
        </w:tc>
        <w:tc>
          <w:tcPr>
            <w:tcW w:type="dxa" w:w="3240"/>
          </w:tcPr>
          <w:p>
            <w:pPr>
              <w:spacing w:before="40" w:after="40"/>
              <w:jc w:val="left"/>
            </w:pPr>
            <w:r/>
            <w:r>
              <w:rPr>
                <w:rFonts w:ascii="Times New Roman" w:hAnsi="Times New Roman"/>
                <w:b w:val="0"/>
                <w:i w:val="0"/>
                <w:sz w:val="17"/>
              </w:rPr>
              <w:t>Outstanding — gating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Historic district ARC approval or deemed approval; Association estoppel</w:t>
            </w:r>
          </w:p>
        </w:tc>
        <w:tc>
          <w:tcPr>
            <w:tcW w:type="dxa" w:w="720"/>
            <w:shd w:val="clear" w:color="auto" w:fill="F7F8FA"/>
          </w:tcPr>
          <w:p>
            <w:pPr>
              <w:spacing w:before="40" w:after="40"/>
              <w:jc w:val="left"/>
            </w:pPr>
            <w:r/>
            <w:r>
              <w:rPr>
                <w:rFonts w:ascii="Times New Roman" w:hAnsi="Times New Roman"/>
                <w:b w:val="0"/>
                <w:i w:val="0"/>
                <w:sz w:val="17"/>
              </w:rPr>
              <w:t>3.6</w:t>
            </w:r>
          </w:p>
        </w:tc>
        <w:tc>
          <w:tcPr>
            <w:tcW w:type="dxa" w:w="936"/>
            <w:shd w:val="clear" w:color="auto" w:fill="F7F8FA"/>
          </w:tcPr>
          <w:p>
            <w:pPr>
              <w:spacing w:before="40" w:after="40"/>
              <w:jc w:val="left"/>
            </w:pPr>
            <w:r/>
            <w:r>
              <w:rPr>
                <w:rFonts w:ascii="Times New Roman" w:hAnsi="Times New Roman"/>
                <w:b w:val="0"/>
                <w:i w:val="0"/>
                <w:sz w:val="17"/>
              </w:rPr>
              <w:t>9</w:t>
            </w:r>
          </w:p>
        </w:tc>
        <w:tc>
          <w:tcPr>
            <w:tcW w:type="dxa" w:w="3240"/>
            <w:shd w:val="clear" w:color="auto" w:fill="F7F8FA"/>
          </w:tcPr>
          <w:p>
            <w:pPr>
              <w:spacing w:before="40" w:after="40"/>
              <w:jc w:val="left"/>
            </w:pPr>
            <w:r/>
            <w:r>
              <w:rPr>
                <w:rFonts w:ascii="Times New Roman" w:hAnsi="Times New Roman"/>
                <w:b w:val="0"/>
                <w:i w:val="0"/>
                <w:sz w:val="17"/>
              </w:rPr>
              <w:t>Unverified; Appraisal and Title conflict</w:t>
            </w:r>
          </w:p>
        </w:tc>
      </w:tr>
      <w:tr>
        <w:trPr>
          <w:cantSplit w:val="true"/>
        </w:trPr>
        <w:tc>
          <w:tcPr>
            <w:tcW w:type="dxa" w:w="4392"/>
          </w:tcPr>
          <w:p>
            <w:pPr>
              <w:spacing w:before="40" w:after="40"/>
              <w:jc w:val="left"/>
            </w:pPr>
            <w:r/>
            <w:r>
              <w:rPr>
                <w:rFonts w:ascii="Times New Roman" w:hAnsi="Times New Roman"/>
                <w:b w:val="0"/>
                <w:i w:val="0"/>
                <w:sz w:val="17"/>
              </w:rPr>
              <w:t>Equity contribution deposited and source verified; corrected sources and uses</w:t>
            </w:r>
          </w:p>
        </w:tc>
        <w:tc>
          <w:tcPr>
            <w:tcW w:type="dxa" w:w="720"/>
          </w:tcPr>
          <w:p>
            <w:pPr>
              <w:spacing w:before="40" w:after="40"/>
              <w:jc w:val="left"/>
            </w:pPr>
            <w:r/>
            <w:r>
              <w:rPr>
                <w:rFonts w:ascii="Times New Roman" w:hAnsi="Times New Roman"/>
                <w:b w:val="0"/>
                <w:i w:val="0"/>
                <w:sz w:val="17"/>
              </w:rPr>
              <w:t>3.7</w:t>
            </w:r>
          </w:p>
        </w:tc>
        <w:tc>
          <w:tcPr>
            <w:tcW w:type="dxa" w:w="936"/>
          </w:tcPr>
          <w:p>
            <w:pPr>
              <w:spacing w:before="40" w:after="40"/>
              <w:jc w:val="left"/>
            </w:pPr>
            <w:r/>
            <w:r>
              <w:rPr>
                <w:rFonts w:ascii="Times New Roman" w:hAnsi="Times New Roman"/>
                <w:b w:val="0"/>
                <w:i w:val="0"/>
                <w:sz w:val="17"/>
              </w:rPr>
              <w:t>1, 3</w:t>
            </w:r>
          </w:p>
        </w:tc>
        <w:tc>
          <w:tcPr>
            <w:tcW w:type="dxa" w:w="3240"/>
          </w:tcPr>
          <w:p>
            <w:pPr>
              <w:spacing w:before="40" w:after="40"/>
              <w:jc w:val="left"/>
            </w:pPr>
            <w:r/>
            <w:r>
              <w:rPr>
                <w:rFonts w:ascii="Times New Roman" w:hAnsi="Times New Roman"/>
                <w:b w:val="0"/>
                <w:i w:val="0"/>
                <w:sz w:val="17"/>
              </w:rPr>
              <w:t>Outstanding — amount to be conformed</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Intercreditor agreement executed</w:t>
            </w:r>
          </w:p>
        </w:tc>
        <w:tc>
          <w:tcPr>
            <w:tcW w:type="dxa" w:w="720"/>
            <w:shd w:val="clear" w:color="auto" w:fill="F7F8FA"/>
          </w:tcPr>
          <w:p>
            <w:pPr>
              <w:spacing w:before="40" w:after="40"/>
              <w:jc w:val="left"/>
            </w:pPr>
            <w:r/>
            <w:r>
              <w:rPr>
                <w:rFonts w:ascii="Times New Roman" w:hAnsi="Times New Roman"/>
                <w:b w:val="0"/>
                <w:i w:val="0"/>
                <w:sz w:val="17"/>
              </w:rPr>
              <w:t>3.8</w:t>
            </w:r>
          </w:p>
        </w:tc>
        <w:tc>
          <w:tcPr>
            <w:tcW w:type="dxa" w:w="936"/>
            <w:shd w:val="clear" w:color="auto" w:fill="F7F8FA"/>
          </w:tcPr>
          <w:p>
            <w:pPr>
              <w:spacing w:before="40" w:after="40"/>
              <w:jc w:val="left"/>
            </w:pPr>
            <w:r/>
            <w:r>
              <w:rPr>
                <w:rFonts w:ascii="Times New Roman" w:hAnsi="Times New Roman"/>
                <w:b w:val="0"/>
                <w:i w:val="0"/>
                <w:sz w:val="17"/>
              </w:rPr>
              <w:t>17</w:t>
            </w:r>
          </w:p>
        </w:tc>
        <w:tc>
          <w:tcPr>
            <w:tcW w:type="dxa" w:w="3240"/>
            <w:shd w:val="clear" w:color="auto" w:fill="F7F8FA"/>
          </w:tcPr>
          <w:p>
            <w:pPr>
              <w:spacing w:before="40" w:after="40"/>
              <w:jc w:val="left"/>
            </w:pPr>
            <w:r/>
            <w:r>
              <w:rPr>
                <w:rFonts w:ascii="Times New Roman" w:hAnsi="Times New Roman"/>
                <w:b w:val="0"/>
                <w:i w:val="0"/>
                <w:sz w:val="17"/>
              </w:rPr>
              <w:t>Outstanding; not yet drafted on the Record</w:t>
            </w:r>
          </w:p>
        </w:tc>
      </w:tr>
      <w:tr>
        <w:trPr>
          <w:cantSplit w:val="true"/>
        </w:trPr>
        <w:tc>
          <w:tcPr>
            <w:tcW w:type="dxa" w:w="4392"/>
          </w:tcPr>
          <w:p>
            <w:pPr>
              <w:spacing w:before="40" w:after="40"/>
              <w:jc w:val="left"/>
            </w:pPr>
            <w:r/>
            <w:r>
              <w:rPr>
                <w:rFonts w:ascii="Times New Roman" w:hAnsi="Times New Roman"/>
                <w:b w:val="0"/>
                <w:i w:val="0"/>
                <w:sz w:val="17"/>
              </w:rPr>
              <w:t>SPE amendments, independent manager, member and Managing Member consents, non-consolidation opinion</w:t>
            </w:r>
          </w:p>
        </w:tc>
        <w:tc>
          <w:tcPr>
            <w:tcW w:type="dxa" w:w="720"/>
          </w:tcPr>
          <w:p>
            <w:pPr>
              <w:spacing w:before="40" w:after="40"/>
              <w:jc w:val="left"/>
            </w:pPr>
            <w:r/>
            <w:r>
              <w:rPr>
                <w:rFonts w:ascii="Times New Roman" w:hAnsi="Times New Roman"/>
                <w:b w:val="0"/>
                <w:i w:val="0"/>
                <w:sz w:val="17"/>
              </w:rPr>
              <w:t>3.9</w:t>
            </w:r>
          </w:p>
        </w:tc>
        <w:tc>
          <w:tcPr>
            <w:tcW w:type="dxa" w:w="936"/>
          </w:tcPr>
          <w:p>
            <w:pPr>
              <w:spacing w:before="40" w:after="40"/>
              <w:jc w:val="left"/>
            </w:pPr>
            <w:r/>
            <w:r>
              <w:rPr>
                <w:rFonts w:ascii="Times New Roman" w:hAnsi="Times New Roman"/>
                <w:b w:val="0"/>
                <w:i w:val="0"/>
                <w:sz w:val="17"/>
              </w:rPr>
              <w:t>15</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Organizational documents, good standing, incumbency, identification</w:t>
            </w:r>
          </w:p>
        </w:tc>
        <w:tc>
          <w:tcPr>
            <w:tcW w:type="dxa" w:w="720"/>
            <w:shd w:val="clear" w:color="auto" w:fill="F7F8FA"/>
          </w:tcPr>
          <w:p>
            <w:pPr>
              <w:spacing w:before="40" w:after="40"/>
              <w:jc w:val="left"/>
            </w:pPr>
            <w:r/>
            <w:r>
              <w:rPr>
                <w:rFonts w:ascii="Times New Roman" w:hAnsi="Times New Roman"/>
                <w:b w:val="0"/>
                <w:i w:val="0"/>
                <w:sz w:val="17"/>
              </w:rPr>
              <w:t>3.10</w:t>
            </w:r>
          </w:p>
        </w:tc>
        <w:tc>
          <w:tcPr>
            <w:tcW w:type="dxa" w:w="936"/>
            <w:shd w:val="clear" w:color="auto" w:fill="F7F8FA"/>
          </w:tcPr>
          <w:p>
            <w:pPr>
              <w:spacing w:before="40" w:after="40"/>
              <w:jc w:val="left"/>
            </w:pPr>
            <w:r/>
            <w:r>
              <w:rPr>
                <w:rFonts w:ascii="Times New Roman" w:hAnsi="Times New Roman"/>
                <w:b w:val="0"/>
                <w:i w:val="0"/>
                <w:sz w:val="17"/>
              </w:rPr>
              <w:t>—</w:t>
            </w:r>
          </w:p>
        </w:tc>
        <w:tc>
          <w:tcPr>
            <w:tcW w:type="dxa" w:w="3240"/>
            <w:shd w:val="clear" w:color="auto" w:fill="F7F8FA"/>
          </w:tcPr>
          <w:p>
            <w:pPr>
              <w:spacing w:before="40" w:after="40"/>
              <w:jc w:val="left"/>
            </w:pPr>
            <w:r/>
            <w:r>
              <w:rPr>
                <w:rFonts w:ascii="Times New Roman" w:hAnsi="Times New Roman"/>
                <w:b w:val="0"/>
                <w:i w:val="0"/>
                <w:sz w:val="17"/>
              </w:rPr>
              <w:t>Partially in Record</w:t>
            </w:r>
          </w:p>
        </w:tc>
      </w:tr>
      <w:tr>
        <w:trPr>
          <w:cantSplit w:val="true"/>
        </w:trPr>
        <w:tc>
          <w:tcPr>
            <w:tcW w:type="dxa" w:w="4392"/>
          </w:tcPr>
          <w:p>
            <w:pPr>
              <w:spacing w:before="40" w:after="40"/>
              <w:jc w:val="left"/>
            </w:pPr>
            <w:r/>
            <w:r>
              <w:rPr>
                <w:rFonts w:ascii="Times New Roman" w:hAnsi="Times New Roman"/>
                <w:b w:val="0"/>
                <w:i w:val="0"/>
                <w:sz w:val="17"/>
              </w:rPr>
              <w:t>Construction contract, architect's agreement, plans, permits, schedule, bonding, scope exclusions</w:t>
            </w:r>
          </w:p>
        </w:tc>
        <w:tc>
          <w:tcPr>
            <w:tcW w:type="dxa" w:w="720"/>
          </w:tcPr>
          <w:p>
            <w:pPr>
              <w:spacing w:before="40" w:after="40"/>
              <w:jc w:val="left"/>
            </w:pPr>
            <w:r/>
            <w:r>
              <w:rPr>
                <w:rFonts w:ascii="Times New Roman" w:hAnsi="Times New Roman"/>
                <w:b w:val="0"/>
                <w:i w:val="0"/>
                <w:sz w:val="17"/>
              </w:rPr>
              <w:t>3.11</w:t>
            </w:r>
          </w:p>
        </w:tc>
        <w:tc>
          <w:tcPr>
            <w:tcW w:type="dxa" w:w="936"/>
          </w:tcPr>
          <w:p>
            <w:pPr>
              <w:spacing w:before="40" w:after="40"/>
              <w:jc w:val="left"/>
            </w:pPr>
            <w:r/>
            <w:r>
              <w:rPr>
                <w:rFonts w:ascii="Times New Roman" w:hAnsi="Times New Roman"/>
                <w:b w:val="0"/>
                <w:i w:val="0"/>
                <w:sz w:val="17"/>
              </w:rPr>
              <w:t>5</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Permits, zoning compliance letter, erosion control, impact fee payments</w:t>
            </w:r>
          </w:p>
        </w:tc>
        <w:tc>
          <w:tcPr>
            <w:tcW w:type="dxa" w:w="720"/>
            <w:shd w:val="clear" w:color="auto" w:fill="F7F8FA"/>
          </w:tcPr>
          <w:p>
            <w:pPr>
              <w:spacing w:before="40" w:after="40"/>
              <w:jc w:val="left"/>
            </w:pPr>
            <w:r/>
            <w:r>
              <w:rPr>
                <w:rFonts w:ascii="Times New Roman" w:hAnsi="Times New Roman"/>
                <w:b w:val="0"/>
                <w:i w:val="0"/>
                <w:sz w:val="17"/>
              </w:rPr>
              <w:t>3.12</w:t>
            </w:r>
          </w:p>
        </w:tc>
        <w:tc>
          <w:tcPr>
            <w:tcW w:type="dxa" w:w="936"/>
            <w:shd w:val="clear" w:color="auto" w:fill="F7F8FA"/>
          </w:tcPr>
          <w:p>
            <w:pPr>
              <w:spacing w:before="40" w:after="40"/>
              <w:jc w:val="left"/>
            </w:pPr>
            <w:r/>
            <w:r>
              <w:rPr>
                <w:rFonts w:ascii="Times New Roman" w:hAnsi="Times New Roman"/>
                <w:b w:val="0"/>
                <w:i w:val="0"/>
                <w:sz w:val="17"/>
              </w:rPr>
              <w:t>—</w:t>
            </w:r>
          </w:p>
        </w:tc>
        <w:tc>
          <w:tcPr>
            <w:tcW w:type="dxa" w:w="3240"/>
            <w:shd w:val="clear" w:color="auto" w:fill="F7F8FA"/>
          </w:tcPr>
          <w:p>
            <w:pPr>
              <w:spacing w:before="40" w:after="40"/>
              <w:jc w:val="left"/>
            </w:pPr>
            <w:r/>
            <w:r>
              <w:rPr>
                <w:rFonts w:ascii="Times New Roman" w:hAnsi="Times New Roman"/>
                <w:b w:val="0"/>
                <w:i w:val="0"/>
                <w:sz w:val="17"/>
              </w:rPr>
              <w:t>Outstanding</w:t>
            </w:r>
          </w:p>
        </w:tc>
      </w:tr>
      <w:tr>
        <w:trPr>
          <w:cantSplit w:val="true"/>
        </w:trPr>
        <w:tc>
          <w:tcPr>
            <w:tcW w:type="dxa" w:w="4392"/>
          </w:tcPr>
          <w:p>
            <w:pPr>
              <w:spacing w:before="40" w:after="40"/>
              <w:jc w:val="left"/>
            </w:pPr>
            <w:r/>
            <w:r>
              <w:rPr>
                <w:rFonts w:ascii="Times New Roman" w:hAnsi="Times New Roman"/>
                <w:b w:val="0"/>
                <w:i w:val="0"/>
                <w:sz w:val="17"/>
              </w:rPr>
              <w:t>Construction and mini-perm insurance</w:t>
            </w:r>
          </w:p>
        </w:tc>
        <w:tc>
          <w:tcPr>
            <w:tcW w:type="dxa" w:w="720"/>
          </w:tcPr>
          <w:p>
            <w:pPr>
              <w:spacing w:before="40" w:after="40"/>
              <w:jc w:val="left"/>
            </w:pPr>
            <w:r/>
            <w:r>
              <w:rPr>
                <w:rFonts w:ascii="Times New Roman" w:hAnsi="Times New Roman"/>
                <w:b w:val="0"/>
                <w:i w:val="0"/>
                <w:sz w:val="17"/>
              </w:rPr>
              <w:t>3.13</w:t>
            </w:r>
          </w:p>
        </w:tc>
        <w:tc>
          <w:tcPr>
            <w:tcW w:type="dxa" w:w="936"/>
          </w:tcPr>
          <w:p>
            <w:pPr>
              <w:spacing w:before="40" w:after="40"/>
              <w:jc w:val="left"/>
            </w:pPr>
            <w:r/>
            <w:r>
              <w:rPr>
                <w:rFonts w:ascii="Times New Roman" w:hAnsi="Times New Roman"/>
                <w:b w:val="0"/>
                <w:i w:val="0"/>
                <w:sz w:val="17"/>
              </w:rPr>
              <w:t>18</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Payoff and release of the Triangle Commercial Bank deed of trust</w:t>
            </w:r>
          </w:p>
        </w:tc>
        <w:tc>
          <w:tcPr>
            <w:tcW w:type="dxa" w:w="720"/>
            <w:shd w:val="clear" w:color="auto" w:fill="F7F8FA"/>
          </w:tcPr>
          <w:p>
            <w:pPr>
              <w:spacing w:before="40" w:after="40"/>
              <w:jc w:val="left"/>
            </w:pPr>
            <w:r/>
            <w:r>
              <w:rPr>
                <w:rFonts w:ascii="Times New Roman" w:hAnsi="Times New Roman"/>
                <w:b w:val="0"/>
                <w:i w:val="0"/>
                <w:sz w:val="17"/>
              </w:rPr>
              <w:t>3.14</w:t>
            </w:r>
          </w:p>
        </w:tc>
        <w:tc>
          <w:tcPr>
            <w:tcW w:type="dxa" w:w="936"/>
            <w:shd w:val="clear" w:color="auto" w:fill="F7F8FA"/>
          </w:tcPr>
          <w:p>
            <w:pPr>
              <w:spacing w:before="40" w:after="40"/>
              <w:jc w:val="left"/>
            </w:pPr>
            <w:r/>
            <w:r>
              <w:rPr>
                <w:rFonts w:ascii="Times New Roman" w:hAnsi="Times New Roman"/>
                <w:b w:val="0"/>
                <w:i w:val="0"/>
                <w:sz w:val="17"/>
              </w:rPr>
              <w:t>2</w:t>
            </w:r>
          </w:p>
        </w:tc>
        <w:tc>
          <w:tcPr>
            <w:tcW w:type="dxa" w:w="3240"/>
            <w:shd w:val="clear" w:color="auto" w:fill="F7F8FA"/>
          </w:tcPr>
          <w:p>
            <w:pPr>
              <w:spacing w:before="40" w:after="40"/>
              <w:jc w:val="left"/>
            </w:pPr>
            <w:r/>
            <w:r>
              <w:rPr>
                <w:rFonts w:ascii="Times New Roman" w:hAnsi="Times New Roman"/>
                <w:b w:val="0"/>
                <w:i w:val="0"/>
                <w:sz w:val="17"/>
              </w:rPr>
              <w:t>Outstanding — gating</w:t>
            </w:r>
          </w:p>
        </w:tc>
      </w:tr>
      <w:tr>
        <w:trPr>
          <w:cantSplit w:val="true"/>
        </w:trPr>
        <w:tc>
          <w:tcPr>
            <w:tcW w:type="dxa" w:w="4392"/>
          </w:tcPr>
          <w:p>
            <w:pPr>
              <w:spacing w:before="40" w:after="40"/>
              <w:jc w:val="left"/>
            </w:pPr>
            <w:r/>
            <w:r>
              <w:rPr>
                <w:rFonts w:ascii="Times New Roman" w:hAnsi="Times New Roman"/>
                <w:b w:val="0"/>
                <w:i w:val="0"/>
                <w:sz w:val="17"/>
              </w:rPr>
              <w:t>Lien waivers and no-prior-work affidavits</w:t>
            </w:r>
          </w:p>
        </w:tc>
        <w:tc>
          <w:tcPr>
            <w:tcW w:type="dxa" w:w="720"/>
          </w:tcPr>
          <w:p>
            <w:pPr>
              <w:spacing w:before="40" w:after="40"/>
              <w:jc w:val="left"/>
            </w:pPr>
            <w:r/>
            <w:r>
              <w:rPr>
                <w:rFonts w:ascii="Times New Roman" w:hAnsi="Times New Roman"/>
                <w:b w:val="0"/>
                <w:i w:val="0"/>
                <w:sz w:val="17"/>
              </w:rPr>
              <w:t>3.15</w:t>
            </w:r>
          </w:p>
        </w:tc>
        <w:tc>
          <w:tcPr>
            <w:tcW w:type="dxa" w:w="936"/>
          </w:tcPr>
          <w:p>
            <w:pPr>
              <w:spacing w:before="40" w:after="40"/>
              <w:jc w:val="left"/>
            </w:pPr>
            <w:r/>
            <w:r>
              <w:rPr>
                <w:rFonts w:ascii="Times New Roman" w:hAnsi="Times New Roman"/>
                <w:b w:val="0"/>
                <w:i w:val="0"/>
                <w:sz w:val="17"/>
              </w:rPr>
              <w:t>10</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Financial statements, guarantor verification, tax returns</w:t>
            </w:r>
          </w:p>
        </w:tc>
        <w:tc>
          <w:tcPr>
            <w:tcW w:type="dxa" w:w="720"/>
            <w:shd w:val="clear" w:color="auto" w:fill="F7F8FA"/>
          </w:tcPr>
          <w:p>
            <w:pPr>
              <w:spacing w:before="40" w:after="40"/>
              <w:jc w:val="left"/>
            </w:pPr>
            <w:r/>
            <w:r>
              <w:rPr>
                <w:rFonts w:ascii="Times New Roman" w:hAnsi="Times New Roman"/>
                <w:b w:val="0"/>
                <w:i w:val="0"/>
                <w:sz w:val="17"/>
              </w:rPr>
              <w:t>3.16</w:t>
            </w:r>
          </w:p>
        </w:tc>
        <w:tc>
          <w:tcPr>
            <w:tcW w:type="dxa" w:w="936"/>
            <w:shd w:val="clear" w:color="auto" w:fill="F7F8FA"/>
          </w:tcPr>
          <w:p>
            <w:pPr>
              <w:spacing w:before="40" w:after="40"/>
              <w:jc w:val="left"/>
            </w:pPr>
            <w:r/>
            <w:r>
              <w:rPr>
                <w:rFonts w:ascii="Times New Roman" w:hAnsi="Times New Roman"/>
                <w:b w:val="0"/>
                <w:i w:val="0"/>
                <w:sz w:val="17"/>
              </w:rPr>
              <w:t>14</w:t>
            </w:r>
          </w:p>
        </w:tc>
        <w:tc>
          <w:tcPr>
            <w:tcW w:type="dxa" w:w="3240"/>
            <w:shd w:val="clear" w:color="auto" w:fill="F7F8FA"/>
          </w:tcPr>
          <w:p>
            <w:pPr>
              <w:spacing w:before="40" w:after="40"/>
              <w:jc w:val="left"/>
            </w:pPr>
            <w:r/>
            <w:r>
              <w:rPr>
                <w:rFonts w:ascii="Times New Roman" w:hAnsi="Times New Roman"/>
                <w:b w:val="0"/>
                <w:i w:val="0"/>
                <w:sz w:val="17"/>
              </w:rPr>
              <w:t>Outstanding</w:t>
            </w:r>
          </w:p>
        </w:tc>
      </w:tr>
      <w:tr>
        <w:trPr>
          <w:cantSplit w:val="true"/>
        </w:trPr>
        <w:tc>
          <w:tcPr>
            <w:tcW w:type="dxa" w:w="4392"/>
          </w:tcPr>
          <w:p>
            <w:pPr>
              <w:spacing w:before="40" w:after="40"/>
              <w:jc w:val="left"/>
            </w:pPr>
            <w:r/>
            <w:r>
              <w:rPr>
                <w:rFonts w:ascii="Times New Roman" w:hAnsi="Times New Roman"/>
                <w:b w:val="0"/>
                <w:i w:val="0"/>
                <w:sz w:val="17"/>
              </w:rPr>
              <w:t>Legal opinions (enforceability, perfection, non-consolidation)</w:t>
            </w:r>
          </w:p>
        </w:tc>
        <w:tc>
          <w:tcPr>
            <w:tcW w:type="dxa" w:w="720"/>
          </w:tcPr>
          <w:p>
            <w:pPr>
              <w:spacing w:before="40" w:after="40"/>
              <w:jc w:val="left"/>
            </w:pPr>
            <w:r/>
            <w:r>
              <w:rPr>
                <w:rFonts w:ascii="Times New Roman" w:hAnsi="Times New Roman"/>
                <w:b w:val="0"/>
                <w:i w:val="0"/>
                <w:sz w:val="17"/>
              </w:rPr>
              <w:t>3.17</w:t>
            </w:r>
          </w:p>
        </w:tc>
        <w:tc>
          <w:tcPr>
            <w:tcW w:type="dxa" w:w="936"/>
          </w:tcPr>
          <w:p>
            <w:pPr>
              <w:spacing w:before="40" w:after="40"/>
              <w:jc w:val="left"/>
            </w:pPr>
            <w:r/>
            <w:r>
              <w:rPr>
                <w:rFonts w:ascii="Times New Roman" w:hAnsi="Times New Roman"/>
                <w:b w:val="0"/>
                <w:i w:val="0"/>
                <w:sz w:val="17"/>
              </w:rPr>
              <w:t>—</w:t>
            </w:r>
          </w:p>
        </w:tc>
        <w:tc>
          <w:tcPr>
            <w:tcW w:type="dxa" w:w="3240"/>
          </w:tcPr>
          <w:p>
            <w:pPr>
              <w:spacing w:before="40" w:after="40"/>
              <w:jc w:val="left"/>
            </w:pPr>
            <w:r/>
            <w:r>
              <w:rPr>
                <w:rFonts w:ascii="Times New Roman" w:hAnsi="Times New Roman"/>
                <w:b w:val="0"/>
                <w:i w:val="0"/>
                <w:sz w:val="17"/>
              </w:rPr>
              <w:t>Outstanding</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Fees, expenses, excise tax, title premiums</w:t>
            </w:r>
          </w:p>
        </w:tc>
        <w:tc>
          <w:tcPr>
            <w:tcW w:type="dxa" w:w="720"/>
            <w:shd w:val="clear" w:color="auto" w:fill="F7F8FA"/>
          </w:tcPr>
          <w:p>
            <w:pPr>
              <w:spacing w:before="40" w:after="40"/>
              <w:jc w:val="left"/>
            </w:pPr>
            <w:r/>
            <w:r>
              <w:rPr>
                <w:rFonts w:ascii="Times New Roman" w:hAnsi="Times New Roman"/>
                <w:b w:val="0"/>
                <w:i w:val="0"/>
                <w:sz w:val="17"/>
              </w:rPr>
              <w:t>3.18</w:t>
            </w:r>
          </w:p>
        </w:tc>
        <w:tc>
          <w:tcPr>
            <w:tcW w:type="dxa" w:w="936"/>
            <w:shd w:val="clear" w:color="auto" w:fill="F7F8FA"/>
          </w:tcPr>
          <w:p>
            <w:pPr>
              <w:spacing w:before="40" w:after="40"/>
              <w:jc w:val="left"/>
            </w:pPr>
            <w:r/>
            <w:r>
              <w:rPr>
                <w:rFonts w:ascii="Times New Roman" w:hAnsi="Times New Roman"/>
                <w:b w:val="0"/>
                <w:i w:val="0"/>
                <w:sz w:val="17"/>
              </w:rPr>
              <w:t>21</w:t>
            </w:r>
          </w:p>
        </w:tc>
        <w:tc>
          <w:tcPr>
            <w:tcW w:type="dxa" w:w="3240"/>
            <w:shd w:val="clear" w:color="auto" w:fill="F7F8FA"/>
          </w:tcPr>
          <w:p>
            <w:pPr>
              <w:spacing w:before="40" w:after="40"/>
              <w:jc w:val="left"/>
            </w:pPr>
            <w:r/>
            <w:r>
              <w:rPr>
                <w:rFonts w:ascii="Times New Roman" w:hAnsi="Times New Roman"/>
                <w:b w:val="0"/>
                <w:i w:val="0"/>
                <w:sz w:val="17"/>
              </w:rPr>
              <w:t>To be quantified at closing</w:t>
            </w:r>
          </w:p>
        </w:tc>
      </w:tr>
      <w:tr>
        <w:trPr>
          <w:cantSplit w:val="true"/>
        </w:trPr>
        <w:tc>
          <w:tcPr>
            <w:tcW w:type="dxa" w:w="4392"/>
          </w:tcPr>
          <w:p>
            <w:pPr>
              <w:spacing w:before="40" w:after="40"/>
              <w:jc w:val="left"/>
            </w:pPr>
            <w:r/>
            <w:r>
              <w:rPr>
                <w:rFonts w:ascii="Times New Roman" w:hAnsi="Times New Roman"/>
                <w:b w:val="0"/>
                <w:i w:val="0"/>
                <w:sz w:val="17"/>
              </w:rPr>
              <w:t>No material adverse change; Committee re-approval of any change from the January 22 approval</w:t>
            </w:r>
          </w:p>
        </w:tc>
        <w:tc>
          <w:tcPr>
            <w:tcW w:type="dxa" w:w="720"/>
          </w:tcPr>
          <w:p>
            <w:pPr>
              <w:spacing w:before="40" w:after="40"/>
              <w:jc w:val="left"/>
            </w:pPr>
            <w:r/>
            <w:r>
              <w:rPr>
                <w:rFonts w:ascii="Times New Roman" w:hAnsi="Times New Roman"/>
                <w:b w:val="0"/>
                <w:i w:val="0"/>
                <w:sz w:val="17"/>
              </w:rPr>
              <w:t>3.19</w:t>
            </w:r>
          </w:p>
        </w:tc>
        <w:tc>
          <w:tcPr>
            <w:tcW w:type="dxa" w:w="936"/>
          </w:tcPr>
          <w:p>
            <w:pPr>
              <w:spacing w:before="40" w:after="40"/>
              <w:jc w:val="left"/>
            </w:pPr>
            <w:r/>
            <w:r>
              <w:rPr>
                <w:rFonts w:ascii="Times New Roman" w:hAnsi="Times New Roman"/>
                <w:b w:val="0"/>
                <w:i w:val="0"/>
                <w:sz w:val="17"/>
              </w:rPr>
              <w:t>—</w:t>
            </w:r>
          </w:p>
        </w:tc>
        <w:tc>
          <w:tcPr>
            <w:tcW w:type="dxa" w:w="3240"/>
          </w:tcPr>
          <w:p>
            <w:pPr>
              <w:spacing w:before="40" w:after="40"/>
              <w:jc w:val="left"/>
            </w:pPr>
            <w:r/>
            <w:r>
              <w:rPr>
                <w:rFonts w:ascii="Times New Roman" w:hAnsi="Times New Roman"/>
                <w:b w:val="0"/>
                <w:i w:val="0"/>
                <w:sz w:val="17"/>
              </w:rPr>
              <w:t>Any change to the loan amount, equity or interest reserve requires re-approval</w:t>
            </w:r>
          </w:p>
        </w:tc>
      </w:tr>
      <w:tr>
        <w:trPr>
          <w:cantSplit w:val="true"/>
        </w:trPr>
        <w:tc>
          <w:tcPr>
            <w:tcW w:type="dxa" w:w="4392"/>
            <w:shd w:val="clear" w:color="auto" w:fill="F7F8FA"/>
          </w:tcPr>
          <w:p>
            <w:pPr>
              <w:spacing w:before="40" w:after="40"/>
              <w:jc w:val="left"/>
            </w:pPr>
            <w:r/>
            <w:r>
              <w:rPr>
                <w:rFonts w:ascii="Times New Roman" w:hAnsi="Times New Roman"/>
                <w:b w:val="0"/>
                <w:i w:val="0"/>
                <w:sz w:val="17"/>
              </w:rPr>
              <w:t>Environmental consultant reliance letter and confirmations</w:t>
            </w:r>
          </w:p>
        </w:tc>
        <w:tc>
          <w:tcPr>
            <w:tcW w:type="dxa" w:w="720"/>
            <w:shd w:val="clear" w:color="auto" w:fill="F7F8FA"/>
          </w:tcPr>
          <w:p>
            <w:pPr>
              <w:spacing w:before="40" w:after="40"/>
              <w:jc w:val="left"/>
            </w:pPr>
            <w:r/>
            <w:r>
              <w:rPr>
                <w:rFonts w:ascii="Times New Roman" w:hAnsi="Times New Roman"/>
                <w:b w:val="0"/>
                <w:i w:val="0"/>
                <w:sz w:val="17"/>
              </w:rPr>
              <w:t>3.20</w:t>
            </w:r>
          </w:p>
        </w:tc>
        <w:tc>
          <w:tcPr>
            <w:tcW w:type="dxa" w:w="936"/>
            <w:shd w:val="clear" w:color="auto" w:fill="F7F8FA"/>
          </w:tcPr>
          <w:p>
            <w:pPr>
              <w:spacing w:before="40" w:after="40"/>
              <w:jc w:val="left"/>
            </w:pPr>
            <w:r/>
            <w:r>
              <w:rPr>
                <w:rFonts w:ascii="Times New Roman" w:hAnsi="Times New Roman"/>
                <w:b w:val="0"/>
                <w:i w:val="0"/>
                <w:sz w:val="17"/>
              </w:rPr>
              <w:t>6, 11</w:t>
            </w:r>
          </w:p>
        </w:tc>
        <w:tc>
          <w:tcPr>
            <w:tcW w:type="dxa" w:w="3240"/>
            <w:shd w:val="clear" w:color="auto" w:fill="F7F8FA"/>
          </w:tcPr>
          <w:p>
            <w:pPr>
              <w:spacing w:before="40" w:after="40"/>
              <w:jc w:val="left"/>
            </w:pPr>
            <w:r/>
            <w:r>
              <w:rPr>
                <w:rFonts w:ascii="Times New Roman" w:hAnsi="Times New Roman"/>
                <w:b w:val="0"/>
                <w:i w:val="0"/>
                <w:sz w:val="17"/>
              </w:rPr>
              <w:t>Partially in Record (Phase I Appendix G)</w:t>
            </w:r>
          </w:p>
        </w:tc>
      </w:tr>
    </w:tbl>
    <w:p>
      <w:pPr>
        <w:spacing w:after="40"/>
      </w:pPr>
    </w:p>
    <w:p>
      <w:pPr>
        <w:pStyle w:val="Heading1"/>
        <w:spacing w:before="360"/>
      </w:pPr>
      <w:r>
        <w:rPr>
          <w:rFonts w:ascii="Times New Roman" w:hAnsi="Times New Roman"/>
          <w:b/>
          <w:sz w:val="24"/>
        </w:rPr>
        <w:t>X.  DRAFTING CONVENTIONS, RELIANCE AND QUALIFICATIONS</w:t>
      </w:r>
    </w:p>
    <w:p>
      <w:pPr>
        <w:spacing w:after="100"/>
        <w:ind w:left="576" w:hanging="288"/>
      </w:pPr>
      <w:r>
        <w:rPr>
          <w:rFonts w:ascii="Times New Roman" w:hAnsi="Times New Roman"/>
        </w:rPr>
        <w:t>•</w:t>
        <w:tab/>
      </w:r>
      <w:r>
        <w:rPr>
          <w:rFonts w:ascii="Times New Roman" w:hAnsi="Times New Roman"/>
          <w:b w:val="0"/>
          <w:i w:val="0"/>
          <w:sz w:val="19"/>
        </w:rPr>
        <w:t>The draft Loan Agreement is a first draft prepared by Bank counsel for discussion. It follows the Term Sheet and the Credit Memorandum, except where those documents conflict or are incomplete, in which case it adopts the position recommended in this memorandum. Every such departure is identified in a bracketed Drafting Note keyed to the issue numbers above.</w:t>
      </w:r>
    </w:p>
    <w:p>
      <w:pPr>
        <w:spacing w:after="100"/>
        <w:ind w:left="576" w:hanging="288"/>
      </w:pPr>
      <w:r>
        <w:rPr>
          <w:rFonts w:ascii="Times New Roman" w:hAnsi="Times New Roman"/>
        </w:rPr>
        <w:t>•</w:t>
        <w:tab/>
      </w:r>
      <w:r>
        <w:rPr>
          <w:rFonts w:ascii="Times New Roman" w:hAnsi="Times New Roman"/>
          <w:b w:val="0"/>
          <w:i w:val="0"/>
          <w:sz w:val="19"/>
        </w:rPr>
        <w:t>Bracketed items (for example “$[4,080,000]” and “$[60,780,000]”) are amounts we have computed but which cannot be fixed until the payoff and the land-funding questions are answered. They are not placeholders in the ordinary sense; they are the arithmetic consequence of the corrected budget and should be conformed, not deleted, at closing.</w:t>
      </w:r>
    </w:p>
    <w:p>
      <w:pPr>
        <w:spacing w:after="100"/>
        <w:ind w:left="576" w:hanging="288"/>
      </w:pPr>
      <w:r>
        <w:rPr>
          <w:rFonts w:ascii="Times New Roman" w:hAnsi="Times New Roman"/>
        </w:rPr>
        <w:t>•</w:t>
        <w:tab/>
      </w:r>
      <w:r>
        <w:rPr>
          <w:rFonts w:ascii="Times New Roman" w:hAnsi="Times New Roman"/>
          <w:b w:val="0"/>
          <w:i w:val="0"/>
          <w:sz w:val="19"/>
        </w:rPr>
        <w:t>Schedules 1 and 2 differ from the corresponding schedules in the Term Sheet and in Borrower's delivered schedule because those schedules do not foot. The differences are reconciled in Section V.4 and should be explained to Borrower when the draft is circulated.</w:t>
      </w:r>
    </w:p>
    <w:p>
      <w:pPr>
        <w:spacing w:after="100"/>
        <w:ind w:left="576" w:hanging="288"/>
      </w:pPr>
      <w:r>
        <w:rPr>
          <w:rFonts w:ascii="Times New Roman" w:hAnsi="Times New Roman"/>
        </w:rPr>
        <w:t>•</w:t>
        <w:tab/>
      </w:r>
      <w:r>
        <w:rPr>
          <w:rFonts w:ascii="Times New Roman" w:hAnsi="Times New Roman"/>
          <w:b w:val="0"/>
          <w:i w:val="0"/>
          <w:sz w:val="19"/>
        </w:rPr>
        <w:t>The draft assumes that the Bank will continue to treat the Mezzanine Loan as debt and not as equity, consistent with the Credit Memorandum. If the parties later restructure the mezzanine as preferred equity, the loan-to-cost, loan-to-value, HVCRE and single-purpose entity analyses all change and the draft must be revised.</w:t>
      </w:r>
    </w:p>
    <w:p>
      <w:pPr>
        <w:spacing w:after="100"/>
        <w:ind w:left="576" w:hanging="288"/>
      </w:pPr>
      <w:r>
        <w:rPr>
          <w:rFonts w:ascii="Times New Roman" w:hAnsi="Times New Roman"/>
        </w:rPr>
        <w:t>•</w:t>
        <w:tab/>
      </w:r>
      <w:r>
        <w:rPr>
          <w:rFonts w:ascii="Times New Roman" w:hAnsi="Times New Roman"/>
          <w:b w:val="0"/>
          <w:i w:val="0"/>
          <w:sz w:val="19"/>
        </w:rPr>
        <w:t>We have not reviewed the full appraisal report, the Phase II report, the NFA Letter, the survey, the GMP contract, the complete Operating Agreement, any financial statement, the mezzanine documents or a draft intercreditor agreement. Our conclusions on those documents are necessarily limited, and several are expressly conditional on seeing them (Issues 6, 7, 11, 14, 17 and 22).</w:t>
      </w:r>
    </w:p>
    <w:p>
      <w:pPr>
        <w:spacing w:after="100"/>
        <w:ind w:left="576" w:hanging="288"/>
      </w:pPr>
      <w:r>
        <w:rPr>
          <w:rFonts w:ascii="Times New Roman" w:hAnsi="Times New Roman"/>
        </w:rPr>
        <w:t>•</w:t>
        <w:tab/>
      </w:r>
      <w:r>
        <w:rPr>
          <w:rFonts w:ascii="Times New Roman" w:hAnsi="Times New Roman"/>
          <w:b w:val="0"/>
          <w:i w:val="0"/>
          <w:sz w:val="19"/>
        </w:rPr>
        <w:t>Nothing in this memorandum is a credit recommendation. The credit decision, the sizing of the equity contribution, and any waiver of the loan-to-cost or loan-to-value requirements are matters for the Senior Loan Committee, which should record its determination in writing given the discrepancies identified above.</w:t>
      </w:r>
    </w:p>
    <w:p>
      <w:pPr>
        <w:spacing w:before="120" w:after="120"/>
        <w:pBdr>
          <w:bottom w:val="single" w:sz="4" w:space="1" w:color="999999"/>
        </w:pBdr>
      </w:pPr>
    </w:p>
    <w:p>
      <w:pPr>
        <w:spacing w:before="160"/>
      </w:pPr>
      <w:r>
        <w:rPr>
          <w:rFonts w:ascii="Times New Roman" w:hAnsi="Times New Roman"/>
          <w:b w:val="0"/>
          <w:i w:val="0"/>
          <w:sz w:val="20"/>
        </w:rPr>
        <w:t>Please contact either of us to discuss. We can turn the corrected sources and uses and the conformed draw schedule into a one-page reconciliation for Committee action, and we recommend a call with Borrower's counsel before the draft is circulated so that the three threshold questions (source of the land funds, the payoff amount, and NCDEQ's position on residential occupancy above the affected area) are answered in parallel rather than sequentially.</w:t>
      </w:r>
    </w:p>
    <w:p>
      <w:pPr>
        <w:spacing w:before="240"/>
      </w:pPr>
      <w:r>
        <w:rPr>
          <w:rFonts w:ascii="Times New Roman" w:hAnsi="Times New Roman"/>
          <w:b/>
          <w:i w:val="0"/>
          <w:sz w:val="20"/>
        </w:rPr>
        <w:t>Ashford, Cromdale Consulting &amp; Laine LLP</w:t>
      </w:r>
    </w:p>
    <w:p>
      <w:r>
        <w:rPr>
          <w:rFonts w:ascii="Times New Roman" w:hAnsi="Times New Roman"/>
          <w:b w:val="0"/>
          <w:i w:val="0"/>
          <w:sz w:val="20"/>
        </w:rPr>
        <w:t>Katharine Drummond, Partner  |  Marcus Webb, Associate</w:t>
      </w:r>
    </w:p>
    <w:p>
      <w:r>
        <w:rPr>
          <w:rFonts w:ascii="Times New Roman" w:hAnsi="Times New Roman"/>
          <w:b w:val="0"/>
          <w:i w:val="0"/>
          <w:sz w:val="20"/>
        </w:rPr>
        <w:t>January 31, 2025</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44444"/>
        <w:sz w:val="17"/>
      </w:rPr>
      <w:t xml:space="preserve">Privileged &amp; Confidential — Attorney Work Product    |    Page </w:t>
    </w:r>
    <w:r>
      <w:rPr>
        <w:rFonts w:ascii="Times New Roman" w:hAnsi="Times New Roman"/>
        <w:b w:val="0"/>
        <w:sz w:val="17"/>
      </w:rPr>
      <w:fldChar w:fldCharType="begin"/>
    </w:r>
    <w:r>
      <w:rPr>
        <w:rFonts w:ascii="Times New Roman" w:hAnsi="Times New Roman"/>
        <w:b w:val="0"/>
        <w:sz w:val="17"/>
      </w:rPr>
      <w:instrText xml:space="preserve"> PAGE </w:instrText>
    </w:r>
    <w:r>
      <w:rPr>
        <w:rFonts w:ascii="Times New Roman" w:hAnsi="Times New Roman"/>
        <w:b w:val="0"/>
        <w:sz w:val="17"/>
      </w:rPr>
      <w:fldChar w:fldCharType="separate"/>
    </w:r>
    <w:r>
      <w:rPr>
        <w:rFonts w:ascii="Times New Roman" w:hAnsi="Times New Roman"/>
        <w:b w:val="0"/>
        <w:sz w:val="17"/>
      </w:rPr>
      <w:t>1</w:t>
    </w:r>
    <w:r>
      <w:rPr>
        <w:rFonts w:ascii="Times New Roman" w:hAnsi="Times New Roman"/>
        <w:b w:val="0"/>
        <w:sz w:val="17"/>
      </w:rPr>
      <w:fldChar w:fldCharType="end"/>
    </w:r>
    <w:r>
      <w:rPr>
        <w:rFonts w:ascii="Times New Roman" w:hAnsi="Times New Roman"/>
        <w:color w:val="444444"/>
        <w:sz w:val="17"/>
      </w:rPr>
      <w:t xml:space="preserve"> of </w:t>
    </w:r>
    <w:r>
      <w:rPr>
        <w:rFonts w:ascii="Times New Roman" w:hAnsi="Times New Roman"/>
        <w:b w:val="0"/>
        <w:sz w:val="17"/>
      </w:rPr>
      <w:fldChar w:fldCharType="begin"/>
    </w:r>
    <w:r>
      <w:rPr>
        <w:rFonts w:ascii="Times New Roman" w:hAnsi="Times New Roman"/>
        <w:b w:val="0"/>
        <w:sz w:val="17"/>
      </w:rPr>
      <w:instrText xml:space="preserve"> NUMPAGES </w:instrText>
    </w:r>
    <w:r>
      <w:rPr>
        <w:rFonts w:ascii="Times New Roman" w:hAnsi="Times New Roman"/>
        <w:b w:val="0"/>
        <w:sz w:val="17"/>
      </w:rPr>
      <w:fldChar w:fldCharType="separate"/>
    </w:r>
    <w:r>
      <w:rPr>
        <w:rFonts w:ascii="Times New Roman" w:hAnsi="Times New Roman"/>
        <w:b w:val="0"/>
        <w:sz w:val="17"/>
      </w:rPr>
      <w:t>1</w:t>
    </w:r>
    <w:r>
      <w:rPr>
        <w:rFonts w:ascii="Times New Roman" w:hAnsi="Times New Roman"/>
        <w:b w:val="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
      <w:rPr>
        <w:rFonts w:ascii="Times New Roman" w:hAnsi="Times New Roman"/>
        <w:color w:val="444444"/>
        <w:sz w:val="16"/>
      </w:rPr>
      <w:t>Cover Memorandum  —  Loan No. CRE-2025-0342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59" w:lineRule="auto"/>
      <w:jc w:val="left"/>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jc w:val="left"/>
      <w:outlineLvl w:val="0"/>
    </w:pPr>
    <w:rPr>
      <w:rFonts w:asciiTheme="majorHAnsi" w:eastAsiaTheme="majorEastAsia" w:hAnsiTheme="majorHAnsi" w:cstheme="majorBidi" w:ascii="Times New Roman" w:hAnsi="Times New Roman" w:cs="Times New Roman" w:eastAsia="Times New Roman"/>
      <w:b/>
      <w:bCs/>
      <w:i w:val="0"/>
      <w:caps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jc w:val="left"/>
      <w:outlineLvl w:val="1"/>
    </w:pPr>
    <w:rPr>
      <w:rFonts w:asciiTheme="majorHAnsi" w:eastAsiaTheme="majorEastAsia" w:hAnsiTheme="majorHAnsi" w:cstheme="majorBidi" w:ascii="Times New Roman" w:hAnsi="Times New Roman" w:cs="Times New Roman" w:eastAsia="Times New Roman"/>
      <w:b/>
      <w:bCs/>
      <w:i w:val="0"/>
      <w:caps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jc w:val="left"/>
      <w:outlineLvl w:val="2"/>
    </w:pPr>
    <w:rPr>
      <w:rFonts w:asciiTheme="majorHAnsi" w:eastAsiaTheme="majorEastAsia" w:hAnsiTheme="majorHAnsi" w:cstheme="majorBidi" w:ascii="Times New Roman" w:hAnsi="Times New Roman" w:cs="Times New Roman" w:eastAsia="Times New Roman"/>
      <w:b/>
      <w:bCs/>
      <w:i w:val="0"/>
      <w:caps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