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jc w:val="center"/>
      </w:pPr>
      <w:r>
        <w:rPr>
          <w:rFonts w:ascii="Times New Roman" w:hAnsi="Times New Roman"/>
          <w:b/>
          <w:i w:val="0"/>
          <w:sz w:val="18"/>
        </w:rPr>
        <w:t>DRAFT — January 31, 2025 — PRIVILEGED AND CONFIDENTIAL — ATTORNEY WORK PRODUCT</w:t>
      </w:r>
    </w:p>
    <w:p>
      <w:pPr>
        <w:spacing w:after="200"/>
        <w:jc w:val="center"/>
      </w:pPr>
      <w:r>
        <w:rPr>
          <w:rFonts w:ascii="Times New Roman" w:hAnsi="Times New Roman"/>
          <w:b/>
          <w:i w:val="0"/>
          <w:sz w:val="40"/>
        </w:rPr>
        <w:t>CONSTRUCTION-TO-MINI-PERMANENT LOAN AGREEMENT</w:t>
      </w:r>
    </w:p>
    <w:p>
      <w:pPr>
        <w:spacing w:after="360"/>
        <w:jc w:val="center"/>
      </w:pPr>
      <w:r>
        <w:rPr>
          <w:rFonts w:ascii="Times New Roman" w:hAnsi="Times New Roman"/>
          <w:b w:val="0"/>
          <w:i/>
          <w:sz w:val="22"/>
        </w:rPr>
        <w:t>by and among</w:t>
      </w:r>
    </w:p>
    <w:p>
      <w:pPr>
        <w:spacing w:after="40"/>
        <w:jc w:val="center"/>
      </w:pPr>
      <w:r>
        <w:rPr>
          <w:rFonts w:ascii="Times New Roman" w:hAnsi="Times New Roman"/>
          <w:b/>
          <w:i w:val="0"/>
          <w:sz w:val="26"/>
        </w:rPr>
        <w:t>PINNACLE SAVINGS BANK, N.A.,</w:t>
      </w:r>
    </w:p>
    <w:p>
      <w:pPr>
        <w:spacing w:after="320"/>
        <w:jc w:val="center"/>
      </w:pPr>
      <w:r>
        <w:rPr>
          <w:rFonts w:ascii="Times New Roman" w:hAnsi="Times New Roman"/>
          <w:b w:val="0"/>
          <w:i/>
          <w:sz w:val="21"/>
        </w:rPr>
        <w:t>as Lender,</w:t>
      </w:r>
    </w:p>
    <w:p>
      <w:pPr>
        <w:spacing w:after="40"/>
        <w:jc w:val="center"/>
      </w:pPr>
      <w:r>
        <w:rPr>
          <w:rFonts w:ascii="Times New Roman" w:hAnsi="Times New Roman"/>
          <w:b/>
          <w:i w:val="0"/>
          <w:sz w:val="26"/>
        </w:rPr>
        <w:t>HARBORVIEW CAPITAL PARTNERS LLC,</w:t>
      </w:r>
    </w:p>
    <w:p>
      <w:pPr>
        <w:spacing w:after="320"/>
        <w:jc w:val="center"/>
      </w:pPr>
      <w:r>
        <w:rPr>
          <w:rFonts w:ascii="Times New Roman" w:hAnsi="Times New Roman"/>
          <w:b w:val="0"/>
          <w:i/>
          <w:sz w:val="21"/>
        </w:rPr>
        <w:t>as Borrower,</w:t>
      </w:r>
    </w:p>
    <w:p>
      <w:pPr>
        <w:spacing w:after="320"/>
        <w:jc w:val="center"/>
      </w:pPr>
      <w:r>
        <w:rPr>
          <w:rFonts w:ascii="Times New Roman" w:hAnsi="Times New Roman"/>
          <w:b w:val="0"/>
          <w:i/>
          <w:sz w:val="22"/>
        </w:rPr>
        <w:t>and</w:t>
      </w:r>
    </w:p>
    <w:p>
      <w:pPr>
        <w:spacing w:after="40"/>
        <w:jc w:val="center"/>
      </w:pPr>
      <w:r>
        <w:rPr>
          <w:rFonts w:ascii="Times New Roman" w:hAnsi="Times New Roman"/>
          <w:b/>
          <w:i w:val="0"/>
          <w:sz w:val="26"/>
        </w:rPr>
        <w:t>ELENA VASQUEZ-TORRES and REGINALD K. OSEI,</w:t>
      </w:r>
    </w:p>
    <w:p>
      <w:pPr>
        <w:spacing w:after="720"/>
        <w:jc w:val="center"/>
      </w:pPr>
      <w:r>
        <w:rPr>
          <w:rFonts w:ascii="Times New Roman" w:hAnsi="Times New Roman"/>
          <w:b w:val="0"/>
          <w:i/>
          <w:sz w:val="21"/>
        </w:rPr>
        <w:t>as Guarantors</w:t>
      </w:r>
    </w:p>
    <w:p>
      <w:pPr>
        <w:spacing w:before="120" w:after="120"/>
        <w:pBdr>
          <w:bottom w:val="single" w:sz="4" w:space="1" w:color="999999"/>
        </w:pBdr>
      </w:pPr>
    </w:p>
    <w:p>
      <w:pPr>
        <w:spacing w:before="240" w:after="80"/>
        <w:jc w:val="center"/>
      </w:pPr>
      <w:r>
        <w:rPr>
          <w:rFonts w:ascii="Times New Roman" w:hAnsi="Times New Roman"/>
          <w:b/>
          <w:i w:val="0"/>
          <w:sz w:val="24"/>
        </w:rPr>
        <w:t>Loan Amount:  $47,500,000</w:t>
      </w:r>
    </w:p>
    <w:p>
      <w:pPr>
        <w:spacing w:after="80"/>
        <w:jc w:val="center"/>
      </w:pPr>
      <w:r>
        <w:rPr>
          <w:rFonts w:ascii="Times New Roman" w:hAnsi="Times New Roman"/>
          <w:b w:val="0"/>
          <w:i w:val="0"/>
          <w:sz w:val="22"/>
        </w:rPr>
        <w:t>Lender's Loan No. CRE-2025-0342</w:t>
      </w:r>
    </w:p>
    <w:p>
      <w:pPr>
        <w:spacing w:after="80"/>
        <w:jc w:val="center"/>
      </w:pPr>
      <w:r>
        <w:rPr>
          <w:rFonts w:ascii="Times New Roman" w:hAnsi="Times New Roman"/>
          <w:b w:val="0"/>
          <w:i w:val="0"/>
          <w:sz w:val="22"/>
        </w:rPr>
        <w:t>Property:  The Piedmont at Brightleaf, 601 and 615 Foster Street, Durham, North Carolina 27701</w:t>
      </w:r>
    </w:p>
    <w:p>
      <w:pPr>
        <w:spacing w:after="680"/>
        <w:jc w:val="center"/>
      </w:pPr>
      <w:r>
        <w:rPr>
          <w:rFonts w:ascii="Times New Roman" w:hAnsi="Times New Roman"/>
          <w:b w:val="0"/>
          <w:i w:val="0"/>
          <w:sz w:val="22"/>
        </w:rPr>
        <w:t>(Durham County Parcel Identification Nos. 0821-04-72-3341 and 0821-04-72-4102)</w:t>
      </w:r>
    </w:p>
    <w:p>
      <w:pPr>
        <w:spacing w:before="120" w:after="120"/>
        <w:pBdr>
          <w:bottom w:val="single" w:sz="4" w:space="1" w:color="999999"/>
        </w:pBdr>
      </w:pPr>
    </w:p>
    <w:p>
      <w:pPr>
        <w:spacing w:after="160"/>
        <w:jc w:val="both"/>
      </w:pPr>
      <w:r>
        <w:rPr>
          <w:rFonts w:ascii="Times New Roman" w:hAnsi="Times New Roman"/>
          <w:b w:val="0"/>
          <w:i w:val="0"/>
          <w:sz w:val="18"/>
        </w:rPr>
        <w:t>Prepared by Ashford, Cromdale Consulting &amp; Laine LLP, 411 South Tryon Street, Suite 2800, Charlotte, North Carolina 28202, counsel to Pinnacle Savings Bank, N.A. This draft is furnished for discussion purposes only and is subject to the comments of the parties, to the continuing approval of the Lender's Senior Loan Committee, and to satisfaction of the conditions set forth herein. See the accompanying Cover Memorandum of even date for a description of the open items, conflicting source documents and drafting assumptions reflected in this draft.</w:t>
      </w:r>
    </w:p>
    <w:p>
      <w:r>
        <w:br w:type="page"/>
      </w:r>
    </w:p>
    <w:p>
      <w:pPr>
        <w:spacing w:after="280"/>
        <w:jc w:val="center"/>
      </w:pPr>
      <w:r>
        <w:rPr>
          <w:rFonts w:ascii="Times New Roman" w:hAnsi="Times New Roman"/>
          <w:b/>
          <w:i w:val="0"/>
          <w:sz w:val="24"/>
        </w:rPr>
        <w:t>TABLE OF ARTICLES AND SCHEDULES</w:t>
      </w:r>
    </w:p>
    <w:p>
      <w:pPr>
        <w:tabs>
          <w:tab w:pos="1872" w:val="left"/>
        </w:tabs>
        <w:spacing w:after="60"/>
        <w:ind w:left="1872" w:hanging="1872"/>
        <w:jc w:val="left"/>
      </w:pPr>
      <w:r>
        <w:rPr>
          <w:rFonts w:ascii="Times New Roman" w:hAnsi="Times New Roman"/>
          <w:b/>
          <w:sz w:val="20"/>
        </w:rPr>
        <w:t>Article I</w:t>
        <w:tab/>
      </w:r>
      <w:r>
        <w:rPr>
          <w:rFonts w:ascii="Times New Roman" w:hAnsi="Times New Roman"/>
          <w:sz w:val="20"/>
        </w:rPr>
        <w:t>Definitions and Interpretation</w:t>
      </w:r>
    </w:p>
    <w:p>
      <w:pPr>
        <w:tabs>
          <w:tab w:pos="1872" w:val="left"/>
        </w:tabs>
        <w:spacing w:after="60"/>
        <w:ind w:left="1872" w:hanging="1872"/>
        <w:jc w:val="left"/>
      </w:pPr>
      <w:r>
        <w:rPr>
          <w:rFonts w:ascii="Times New Roman" w:hAnsi="Times New Roman"/>
          <w:b/>
          <w:sz w:val="20"/>
        </w:rPr>
        <w:t>Article II</w:t>
        <w:tab/>
      </w:r>
      <w:r>
        <w:rPr>
          <w:rFonts w:ascii="Times New Roman" w:hAnsi="Times New Roman"/>
          <w:sz w:val="20"/>
        </w:rPr>
        <w:t>The Loan</w:t>
      </w:r>
    </w:p>
    <w:p>
      <w:pPr>
        <w:tabs>
          <w:tab w:pos="1872" w:val="left"/>
        </w:tabs>
        <w:spacing w:after="60"/>
        <w:ind w:left="1872" w:hanging="1872"/>
        <w:jc w:val="left"/>
      </w:pPr>
      <w:r>
        <w:rPr>
          <w:rFonts w:ascii="Times New Roman" w:hAnsi="Times New Roman"/>
          <w:b/>
          <w:sz w:val="20"/>
        </w:rPr>
        <w:t>Article III</w:t>
        <w:tab/>
      </w:r>
      <w:r>
        <w:rPr>
          <w:rFonts w:ascii="Times New Roman" w:hAnsi="Times New Roman"/>
          <w:sz w:val="20"/>
        </w:rPr>
        <w:t>Conditions Precedent to Closing</w:t>
      </w:r>
    </w:p>
    <w:p>
      <w:pPr>
        <w:tabs>
          <w:tab w:pos="1872" w:val="left"/>
        </w:tabs>
        <w:spacing w:after="60"/>
        <w:ind w:left="1872" w:hanging="1872"/>
        <w:jc w:val="left"/>
      </w:pPr>
      <w:r>
        <w:rPr>
          <w:rFonts w:ascii="Times New Roman" w:hAnsi="Times New Roman"/>
          <w:b/>
          <w:sz w:val="20"/>
        </w:rPr>
        <w:t>Article IV</w:t>
        <w:tab/>
      </w:r>
      <w:r>
        <w:rPr>
          <w:rFonts w:ascii="Times New Roman" w:hAnsi="Times New Roman"/>
          <w:sz w:val="20"/>
        </w:rPr>
        <w:t>Disbursement of Loan Proceeds</w:t>
      </w:r>
    </w:p>
    <w:p>
      <w:pPr>
        <w:tabs>
          <w:tab w:pos="1872" w:val="left"/>
        </w:tabs>
        <w:spacing w:after="60"/>
        <w:ind w:left="1872" w:hanging="1872"/>
        <w:jc w:val="left"/>
      </w:pPr>
      <w:r>
        <w:rPr>
          <w:rFonts w:ascii="Times New Roman" w:hAnsi="Times New Roman"/>
          <w:b/>
          <w:sz w:val="20"/>
        </w:rPr>
        <w:t>Article V</w:t>
        <w:tab/>
      </w:r>
      <w:r>
        <w:rPr>
          <w:rFonts w:ascii="Times New Roman" w:hAnsi="Times New Roman"/>
          <w:sz w:val="20"/>
        </w:rPr>
        <w:t>Interest Reserve</w:t>
      </w:r>
    </w:p>
    <w:p>
      <w:pPr>
        <w:tabs>
          <w:tab w:pos="1872" w:val="left"/>
        </w:tabs>
        <w:spacing w:after="60"/>
        <w:ind w:left="1872" w:hanging="1872"/>
        <w:jc w:val="left"/>
      </w:pPr>
      <w:r>
        <w:rPr>
          <w:rFonts w:ascii="Times New Roman" w:hAnsi="Times New Roman"/>
          <w:b/>
          <w:sz w:val="20"/>
        </w:rPr>
        <w:t>Article VI</w:t>
        <w:tab/>
      </w:r>
      <w:r>
        <w:rPr>
          <w:rFonts w:ascii="Times New Roman" w:hAnsi="Times New Roman"/>
          <w:sz w:val="20"/>
        </w:rPr>
        <w:t>Representations and Warranties</w:t>
      </w:r>
    </w:p>
    <w:p>
      <w:pPr>
        <w:tabs>
          <w:tab w:pos="1872" w:val="left"/>
        </w:tabs>
        <w:spacing w:after="60"/>
        <w:ind w:left="1872" w:hanging="1872"/>
        <w:jc w:val="left"/>
      </w:pPr>
      <w:r>
        <w:rPr>
          <w:rFonts w:ascii="Times New Roman" w:hAnsi="Times New Roman"/>
          <w:b/>
          <w:sz w:val="20"/>
        </w:rPr>
        <w:t>Article VII</w:t>
        <w:tab/>
      </w:r>
      <w:r>
        <w:rPr>
          <w:rFonts w:ascii="Times New Roman" w:hAnsi="Times New Roman"/>
          <w:sz w:val="20"/>
        </w:rPr>
        <w:t>Affirmative Covenants</w:t>
      </w:r>
    </w:p>
    <w:p>
      <w:pPr>
        <w:tabs>
          <w:tab w:pos="1872" w:val="left"/>
        </w:tabs>
        <w:spacing w:after="60"/>
        <w:ind w:left="1872" w:hanging="1872"/>
        <w:jc w:val="left"/>
      </w:pPr>
      <w:r>
        <w:rPr>
          <w:rFonts w:ascii="Times New Roman" w:hAnsi="Times New Roman"/>
          <w:b/>
          <w:sz w:val="20"/>
        </w:rPr>
        <w:t>Article VIII</w:t>
        <w:tab/>
      </w:r>
      <w:r>
        <w:rPr>
          <w:rFonts w:ascii="Times New Roman" w:hAnsi="Times New Roman"/>
          <w:sz w:val="20"/>
        </w:rPr>
        <w:t>Negative Covenants</w:t>
      </w:r>
    </w:p>
    <w:p>
      <w:pPr>
        <w:tabs>
          <w:tab w:pos="1872" w:val="left"/>
        </w:tabs>
        <w:spacing w:after="60"/>
        <w:ind w:left="1872" w:hanging="1872"/>
        <w:jc w:val="left"/>
      </w:pPr>
      <w:r>
        <w:rPr>
          <w:rFonts w:ascii="Times New Roman" w:hAnsi="Times New Roman"/>
          <w:b/>
          <w:sz w:val="20"/>
        </w:rPr>
        <w:t>Article IX</w:t>
        <w:tab/>
      </w:r>
      <w:r>
        <w:rPr>
          <w:rFonts w:ascii="Times New Roman" w:hAnsi="Times New Roman"/>
          <w:sz w:val="20"/>
        </w:rPr>
        <w:t>Financial Covenants</w:t>
      </w:r>
    </w:p>
    <w:p>
      <w:pPr>
        <w:tabs>
          <w:tab w:pos="1872" w:val="left"/>
        </w:tabs>
        <w:spacing w:after="60"/>
        <w:ind w:left="1872" w:hanging="1872"/>
        <w:jc w:val="left"/>
      </w:pPr>
      <w:r>
        <w:rPr>
          <w:rFonts w:ascii="Times New Roman" w:hAnsi="Times New Roman"/>
          <w:b/>
          <w:sz w:val="20"/>
        </w:rPr>
        <w:t>Article X</w:t>
        <w:tab/>
      </w:r>
      <w:r>
        <w:rPr>
          <w:rFonts w:ascii="Times New Roman" w:hAnsi="Times New Roman"/>
          <w:sz w:val="20"/>
        </w:rPr>
        <w:t>Collateral, Security Documents and Intercreditor Matters</w:t>
      </w:r>
    </w:p>
    <w:p>
      <w:pPr>
        <w:tabs>
          <w:tab w:pos="1872" w:val="left"/>
        </w:tabs>
        <w:spacing w:after="60"/>
        <w:ind w:left="1872" w:hanging="1872"/>
        <w:jc w:val="left"/>
      </w:pPr>
      <w:r>
        <w:rPr>
          <w:rFonts w:ascii="Times New Roman" w:hAnsi="Times New Roman"/>
          <w:b/>
          <w:sz w:val="20"/>
        </w:rPr>
        <w:t>Article XI</w:t>
        <w:tab/>
      </w:r>
      <w:r>
        <w:rPr>
          <w:rFonts w:ascii="Times New Roman" w:hAnsi="Times New Roman"/>
          <w:sz w:val="20"/>
        </w:rPr>
        <w:t>Guaranties and Environmental Indemnity</w:t>
      </w:r>
    </w:p>
    <w:p>
      <w:pPr>
        <w:tabs>
          <w:tab w:pos="1872" w:val="left"/>
        </w:tabs>
        <w:spacing w:after="60"/>
        <w:ind w:left="1872" w:hanging="1872"/>
        <w:jc w:val="left"/>
      </w:pPr>
      <w:r>
        <w:rPr>
          <w:rFonts w:ascii="Times New Roman" w:hAnsi="Times New Roman"/>
          <w:b/>
          <w:sz w:val="20"/>
        </w:rPr>
        <w:t>Article XII</w:t>
        <w:tab/>
      </w:r>
      <w:r>
        <w:rPr>
          <w:rFonts w:ascii="Times New Roman" w:hAnsi="Times New Roman"/>
          <w:sz w:val="20"/>
        </w:rPr>
        <w:t>Environmental Matters</w:t>
      </w:r>
    </w:p>
    <w:p>
      <w:pPr>
        <w:tabs>
          <w:tab w:pos="1872" w:val="left"/>
        </w:tabs>
        <w:spacing w:after="60"/>
        <w:ind w:left="1872" w:hanging="1872"/>
        <w:jc w:val="left"/>
      </w:pPr>
      <w:r>
        <w:rPr>
          <w:rFonts w:ascii="Times New Roman" w:hAnsi="Times New Roman"/>
          <w:b/>
          <w:sz w:val="20"/>
        </w:rPr>
        <w:t>Article XIII</w:t>
        <w:tab/>
      </w:r>
      <w:r>
        <w:rPr>
          <w:rFonts w:ascii="Times New Roman" w:hAnsi="Times New Roman"/>
          <w:sz w:val="20"/>
        </w:rPr>
        <w:t>Events of Default</w:t>
      </w:r>
    </w:p>
    <w:p>
      <w:pPr>
        <w:tabs>
          <w:tab w:pos="1872" w:val="left"/>
        </w:tabs>
        <w:spacing w:after="60"/>
        <w:ind w:left="1872" w:hanging="1872"/>
        <w:jc w:val="left"/>
      </w:pPr>
      <w:r>
        <w:rPr>
          <w:rFonts w:ascii="Times New Roman" w:hAnsi="Times New Roman"/>
          <w:b/>
          <w:sz w:val="20"/>
        </w:rPr>
        <w:t>Article XIV</w:t>
        <w:tab/>
      </w:r>
      <w:r>
        <w:rPr>
          <w:rFonts w:ascii="Times New Roman" w:hAnsi="Times New Roman"/>
          <w:sz w:val="20"/>
        </w:rPr>
        <w:t>Remedies</w:t>
      </w:r>
    </w:p>
    <w:p>
      <w:pPr>
        <w:tabs>
          <w:tab w:pos="1872" w:val="left"/>
        </w:tabs>
        <w:spacing w:after="60"/>
        <w:ind w:left="1872" w:hanging="1872"/>
        <w:jc w:val="left"/>
      </w:pPr>
      <w:r>
        <w:rPr>
          <w:rFonts w:ascii="Times New Roman" w:hAnsi="Times New Roman"/>
          <w:b/>
          <w:sz w:val="20"/>
        </w:rPr>
        <w:t>Article XV</w:t>
        <w:tab/>
      </w:r>
      <w:r>
        <w:rPr>
          <w:rFonts w:ascii="Times New Roman" w:hAnsi="Times New Roman"/>
          <w:sz w:val="20"/>
        </w:rPr>
        <w:t>Single-Purpose Entity Covenants</w:t>
      </w:r>
    </w:p>
    <w:p>
      <w:pPr>
        <w:tabs>
          <w:tab w:pos="1872" w:val="left"/>
        </w:tabs>
        <w:spacing w:after="60"/>
        <w:ind w:left="1872" w:hanging="1872"/>
        <w:jc w:val="left"/>
      </w:pPr>
      <w:r>
        <w:rPr>
          <w:rFonts w:ascii="Times New Roman" w:hAnsi="Times New Roman"/>
          <w:b/>
          <w:sz w:val="20"/>
        </w:rPr>
        <w:t>Article XVI</w:t>
        <w:tab/>
      </w:r>
      <w:r>
        <w:rPr>
          <w:rFonts w:ascii="Times New Roman" w:hAnsi="Times New Roman"/>
          <w:sz w:val="20"/>
        </w:rPr>
        <w:t>Insurance, Casualty and Condemnation</w:t>
      </w:r>
    </w:p>
    <w:p>
      <w:pPr>
        <w:tabs>
          <w:tab w:pos="1872" w:val="left"/>
        </w:tabs>
        <w:spacing w:after="60"/>
        <w:ind w:left="1872" w:hanging="1872"/>
        <w:jc w:val="left"/>
      </w:pPr>
      <w:r>
        <w:rPr>
          <w:rFonts w:ascii="Times New Roman" w:hAnsi="Times New Roman"/>
          <w:b/>
          <w:sz w:val="20"/>
        </w:rPr>
        <w:t>Article XVII</w:t>
        <w:tab/>
      </w:r>
      <w:r>
        <w:rPr>
          <w:rFonts w:ascii="Times New Roman" w:hAnsi="Times New Roman"/>
          <w:sz w:val="20"/>
        </w:rPr>
        <w:t>Leasing and Mini-Perm Matters</w:t>
      </w:r>
    </w:p>
    <w:p>
      <w:pPr>
        <w:tabs>
          <w:tab w:pos="1872" w:val="left"/>
        </w:tabs>
        <w:spacing w:after="60"/>
        <w:ind w:left="1872" w:hanging="1872"/>
        <w:jc w:val="left"/>
      </w:pPr>
      <w:r>
        <w:rPr>
          <w:rFonts w:ascii="Times New Roman" w:hAnsi="Times New Roman"/>
          <w:b/>
          <w:sz w:val="20"/>
        </w:rPr>
        <w:t>Article XVIII</w:t>
        <w:tab/>
      </w:r>
      <w:r>
        <w:rPr>
          <w:rFonts w:ascii="Times New Roman" w:hAnsi="Times New Roman"/>
          <w:sz w:val="20"/>
        </w:rPr>
        <w:t>Indemnification and Expenses</w:t>
      </w:r>
    </w:p>
    <w:p>
      <w:pPr>
        <w:tabs>
          <w:tab w:pos="1872" w:val="left"/>
        </w:tabs>
        <w:spacing w:after="60"/>
        <w:ind w:left="1872" w:hanging="1872"/>
        <w:jc w:val="left"/>
      </w:pPr>
      <w:r>
        <w:rPr>
          <w:rFonts w:ascii="Times New Roman" w:hAnsi="Times New Roman"/>
          <w:b/>
          <w:sz w:val="20"/>
        </w:rPr>
        <w:t>Article XIX</w:t>
        <w:tab/>
      </w:r>
      <w:r>
        <w:rPr>
          <w:rFonts w:ascii="Times New Roman" w:hAnsi="Times New Roman"/>
          <w:sz w:val="20"/>
        </w:rPr>
        <w:t>Notices</w:t>
      </w:r>
    </w:p>
    <w:p>
      <w:pPr>
        <w:tabs>
          <w:tab w:pos="1872" w:val="left"/>
        </w:tabs>
        <w:spacing w:after="60"/>
        <w:ind w:left="1872" w:hanging="1872"/>
        <w:jc w:val="left"/>
      </w:pPr>
      <w:r>
        <w:rPr>
          <w:rFonts w:ascii="Times New Roman" w:hAnsi="Times New Roman"/>
          <w:b/>
          <w:sz w:val="20"/>
        </w:rPr>
        <w:t>Article XX</w:t>
        <w:tab/>
      </w:r>
      <w:r>
        <w:rPr>
          <w:rFonts w:ascii="Times New Roman" w:hAnsi="Times New Roman"/>
          <w:sz w:val="20"/>
        </w:rPr>
        <w:t>Miscellaneous</w:t>
      </w:r>
    </w:p>
    <w:p>
      <w:pPr>
        <w:spacing w:after="60"/>
        <w:ind w:left="1872" w:hanging="1872"/>
        <w:jc w:val="left"/>
      </w:pPr>
      <w:r>
        <w:rPr>
          <w:rFonts w:ascii="Times New Roman" w:hAnsi="Times New Roman"/>
          <w:b/>
          <w:sz w:val="20"/>
        </w:rPr>
      </w:r>
      <w:r>
        <w:rPr>
          <w:rFonts w:ascii="Times New Roman" w:hAnsi="Times New Roman"/>
          <w:sz w:val="20"/>
        </w:rPr>
      </w:r>
    </w:p>
    <w:p>
      <w:pPr>
        <w:tabs>
          <w:tab w:pos="1872" w:val="left"/>
        </w:tabs>
        <w:spacing w:after="60"/>
        <w:ind w:left="1872" w:hanging="1872"/>
        <w:jc w:val="left"/>
      </w:pPr>
      <w:r>
        <w:rPr>
          <w:rFonts w:ascii="Times New Roman" w:hAnsi="Times New Roman"/>
          <w:b/>
          <w:sz w:val="20"/>
        </w:rPr>
        <w:t>Signature Pages</w:t>
        <w:tab/>
      </w:r>
      <w:r>
        <w:rPr>
          <w:rFonts w:ascii="Times New Roman" w:hAnsi="Times New Roman"/>
          <w:sz w:val="20"/>
        </w:rPr>
      </w:r>
    </w:p>
    <w:p>
      <w:pPr>
        <w:tabs>
          <w:tab w:pos="1872" w:val="left"/>
        </w:tabs>
        <w:spacing w:after="60"/>
        <w:ind w:left="1872" w:hanging="1872"/>
        <w:jc w:val="left"/>
      </w:pPr>
      <w:r>
        <w:rPr>
          <w:rFonts w:ascii="Times New Roman" w:hAnsi="Times New Roman"/>
          <w:b/>
          <w:sz w:val="20"/>
        </w:rPr>
        <w:t>Schedule 1</w:t>
        <w:tab/>
      </w:r>
      <w:r>
        <w:rPr>
          <w:rFonts w:ascii="Times New Roman" w:hAnsi="Times New Roman"/>
          <w:sz w:val="20"/>
        </w:rPr>
        <w:t>Draw Schedule and Construction Milestones</w:t>
      </w:r>
    </w:p>
    <w:p>
      <w:pPr>
        <w:tabs>
          <w:tab w:pos="1872" w:val="left"/>
        </w:tabs>
        <w:spacing w:after="60"/>
        <w:ind w:left="1872" w:hanging="1872"/>
        <w:jc w:val="left"/>
      </w:pPr>
      <w:r>
        <w:rPr>
          <w:rFonts w:ascii="Times New Roman" w:hAnsi="Times New Roman"/>
          <w:b/>
          <w:sz w:val="20"/>
        </w:rPr>
        <w:t>Schedule 2</w:t>
        <w:tab/>
      </w:r>
      <w:r>
        <w:rPr>
          <w:rFonts w:ascii="Times New Roman" w:hAnsi="Times New Roman"/>
          <w:sz w:val="20"/>
        </w:rPr>
        <w:t>Project Budget and Sources and Uses of Funds</w:t>
      </w:r>
    </w:p>
    <w:p>
      <w:pPr>
        <w:tabs>
          <w:tab w:pos="1872" w:val="left"/>
        </w:tabs>
        <w:spacing w:after="60"/>
        <w:ind w:left="1872" w:hanging="1872"/>
        <w:jc w:val="left"/>
      </w:pPr>
      <w:r>
        <w:rPr>
          <w:rFonts w:ascii="Times New Roman" w:hAnsi="Times New Roman"/>
          <w:b/>
          <w:sz w:val="20"/>
        </w:rPr>
        <w:t>Schedule 3</w:t>
        <w:tab/>
      </w:r>
      <w:r>
        <w:rPr>
          <w:rFonts w:ascii="Times New Roman" w:hAnsi="Times New Roman"/>
          <w:sz w:val="20"/>
        </w:rPr>
        <w:t>Permitted Exceptions</w:t>
      </w:r>
    </w:p>
    <w:p>
      <w:pPr>
        <w:tabs>
          <w:tab w:pos="1872" w:val="left"/>
        </w:tabs>
        <w:spacing w:after="60"/>
        <w:ind w:left="1872" w:hanging="1872"/>
        <w:jc w:val="left"/>
      </w:pPr>
      <w:r>
        <w:rPr>
          <w:rFonts w:ascii="Times New Roman" w:hAnsi="Times New Roman"/>
          <w:b/>
          <w:sz w:val="20"/>
        </w:rPr>
        <w:t>Schedule 4</w:t>
        <w:tab/>
      </w:r>
      <w:r>
        <w:rPr>
          <w:rFonts w:ascii="Times New Roman" w:hAnsi="Times New Roman"/>
          <w:sz w:val="20"/>
        </w:rPr>
        <w:t>NCDEQ No Further Action Conditions; Environmental Compliance Requirements</w:t>
      </w:r>
    </w:p>
    <w:p>
      <w:pPr>
        <w:tabs>
          <w:tab w:pos="1872" w:val="left"/>
        </w:tabs>
        <w:spacing w:after="60"/>
        <w:ind w:left="1872" w:hanging="1872"/>
        <w:jc w:val="left"/>
      </w:pPr>
      <w:r>
        <w:rPr>
          <w:rFonts w:ascii="Times New Roman" w:hAnsi="Times New Roman"/>
          <w:b/>
          <w:sz w:val="20"/>
        </w:rPr>
        <w:t>Schedule 5</w:t>
        <w:tab/>
      </w:r>
      <w:r>
        <w:rPr>
          <w:rFonts w:ascii="Times New Roman" w:hAnsi="Times New Roman"/>
          <w:sz w:val="20"/>
        </w:rPr>
        <w:t>Required Insurance</w:t>
      </w:r>
    </w:p>
    <w:p>
      <w:pPr>
        <w:tabs>
          <w:tab w:pos="1872" w:val="left"/>
        </w:tabs>
        <w:spacing w:after="60"/>
        <w:ind w:left="1872" w:hanging="1872"/>
        <w:jc w:val="left"/>
      </w:pPr>
      <w:r>
        <w:rPr>
          <w:rFonts w:ascii="Times New Roman" w:hAnsi="Times New Roman"/>
          <w:b/>
          <w:sz w:val="20"/>
        </w:rPr>
        <w:t>Schedule 6</w:t>
        <w:tab/>
      </w:r>
      <w:r>
        <w:rPr>
          <w:rFonts w:ascii="Times New Roman" w:hAnsi="Times New Roman"/>
          <w:sz w:val="20"/>
        </w:rPr>
        <w:t>Financial Covenants and Compliance Certificate</w:t>
      </w:r>
    </w:p>
    <w:p>
      <w:pPr>
        <w:tabs>
          <w:tab w:pos="1872" w:val="left"/>
        </w:tabs>
        <w:spacing w:after="60"/>
        <w:ind w:left="1872" w:hanging="1872"/>
        <w:jc w:val="left"/>
      </w:pPr>
      <w:r>
        <w:rPr>
          <w:rFonts w:ascii="Times New Roman" w:hAnsi="Times New Roman"/>
          <w:b/>
          <w:sz w:val="20"/>
        </w:rPr>
        <w:t>Schedule 7</w:t>
        <w:tab/>
      </w:r>
      <w:r>
        <w:rPr>
          <w:rFonts w:ascii="Times New Roman" w:hAnsi="Times New Roman"/>
          <w:sz w:val="20"/>
        </w:rPr>
        <w:t>Notice Addresses</w:t>
      </w:r>
    </w:p>
    <w:p>
      <w:pPr>
        <w:tabs>
          <w:tab w:pos="1872" w:val="left"/>
        </w:tabs>
        <w:spacing w:after="60"/>
        <w:ind w:left="1872" w:hanging="1872"/>
        <w:jc w:val="left"/>
      </w:pPr>
      <w:r>
        <w:rPr>
          <w:rFonts w:ascii="Times New Roman" w:hAnsi="Times New Roman"/>
          <w:b/>
          <w:sz w:val="20"/>
        </w:rPr>
        <w:t>Exhibit A</w:t>
        <w:tab/>
      </w:r>
      <w:r>
        <w:rPr>
          <w:rFonts w:ascii="Times New Roman" w:hAnsi="Times New Roman"/>
          <w:sz w:val="20"/>
        </w:rPr>
        <w:t>Legal Description (to be attached from Survey and Title Commitment)</w:t>
      </w:r>
    </w:p>
    <w:p>
      <w:pPr>
        <w:tabs>
          <w:tab w:pos="1872" w:val="left"/>
        </w:tabs>
        <w:spacing w:after="60"/>
        <w:ind w:left="1872" w:hanging="1872"/>
        <w:jc w:val="left"/>
      </w:pPr>
      <w:r>
        <w:rPr>
          <w:rFonts w:ascii="Times New Roman" w:hAnsi="Times New Roman"/>
          <w:b/>
          <w:sz w:val="20"/>
        </w:rPr>
        <w:t>Exhibit B</w:t>
        <w:tab/>
      </w:r>
      <w:r>
        <w:rPr>
          <w:rFonts w:ascii="Times New Roman" w:hAnsi="Times New Roman"/>
          <w:sz w:val="20"/>
        </w:rPr>
        <w:t>Form of Draw Request and Borrower's Certificate</w:t>
      </w:r>
    </w:p>
    <w:p>
      <w:pPr>
        <w:tabs>
          <w:tab w:pos="1872" w:val="left"/>
        </w:tabs>
        <w:spacing w:after="60"/>
        <w:ind w:left="1872" w:hanging="1872"/>
        <w:jc w:val="left"/>
      </w:pPr>
      <w:r>
        <w:rPr>
          <w:rFonts w:ascii="Times New Roman" w:hAnsi="Times New Roman"/>
          <w:b/>
          <w:sz w:val="20"/>
        </w:rPr>
        <w:t>Exhibit C</w:t>
        <w:tab/>
      </w:r>
      <w:r>
        <w:rPr>
          <w:rFonts w:ascii="Times New Roman" w:hAnsi="Times New Roman"/>
          <w:sz w:val="20"/>
        </w:rPr>
        <w:t>Form of Compliance Certificate</w:t>
      </w:r>
    </w:p>
    <w:p>
      <w:r>
        <w:br w:type="page"/>
      </w:r>
    </w:p>
    <w:p>
      <w:pPr>
        <w:spacing w:after="280"/>
        <w:jc w:val="center"/>
      </w:pPr>
      <w:r>
        <w:rPr>
          <w:rFonts w:ascii="Times New Roman" w:hAnsi="Times New Roman"/>
          <w:b/>
          <w:i w:val="0"/>
          <w:sz w:val="26"/>
        </w:rPr>
        <w:t>CONSTRUCTION-TO-MINI-PERMANENT LOAN AGREEMENT</w:t>
      </w:r>
    </w:p>
    <w:p>
      <w:r>
        <w:rPr>
          <w:rFonts w:ascii="Times New Roman" w:hAnsi="Times New Roman"/>
          <w:b w:val="0"/>
          <w:i w:val="0"/>
        </w:rPr>
        <w:t>THIS CONSTRUCTION-TO-MINI-PERMANENT LOAN AGREEMENT (this “Agreement”) is made and entered into as of the ____ day of February, 2025, by and among PINNACLE SAVINGS BANK, N.A., a nationally chartered savings bank organized and existing under the laws of the United States of America and regulated by the Office of the Comptroller of the Currency (“Lender”), HARBORVIEW CAPITAL PARTNERS LLC, a North Carolina limited liability company (“Borrower”), and ELENA VASQUEZ-TORRES and REGINALD K. OSEI, each an individual resident of the State of North Carolina (each, a “Guarantor” and, collectively, the “Guarantors”).</w:t>
      </w:r>
    </w:p>
    <w:p>
      <w:pPr>
        <w:spacing w:before="200" w:after="160"/>
        <w:jc w:val="center"/>
      </w:pPr>
      <w:r>
        <w:rPr>
          <w:rFonts w:ascii="Times New Roman" w:hAnsi="Times New Roman"/>
          <w:b/>
          <w:i w:val="0"/>
          <w:sz w:val="22"/>
        </w:rPr>
        <w:t>RECITALS</w:t>
      </w:r>
    </w:p>
    <w:p>
      <w:pPr>
        <w:tabs>
          <w:tab w:pos="461" w:val="left"/>
        </w:tabs>
        <w:spacing w:after="140"/>
        <w:ind w:left="461"/>
      </w:pPr>
      <w:r>
        <w:rPr>
          <w:rFonts w:ascii="Times New Roman" w:hAnsi="Times New Roman"/>
          <w:b/>
        </w:rPr>
        <w:t>A.</w:t>
        <w:tab/>
      </w:r>
      <w:r>
        <w:rPr>
          <w:rFonts w:ascii="Times New Roman" w:hAnsi="Times New Roman"/>
          <w:b w:val="0"/>
          <w:i w:val="0"/>
        </w:rPr>
        <w:t xml:space="preserve"> Borrower is the owner of two contiguous parcels of real property located at 601 and 615 Foster Street, Durham, Durham County, North Carolina 27701, identified for ad valorem tax purposes as Durham County Parcel Identification Nos. 0821-04-72-3341 and 0821-04-72-4102, containing in the aggregate approximately 3.47 acres, together with the improvements, fixtures, easements and appurtenances thereto (collectively, the “Property”).</w:t>
      </w:r>
    </w:p>
    <w:p>
      <w:pPr>
        <w:tabs>
          <w:tab w:pos="461" w:val="left"/>
        </w:tabs>
        <w:spacing w:after="140"/>
        <w:ind w:left="461"/>
      </w:pPr>
      <w:r>
        <w:rPr>
          <w:rFonts w:ascii="Times New Roman" w:hAnsi="Times New Roman"/>
          <w:b/>
        </w:rPr>
        <w:t>B.</w:t>
        <w:tab/>
      </w:r>
      <w:r>
        <w:rPr>
          <w:rFonts w:ascii="Times New Roman" w:hAnsi="Times New Roman"/>
          <w:b w:val="0"/>
          <w:i w:val="0"/>
        </w:rPr>
        <w:t xml:space="preserve"> Borrower intends to construct on the Property a six-story Class A mixed-use development consisting of 212 residential dwelling units, approximately 18,400 square feet of ground-floor retail space in seven retail bays, and a four-level structured parking garage containing 276 parking spaces, having a total gross building area of approximately 287,500 square feet, together with related site improvements and amenities (collectively, the “Project”).</w:t>
      </w:r>
    </w:p>
    <w:p>
      <w:pPr>
        <w:tabs>
          <w:tab w:pos="461" w:val="left"/>
        </w:tabs>
        <w:spacing w:after="140"/>
        <w:ind w:left="461"/>
      </w:pPr>
      <w:r>
        <w:rPr>
          <w:rFonts w:ascii="Times New Roman" w:hAnsi="Times New Roman"/>
          <w:b/>
        </w:rPr>
        <w:t>C.</w:t>
        <w:tab/>
      </w:r>
      <w:r>
        <w:rPr>
          <w:rFonts w:ascii="Times New Roman" w:hAnsi="Times New Roman"/>
          <w:b w:val="0"/>
          <w:i w:val="0"/>
        </w:rPr>
        <w:t xml:space="preserve"> Borrower has applied to Lender for a construction-to-mini-permanent loan in the principal amount of Forty-Seven Million Five Hundred Thousand and No/100 Dollars ($47,500,000) to finance a portion of the costs of the Project, and Lender is willing to make such loan on and subject to the terms and conditions set forth in this Agreement.</w:t>
      </w:r>
    </w:p>
    <w:p>
      <w:pPr>
        <w:tabs>
          <w:tab w:pos="461" w:val="left"/>
        </w:tabs>
        <w:spacing w:after="140"/>
        <w:ind w:left="461"/>
      </w:pPr>
      <w:r>
        <w:rPr>
          <w:rFonts w:ascii="Times New Roman" w:hAnsi="Times New Roman"/>
          <w:b/>
        </w:rPr>
        <w:t>D.</w:t>
        <w:tab/>
      </w:r>
      <w:r>
        <w:rPr>
          <w:rFonts w:ascii="Times New Roman" w:hAnsi="Times New Roman"/>
          <w:b w:val="0"/>
          <w:i w:val="0"/>
        </w:rPr>
        <w:t xml:space="preserve"> The loan is being made on the basis of, among other things, (i) the appraisal of the Property prepared by Ridgeline Appraisal Services Inc. (Linda M. Haverford, MAI) dated November 15, 2024, concluding an as-is land value of $8,900,000, a prospective as-completed value of $72,800,000 and a prospective as-stabilized value of $76,200,000; (ii) the Phase I Environmental Site Assessment prepared by Sentinel Environmental Consulting LLC (Dr. James Whitfield, P.E.) dated October 28, 2024; and (iii) Commitment for Title Insurance No. NC-2024-88712 issued by Aldersgate Title &amp; Escrow Inc. dated December 5, 2024.</w:t>
      </w:r>
    </w:p>
    <w:p>
      <w:pPr>
        <w:tabs>
          <w:tab w:pos="461" w:val="left"/>
        </w:tabs>
        <w:spacing w:after="140"/>
        <w:ind w:left="461"/>
      </w:pPr>
      <w:r>
        <w:rPr>
          <w:rFonts w:ascii="Times New Roman" w:hAnsi="Times New Roman"/>
          <w:b/>
        </w:rPr>
        <w:t>E.</w:t>
        <w:tab/>
      </w:r>
      <w:r>
        <w:rPr>
          <w:rFonts w:ascii="Times New Roman" w:hAnsi="Times New Roman"/>
          <w:b w:val="0"/>
          <w:i w:val="0"/>
        </w:rPr>
        <w:t xml:space="preserve"> Borrower and Lender executed that certain Term Sheet dated January 10, 2025 (the “Term Sheet”), which is non-binding except as to the provisions described in Sections 22 and 23 thereof, and Lender's Senior Loan Committee approved the loan on January 22, 2025 subject to the conditions described in the Credit Memorandum of that date (the “Credit Memorandum”). This Agreement and the other Loan Documents constitute the definitive documentation of the loan contemplated by the Term Sheet and the Credit Memorandum.</w:t>
      </w:r>
    </w:p>
    <w:p>
      <w:pPr>
        <w:tabs>
          <w:tab w:pos="461" w:val="left"/>
        </w:tabs>
        <w:spacing w:after="140"/>
        <w:ind w:left="461"/>
      </w:pPr>
      <w:r>
        <w:rPr>
          <w:rFonts w:ascii="Times New Roman" w:hAnsi="Times New Roman"/>
          <w:b/>
        </w:rPr>
        <w:t>F.</w:t>
        <w:tab/>
      </w:r>
      <w:r>
        <w:rPr>
          <w:rFonts w:ascii="Times New Roman" w:hAnsi="Times New Roman"/>
          <w:b w:val="0"/>
          <w:i w:val="0"/>
        </w:rPr>
        <w:t xml:space="preserve"> Brightleaf Mezzanine Capital LLC, a North Carolina limited liability company, has agreed to make a mezzanine loan to Borrower in the principal amount of $9,200,000 (the “Mezzanine Loan”), which Mezzanine Loan is to be secured by a pledge of one hundred percent (100%) of the membership interests in Borrower and is to be subordinate and subject to this Agreement and the Intercreditor Agreement described herein.</w:t>
      </w:r>
    </w:p>
    <w:p>
      <w:pPr>
        <w:tabs>
          <w:tab w:pos="461" w:val="left"/>
        </w:tabs>
        <w:spacing w:after="140"/>
        <w:ind w:left="461"/>
      </w:pPr>
      <w:r>
        <w:rPr>
          <w:rFonts w:ascii="Times New Roman" w:hAnsi="Times New Roman"/>
          <w:b/>
        </w:rPr>
        <w:t>G.</w:t>
        <w:tab/>
      </w:r>
      <w:r>
        <w:rPr>
          <w:rFonts w:ascii="Times New Roman" w:hAnsi="Times New Roman"/>
          <w:b w:val="0"/>
          <w:i w:val="0"/>
        </w:rPr>
        <w:t xml:space="preserve"> Each Guarantor has agreed to execute and deliver to Lender a Completion Guaranty, a Carry Guaranty, a Partial Repayment Guaranty and an Environmental Indemnity, in each case as further described in Article XI.</w:t>
      </w:r>
    </w:p>
    <w:p>
      <w:pPr>
        <w:tabs>
          <w:tab w:pos="461" w:val="left"/>
        </w:tabs>
        <w:spacing w:after="140"/>
        <w:ind w:left="461"/>
      </w:pPr>
      <w:r>
        <w:rPr>
          <w:rFonts w:ascii="Times New Roman" w:hAnsi="Times New Roman"/>
          <w:b/>
        </w:rPr>
        <w:t>H.</w:t>
        <w:tab/>
      </w:r>
      <w:r>
        <w:rPr>
          <w:rFonts w:ascii="Times New Roman" w:hAnsi="Times New Roman"/>
          <w:b w:val="0"/>
          <w:i w:val="0"/>
        </w:rPr>
        <w:t xml:space="preserve"> The Property is subject to residual petroleum contamination in an area of approximately 0.38 acres in the northeast corner of Parcel 0821-04-72-4102 (the “Affected Area”), for which the North Carolina Department of Environmental Quality has issued a conditional No Further Action determination dated September 30, 2024 (the “NFA Letter”) that requires, among other things, a restriction of the Affected Area to non-residential use, the installation and maintenance of a soil vapor mitigation system, compliance with an approved soil management plan, and the recording of a deed notice. Articles VI, VII, X and XII of this Agreement address the environmental conditions at the Property in detail.</w:t>
      </w:r>
    </w:p>
    <w:p>
      <w:pPr>
        <w:spacing w:before="120"/>
      </w:pPr>
      <w:r>
        <w:rPr>
          <w:rFonts w:ascii="Times New Roman" w:hAnsi="Times New Roman"/>
          <w:b w:val="0"/>
          <w:i w:val="0"/>
        </w:rPr>
        <w:t>NOW, THEREFORE, in consideration of the mutual covenants and agreements set forth herein, and for other good and valuable consideration, the receipt and sufficiency of which are hereby acknowledged, the parties agree as follows:</w:t>
      </w:r>
    </w:p>
    <w:p>
      <w:pPr>
        <w:pStyle w:val="Heading1"/>
        <w:spacing w:before="360"/>
      </w:pPr>
      <w:r>
        <w:rPr>
          <w:rFonts w:ascii="Times New Roman" w:hAnsi="Times New Roman"/>
          <w:b/>
          <w:sz w:val="24"/>
        </w:rPr>
        <w:t>ARTICLE I — DEFINITIONS AND INTERPRETATION</w:t>
      </w:r>
    </w:p>
    <w:p>
      <w:pPr>
        <w:pStyle w:val="Heading2"/>
      </w:pPr>
      <w:r>
        <w:rPr>
          <w:rFonts w:ascii="Times New Roman" w:hAnsi="Times New Roman"/>
          <w:b/>
          <w:sz w:val="22"/>
        </w:rPr>
        <w:t>Section 1.1  Defined Terms</w:t>
      </w:r>
    </w:p>
    <w:p>
      <w:r>
        <w:rPr>
          <w:rFonts w:ascii="Times New Roman" w:hAnsi="Times New Roman"/>
          <w:b w:val="0"/>
          <w:i w:val="0"/>
        </w:rPr>
        <w:t>Capitalized terms used in this Agreement have the meanings set forth below or elsewhere in this Agreement. Terms defined in the singular have the same meaning in the plural and vice versa.</w:t>
      </w:r>
    </w:p>
    <w:p>
      <w:pPr>
        <w:tabs>
          <w:tab w:pos="504" w:val="left"/>
        </w:tabs>
        <w:spacing w:after="100"/>
        <w:ind w:left="504" w:hanging="504"/>
      </w:pPr>
      <w:r>
        <w:rPr>
          <w:rFonts w:ascii="Times New Roman" w:hAnsi="Times New Roman"/>
          <w:b/>
          <w:sz w:val="21"/>
        </w:rPr>
        <w:t>“Affected Area”</w:t>
        <w:tab/>
      </w:r>
      <w:r>
        <w:rPr>
          <w:rFonts w:ascii="Times New Roman" w:hAnsi="Times New Roman"/>
          <w:b w:val="0"/>
          <w:i w:val="0"/>
          <w:sz w:val="21"/>
        </w:rPr>
        <w:t>means that portion of the Property consisting of approximately 0.38 acres in the northeast corner of Parcel 0821-04-72-4102, as delineated in the Phase II Environmental Investigation report prepared by Sentinel Environmental Consulting LLC dated August 30, 2024 and as described in the NFA Letter and in the recorded deed notice required by Section 12.5, the metes and bounds of which shall be confirmed by survey prior to Closing.</w:t>
      </w:r>
    </w:p>
    <w:p>
      <w:pPr>
        <w:tabs>
          <w:tab w:pos="504" w:val="left"/>
        </w:tabs>
        <w:spacing w:after="100"/>
        <w:ind w:left="504" w:hanging="504"/>
      </w:pPr>
      <w:r>
        <w:rPr>
          <w:rFonts w:ascii="Times New Roman" w:hAnsi="Times New Roman"/>
          <w:b/>
          <w:sz w:val="21"/>
        </w:rPr>
        <w:t>“Affiliate”</w:t>
        <w:tab/>
      </w:r>
      <w:r>
        <w:rPr>
          <w:rFonts w:ascii="Times New Roman" w:hAnsi="Times New Roman"/>
          <w:b w:val="0"/>
          <w:i w:val="0"/>
          <w:sz w:val="21"/>
        </w:rPr>
        <w:t>means, as to any Person, any other Person that directly or indirectly controls, is controlled by, or is under common control with, such Person, and, with respect to any individual, includes such individual's spouse, descendants and any trust or entity established for the benefit of any of them.</w:t>
      </w:r>
    </w:p>
    <w:p>
      <w:pPr>
        <w:tabs>
          <w:tab w:pos="504" w:val="left"/>
        </w:tabs>
        <w:spacing w:after="100"/>
        <w:ind w:left="504" w:hanging="504"/>
      </w:pPr>
      <w:r>
        <w:rPr>
          <w:rFonts w:ascii="Times New Roman" w:hAnsi="Times New Roman"/>
          <w:b/>
          <w:sz w:val="21"/>
        </w:rPr>
        <w:t>“Agreement”</w:t>
        <w:tab/>
      </w:r>
      <w:r>
        <w:rPr>
          <w:rFonts w:ascii="Times New Roman" w:hAnsi="Times New Roman"/>
          <w:b w:val="0"/>
          <w:i w:val="0"/>
          <w:sz w:val="21"/>
        </w:rPr>
        <w:t>means this Construction-to-Mini-Permanent Loan Agreement, as it may be amended, restated or supplemented from time to time.</w:t>
      </w:r>
    </w:p>
    <w:p>
      <w:pPr>
        <w:tabs>
          <w:tab w:pos="504" w:val="left"/>
        </w:tabs>
        <w:spacing w:after="100"/>
        <w:ind w:left="504" w:hanging="504"/>
      </w:pPr>
      <w:r>
        <w:rPr>
          <w:rFonts w:ascii="Times New Roman" w:hAnsi="Times New Roman"/>
          <w:b/>
          <w:sz w:val="21"/>
        </w:rPr>
        <w:t>“Approved Plans and Specifications”</w:t>
        <w:tab/>
      </w:r>
      <w:r>
        <w:rPr>
          <w:rFonts w:ascii="Times New Roman" w:hAnsi="Times New Roman"/>
          <w:b w:val="0"/>
          <w:i w:val="0"/>
          <w:sz w:val="21"/>
        </w:rPr>
        <w:t>means the plans and specifications for the Project prepared by Meridian Design Collective PC, drawing set dated September 12, 2024, as approved by Lender and as the same may be modified only in accordance with Section 8.8.</w:t>
      </w:r>
    </w:p>
    <w:p>
      <w:pPr>
        <w:tabs>
          <w:tab w:pos="504" w:val="left"/>
        </w:tabs>
        <w:spacing w:after="100"/>
        <w:ind w:left="504" w:hanging="504"/>
      </w:pPr>
      <w:r>
        <w:rPr>
          <w:rFonts w:ascii="Times New Roman" w:hAnsi="Times New Roman"/>
          <w:b/>
          <w:sz w:val="21"/>
        </w:rPr>
        <w:t>“Approved Project Budget”</w:t>
        <w:tab/>
      </w:r>
      <w:r>
        <w:rPr>
          <w:rFonts w:ascii="Times New Roman" w:hAnsi="Times New Roman"/>
          <w:b w:val="0"/>
          <w:i w:val="0"/>
          <w:sz w:val="21"/>
        </w:rPr>
        <w:t>means the project budget and sources and uses of funds set forth on Schedule 2, as the same may be revised only with Lender's prior written consent in accordance with Section 4.5.</w:t>
      </w:r>
    </w:p>
    <w:p>
      <w:pPr>
        <w:tabs>
          <w:tab w:pos="504" w:val="left"/>
        </w:tabs>
        <w:spacing w:after="100"/>
        <w:ind w:left="504" w:hanging="504"/>
      </w:pPr>
      <w:r>
        <w:rPr>
          <w:rFonts w:ascii="Times New Roman" w:hAnsi="Times New Roman"/>
          <w:b/>
          <w:sz w:val="21"/>
        </w:rPr>
        <w:t>“Assignment of Leases and Rents”</w:t>
        <w:tab/>
      </w:r>
      <w:r>
        <w:rPr>
          <w:rFonts w:ascii="Times New Roman" w:hAnsi="Times New Roman"/>
          <w:b w:val="0"/>
          <w:i w:val="0"/>
          <w:sz w:val="21"/>
        </w:rPr>
        <w:t>means the Assignment of Leases and Rents dated as of the Closing Date from Borrower to Lender.</w:t>
      </w:r>
    </w:p>
    <w:p>
      <w:pPr>
        <w:tabs>
          <w:tab w:pos="504" w:val="left"/>
        </w:tabs>
        <w:spacing w:after="100"/>
        <w:ind w:left="504" w:hanging="504"/>
      </w:pPr>
      <w:r>
        <w:rPr>
          <w:rFonts w:ascii="Times New Roman" w:hAnsi="Times New Roman"/>
          <w:b/>
          <w:sz w:val="21"/>
        </w:rPr>
        <w:t>“Business Day”</w:t>
        <w:tab/>
      </w:r>
      <w:r>
        <w:rPr>
          <w:rFonts w:ascii="Times New Roman" w:hAnsi="Times New Roman"/>
          <w:b w:val="0"/>
          <w:i w:val="0"/>
          <w:sz w:val="21"/>
        </w:rPr>
        <w:t>means any day other than a Saturday, Sunday or day on which commercial banks in Charlotte, North Carolina or New York, New York are authorized or required by law to be closed.</w:t>
      </w:r>
    </w:p>
    <w:p>
      <w:pPr>
        <w:tabs>
          <w:tab w:pos="504" w:val="left"/>
        </w:tabs>
        <w:spacing w:after="100"/>
        <w:ind w:left="504" w:hanging="504"/>
      </w:pPr>
      <w:r>
        <w:rPr>
          <w:rFonts w:ascii="Times New Roman" w:hAnsi="Times New Roman"/>
          <w:b/>
          <w:sz w:val="21"/>
        </w:rPr>
        <w:t>“Carry Guaranty”</w:t>
        <w:tab/>
      </w:r>
      <w:r>
        <w:rPr>
          <w:rFonts w:ascii="Times New Roman" w:hAnsi="Times New Roman"/>
          <w:b w:val="0"/>
          <w:i w:val="0"/>
          <w:sz w:val="21"/>
        </w:rPr>
        <w:t>means the Carry Guaranty dated as of the Closing Date executed by each Guarantor in favor of Lender.</w:t>
      </w:r>
    </w:p>
    <w:p>
      <w:pPr>
        <w:tabs>
          <w:tab w:pos="504" w:val="left"/>
        </w:tabs>
        <w:spacing w:after="100"/>
        <w:ind w:left="504" w:hanging="504"/>
      </w:pPr>
      <w:r>
        <w:rPr>
          <w:rFonts w:ascii="Times New Roman" w:hAnsi="Times New Roman"/>
          <w:b/>
          <w:sz w:val="21"/>
        </w:rPr>
        <w:t>“Closing”</w:t>
        <w:tab/>
      </w:r>
      <w:r>
        <w:rPr>
          <w:rFonts w:ascii="Times New Roman" w:hAnsi="Times New Roman"/>
          <w:b w:val="0"/>
          <w:i w:val="0"/>
          <w:sz w:val="21"/>
        </w:rPr>
        <w:t>and “Closing Date” mean the date on which the initial Advance is made under the Loan.</w:t>
      </w:r>
    </w:p>
    <w:p>
      <w:pPr>
        <w:tabs>
          <w:tab w:pos="504" w:val="left"/>
        </w:tabs>
        <w:spacing w:after="100"/>
        <w:ind w:left="504" w:hanging="504"/>
      </w:pPr>
      <w:r>
        <w:rPr>
          <w:rFonts w:ascii="Times New Roman" w:hAnsi="Times New Roman"/>
          <w:b/>
          <w:sz w:val="21"/>
        </w:rPr>
        <w:t>“Code”</w:t>
        <w:tab/>
      </w:r>
      <w:r>
        <w:rPr>
          <w:rFonts w:ascii="Times New Roman" w:hAnsi="Times New Roman"/>
          <w:b w:val="0"/>
          <w:i w:val="0"/>
          <w:sz w:val="21"/>
        </w:rPr>
        <w:t>means the Internal Revenue Code of 1986, as amended.</w:t>
      </w:r>
    </w:p>
    <w:p>
      <w:pPr>
        <w:tabs>
          <w:tab w:pos="504" w:val="left"/>
        </w:tabs>
        <w:spacing w:after="100"/>
        <w:ind w:left="504" w:hanging="504"/>
      </w:pPr>
      <w:r>
        <w:rPr>
          <w:rFonts w:ascii="Times New Roman" w:hAnsi="Times New Roman"/>
          <w:b/>
          <w:sz w:val="21"/>
        </w:rPr>
        <w:t>“Commitment”</w:t>
        <w:tab/>
      </w:r>
      <w:r>
        <w:rPr>
          <w:rFonts w:ascii="Times New Roman" w:hAnsi="Times New Roman"/>
          <w:b w:val="0"/>
          <w:i w:val="0"/>
          <w:sz w:val="21"/>
        </w:rPr>
        <w:t>means Lender's commitment to make Advances under the Loan in an aggregate principal amount not to exceed the Loan Amount.</w:t>
      </w:r>
    </w:p>
    <w:p>
      <w:pPr>
        <w:tabs>
          <w:tab w:pos="504" w:val="left"/>
        </w:tabs>
        <w:spacing w:after="100"/>
        <w:ind w:left="504" w:hanging="504"/>
      </w:pPr>
      <w:r>
        <w:rPr>
          <w:rFonts w:ascii="Times New Roman" w:hAnsi="Times New Roman"/>
          <w:b/>
          <w:sz w:val="21"/>
        </w:rPr>
        <w:t>“Completion Guaranty”</w:t>
        <w:tab/>
      </w:r>
      <w:r>
        <w:rPr>
          <w:rFonts w:ascii="Times New Roman" w:hAnsi="Times New Roman"/>
          <w:b w:val="0"/>
          <w:i w:val="0"/>
          <w:sz w:val="21"/>
        </w:rPr>
        <w:t>means the Completion Guaranty dated as of the Closing Date executed by each Guarantor in favor of Lender.</w:t>
      </w:r>
    </w:p>
    <w:p>
      <w:pPr>
        <w:tabs>
          <w:tab w:pos="504" w:val="left"/>
        </w:tabs>
        <w:spacing w:after="100"/>
        <w:ind w:left="504" w:hanging="504"/>
      </w:pPr>
      <w:r>
        <w:rPr>
          <w:rFonts w:ascii="Times New Roman" w:hAnsi="Times New Roman"/>
          <w:b/>
          <w:sz w:val="21"/>
        </w:rPr>
        <w:t>“Construction Contract”</w:t>
        <w:tab/>
      </w:r>
      <w:r>
        <w:rPr>
          <w:rFonts w:ascii="Times New Roman" w:hAnsi="Times New Roman"/>
          <w:b w:val="0"/>
          <w:i w:val="0"/>
          <w:sz w:val="21"/>
        </w:rPr>
        <w:t>means the guaranteed maximum price construction contract dated [__________], 2024 between Borrower and Graystone Construction Group Inc. (NC General Contractor License No. 78442), in the guaranteed maximum price amount of $34,750,000, as collaterally assigned to Lender.</w:t>
      </w:r>
    </w:p>
    <w:p>
      <w:pPr>
        <w:tabs>
          <w:tab w:pos="504" w:val="left"/>
        </w:tabs>
        <w:spacing w:after="100"/>
        <w:ind w:left="504" w:hanging="504"/>
      </w:pPr>
      <w:r>
        <w:rPr>
          <w:rFonts w:ascii="Times New Roman" w:hAnsi="Times New Roman"/>
          <w:b/>
          <w:sz w:val="21"/>
        </w:rPr>
        <w:t>“Construction Inspector”</w:t>
        <w:tab/>
      </w:r>
      <w:r>
        <w:rPr>
          <w:rFonts w:ascii="Times New Roman" w:hAnsi="Times New Roman"/>
          <w:b w:val="0"/>
          <w:i w:val="0"/>
          <w:sz w:val="21"/>
        </w:rPr>
        <w:t>means the third-party construction consulting and inspection firm engaged by Lender at Borrower's expense pursuant to Section 4.7, and any replacement thereof.</w:t>
      </w:r>
    </w:p>
    <w:p>
      <w:pPr>
        <w:tabs>
          <w:tab w:pos="504" w:val="left"/>
        </w:tabs>
        <w:spacing w:after="100"/>
        <w:ind w:left="504" w:hanging="504"/>
      </w:pPr>
      <w:r>
        <w:rPr>
          <w:rFonts w:ascii="Times New Roman" w:hAnsi="Times New Roman"/>
          <w:b/>
          <w:sz w:val="21"/>
        </w:rPr>
        <w:t>“Construction Maturity Date”</w:t>
        <w:tab/>
      </w:r>
      <w:r>
        <w:rPr>
          <w:rFonts w:ascii="Times New Roman" w:hAnsi="Times New Roman"/>
          <w:b w:val="0"/>
          <w:i w:val="0"/>
          <w:sz w:val="21"/>
        </w:rPr>
        <w:t>means August 28, 2027, being the date that is thirty (30) months after the anticipated Closing Date of February 28, 2025.</w:t>
      </w:r>
    </w:p>
    <w:p>
      <w:pPr>
        <w:tabs>
          <w:tab w:pos="504" w:val="left"/>
        </w:tabs>
        <w:spacing w:after="100"/>
        <w:ind w:left="504" w:hanging="504"/>
      </w:pPr>
      <w:r>
        <w:rPr>
          <w:rFonts w:ascii="Times New Roman" w:hAnsi="Times New Roman"/>
          <w:b/>
          <w:sz w:val="21"/>
        </w:rPr>
        <w:t>“Construction Period”</w:t>
        <w:tab/>
      </w:r>
      <w:r>
        <w:rPr>
          <w:rFonts w:ascii="Times New Roman" w:hAnsi="Times New Roman"/>
          <w:b w:val="0"/>
          <w:i w:val="0"/>
          <w:sz w:val="21"/>
        </w:rPr>
        <w:t>means the period from the Closing Date through and including the Construction Maturity Date.</w:t>
      </w:r>
    </w:p>
    <w:p>
      <w:pPr>
        <w:tabs>
          <w:tab w:pos="504" w:val="left"/>
        </w:tabs>
        <w:spacing w:after="100"/>
        <w:ind w:left="504" w:hanging="504"/>
      </w:pPr>
      <w:r>
        <w:rPr>
          <w:rFonts w:ascii="Times New Roman" w:hAnsi="Times New Roman"/>
          <w:b/>
          <w:sz w:val="21"/>
        </w:rPr>
        <w:t>“Contingency”</w:t>
        <w:tab/>
      </w:r>
      <w:r>
        <w:rPr>
          <w:rFonts w:ascii="Times New Roman" w:hAnsi="Times New Roman"/>
          <w:b w:val="0"/>
          <w:i w:val="0"/>
          <w:sz w:val="21"/>
        </w:rPr>
        <w:t>means the contingency line items of the Approved Project Budget in the aggregate amount of $1,440,000, consisting of the hard cost contingency of $1,140,000 and the soft cost contingency of $300,000.</w:t>
      </w:r>
    </w:p>
    <w:p>
      <w:pPr>
        <w:tabs>
          <w:tab w:pos="504" w:val="left"/>
        </w:tabs>
        <w:spacing w:after="100"/>
        <w:ind w:left="504" w:hanging="504"/>
      </w:pPr>
      <w:r>
        <w:rPr>
          <w:rFonts w:ascii="Times New Roman" w:hAnsi="Times New Roman"/>
          <w:b/>
          <w:sz w:val="21"/>
        </w:rPr>
        <w:t>“Credit Memorandum”</w:t>
        <w:tab/>
      </w:r>
      <w:r>
        <w:rPr>
          <w:rFonts w:ascii="Times New Roman" w:hAnsi="Times New Roman"/>
          <w:b w:val="0"/>
          <w:i w:val="0"/>
          <w:sz w:val="21"/>
        </w:rPr>
        <w:t>has the meaning given in Recital E.</w:t>
      </w:r>
    </w:p>
    <w:p>
      <w:pPr>
        <w:tabs>
          <w:tab w:pos="504" w:val="left"/>
        </w:tabs>
        <w:spacing w:after="100"/>
        <w:ind w:left="504" w:hanging="504"/>
      </w:pPr>
      <w:r>
        <w:rPr>
          <w:rFonts w:ascii="Times New Roman" w:hAnsi="Times New Roman"/>
          <w:b/>
          <w:sz w:val="21"/>
        </w:rPr>
        <w:t>“Deed of Trust”</w:t>
        <w:tab/>
      </w:r>
      <w:r>
        <w:rPr>
          <w:rFonts w:ascii="Times New Roman" w:hAnsi="Times New Roman"/>
          <w:b w:val="0"/>
          <w:i w:val="0"/>
          <w:sz w:val="21"/>
        </w:rPr>
        <w:t>means the Deed of Trust, Assignment of Rents, Security Agreement and Fixture Filing dated as of the Closing Date, granted by Borrower to the Trustee for the benefit of Lender, encumbering the Property and securing the Loan.</w:t>
      </w:r>
    </w:p>
    <w:p>
      <w:pPr>
        <w:tabs>
          <w:tab w:pos="504" w:val="left"/>
        </w:tabs>
        <w:spacing w:after="100"/>
        <w:ind w:left="504" w:hanging="504"/>
      </w:pPr>
      <w:r>
        <w:rPr>
          <w:rFonts w:ascii="Times New Roman" w:hAnsi="Times New Roman"/>
          <w:b/>
          <w:sz w:val="21"/>
        </w:rPr>
        <w:t>“Default Rate”</w:t>
        <w:tab/>
      </w:r>
      <w:r>
        <w:rPr>
          <w:rFonts w:ascii="Times New Roman" w:hAnsi="Times New Roman"/>
          <w:b w:val="0"/>
          <w:i w:val="0"/>
          <w:sz w:val="21"/>
        </w:rPr>
        <w:t>means a rate per annum equal to the sum of (a) the otherwise applicable Interest Rate plus (b) five percent (5.00%).</w:t>
      </w:r>
    </w:p>
    <w:p>
      <w:pPr>
        <w:tabs>
          <w:tab w:pos="504" w:val="left"/>
        </w:tabs>
        <w:spacing w:after="100"/>
        <w:ind w:left="504" w:hanging="504"/>
      </w:pPr>
      <w:r>
        <w:rPr>
          <w:rFonts w:ascii="Times New Roman" w:hAnsi="Times New Roman"/>
          <w:b/>
          <w:sz w:val="21"/>
        </w:rPr>
        <w:t>“Developer Fee”</w:t>
        <w:tab/>
      </w:r>
      <w:r>
        <w:rPr>
          <w:rFonts w:ascii="Times New Roman" w:hAnsi="Times New Roman"/>
          <w:b w:val="0"/>
          <w:i w:val="0"/>
          <w:sz w:val="21"/>
        </w:rPr>
        <w:t>means the development fee payable to Borrower in the amount of $2,835,000, of which $1,835,000 is included in the Approved Project Budget as a cost to be funded from the proceeds of the Loan and $1,000,000 is to be funded from sources other than the Loan, as described in Schedule 2.</w:t>
      </w:r>
    </w:p>
    <w:p>
      <w:pPr>
        <w:tabs>
          <w:tab w:pos="504" w:val="left"/>
        </w:tabs>
        <w:spacing w:after="100"/>
        <w:ind w:left="504" w:hanging="504"/>
      </w:pPr>
      <w:r>
        <w:rPr>
          <w:rFonts w:ascii="Times New Roman" w:hAnsi="Times New Roman"/>
          <w:b/>
          <w:sz w:val="21"/>
        </w:rPr>
        <w:t>“Draw Request”</w:t>
        <w:tab/>
      </w:r>
      <w:r>
        <w:rPr>
          <w:rFonts w:ascii="Times New Roman" w:hAnsi="Times New Roman"/>
          <w:b w:val="0"/>
          <w:i w:val="0"/>
          <w:sz w:val="21"/>
        </w:rPr>
        <w:t>means a written request for an Advance substantially in the form attached as Exhibit B.</w:t>
      </w:r>
    </w:p>
    <w:p>
      <w:pPr>
        <w:tabs>
          <w:tab w:pos="504" w:val="left"/>
        </w:tabs>
        <w:spacing w:after="100"/>
        <w:ind w:left="504" w:hanging="504"/>
      </w:pPr>
      <w:r>
        <w:rPr>
          <w:rFonts w:ascii="Times New Roman" w:hAnsi="Times New Roman"/>
          <w:b/>
          <w:sz w:val="21"/>
        </w:rPr>
        <w:t>“Draw Schedule”</w:t>
        <w:tab/>
      </w:r>
      <w:r>
        <w:rPr>
          <w:rFonts w:ascii="Times New Roman" w:hAnsi="Times New Roman"/>
          <w:b w:val="0"/>
          <w:i w:val="0"/>
          <w:sz w:val="21"/>
        </w:rPr>
        <w:t>means the draw schedule and construction milestones set forth on Schedule 1, as the same may be adjusted only in accordance with Section 4.5.</w:t>
      </w:r>
    </w:p>
    <w:p>
      <w:pPr>
        <w:tabs>
          <w:tab w:pos="504" w:val="left"/>
        </w:tabs>
        <w:spacing w:after="100"/>
        <w:ind w:left="504" w:hanging="504"/>
      </w:pPr>
      <w:r>
        <w:rPr>
          <w:rFonts w:ascii="Times New Roman" w:hAnsi="Times New Roman"/>
          <w:b/>
          <w:sz w:val="21"/>
        </w:rPr>
        <w:t>“Eligible Assignee”</w:t>
        <w:tab/>
      </w:r>
      <w:r>
        <w:rPr>
          <w:rFonts w:ascii="Times New Roman" w:hAnsi="Times New Roman"/>
          <w:b w:val="0"/>
          <w:i w:val="0"/>
          <w:sz w:val="21"/>
        </w:rPr>
        <w:t>means a commercial bank, savings bank, savings and loan association, insurance company, pension fund, real estate investment trust, or other financial institution or institutional investor reasonably acceptable to Lender.</w:t>
      </w:r>
    </w:p>
    <w:p>
      <w:pPr>
        <w:tabs>
          <w:tab w:pos="504" w:val="left"/>
        </w:tabs>
        <w:spacing w:after="100"/>
        <w:ind w:left="504" w:hanging="504"/>
      </w:pPr>
      <w:r>
        <w:rPr>
          <w:rFonts w:ascii="Times New Roman" w:hAnsi="Times New Roman"/>
          <w:b/>
          <w:sz w:val="21"/>
        </w:rPr>
        <w:t>“Environmental Indemnity”</w:t>
        <w:tab/>
      </w:r>
      <w:r>
        <w:rPr>
          <w:rFonts w:ascii="Times New Roman" w:hAnsi="Times New Roman"/>
          <w:b w:val="0"/>
          <w:i w:val="0"/>
          <w:sz w:val="21"/>
        </w:rPr>
        <w:t>means the Environmental Indemnity Agreement dated as of the Closing Date executed by Borrower and each Guarantor in favor of Lender.</w:t>
      </w:r>
    </w:p>
    <w:p>
      <w:pPr>
        <w:tabs>
          <w:tab w:pos="504" w:val="left"/>
        </w:tabs>
        <w:spacing w:after="100"/>
        <w:ind w:left="504" w:hanging="504"/>
      </w:pPr>
      <w:r>
        <w:rPr>
          <w:rFonts w:ascii="Times New Roman" w:hAnsi="Times New Roman"/>
          <w:b/>
          <w:sz w:val="21"/>
        </w:rPr>
        <w:t>“Environmental Laws”</w:t>
        <w:tab/>
      </w:r>
      <w:r>
        <w:rPr>
          <w:rFonts w:ascii="Times New Roman" w:hAnsi="Times New Roman"/>
          <w:b w:val="0"/>
          <w:i w:val="0"/>
          <w:sz w:val="21"/>
        </w:rPr>
        <w:t>means all federal, state and local statutes, regulations, ordinances and orders relating to pollution, protection of human health or the environment, or to the presence, release, threatened release, storage, treatment, transportation or disposal of Hazardous Materials, including the Comprehensive Environmental Response, Compensation, and Liability Act, the Resource Conservation and Recovery Act, the Clean Water Act, the Clean Air Act, the North Carolina Oil Pollution and Hazardous Substances Control Act (N.C.G.S. Chapter 143, Article 21A), the North Carolina Inactive Hazardous Sites Program (N.C.G.S. Chapter 130A, Article 9), and the North Carolina Brownfields Property Reuse Act (N.C.G.S. Chapter 130A, Article 9, Part 5), in each case as amended.</w:t>
      </w:r>
    </w:p>
    <w:p>
      <w:pPr>
        <w:tabs>
          <w:tab w:pos="504" w:val="left"/>
        </w:tabs>
        <w:spacing w:after="100"/>
        <w:ind w:left="504" w:hanging="504"/>
      </w:pPr>
      <w:r>
        <w:rPr>
          <w:rFonts w:ascii="Times New Roman" w:hAnsi="Times New Roman"/>
          <w:b/>
          <w:sz w:val="21"/>
        </w:rPr>
        <w:t>“Equity Contribution”</w:t>
        <w:tab/>
      </w:r>
      <w:r>
        <w:rPr>
          <w:rFonts w:ascii="Times New Roman" w:hAnsi="Times New Roman"/>
          <w:b w:val="0"/>
          <w:i w:val="0"/>
          <w:sz w:val="21"/>
        </w:rPr>
        <w:t>means the equity contribution required to be made by Borrower pursuant to Section 3.7 in the amount of $[4,080,000], representing the amount by which Total Project Costs, as corrected and set forth in Schedule 2, exceed the sum of the Loan Amount and the Mezzanine Loan.</w:t>
      </w:r>
    </w:p>
    <w:p>
      <w:pPr>
        <w:tabs>
          <w:tab w:pos="504" w:val="left"/>
        </w:tabs>
        <w:spacing w:after="100"/>
        <w:ind w:left="504" w:hanging="504"/>
      </w:pPr>
      <w:r>
        <w:rPr>
          <w:rFonts w:ascii="Times New Roman" w:hAnsi="Times New Roman"/>
          <w:b/>
          <w:sz w:val="21"/>
        </w:rPr>
        <w:t>“Equity Escrow Account”</w:t>
        <w:tab/>
      </w:r>
      <w:r>
        <w:rPr>
          <w:rFonts w:ascii="Times New Roman" w:hAnsi="Times New Roman"/>
          <w:b w:val="0"/>
          <w:i w:val="0"/>
          <w:sz w:val="21"/>
        </w:rPr>
        <w:t>means the interest-bearing deposit account maintained by Lender (or by the Title Company as escrow agent, pursuant to escrow instructions acceptable to Lender) into which the Equity Contribution is deposited.</w:t>
      </w:r>
    </w:p>
    <w:p>
      <w:pPr>
        <w:tabs>
          <w:tab w:pos="504" w:val="left"/>
        </w:tabs>
        <w:spacing w:after="100"/>
        <w:ind w:left="504" w:hanging="504"/>
      </w:pPr>
      <w:r>
        <w:rPr>
          <w:rFonts w:ascii="Times New Roman" w:hAnsi="Times New Roman"/>
          <w:b/>
          <w:sz w:val="21"/>
        </w:rPr>
        <w:t>“Event of Default”</w:t>
        <w:tab/>
      </w:r>
      <w:r>
        <w:rPr>
          <w:rFonts w:ascii="Times New Roman" w:hAnsi="Times New Roman"/>
          <w:b w:val="0"/>
          <w:i w:val="0"/>
          <w:sz w:val="21"/>
        </w:rPr>
        <w:t>has the meaning given in Article XIII.</w:t>
      </w:r>
    </w:p>
    <w:p>
      <w:pPr>
        <w:tabs>
          <w:tab w:pos="504" w:val="left"/>
        </w:tabs>
        <w:spacing w:after="100"/>
        <w:ind w:left="504" w:hanging="504"/>
      </w:pPr>
      <w:r>
        <w:rPr>
          <w:rFonts w:ascii="Times New Roman" w:hAnsi="Times New Roman"/>
          <w:b/>
          <w:sz w:val="21"/>
        </w:rPr>
        <w:t>“Extension Option”</w:t>
        <w:tab/>
      </w:r>
      <w:r>
        <w:rPr>
          <w:rFonts w:ascii="Times New Roman" w:hAnsi="Times New Roman"/>
          <w:b w:val="0"/>
          <w:i w:val="0"/>
          <w:sz w:val="21"/>
        </w:rPr>
        <w:t>has the meaning given in Section 2.14.</w:t>
      </w:r>
    </w:p>
    <w:p>
      <w:pPr>
        <w:tabs>
          <w:tab w:pos="504" w:val="left"/>
        </w:tabs>
        <w:spacing w:after="100"/>
        <w:ind w:left="504" w:hanging="504"/>
      </w:pPr>
      <w:r>
        <w:rPr>
          <w:rFonts w:ascii="Times New Roman" w:hAnsi="Times New Roman"/>
          <w:b/>
          <w:sz w:val="21"/>
        </w:rPr>
        <w:t>“Fees”</w:t>
        <w:tab/>
      </w:r>
      <w:r>
        <w:rPr>
          <w:rFonts w:ascii="Times New Roman" w:hAnsi="Times New Roman"/>
          <w:b w:val="0"/>
          <w:i w:val="0"/>
          <w:sz w:val="21"/>
        </w:rPr>
        <w:t>means, collectively, the Origination Fee, the Exit Fee, the Unused Line Fee, the Extension Fee and any other fees payable under the Loan Documents.</w:t>
      </w:r>
    </w:p>
    <w:p>
      <w:pPr>
        <w:tabs>
          <w:tab w:pos="504" w:val="left"/>
        </w:tabs>
        <w:spacing w:after="100"/>
        <w:ind w:left="504" w:hanging="504"/>
      </w:pPr>
      <w:r>
        <w:rPr>
          <w:rFonts w:ascii="Times New Roman" w:hAnsi="Times New Roman"/>
          <w:b/>
          <w:sz w:val="21"/>
        </w:rPr>
        <w:t>“GAAP”</w:t>
        <w:tab/>
      </w:r>
      <w:r>
        <w:rPr>
          <w:rFonts w:ascii="Times New Roman" w:hAnsi="Times New Roman"/>
          <w:b w:val="0"/>
          <w:i w:val="0"/>
          <w:sz w:val="21"/>
        </w:rPr>
        <w:t>means generally accepted accounting principles in the United States of America, consistently applied.</w:t>
      </w:r>
    </w:p>
    <w:p>
      <w:pPr>
        <w:tabs>
          <w:tab w:pos="504" w:val="left"/>
        </w:tabs>
        <w:spacing w:after="100"/>
        <w:ind w:left="504" w:hanging="504"/>
      </w:pPr>
      <w:r>
        <w:rPr>
          <w:rFonts w:ascii="Times New Roman" w:hAnsi="Times New Roman"/>
          <w:b/>
          <w:sz w:val="21"/>
        </w:rPr>
        <w:t>“GMP Contract”</w:t>
        <w:tab/>
      </w:r>
      <w:r>
        <w:rPr>
          <w:rFonts w:ascii="Times New Roman" w:hAnsi="Times New Roman"/>
          <w:b w:val="0"/>
          <w:i w:val="0"/>
          <w:sz w:val="21"/>
        </w:rPr>
        <w:t>has the meaning given to “Construction Contract”.</w:t>
      </w:r>
    </w:p>
    <w:p>
      <w:pPr>
        <w:tabs>
          <w:tab w:pos="504" w:val="left"/>
        </w:tabs>
        <w:spacing w:after="100"/>
        <w:ind w:left="504" w:hanging="504"/>
      </w:pPr>
      <w:r>
        <w:rPr>
          <w:rFonts w:ascii="Times New Roman" w:hAnsi="Times New Roman"/>
          <w:b/>
          <w:sz w:val="21"/>
        </w:rPr>
        <w:t>“Guaranties”</w:t>
        <w:tab/>
      </w:r>
      <w:r>
        <w:rPr>
          <w:rFonts w:ascii="Times New Roman" w:hAnsi="Times New Roman"/>
          <w:b w:val="0"/>
          <w:i w:val="0"/>
          <w:sz w:val="21"/>
        </w:rPr>
        <w:t>means, collectively, the Completion Guaranty, the Carry Guaranty, the Partial Repayment Guaranty and the Environmental Indemnity.</w:t>
      </w:r>
    </w:p>
    <w:p>
      <w:pPr>
        <w:tabs>
          <w:tab w:pos="504" w:val="left"/>
        </w:tabs>
        <w:spacing w:after="100"/>
        <w:ind w:left="504" w:hanging="504"/>
      </w:pPr>
      <w:r>
        <w:rPr>
          <w:rFonts w:ascii="Times New Roman" w:hAnsi="Times New Roman"/>
          <w:b/>
          <w:sz w:val="21"/>
        </w:rPr>
        <w:t>“Hazardous Materials”</w:t>
        <w:tab/>
      </w:r>
      <w:r>
        <w:rPr>
          <w:rFonts w:ascii="Times New Roman" w:hAnsi="Times New Roman"/>
          <w:b w:val="0"/>
          <w:i w:val="0"/>
          <w:sz w:val="21"/>
        </w:rPr>
        <w:t>means petroleum, petroleum products, petroleum hydrocarbons, asbestos, polychlorinated biphenyls, radon, mold, urea formaldehyde, per- and polyfluoroalkyl substances, and any other substance, material or waste that is regulated as hazardous, toxic or a pollutant under any Environmental Laws.</w:t>
      </w:r>
    </w:p>
    <w:p>
      <w:pPr>
        <w:tabs>
          <w:tab w:pos="504" w:val="left"/>
        </w:tabs>
        <w:spacing w:after="100"/>
        <w:ind w:left="504" w:hanging="504"/>
      </w:pPr>
      <w:r>
        <w:rPr>
          <w:rFonts w:ascii="Times New Roman" w:hAnsi="Times New Roman"/>
          <w:b/>
          <w:sz w:val="21"/>
        </w:rPr>
        <w:t>“Indebtedness”</w:t>
        <w:tab/>
      </w:r>
      <w:r>
        <w:rPr>
          <w:rFonts w:ascii="Times New Roman" w:hAnsi="Times New Roman"/>
          <w:b w:val="0"/>
          <w:i w:val="0"/>
          <w:sz w:val="21"/>
        </w:rPr>
        <w:t>means, without duplication, all obligations for borrowed money, all purchase money obligations, all capitalized lease obligations, all obligations evidenced by notes or bonds, all contingent reimbursement obligations, and all guarantees of any of the foregoing.</w:t>
      </w:r>
    </w:p>
    <w:p>
      <w:pPr>
        <w:tabs>
          <w:tab w:pos="504" w:val="left"/>
        </w:tabs>
        <w:spacing w:after="100"/>
        <w:ind w:left="504" w:hanging="504"/>
      </w:pPr>
      <w:r>
        <w:rPr>
          <w:rFonts w:ascii="Times New Roman" w:hAnsi="Times New Roman"/>
          <w:b/>
          <w:sz w:val="21"/>
        </w:rPr>
        <w:t>“Initial Advance”</w:t>
        <w:tab/>
      </w:r>
      <w:r>
        <w:rPr>
          <w:rFonts w:ascii="Times New Roman" w:hAnsi="Times New Roman"/>
          <w:b w:val="0"/>
          <w:i w:val="0"/>
          <w:sz w:val="21"/>
        </w:rPr>
        <w:t>means the Advance made on the Closing Date pursuant to Draw No. 1 of the Draw Schedule.</w:t>
      </w:r>
    </w:p>
    <w:p>
      <w:pPr>
        <w:tabs>
          <w:tab w:pos="504" w:val="left"/>
        </w:tabs>
        <w:spacing w:after="100"/>
        <w:ind w:left="504" w:hanging="504"/>
      </w:pPr>
      <w:r>
        <w:rPr>
          <w:rFonts w:ascii="Times New Roman" w:hAnsi="Times New Roman"/>
          <w:b/>
          <w:sz w:val="21"/>
        </w:rPr>
        <w:t>“Insurance Proceeds”</w:t>
        <w:tab/>
      </w:r>
      <w:r>
        <w:rPr>
          <w:rFonts w:ascii="Times New Roman" w:hAnsi="Times New Roman"/>
          <w:b w:val="0"/>
          <w:i w:val="0"/>
          <w:sz w:val="21"/>
        </w:rPr>
        <w:t>means all proceeds of insurance payable in respect of the Property or the Project.</w:t>
      </w:r>
    </w:p>
    <w:p>
      <w:pPr>
        <w:tabs>
          <w:tab w:pos="504" w:val="left"/>
        </w:tabs>
        <w:spacing w:after="100"/>
        <w:ind w:left="504" w:hanging="504"/>
      </w:pPr>
      <w:r>
        <w:rPr>
          <w:rFonts w:ascii="Times New Roman" w:hAnsi="Times New Roman"/>
          <w:b/>
          <w:sz w:val="21"/>
        </w:rPr>
        <w:t>“Intercreditor Agreement”</w:t>
        <w:tab/>
      </w:r>
      <w:r>
        <w:rPr>
          <w:rFonts w:ascii="Times New Roman" w:hAnsi="Times New Roman"/>
          <w:b w:val="0"/>
          <w:i w:val="0"/>
          <w:sz w:val="21"/>
        </w:rPr>
        <w:t>means the intercreditor and subordination agreement dated as of or prior to the Closing Date among Lender, Mezzanine Lender and Borrower, in form and substance satisfactory to Lender, satisfying the requirements of Section 3.8.</w:t>
      </w:r>
    </w:p>
    <w:p>
      <w:pPr>
        <w:tabs>
          <w:tab w:pos="504" w:val="left"/>
        </w:tabs>
        <w:spacing w:after="100"/>
        <w:ind w:left="504" w:hanging="504"/>
      </w:pPr>
      <w:r>
        <w:rPr>
          <w:rFonts w:ascii="Times New Roman" w:hAnsi="Times New Roman"/>
          <w:b/>
          <w:sz w:val="21"/>
        </w:rPr>
        <w:t>“Interest Period”</w:t>
        <w:tab/>
      </w:r>
      <w:r>
        <w:rPr>
          <w:rFonts w:ascii="Times New Roman" w:hAnsi="Times New Roman"/>
          <w:b w:val="0"/>
          <w:i w:val="0"/>
          <w:sz w:val="21"/>
        </w:rPr>
        <w:t>means each calendar month during the term of the Loan; interest shall be computed for each Interest Period on the basis of the actual number of days elapsed and a year of three hundred sixty (360) days.</w:t>
      </w:r>
    </w:p>
    <w:p>
      <w:pPr>
        <w:tabs>
          <w:tab w:pos="504" w:val="left"/>
        </w:tabs>
        <w:spacing w:after="100"/>
        <w:ind w:left="504" w:hanging="504"/>
      </w:pPr>
      <w:r>
        <w:rPr>
          <w:rFonts w:ascii="Times New Roman" w:hAnsi="Times New Roman"/>
          <w:b/>
          <w:sz w:val="21"/>
        </w:rPr>
        <w:t>“Interest Rate”</w:t>
        <w:tab/>
      </w:r>
      <w:r>
        <w:rPr>
          <w:rFonts w:ascii="Times New Roman" w:hAnsi="Times New Roman"/>
          <w:b w:val="0"/>
          <w:i w:val="0"/>
          <w:sz w:val="21"/>
        </w:rPr>
        <w:t>means, (a) during the Construction Period, the lesser of (i) Daily Simple SOFR plus 3.25% per annum and (ii) the Maximum Rate, and (b) during the Mini-Perm Period, the lesser of (i) Daily Simple SOFR plus 3.50% per annum and (ii) the Maximum Rate.</w:t>
      </w:r>
    </w:p>
    <w:p>
      <w:pPr>
        <w:tabs>
          <w:tab w:pos="504" w:val="left"/>
        </w:tabs>
        <w:spacing w:after="100"/>
        <w:ind w:left="504" w:hanging="504"/>
      </w:pPr>
      <w:r>
        <w:rPr>
          <w:rFonts w:ascii="Times New Roman" w:hAnsi="Times New Roman"/>
          <w:b/>
          <w:sz w:val="21"/>
        </w:rPr>
        <w:t>“Interest Reserve”</w:t>
        <w:tab/>
      </w:r>
      <w:r>
        <w:rPr>
          <w:rFonts w:ascii="Times New Roman" w:hAnsi="Times New Roman"/>
          <w:b w:val="0"/>
          <w:i w:val="0"/>
          <w:sz w:val="21"/>
        </w:rPr>
        <w:t>means the interest reserve in the amount of $4,850,000 funded from the proceeds of the Loan at Closing and held in the Interest Reserve Account.</w:t>
      </w:r>
    </w:p>
    <w:p>
      <w:pPr>
        <w:tabs>
          <w:tab w:pos="504" w:val="left"/>
        </w:tabs>
        <w:spacing w:after="100"/>
        <w:ind w:left="504" w:hanging="504"/>
      </w:pPr>
      <w:r>
        <w:rPr>
          <w:rFonts w:ascii="Times New Roman" w:hAnsi="Times New Roman"/>
          <w:b/>
          <w:sz w:val="21"/>
        </w:rPr>
        <w:t>“Interest Reserve Account”</w:t>
        <w:tab/>
      </w:r>
      <w:r>
        <w:rPr>
          <w:rFonts w:ascii="Times New Roman" w:hAnsi="Times New Roman"/>
          <w:b w:val="0"/>
          <w:i w:val="0"/>
          <w:sz w:val="21"/>
        </w:rPr>
        <w:t>means the segregated sub-account of the Loan maintained by Lender for the Interest Reserve pursuant to Article V.</w:t>
      </w:r>
    </w:p>
    <w:p>
      <w:pPr>
        <w:tabs>
          <w:tab w:pos="504" w:val="left"/>
        </w:tabs>
        <w:spacing w:after="100"/>
        <w:ind w:left="504" w:hanging="504"/>
      </w:pPr>
      <w:r>
        <w:rPr>
          <w:rFonts w:ascii="Times New Roman" w:hAnsi="Times New Roman"/>
          <w:b/>
          <w:sz w:val="21"/>
        </w:rPr>
        <w:t>“Lender Parties”</w:t>
        <w:tab/>
      </w:r>
      <w:r>
        <w:rPr>
          <w:rFonts w:ascii="Times New Roman" w:hAnsi="Times New Roman"/>
          <w:b w:val="0"/>
          <w:i w:val="0"/>
          <w:sz w:val="21"/>
        </w:rPr>
        <w:t>means Lender, its Affiliates, and their respective directors, officers, employees, agents, attorneys and advisors.</w:t>
      </w:r>
    </w:p>
    <w:p>
      <w:pPr>
        <w:tabs>
          <w:tab w:pos="504" w:val="left"/>
        </w:tabs>
        <w:spacing w:after="100"/>
        <w:ind w:left="504" w:hanging="504"/>
      </w:pPr>
      <w:r>
        <w:rPr>
          <w:rFonts w:ascii="Times New Roman" w:hAnsi="Times New Roman"/>
          <w:b/>
          <w:sz w:val="21"/>
        </w:rPr>
        <w:t>“Loan”</w:t>
        <w:tab/>
      </w:r>
      <w:r>
        <w:rPr>
          <w:rFonts w:ascii="Times New Roman" w:hAnsi="Times New Roman"/>
          <w:b w:val="0"/>
          <w:i w:val="0"/>
          <w:sz w:val="21"/>
        </w:rPr>
        <w:t>means the construction-to-mini-permanent loan in the maximum principal amount of the Loan Amount made by Lender to Borrower under this Agreement.</w:t>
      </w:r>
    </w:p>
    <w:p>
      <w:pPr>
        <w:tabs>
          <w:tab w:pos="504" w:val="left"/>
        </w:tabs>
        <w:spacing w:after="100"/>
        <w:ind w:left="504" w:hanging="504"/>
      </w:pPr>
      <w:r>
        <w:rPr>
          <w:rFonts w:ascii="Times New Roman" w:hAnsi="Times New Roman"/>
          <w:b/>
          <w:sz w:val="21"/>
        </w:rPr>
        <w:t>“Loan Amount”</w:t>
        <w:tab/>
      </w:r>
      <w:r>
        <w:rPr>
          <w:rFonts w:ascii="Times New Roman" w:hAnsi="Times New Roman"/>
          <w:b w:val="0"/>
          <w:i w:val="0"/>
          <w:sz w:val="21"/>
        </w:rPr>
        <w:t>means Forty-Seven Million Five Hundred Thousand and No/100 Dollars ($47,500,000).</w:t>
      </w:r>
    </w:p>
    <w:p>
      <w:pPr>
        <w:tabs>
          <w:tab w:pos="504" w:val="left"/>
        </w:tabs>
        <w:spacing w:after="100"/>
        <w:ind w:left="504" w:hanging="504"/>
      </w:pPr>
      <w:r>
        <w:rPr>
          <w:rFonts w:ascii="Times New Roman" w:hAnsi="Times New Roman"/>
          <w:b/>
          <w:sz w:val="21"/>
        </w:rPr>
        <w:t>“Loan Documents”</w:t>
        <w:tab/>
      </w:r>
      <w:r>
        <w:rPr>
          <w:rFonts w:ascii="Times New Roman" w:hAnsi="Times New Roman"/>
          <w:b w:val="0"/>
          <w:i w:val="0"/>
          <w:sz w:val="21"/>
        </w:rPr>
        <w:t>means this Agreement, the Note, the Deed of Trust, the Assignment of Leases and Rents, the Security Agreement, the Assignments of Construction Contract and Architect's Agreement, the Collateral Assignment of Insurance Proceeds and Condemnation Awards, the Membership Interest Pledge Agreements, the Guaranties, the Environmental Indemnity, the Intercreditor Agreement, all UCC financing statements, and each other instrument, agreement, certificate or opinion delivered in connection with the Loan, in each case as amended, restated or supplemented from time to time.</w:t>
      </w:r>
    </w:p>
    <w:p>
      <w:pPr>
        <w:tabs>
          <w:tab w:pos="504" w:val="left"/>
        </w:tabs>
        <w:spacing w:after="100"/>
        <w:ind w:left="504" w:hanging="504"/>
      </w:pPr>
      <w:r>
        <w:rPr>
          <w:rFonts w:ascii="Times New Roman" w:hAnsi="Times New Roman"/>
          <w:b/>
          <w:sz w:val="21"/>
        </w:rPr>
        <w:t>“Material Adverse Effect”</w:t>
        <w:tab/>
      </w:r>
      <w:r>
        <w:rPr>
          <w:rFonts w:ascii="Times New Roman" w:hAnsi="Times New Roman"/>
          <w:b w:val="0"/>
          <w:i w:val="0"/>
          <w:sz w:val="21"/>
        </w:rPr>
        <w:t>means a material adverse effect on (a) the business, assets, operations or financial condition of Borrower or any Guarantor, (b) the value, marketability or condition of the Property or the Project, (c) the ability of Borrower or any Guarantor to perform its obligations under the Loan Documents, or (d) the validity, enforceability or priority of any Lien granted to Lender under the Loan Documents.</w:t>
      </w:r>
    </w:p>
    <w:p>
      <w:pPr>
        <w:tabs>
          <w:tab w:pos="504" w:val="left"/>
        </w:tabs>
        <w:spacing w:after="100"/>
        <w:ind w:left="504" w:hanging="504"/>
      </w:pPr>
      <w:r>
        <w:rPr>
          <w:rFonts w:ascii="Times New Roman" w:hAnsi="Times New Roman"/>
          <w:b/>
          <w:sz w:val="21"/>
        </w:rPr>
        <w:t>“Maximum Rate”</w:t>
        <w:tab/>
      </w:r>
      <w:r>
        <w:rPr>
          <w:rFonts w:ascii="Times New Roman" w:hAnsi="Times New Roman"/>
          <w:b w:val="0"/>
          <w:i w:val="0"/>
          <w:sz w:val="21"/>
        </w:rPr>
        <w:t>means the maximum rate of interest permitted by applicable law, including N.C.G.S. § 24-1.1 and related provisions.</w:t>
      </w:r>
    </w:p>
    <w:p>
      <w:pPr>
        <w:tabs>
          <w:tab w:pos="504" w:val="left"/>
        </w:tabs>
        <w:spacing w:after="100"/>
        <w:ind w:left="504" w:hanging="504"/>
      </w:pPr>
      <w:r>
        <w:rPr>
          <w:rFonts w:ascii="Times New Roman" w:hAnsi="Times New Roman"/>
          <w:b/>
          <w:sz w:val="21"/>
        </w:rPr>
        <w:t>“Membership Interest Pledges”</w:t>
        <w:tab/>
      </w:r>
      <w:r>
        <w:rPr>
          <w:rFonts w:ascii="Times New Roman" w:hAnsi="Times New Roman"/>
          <w:b w:val="0"/>
          <w:i w:val="0"/>
          <w:sz w:val="21"/>
        </w:rPr>
        <w:t>means the pledge agreements dated as of the Closing Date pursuant to which each member of Borrower pledges one hundred percent (100%) of its membership interest in Borrower to Lender as security for the Loan, subject and subordinate in priority only as expressly provided in the Intercreditor Agreement.</w:t>
      </w:r>
    </w:p>
    <w:p>
      <w:pPr>
        <w:tabs>
          <w:tab w:pos="504" w:val="left"/>
        </w:tabs>
        <w:spacing w:after="100"/>
        <w:ind w:left="504" w:hanging="504"/>
      </w:pPr>
      <w:r>
        <w:rPr>
          <w:rFonts w:ascii="Times New Roman" w:hAnsi="Times New Roman"/>
          <w:b/>
          <w:sz w:val="21"/>
        </w:rPr>
        <w:t>“Mezzanine Documents”</w:t>
        <w:tab/>
      </w:r>
      <w:r>
        <w:rPr>
          <w:rFonts w:ascii="Times New Roman" w:hAnsi="Times New Roman"/>
          <w:b w:val="0"/>
          <w:i w:val="0"/>
          <w:sz w:val="21"/>
        </w:rPr>
        <w:t>means the loan agreement, promissory note, pledge agreement and other documents evidencing and securing the Mezzanine Loan.</w:t>
      </w:r>
    </w:p>
    <w:p>
      <w:pPr>
        <w:tabs>
          <w:tab w:pos="504" w:val="left"/>
        </w:tabs>
        <w:spacing w:after="100"/>
        <w:ind w:left="504" w:hanging="504"/>
      </w:pPr>
      <w:r>
        <w:rPr>
          <w:rFonts w:ascii="Times New Roman" w:hAnsi="Times New Roman"/>
          <w:b/>
          <w:sz w:val="21"/>
        </w:rPr>
        <w:t>“Mezzanine Lender”</w:t>
        <w:tab/>
      </w:r>
      <w:r>
        <w:rPr>
          <w:rFonts w:ascii="Times New Roman" w:hAnsi="Times New Roman"/>
          <w:b w:val="0"/>
          <w:i w:val="0"/>
          <w:sz w:val="21"/>
        </w:rPr>
        <w:t>means Brightleaf Mezzanine Capital LLC, a North Carolina limited liability company (NC Secretary of State File No. 2103988).</w:t>
      </w:r>
    </w:p>
    <w:p>
      <w:pPr>
        <w:tabs>
          <w:tab w:pos="504" w:val="left"/>
        </w:tabs>
        <w:spacing w:after="100"/>
        <w:ind w:left="504" w:hanging="504"/>
      </w:pPr>
      <w:r>
        <w:rPr>
          <w:rFonts w:ascii="Times New Roman" w:hAnsi="Times New Roman"/>
          <w:b/>
          <w:sz w:val="21"/>
        </w:rPr>
        <w:t>“Mezzanine Loan”</w:t>
        <w:tab/>
      </w:r>
      <w:r>
        <w:rPr>
          <w:rFonts w:ascii="Times New Roman" w:hAnsi="Times New Roman"/>
          <w:b w:val="0"/>
          <w:i w:val="0"/>
          <w:sz w:val="21"/>
        </w:rPr>
        <w:t>has the meaning given in Recital F, in the principal amount of $9,200,000, bearing interest at a fixed rate of 12.50% per annum.</w:t>
      </w:r>
    </w:p>
    <w:p>
      <w:pPr>
        <w:tabs>
          <w:tab w:pos="504" w:val="left"/>
        </w:tabs>
        <w:spacing w:after="100"/>
        <w:ind w:left="504" w:hanging="504"/>
      </w:pPr>
      <w:r>
        <w:rPr>
          <w:rFonts w:ascii="Times New Roman" w:hAnsi="Times New Roman"/>
          <w:b/>
          <w:sz w:val="21"/>
        </w:rPr>
        <w:t>“Mini-Perm Maturity Date”</w:t>
        <w:tab/>
      </w:r>
      <w:r>
        <w:rPr>
          <w:rFonts w:ascii="Times New Roman" w:hAnsi="Times New Roman"/>
          <w:b w:val="0"/>
          <w:i w:val="0"/>
          <w:sz w:val="21"/>
        </w:rPr>
        <w:t>means August 28, 2028, being the date that is twelve (12) months after the Construction Maturity Date, as the same may be extended to the Extended Maturity Date pursuant to Section 2.14.</w:t>
      </w:r>
    </w:p>
    <w:p>
      <w:pPr>
        <w:tabs>
          <w:tab w:pos="504" w:val="left"/>
        </w:tabs>
        <w:spacing w:after="100"/>
        <w:ind w:left="504" w:hanging="504"/>
      </w:pPr>
      <w:r>
        <w:rPr>
          <w:rFonts w:ascii="Times New Roman" w:hAnsi="Times New Roman"/>
          <w:b/>
          <w:sz w:val="21"/>
        </w:rPr>
        <w:t>“Mini-Perm Period”</w:t>
        <w:tab/>
      </w:r>
      <w:r>
        <w:rPr>
          <w:rFonts w:ascii="Times New Roman" w:hAnsi="Times New Roman"/>
          <w:b w:val="0"/>
          <w:i w:val="0"/>
          <w:sz w:val="21"/>
        </w:rPr>
        <w:t>means the period from and after the Construction Maturity Date through and including the Mini-Perm Maturity Date (as the same may be extended).</w:t>
      </w:r>
    </w:p>
    <w:p>
      <w:pPr>
        <w:tabs>
          <w:tab w:pos="504" w:val="left"/>
        </w:tabs>
        <w:spacing w:after="100"/>
        <w:ind w:left="504" w:hanging="504"/>
      </w:pPr>
      <w:r>
        <w:rPr>
          <w:rFonts w:ascii="Times New Roman" w:hAnsi="Times New Roman"/>
          <w:b/>
          <w:sz w:val="21"/>
        </w:rPr>
        <w:t>“NFA Letter”</w:t>
        <w:tab/>
      </w:r>
      <w:r>
        <w:rPr>
          <w:rFonts w:ascii="Times New Roman" w:hAnsi="Times New Roman"/>
          <w:b w:val="0"/>
          <w:i w:val="0"/>
          <w:sz w:val="21"/>
        </w:rPr>
        <w:t>has the meaning given in Recital H, being the conditional No Further Action determination letter issued by NCDEQ (Inactive Hazardous Sites Branch) dated September 30, 2024, with respect to Site ID IHSB-24-1203 / Incident No. NONUST-24-0847.</w:t>
      </w:r>
    </w:p>
    <w:p>
      <w:pPr>
        <w:tabs>
          <w:tab w:pos="504" w:val="left"/>
        </w:tabs>
        <w:spacing w:after="100"/>
        <w:ind w:left="504" w:hanging="504"/>
      </w:pPr>
      <w:r>
        <w:rPr>
          <w:rFonts w:ascii="Times New Roman" w:hAnsi="Times New Roman"/>
          <w:b/>
          <w:sz w:val="21"/>
        </w:rPr>
        <w:t>“NCDEQ”</w:t>
        <w:tab/>
      </w:r>
      <w:r>
        <w:rPr>
          <w:rFonts w:ascii="Times New Roman" w:hAnsi="Times New Roman"/>
          <w:b w:val="0"/>
          <w:i w:val="0"/>
          <w:sz w:val="21"/>
        </w:rPr>
        <w:t>means the North Carolina Department of Environmental Quality, or any successor agency.</w:t>
      </w:r>
    </w:p>
    <w:p>
      <w:pPr>
        <w:tabs>
          <w:tab w:pos="504" w:val="left"/>
        </w:tabs>
        <w:spacing w:after="100"/>
        <w:ind w:left="504" w:hanging="504"/>
      </w:pPr>
      <w:r>
        <w:rPr>
          <w:rFonts w:ascii="Times New Roman" w:hAnsi="Times New Roman"/>
          <w:b/>
          <w:sz w:val="21"/>
        </w:rPr>
        <w:t>“Note”</w:t>
        <w:tab/>
      </w:r>
      <w:r>
        <w:rPr>
          <w:rFonts w:ascii="Times New Roman" w:hAnsi="Times New Roman"/>
          <w:b w:val="0"/>
          <w:i w:val="0"/>
          <w:sz w:val="21"/>
        </w:rPr>
        <w:t>means the Promissory Note dated as of the Closing Date in the principal amount of the Loan Amount, executed by Borrower and payable to the order of Lender.</w:t>
      </w:r>
    </w:p>
    <w:p>
      <w:pPr>
        <w:tabs>
          <w:tab w:pos="504" w:val="left"/>
        </w:tabs>
        <w:spacing w:after="100"/>
        <w:ind w:left="504" w:hanging="504"/>
      </w:pPr>
      <w:r>
        <w:rPr>
          <w:rFonts w:ascii="Times New Roman" w:hAnsi="Times New Roman"/>
          <w:b/>
          <w:sz w:val="21"/>
        </w:rPr>
        <w:t>“Origination Fee”</w:t>
        <w:tab/>
      </w:r>
      <w:r>
        <w:rPr>
          <w:rFonts w:ascii="Times New Roman" w:hAnsi="Times New Roman"/>
          <w:b w:val="0"/>
          <w:i w:val="0"/>
          <w:sz w:val="21"/>
        </w:rPr>
        <w:t>means a fee equal to one percent (1.00%) of the Loan Amount, or $475,000, payable at Closing.</w:t>
      </w:r>
    </w:p>
    <w:p>
      <w:pPr>
        <w:tabs>
          <w:tab w:pos="504" w:val="left"/>
        </w:tabs>
        <w:spacing w:after="100"/>
        <w:ind w:left="504" w:hanging="504"/>
      </w:pPr>
      <w:r>
        <w:rPr>
          <w:rFonts w:ascii="Times New Roman" w:hAnsi="Times New Roman"/>
          <w:b/>
          <w:sz w:val="21"/>
        </w:rPr>
        <w:t>“Partial Repayment Guaranty”</w:t>
        <w:tab/>
      </w:r>
      <w:r>
        <w:rPr>
          <w:rFonts w:ascii="Times New Roman" w:hAnsi="Times New Roman"/>
          <w:b w:val="0"/>
          <w:i w:val="0"/>
          <w:sz w:val="21"/>
        </w:rPr>
        <w:t>means the Partial Repayment Guaranty dated as of the Closing Date executed by each Guarantor in favor of Lender, in an aggregate amount not to exceed $11,875,000 as provided in Section 11.3.</w:t>
      </w:r>
    </w:p>
    <w:p>
      <w:pPr>
        <w:tabs>
          <w:tab w:pos="504" w:val="left"/>
        </w:tabs>
        <w:spacing w:after="100"/>
        <w:ind w:left="504" w:hanging="504"/>
      </w:pPr>
      <w:r>
        <w:rPr>
          <w:rFonts w:ascii="Times New Roman" w:hAnsi="Times New Roman"/>
          <w:b/>
          <w:sz w:val="21"/>
        </w:rPr>
        <w:t>“Permitted Exceptions”</w:t>
        <w:tab/>
      </w:r>
      <w:r>
        <w:rPr>
          <w:rFonts w:ascii="Times New Roman" w:hAnsi="Times New Roman"/>
          <w:b w:val="0"/>
          <w:i w:val="0"/>
          <w:sz w:val="21"/>
        </w:rPr>
        <w:t>means those matters listed on Schedule 3 and such other matters as Lender may approve in writing.</w:t>
      </w:r>
    </w:p>
    <w:p>
      <w:pPr>
        <w:tabs>
          <w:tab w:pos="504" w:val="left"/>
        </w:tabs>
        <w:spacing w:after="100"/>
        <w:ind w:left="504" w:hanging="504"/>
      </w:pPr>
      <w:r>
        <w:rPr>
          <w:rFonts w:ascii="Times New Roman" w:hAnsi="Times New Roman"/>
          <w:b/>
          <w:sz w:val="21"/>
        </w:rPr>
        <w:t>“Person”</w:t>
        <w:tab/>
      </w:r>
      <w:r>
        <w:rPr>
          <w:rFonts w:ascii="Times New Roman" w:hAnsi="Times New Roman"/>
          <w:b w:val="0"/>
          <w:i w:val="0"/>
          <w:sz w:val="21"/>
        </w:rPr>
        <w:t>means any individual, corporation, partnership, limited liability company, trust, association, joint venture, governmental authority or other entity.</w:t>
      </w:r>
    </w:p>
    <w:p>
      <w:pPr>
        <w:tabs>
          <w:tab w:pos="504" w:val="left"/>
        </w:tabs>
        <w:spacing w:after="100"/>
        <w:ind w:left="504" w:hanging="504"/>
      </w:pPr>
      <w:r>
        <w:rPr>
          <w:rFonts w:ascii="Times New Roman" w:hAnsi="Times New Roman"/>
          <w:b/>
          <w:sz w:val="21"/>
        </w:rPr>
        <w:t>“Phase I ESA”</w:t>
        <w:tab/>
      </w:r>
      <w:r>
        <w:rPr>
          <w:rFonts w:ascii="Times New Roman" w:hAnsi="Times New Roman"/>
          <w:b w:val="0"/>
          <w:i w:val="0"/>
          <w:sz w:val="21"/>
        </w:rPr>
        <w:t>means the Phase I Environmental Site Assessment prepared by Sentinel Environmental Consulting LLC dated October 28, 2024 (Sentinel Project No. SEC-2024-1147).</w:t>
      </w:r>
    </w:p>
    <w:p>
      <w:pPr>
        <w:tabs>
          <w:tab w:pos="504" w:val="left"/>
        </w:tabs>
        <w:spacing w:after="100"/>
        <w:ind w:left="504" w:hanging="504"/>
      </w:pPr>
      <w:r>
        <w:rPr>
          <w:rFonts w:ascii="Times New Roman" w:hAnsi="Times New Roman"/>
          <w:b/>
          <w:sz w:val="21"/>
        </w:rPr>
        <w:t>“Phase II ESA”</w:t>
        <w:tab/>
      </w:r>
      <w:r>
        <w:rPr>
          <w:rFonts w:ascii="Times New Roman" w:hAnsi="Times New Roman"/>
          <w:b w:val="0"/>
          <w:i w:val="0"/>
          <w:sz w:val="21"/>
        </w:rPr>
        <w:t>means the Phase II Environmental Investigation prepared by Sentinel Environmental Consulting LLC dated August 30, 2024 (Sentinel Project No. SEC-2024-1089).</w:t>
      </w:r>
    </w:p>
    <w:p>
      <w:pPr>
        <w:tabs>
          <w:tab w:pos="504" w:val="left"/>
        </w:tabs>
        <w:spacing w:after="100"/>
        <w:ind w:left="504" w:hanging="504"/>
      </w:pPr>
      <w:r>
        <w:rPr>
          <w:rFonts w:ascii="Times New Roman" w:hAnsi="Times New Roman"/>
          <w:b/>
          <w:sz w:val="21"/>
        </w:rPr>
        <w:t>“Project Budget”</w:t>
        <w:tab/>
      </w:r>
      <w:r>
        <w:rPr>
          <w:rFonts w:ascii="Times New Roman" w:hAnsi="Times New Roman"/>
          <w:b w:val="0"/>
          <w:i w:val="0"/>
          <w:sz w:val="21"/>
        </w:rPr>
        <w:t>has the meaning given to “Approved Project Budget”.</w:t>
      </w:r>
    </w:p>
    <w:p>
      <w:pPr>
        <w:tabs>
          <w:tab w:pos="504" w:val="left"/>
        </w:tabs>
        <w:spacing w:after="100"/>
        <w:ind w:left="504" w:hanging="504"/>
      </w:pPr>
      <w:r>
        <w:rPr>
          <w:rFonts w:ascii="Times New Roman" w:hAnsi="Times New Roman"/>
          <w:b/>
          <w:sz w:val="21"/>
        </w:rPr>
        <w:t>“Retainage”</w:t>
        <w:tab/>
      </w:r>
      <w:r>
        <w:rPr>
          <w:rFonts w:ascii="Times New Roman" w:hAnsi="Times New Roman"/>
          <w:b w:val="0"/>
          <w:i w:val="0"/>
          <w:sz w:val="21"/>
        </w:rPr>
        <w:t>means, with respect to each Advance for hard construction costs, an amount equal to ten percent (10%) of the gross amount of such Advance, to be held by Lender and released as provided in Section 4.4, in the aggregate amount of $3,475,000.</w:t>
      </w:r>
    </w:p>
    <w:p>
      <w:pPr>
        <w:tabs>
          <w:tab w:pos="504" w:val="left"/>
        </w:tabs>
        <w:spacing w:after="100"/>
        <w:ind w:left="504" w:hanging="504"/>
      </w:pPr>
      <w:r>
        <w:rPr>
          <w:rFonts w:ascii="Times New Roman" w:hAnsi="Times New Roman"/>
          <w:b/>
          <w:sz w:val="21"/>
        </w:rPr>
        <w:t>“SOFR”</w:t>
        <w:tab/>
      </w:r>
      <w:r>
        <w:rPr>
          <w:rFonts w:ascii="Times New Roman" w:hAnsi="Times New Roman"/>
          <w:b w:val="0"/>
          <w:i w:val="0"/>
          <w:sz w:val="21"/>
        </w:rPr>
        <w:t>means Daily Simple SOFR.</w:t>
      </w:r>
    </w:p>
    <w:p>
      <w:pPr>
        <w:tabs>
          <w:tab w:pos="504" w:val="left"/>
        </w:tabs>
        <w:spacing w:after="100"/>
        <w:ind w:left="504" w:hanging="504"/>
      </w:pPr>
      <w:r>
        <w:rPr>
          <w:rFonts w:ascii="Times New Roman" w:hAnsi="Times New Roman"/>
          <w:b/>
          <w:sz w:val="21"/>
        </w:rPr>
        <w:t>“Daily Simple SOFR”</w:t>
        <w:tab/>
      </w:r>
      <w:r>
        <w:rPr>
          <w:rFonts w:ascii="Times New Roman" w:hAnsi="Times New Roman"/>
          <w:b w:val="0"/>
          <w:i w:val="0"/>
          <w:sz w:val="21"/>
        </w:rPr>
        <w:t>means, for any day, the Secured Overtime Financing Rate published by the Federal Reserve Bank of New York (or a successor administrator selected by Lender in its reasonable discretion) for such day, in each case giving effect to the SOFR Floor and to the Benchmark Replacement provisions of Section 2.6.</w:t>
      </w:r>
    </w:p>
    <w:p>
      <w:pPr>
        <w:tabs>
          <w:tab w:pos="504" w:val="left"/>
        </w:tabs>
        <w:spacing w:after="100"/>
        <w:ind w:left="504" w:hanging="504"/>
      </w:pPr>
      <w:r>
        <w:rPr>
          <w:rFonts w:ascii="Times New Roman" w:hAnsi="Times New Roman"/>
          <w:b/>
          <w:sz w:val="21"/>
        </w:rPr>
        <w:t>“SOFR Floor”</w:t>
        <w:tab/>
      </w:r>
      <w:r>
        <w:rPr>
          <w:rFonts w:ascii="Times New Roman" w:hAnsi="Times New Roman"/>
          <w:b w:val="0"/>
          <w:i w:val="0"/>
          <w:sz w:val="21"/>
        </w:rPr>
        <w:t>means one percent (1.00%) per annum; if Daily Simple SOFR for any day is less than 1.00%, Daily Simple SOFR shall be deemed to be 1.00% for such day.</w:t>
      </w:r>
    </w:p>
    <w:p>
      <w:pPr>
        <w:tabs>
          <w:tab w:pos="504" w:val="left"/>
        </w:tabs>
        <w:spacing w:after="100"/>
        <w:ind w:left="504" w:hanging="504"/>
      </w:pPr>
      <w:r>
        <w:rPr>
          <w:rFonts w:ascii="Times New Roman" w:hAnsi="Times New Roman"/>
          <w:b/>
          <w:sz w:val="21"/>
        </w:rPr>
        <w:t>“Security Agreement”</w:t>
        <w:tab/>
      </w:r>
      <w:r>
        <w:rPr>
          <w:rFonts w:ascii="Times New Roman" w:hAnsi="Times New Roman"/>
          <w:b w:val="0"/>
          <w:i w:val="0"/>
          <w:sz w:val="21"/>
        </w:rPr>
        <w:t>means the Security Agreement dated as of the Closing Date between Borrower and Lender.</w:t>
      </w:r>
    </w:p>
    <w:p>
      <w:pPr>
        <w:tabs>
          <w:tab w:pos="504" w:val="left"/>
        </w:tabs>
        <w:spacing w:after="100"/>
        <w:ind w:left="504" w:hanging="504"/>
      </w:pPr>
      <w:r>
        <w:rPr>
          <w:rFonts w:ascii="Times New Roman" w:hAnsi="Times New Roman"/>
          <w:b/>
          <w:sz w:val="21"/>
        </w:rPr>
        <w:t>“Soil Management Plan”</w:t>
        <w:tab/>
      </w:r>
      <w:r>
        <w:rPr>
          <w:rFonts w:ascii="Times New Roman" w:hAnsi="Times New Roman"/>
          <w:b w:val="0"/>
          <w:i w:val="0"/>
          <w:sz w:val="21"/>
        </w:rPr>
        <w:t>means the soil management plan for the Affected Area required by Condition 3 of the NFA Letter, as approved by NCDEQ, and any approved amendments thereto.</w:t>
      </w:r>
    </w:p>
    <w:p>
      <w:pPr>
        <w:tabs>
          <w:tab w:pos="504" w:val="left"/>
        </w:tabs>
        <w:spacing w:after="100"/>
        <w:ind w:left="504" w:hanging="504"/>
      </w:pPr>
      <w:r>
        <w:rPr>
          <w:rFonts w:ascii="Times New Roman" w:hAnsi="Times New Roman"/>
          <w:b/>
          <w:sz w:val="21"/>
        </w:rPr>
        <w:t>“SPE Covenants”</w:t>
        <w:tab/>
      </w:r>
      <w:r>
        <w:rPr>
          <w:rFonts w:ascii="Times New Roman" w:hAnsi="Times New Roman"/>
          <w:b w:val="0"/>
          <w:i w:val="0"/>
          <w:sz w:val="21"/>
        </w:rPr>
        <w:t>means the single-purpose entity covenants set forth in Article XV.</w:t>
      </w:r>
    </w:p>
    <w:p>
      <w:pPr>
        <w:tabs>
          <w:tab w:pos="504" w:val="left"/>
        </w:tabs>
        <w:spacing w:after="100"/>
        <w:ind w:left="504" w:hanging="504"/>
      </w:pPr>
      <w:r>
        <w:rPr>
          <w:rFonts w:ascii="Times New Roman" w:hAnsi="Times New Roman"/>
          <w:b/>
          <w:sz w:val="21"/>
        </w:rPr>
        <w:t>“Substantial Completion”</w:t>
        <w:tab/>
      </w:r>
      <w:r>
        <w:rPr>
          <w:rFonts w:ascii="Times New Roman" w:hAnsi="Times New Roman"/>
          <w:b w:val="0"/>
          <w:i w:val="0"/>
          <w:sz w:val="21"/>
        </w:rPr>
        <w:t>means completion of the Project in accordance with the Approved Plans and Specifications such that a final unconditional certificate of occupancy has been issued by the City of Durham for all residential units and retail spaces in the Project and the Project is ready for its intended occupancy and use.</w:t>
      </w:r>
    </w:p>
    <w:p>
      <w:pPr>
        <w:tabs>
          <w:tab w:pos="504" w:val="left"/>
        </w:tabs>
        <w:spacing w:after="100"/>
        <w:ind w:left="504" w:hanging="504"/>
      </w:pPr>
      <w:r>
        <w:rPr>
          <w:rFonts w:ascii="Times New Roman" w:hAnsi="Times New Roman"/>
          <w:b/>
          <w:sz w:val="21"/>
        </w:rPr>
        <w:t>“Title Company”</w:t>
        <w:tab/>
      </w:r>
      <w:r>
        <w:rPr>
          <w:rFonts w:ascii="Times New Roman" w:hAnsi="Times New Roman"/>
          <w:b w:val="0"/>
          <w:i w:val="0"/>
          <w:sz w:val="21"/>
        </w:rPr>
        <w:t>means Aldersgate Title &amp; Escrow Inc., or such other title insurance company as Lender may approve.</w:t>
      </w:r>
    </w:p>
    <w:p>
      <w:pPr>
        <w:tabs>
          <w:tab w:pos="504" w:val="left"/>
        </w:tabs>
        <w:spacing w:after="100"/>
        <w:ind w:left="504" w:hanging="504"/>
      </w:pPr>
      <w:r>
        <w:rPr>
          <w:rFonts w:ascii="Times New Roman" w:hAnsi="Times New Roman"/>
          <w:b/>
          <w:sz w:val="21"/>
        </w:rPr>
        <w:t>“Title Policy”</w:t>
        <w:tab/>
      </w:r>
      <w:r>
        <w:rPr>
          <w:rFonts w:ascii="Times New Roman" w:hAnsi="Times New Roman"/>
          <w:b w:val="0"/>
          <w:i w:val="0"/>
          <w:sz w:val="21"/>
        </w:rPr>
        <w:t>means the ALTA Loan Policy of title insurance (2006 form, as amended) issued by the Title Company in the amount of the Loan Amount, insuring the Deed of Trust as a first priority lien on the Property subject only to the Permitted Exceptions, together with such endorsements as Lender may require.</w:t>
      </w:r>
    </w:p>
    <w:p>
      <w:pPr>
        <w:tabs>
          <w:tab w:pos="504" w:val="left"/>
        </w:tabs>
        <w:spacing w:after="100"/>
        <w:ind w:left="504" w:hanging="504"/>
      </w:pPr>
      <w:r>
        <w:rPr>
          <w:rFonts w:ascii="Times New Roman" w:hAnsi="Times New Roman"/>
          <w:b/>
          <w:sz w:val="21"/>
        </w:rPr>
        <w:t>“Total Project Costs”</w:t>
        <w:tab/>
      </w:r>
      <w:r>
        <w:rPr>
          <w:rFonts w:ascii="Times New Roman" w:hAnsi="Times New Roman"/>
          <w:b w:val="0"/>
          <w:i w:val="0"/>
          <w:sz w:val="21"/>
        </w:rPr>
        <w:t>means the aggregate of all costs and expenses incurred or to be incurred in connection with the acquisition, development, construction and completion of the Project, as set forth in the Approved Project Budget, including the land acquisition cost of $8,200,000 and all costs identified in Section 9.1(c).</w:t>
      </w:r>
    </w:p>
    <w:p>
      <w:pPr>
        <w:tabs>
          <w:tab w:pos="504" w:val="left"/>
        </w:tabs>
        <w:spacing w:after="100"/>
        <w:ind w:left="504" w:hanging="504"/>
      </w:pPr>
      <w:r>
        <w:rPr>
          <w:rFonts w:ascii="Times New Roman" w:hAnsi="Times New Roman"/>
          <w:b/>
          <w:sz w:val="21"/>
        </w:rPr>
        <w:t>“Uniform Commercial Code”</w:t>
        <w:tab/>
      </w:r>
      <w:r>
        <w:rPr>
          <w:rFonts w:ascii="Times New Roman" w:hAnsi="Times New Roman"/>
          <w:b w:val="0"/>
          <w:i w:val="0"/>
          <w:sz w:val="21"/>
        </w:rPr>
        <w:t>or “UCC” means the Uniform Commercial Code as in effect in the State of North Carolina.</w:t>
      </w:r>
    </w:p>
    <w:p>
      <w:pPr>
        <w:tabs>
          <w:tab w:pos="504" w:val="left"/>
        </w:tabs>
        <w:spacing w:after="100"/>
        <w:ind w:left="504" w:hanging="504"/>
      </w:pPr>
      <w:r>
        <w:rPr>
          <w:rFonts w:ascii="Times New Roman" w:hAnsi="Times New Roman"/>
          <w:b/>
          <w:sz w:val="21"/>
        </w:rPr>
        <w:t>“Unused Line Fee”</w:t>
        <w:tab/>
      </w:r>
      <w:r>
        <w:rPr>
          <w:rFonts w:ascii="Times New Roman" w:hAnsi="Times New Roman"/>
          <w:b w:val="0"/>
          <w:i w:val="0"/>
          <w:sz w:val="21"/>
        </w:rPr>
        <w:t>means the fee described in Section 2.10(c).</w:t>
      </w:r>
    </w:p>
    <w:p>
      <w:pPr>
        <w:tabs>
          <w:tab w:pos="504" w:val="left"/>
        </w:tabs>
        <w:spacing w:after="100"/>
        <w:ind w:left="504" w:hanging="504"/>
      </w:pPr>
      <w:r>
        <w:rPr>
          <w:rFonts w:ascii="Times New Roman" w:hAnsi="Times New Roman"/>
          <w:b/>
          <w:sz w:val="21"/>
        </w:rPr>
        <w:t>“Vapor Mitigation System”</w:t>
        <w:tab/>
      </w:r>
      <w:r>
        <w:rPr>
          <w:rFonts w:ascii="Times New Roman" w:hAnsi="Times New Roman"/>
          <w:b w:val="0"/>
          <w:i w:val="0"/>
          <w:sz w:val="21"/>
        </w:rPr>
        <w:t>means the passive sub-slab depressurization system (with capability for conversion to active depressurization) required by Condition 1 of the NFA Letter to be installed and maintained beneath any enclosed structure constructed over the Affected Area.</w:t>
      </w:r>
    </w:p>
    <w:p>
      <w:pPr>
        <w:pStyle w:val="Heading2"/>
      </w:pPr>
      <w:r>
        <w:rPr>
          <w:rFonts w:ascii="Times New Roman" w:hAnsi="Times New Roman"/>
          <w:b/>
          <w:sz w:val="22"/>
        </w:rPr>
        <w:t>Section 1.2  Interpretation</w:t>
      </w:r>
    </w:p>
    <w:p>
      <w:r>
        <w:rPr>
          <w:rFonts w:ascii="Times New Roman" w:hAnsi="Times New Roman"/>
          <w:b w:val="0"/>
          <w:i w:val="0"/>
        </w:rPr>
        <w:t>In this Agreement, unless the context otherwise requires: (a) the words “include,” “includes” and “including” are deemed to be followed by the words “without limitation”; (b) “or” is not exclusive; (c) references to Articles, Sections, Schedules and Exhibits are to Articles and Sections of, and Schedules and Exhibits to, this Agreement, each of which is incorporated herein by reference; (d) headings are for convenience only and do not affect interpretation; (e) references to any statute or regulation include any amendment, successor or re-enactment thereof; and (f) references to any agreement or instrument mean such agreement or instrument as amended, restated, supplemented or otherwise modified from time to time in accordance with its terms.</w:t>
      </w:r>
    </w:p>
    <w:p>
      <w:r>
        <w:rPr>
          <w:rFonts w:ascii="Times New Roman" w:hAnsi="Times New Roman"/>
          <w:b w:val="0"/>
          <w:i w:val="0"/>
        </w:rPr>
        <w:t>This Agreement and the other Loan Documents were negotiated by the parties with the benefit of counsel and shall not be construed more strictly against either party by reason of the identity of the drafting party.</w:t>
      </w:r>
    </w:p>
    <w:p>
      <w:pPr>
        <w:pStyle w:val="Heading2"/>
      </w:pPr>
      <w:r>
        <w:rPr>
          <w:rFonts w:ascii="Times New Roman" w:hAnsi="Times New Roman"/>
          <w:b/>
          <w:sz w:val="22"/>
        </w:rPr>
        <w:t>Section 1.3  Accounting Terms; Rounding</w:t>
      </w:r>
    </w:p>
    <w:p>
      <w:r>
        <w:rPr>
          <w:rFonts w:ascii="Times New Roman" w:hAnsi="Times New Roman"/>
          <w:b w:val="0"/>
          <w:i w:val="0"/>
        </w:rPr>
        <w:t>All accounting terms not otherwise defined herein have the meanings assigned to them in accordance with GAAP. All financial covenant calculations shall be made in accordance with GAAP, except that (a) Total Project Costs shall be determined on the cost basis set forth in the Approved Project Budget and not on a GAAP basis, and (b) Borrower's Net Worth for purposes of Section 9.4 shall be determined in accordance with Section 9.4(c).</w:t>
      </w:r>
    </w:p>
    <w:p>
      <w:r>
        <w:rPr>
          <w:rFonts w:ascii="Times New Roman" w:hAnsi="Times New Roman"/>
          <w:b w:val="0"/>
          <w:i w:val="0"/>
        </w:rPr>
        <w:t>Percentages and ratios shall be calculated to two decimal places and, except as otherwise provided, financial covenants shall be tested as of the last day of each calendar quarter or fiscal year, as applicable, and shall be measured against the immediately preceding twelve (12) months of operations unless the relevant Section specifies otherwise.</w:t>
      </w:r>
    </w:p>
    <w:p>
      <w:pPr>
        <w:pStyle w:val="Heading2"/>
      </w:pPr>
      <w:r>
        <w:rPr>
          <w:rFonts w:ascii="Times New Roman" w:hAnsi="Times New Roman"/>
          <w:b/>
          <w:sz w:val="22"/>
        </w:rPr>
        <w:t>Section 1.4  Conflict Among Loan Documents</w:t>
      </w:r>
    </w:p>
    <w:p>
      <w:r>
        <w:rPr>
          <w:rFonts w:ascii="Times New Roman" w:hAnsi="Times New Roman"/>
          <w:b w:val="0"/>
          <w:i w:val="0"/>
        </w:rPr>
        <w:t>In the event of any conflict between the terms of this Agreement and the terms of any other Loan Document, the terms of this Agreement shall control. In the event of any conflict between the terms of this Agreement and the Term Sheet or the Credit Memorandum, the terms of this Agreement shall control as between Lender and Borrower, it being understood that the Term Sheet is binding only to the extent expressly provided in Sections 22 and 23 thereof (confidentiality, exclusivity and the expense deposit). Nothing in this Section shall limit the effect of any condition to closing that is restated herein.</w:t>
      </w:r>
    </w:p>
    <w:p>
      <w:pPr>
        <w:pStyle w:val="Heading1"/>
        <w:spacing w:before="360"/>
      </w:pPr>
      <w:r>
        <w:rPr>
          <w:rFonts w:ascii="Times New Roman" w:hAnsi="Times New Roman"/>
          <w:b/>
          <w:sz w:val="24"/>
        </w:rPr>
        <w:t>ARTICLE II — THE LOAN</w:t>
      </w:r>
    </w:p>
    <w:p>
      <w:pPr>
        <w:pStyle w:val="Heading2"/>
      </w:pPr>
      <w:r>
        <w:rPr>
          <w:rFonts w:ascii="Times New Roman" w:hAnsi="Times New Roman"/>
          <w:b/>
          <w:sz w:val="22"/>
        </w:rPr>
        <w:t>Section 2.1  The Commitment</w:t>
      </w:r>
    </w:p>
    <w:p>
      <w:r>
        <w:rPr>
          <w:rFonts w:ascii="Times New Roman" w:hAnsi="Times New Roman"/>
          <w:b w:val="0"/>
          <w:i w:val="0"/>
        </w:rPr>
        <w:t>Subject to the terms and conditions of this Agreement and the other Loan Documents, Lender agrees to make Advances to Borrower from time to time during the Construction Period in an aggregate principal amount not to exceed the Loan Amount. The Loan is a single facility with multiple disbursements and is not a revolving facility; no amount repaid or prepaid may be reborrowed. [Drafting Note: Section 3.1 of the Term Sheet describes the Loan as a “single advance facility” while Section 9 of the Term Sheet contemplates nine milestone draws. The formulation above preserves the single-commitment structure while confirming the milestone disbursement mechanics. See Cover Memorandum Issue No. 19.]</w:t>
      </w:r>
    </w:p>
    <w:p>
      <w:pPr>
        <w:pStyle w:val="Heading2"/>
      </w:pPr>
      <w:r>
        <w:rPr>
          <w:rFonts w:ascii="Times New Roman" w:hAnsi="Times New Roman"/>
          <w:b/>
          <w:sz w:val="22"/>
        </w:rPr>
        <w:t>Section 2.2  Purpose and Use of Proceeds</w:t>
      </w:r>
    </w:p>
    <w:p>
      <w:r>
        <w:rPr>
          <w:rFonts w:ascii="Times New Roman" w:hAnsi="Times New Roman"/>
          <w:b w:val="0"/>
          <w:i w:val="0"/>
        </w:rPr>
        <w:t>The proceeds of the Loan shall be used solely to finance (a) hard construction costs of the Project under the Construction Contract, (b) soft costs of the Project, in each case as set forth in the Approved Project Budget, (c) interest on the Loan through the Interest Reserve, (d) the Origination Fee, and (e) that portion of the Developer Fee identified in Schedule 2 as funded from the Loan. No proceeds of the Loan shall be used (i) to pay any dividend, distribution, return of capital or other payment to any member of Borrower other than the Developer Fee as permitted by Section 8.7, (ii) to pay any amount in respect of the Mezzanine Loan, (iii) to pay any cost that is not an approved line item of the Approved Project Budget, or (iv) for any purpose that would violate any applicable law, including any anti-terrorism, anti-money laundering or sanctions law.</w:t>
      </w:r>
    </w:p>
    <w:p>
      <w:pPr>
        <w:pStyle w:val="Heading2"/>
      </w:pPr>
      <w:r>
        <w:rPr>
          <w:rFonts w:ascii="Times New Roman" w:hAnsi="Times New Roman"/>
          <w:b/>
          <w:sz w:val="22"/>
        </w:rPr>
        <w:t>Section 2.3  The Note</w:t>
      </w:r>
    </w:p>
    <w:p>
      <w:r>
        <w:rPr>
          <w:rFonts w:ascii="Times New Roman" w:hAnsi="Times New Roman"/>
          <w:b w:val="0"/>
          <w:i w:val="0"/>
        </w:rPr>
        <w:t>The Loan shall be evidenced by the Note, which shall be executed by Borrower at Closing and shall be payable to the order of Lender in the principal amount of the Loan Amount, bearing interest at the Interest Rate and maturing on the Mini-Perm Maturity Date. The Note shall be entitled to the benefits of this Agreement and the other Loan Documents, and all payments made on the Note shall be applied as provided in Section 2.11.</w:t>
      </w:r>
    </w:p>
    <w:p>
      <w:pPr>
        <w:pStyle w:val="Heading2"/>
      </w:pPr>
      <w:r>
        <w:rPr>
          <w:rFonts w:ascii="Times New Roman" w:hAnsi="Times New Roman"/>
          <w:b/>
          <w:sz w:val="22"/>
        </w:rPr>
        <w:t>Section 2.4  Advances; Minimum and Maximum Amounts</w:t>
      </w:r>
    </w:p>
    <w:p>
      <w:r>
        <w:rPr>
          <w:rFonts w:ascii="Times New Roman" w:hAnsi="Times New Roman"/>
          <w:b w:val="0"/>
          <w:i w:val="0"/>
        </w:rPr>
        <w:t>Advances shall be made only in accordance with the Draw Schedule and Article IV. Except for the Initial Advance and the final Advance, each Advance for hard construction costs shall be in a minimum amount of $500,000, and no Advance shall exceed the applicable line item amount shown on the Draw Schedule. Lender shall not be obligated to make any Advance after the Construction Maturity Date except for (a) the release of Retainage in accordance with Section 4.4, (b) Advances from the Contingency approved by Lender in accordance with Section 4.5, and (c) any Advance of the Interest Reserve as permitted by Article V.</w:t>
      </w:r>
    </w:p>
    <w:p>
      <w:pPr>
        <w:pStyle w:val="Heading2"/>
      </w:pPr>
      <w:r>
        <w:rPr>
          <w:rFonts w:ascii="Times New Roman" w:hAnsi="Times New Roman"/>
          <w:b/>
          <w:sz w:val="22"/>
        </w:rPr>
        <w:t>Section 2.5  Interest Rate</w:t>
      </w:r>
    </w:p>
    <w:p>
      <w:r>
        <w:rPr>
          <w:rFonts w:ascii="Times New Roman" w:hAnsi="Times New Roman"/>
          <w:b w:val="0"/>
          <w:i w:val="0"/>
        </w:rPr>
        <w:t>The outstanding principal balance of the Loan shall bear interest at the applicable Interest Rate. During the Construction Period the applicable spread over Daily Simple SOFR is 3.25% per annum; during the Mini-Perm Period the applicable spread is 3.50% per annum. In no event shall the Interest Rate be less than the sum of the SOFR Floor plus the applicable spread. Interest shall accrue on the basis of the actual number of days elapsed over a 360-day year and shall be computed on the daily outstanding principal balance of the Loan.</w:t>
      </w:r>
    </w:p>
    <w:p>
      <w:r>
        <w:rPr>
          <w:rFonts w:ascii="Times New Roman" w:hAnsi="Times New Roman"/>
          <w:b w:val="0"/>
          <w:i w:val="0"/>
        </w:rPr>
        <w:t>Illustration (for informational purposes only). At a Daily Simple SOFR of 4.35% per annum, the all-in construction period rate would be 7.60% per annum and the all-in Mini-Perm Period rate would be 7.85% per annum. The SOFR Floor of 1.00% produces a minimum all-in rate of 4.25% during the Construction Period and 4.50% during the Mini-Perm Period.</w:t>
      </w:r>
    </w:p>
    <w:p>
      <w:pPr>
        <w:pStyle w:val="Heading2"/>
      </w:pPr>
      <w:r>
        <w:rPr>
          <w:rFonts w:ascii="Times New Roman" w:hAnsi="Times New Roman"/>
          <w:b/>
          <w:sz w:val="22"/>
        </w:rPr>
        <w:t>Section 2.6  Benchmark Replacement; Conforming Changes</w:t>
      </w:r>
    </w:p>
    <w:p>
      <w:r>
        <w:rPr>
          <w:rFonts w:ascii="Times New Roman" w:hAnsi="Times New Roman"/>
          <w:b w:val="0"/>
          <w:i w:val="0"/>
        </w:rPr>
        <w:t>If Lender determines in its reasonable discretion that (a) Daily Simple SOFR has been permanently or indefinitely discontinued or is no longer representative, (b) the administrator of SOFR or its supervisor has publicly announced that it has ceased or will cease to provide SOFR, or (c) the Federal Reserve Bank of New York or any successor administrator has ceased to publish SOFR, then Lender may designate a Benchmark Replacement, together with any mathematically applied spread adjustment, in each case giving due consideration to the recommended best practices of the Alternative Reference Rates Committee (or any successor or similar committee). Lender shall provide Borrower with not less than thirty (30) days' prior written notice of any Benchmark Replacement, and any Benchmark Replacement shall be a rate substantially comparable to SOFR, determined without reference to Borrower's credit standing. Lender may make conforming changes to the mechanics of calculating interest, the timing of interest payments and related provisions to reflect the Benchmark Replacement.</w:t>
      </w:r>
    </w:p>
    <w:p>
      <w:pPr>
        <w:pStyle w:val="Heading2"/>
      </w:pPr>
      <w:r>
        <w:rPr>
          <w:rFonts w:ascii="Times New Roman" w:hAnsi="Times New Roman"/>
          <w:b/>
          <w:sz w:val="22"/>
        </w:rPr>
        <w:t>Section 2.7  Payments of Interest</w:t>
      </w:r>
    </w:p>
    <w:p>
      <w:r>
        <w:rPr>
          <w:rFonts w:ascii="Times New Roman" w:hAnsi="Times New Roman"/>
          <w:b w:val="0"/>
          <w:i w:val="0"/>
        </w:rPr>
        <w:t>Interest on the outstanding principal balance of the Loan shall be payable monthly in arrears on the first (1st) Business Day of each calendar month, commencing on the first Business Day of the first full calendar month following the Closing Date, and continuing on each such day thereafter through and including the Mini-Perm Maturity Date, when the entire outstanding principal balance of the Loan, all accrued and unpaid interest and all other amounts payable under the Loan Documents shall be due and payable in full.</w:t>
      </w:r>
    </w:p>
    <w:p>
      <w:r>
        <w:rPr>
          <w:rFonts w:ascii="Times New Roman" w:hAnsi="Times New Roman"/>
          <w:b w:val="0"/>
          <w:i w:val="0"/>
        </w:rPr>
        <w:t>During the Construction Period, interest shall be paid from the Interest Reserve Account in accordance with Article V until the Interest Reserve is exhausted; thereafter, and in any event upon exhaustion of the Interest Reserve, interest shall be paid by Borrower from its own funds, and Borrower's obligation to pay interest is absolute and unconditional. There is no scheduled amortization of principal; the Loan is interest only throughout the Construction Period and the Mini-Perm Period.</w:t>
      </w:r>
    </w:p>
    <w:p>
      <w:pPr>
        <w:pStyle w:val="Heading2"/>
      </w:pPr>
      <w:r>
        <w:rPr>
          <w:rFonts w:ascii="Times New Roman" w:hAnsi="Times New Roman"/>
          <w:b/>
          <w:sz w:val="22"/>
        </w:rPr>
        <w:t>Section 2.8  Default Rate</w:t>
      </w:r>
    </w:p>
    <w:p>
      <w:r>
        <w:rPr>
          <w:rFonts w:ascii="Times New Roman" w:hAnsi="Times New Roman"/>
          <w:b w:val="0"/>
          <w:i w:val="0"/>
        </w:rPr>
        <w:t>Upon the occurrence and during the continuance of an Event of Default, the outstanding principal balance of the Loan and, to the extent permitted by applicable law, all accrued and unpaid interest and other amounts payable under the Loan Documents, shall bear interest at the Default Rate, from the date of the occurrence of the Event of Default until such Event of Default is waived in writing by Lender or cured. Interest at the Default Rate shall be payable on demand and shall be secured by the Loan Documents.</w:t>
      </w:r>
    </w:p>
    <w:p>
      <w:pPr>
        <w:pStyle w:val="Heading2"/>
      </w:pPr>
      <w:r>
        <w:rPr>
          <w:rFonts w:ascii="Times New Roman" w:hAnsi="Times New Roman"/>
          <w:b/>
          <w:sz w:val="22"/>
        </w:rPr>
        <w:t>Section 2.9  Computation of Interest and Fees</w:t>
      </w:r>
    </w:p>
    <w:p>
      <w:r>
        <w:rPr>
          <w:rFonts w:ascii="Times New Roman" w:hAnsi="Times New Roman"/>
          <w:b w:val="0"/>
          <w:i w:val="0"/>
        </w:rPr>
        <w:t>All computations of interest and fees shall be made on the basis of the actual number of days elapsed over a 360-day year. Each determination by Lender of the Interest Rate, the Default Rate or the amount of interest or any fee payable under the Loan Documents shall be conclusive and binding on Borrower absent manifest error, and Lender shall provide Borrower with a statement of any such determination upon request.</w:t>
      </w:r>
    </w:p>
    <w:p>
      <w:pPr>
        <w:pStyle w:val="Heading2"/>
      </w:pPr>
      <w:r>
        <w:rPr>
          <w:rFonts w:ascii="Times New Roman" w:hAnsi="Times New Roman"/>
          <w:b/>
          <w:sz w:val="22"/>
        </w:rPr>
        <w:t>Section 2.10  Fees</w:t>
      </w:r>
    </w:p>
    <w:p>
      <w:pPr>
        <w:tabs>
          <w:tab w:pos="504" w:val="left"/>
        </w:tabs>
        <w:spacing w:after="140"/>
        <w:ind w:left="504" w:hanging="504"/>
      </w:pPr>
      <w:r>
        <w:rPr>
          <w:rFonts w:ascii="Times New Roman" w:hAnsi="Times New Roman"/>
          <w:b w:val="0"/>
        </w:rPr>
        <w:t>(a)</w:t>
        <w:tab/>
      </w:r>
      <w:r>
        <w:rPr>
          <w:rFonts w:ascii="Times New Roman" w:hAnsi="Times New Roman"/>
          <w:b w:val="0"/>
          <w:i w:val="0"/>
        </w:rPr>
        <w:t>Origination Fee. Borrower shall pay Lender an origination fee equal to one percent (1.00%) of the Loan Amount, or $475,000, which is fully earned and non-refundable on the Closing Date and which may be funded from the Initial Advance in accordance with the Approved Project Budget.</w:t>
      </w:r>
    </w:p>
    <w:p>
      <w:pPr>
        <w:tabs>
          <w:tab w:pos="504" w:val="left"/>
        </w:tabs>
        <w:spacing w:after="140"/>
        <w:ind w:left="504" w:hanging="504"/>
      </w:pPr>
      <w:r>
        <w:rPr>
          <w:rFonts w:ascii="Times New Roman" w:hAnsi="Times New Roman"/>
          <w:b w:val="0"/>
        </w:rPr>
        <w:t>(b)</w:t>
        <w:tab/>
      </w:r>
      <w:r>
        <w:rPr>
          <w:rFonts w:ascii="Times New Roman" w:hAnsi="Times New Roman"/>
          <w:b w:val="0"/>
          <w:i w:val="0"/>
        </w:rPr>
        <w:t>Exit Fee. Borrower shall pay Lender an exit fee on the date of repayment of the Loan in accordance with the following schedule: (i) if the Loan is repaid in full at any time during the Construction Period, an amount equal to one-half of one percent (0.50%) of the outstanding principal balance of the Loan at the time of repayment; (ii) if the Loan is repaid in full during the first six (6) months of the Mini-Perm Period, an amount equal to one-quarter of one percent (0.25%) of the outstanding principal balance of the Loan at the time of repayment; and (iii) no exit fee shall be payable if the Loan is repaid in full after the first six (6) months of the Mini-Perm Period. The Exit Fee shall also be payable upon acceleration of the Loan following an Event of Default or upon any repayment with proceeds of a foreclosure or deed in lieu of foreclosure.</w:t>
      </w:r>
    </w:p>
    <w:p>
      <w:pPr>
        <w:tabs>
          <w:tab w:pos="504" w:val="left"/>
        </w:tabs>
        <w:spacing w:after="140"/>
        <w:ind w:left="504" w:hanging="504"/>
      </w:pPr>
      <w:r>
        <w:rPr>
          <w:rFonts w:ascii="Times New Roman" w:hAnsi="Times New Roman"/>
          <w:b w:val="0"/>
        </w:rPr>
        <w:t>(c)</w:t>
        <w:tab/>
      </w:r>
      <w:r>
        <w:rPr>
          <w:rFonts w:ascii="Times New Roman" w:hAnsi="Times New Roman"/>
          <w:b w:val="0"/>
          <w:i w:val="0"/>
        </w:rPr>
        <w:t>Unused Line Fee. Borrower shall pay Lender a fee equal to one-quarter of one percent (0.25%) per annum on the average daily undrawn amount of the Commitment, payable quarterly in arrears commencing on the first quarterly payment date following the Closing Date and continuing until the Commitment is fully drawn or the Loan is repaid. For purposes of this Section, the undrawn amount of the Commitment shall be reduced by the full amount of the Interest Reserve and the Contingency as of the Closing Date, it being acknowledged that such amounts are reserved for identified uses and are not available for general disbursement.</w:t>
      </w:r>
    </w:p>
    <w:p>
      <w:pPr>
        <w:tabs>
          <w:tab w:pos="504" w:val="left"/>
        </w:tabs>
        <w:spacing w:after="140"/>
        <w:ind w:left="504" w:hanging="504"/>
      </w:pPr>
      <w:r>
        <w:rPr>
          <w:rFonts w:ascii="Times New Roman" w:hAnsi="Times New Roman"/>
          <w:b w:val="0"/>
        </w:rPr>
        <w:t>(d)</w:t>
        <w:tab/>
      </w:r>
      <w:r>
        <w:rPr>
          <w:rFonts w:ascii="Times New Roman" w:hAnsi="Times New Roman"/>
          <w:b w:val="0"/>
          <w:i w:val="0"/>
        </w:rPr>
        <w:t>Extension Fee. Borrower shall pay Lender an extension fee equal to one-quarter of one percent (0.25%) of the then-outstanding principal balance of the Loan as a condition to the effectiveness of the Extension Option.</w:t>
      </w:r>
    </w:p>
    <w:p>
      <w:pPr>
        <w:tabs>
          <w:tab w:pos="504" w:val="left"/>
        </w:tabs>
        <w:spacing w:after="140"/>
        <w:ind w:left="504" w:hanging="504"/>
      </w:pPr>
      <w:r>
        <w:rPr>
          <w:rFonts w:ascii="Times New Roman" w:hAnsi="Times New Roman"/>
          <w:b w:val="0"/>
        </w:rPr>
        <w:t>(e)</w:t>
        <w:tab/>
      </w:r>
      <w:r>
        <w:rPr>
          <w:rFonts w:ascii="Times New Roman" w:hAnsi="Times New Roman"/>
          <w:b w:val="0"/>
          <w:i w:val="0"/>
        </w:rPr>
        <w:t>Expense Deposit. Lender acknowledges receipt of the expense deposit of $75,000 paid by Borrower under Section 22 of the Term Sheet, which shall be credited against the amounts payable by Borrower under Section 18.2 and, to the extent not so applied, against the Origination Fee at Closing. [Drafting Note: The expense deposit is not reflected in the Sources and Uses on Schedule 2 and the Approved Project Budget funds Lender's counsel and title costs of $310,000 from Loan proceeds. The parties should confirm that no costs are funded twice. See Cover Memorandum Issue No. 19.]</w:t>
      </w:r>
    </w:p>
    <w:p>
      <w:pPr>
        <w:pStyle w:val="Heading2"/>
      </w:pPr>
      <w:r>
        <w:rPr>
          <w:rFonts w:ascii="Times New Roman" w:hAnsi="Times New Roman"/>
          <w:b/>
          <w:sz w:val="22"/>
        </w:rPr>
        <w:t>Section 2.11  Manner and Application of Payments</w:t>
      </w:r>
    </w:p>
    <w:p>
      <w:r>
        <w:rPr>
          <w:rFonts w:ascii="Times New Roman" w:hAnsi="Times New Roman"/>
          <w:b w:val="0"/>
          <w:i w:val="0"/>
        </w:rPr>
        <w:t>All payments under the Loan Documents shall be made in immediately available funds in lawful money of the United States, without setoff, counterclaim, deduction or withholding, to an account designated by Lender in writing, not later than 2:00 p.m. Eastern Time on the due date. Any payment received after 2:00 p.m. Eastern Time shall be deemed received on the next Business Day. All payments shall be applied in the following order: (a) to amounts payable to Lender under Section 18.2; (b) to fees and other charges then due; (c) to accrued and unpaid interest; and (d) to principal. Lender may, in its discretion, apply any payment received during the continuance of an Event of Default in such order as Lender determines.</w:t>
      </w:r>
    </w:p>
    <w:p>
      <w:pPr>
        <w:pStyle w:val="Heading2"/>
      </w:pPr>
      <w:r>
        <w:rPr>
          <w:rFonts w:ascii="Times New Roman" w:hAnsi="Times New Roman"/>
          <w:b/>
          <w:sz w:val="22"/>
        </w:rPr>
        <w:t>Section 2.12  Prepayment</w:t>
      </w:r>
    </w:p>
    <w:p>
      <w:r>
        <w:rPr>
          <w:rFonts w:ascii="Times New Roman" w:hAnsi="Times New Roman"/>
          <w:b w:val="0"/>
          <w:i w:val="0"/>
        </w:rPr>
        <w:t>The Loan may be prepaid in whole or in part at any time, without premium or penalty, other than the Exit Fee provided in Section 2.10(b), upon not less than five (5) Business Days' prior written notice to Lender. No prepayment shall relieve Borrower of any obligation to pay the Exit Fee, the Unused Line Fee, Lender's expenses under Section 18.2 or any other amount then due under the Loan Documents, and no amount prepaid may be reborrowed.</w:t>
      </w:r>
    </w:p>
    <w:p>
      <w:pPr>
        <w:pStyle w:val="Heading2"/>
      </w:pPr>
      <w:r>
        <w:rPr>
          <w:rFonts w:ascii="Times New Roman" w:hAnsi="Times New Roman"/>
          <w:b/>
          <w:sz w:val="22"/>
        </w:rPr>
        <w:t>Section 2.13  Maturity</w:t>
      </w:r>
    </w:p>
    <w:p>
      <w:r>
        <w:rPr>
          <w:rFonts w:ascii="Times New Roman" w:hAnsi="Times New Roman"/>
          <w:b w:val="0"/>
          <w:i w:val="0"/>
        </w:rPr>
        <w:t>The entire outstanding principal balance of the Loan, together with all accrued and unpaid interest and all other amounts owing under the Loan Documents, shall be due and payable in full on the Mini-Perm Maturity Date, subject only to Borrower's exercise of the Extension Option in accordance with Section 2.14. Borrower acknowledges that Lender has made no commitment to extend, renew or refinance the Loan and that the Loan is a balloon obligation.</w:t>
      </w:r>
    </w:p>
    <w:p>
      <w:pPr>
        <w:pStyle w:val="Heading2"/>
      </w:pPr>
      <w:r>
        <w:rPr>
          <w:rFonts w:ascii="Times New Roman" w:hAnsi="Times New Roman"/>
          <w:b/>
          <w:sz w:val="22"/>
        </w:rPr>
        <w:t>Section 2.14  Extension Option</w:t>
      </w:r>
    </w:p>
    <w:p>
      <w:r>
        <w:rPr>
          <w:rFonts w:ascii="Times New Roman" w:hAnsi="Times New Roman"/>
          <w:b w:val="0"/>
          <w:i w:val="0"/>
        </w:rPr>
        <w:t>Borrower shall have one option (the “Extension Option”) to extend the Mini-Perm Maturity Date by six (6) months, to February 28, 2029 (the “Extended Maturity Date”), exercisable only upon satisfaction of each of the following conditions on or before the Mini-Perm Maturity Date:</w:t>
      </w:r>
    </w:p>
    <w:p>
      <w:pPr>
        <w:tabs>
          <w:tab w:pos="504" w:val="left"/>
        </w:tabs>
        <w:spacing w:after="140"/>
        <w:ind w:left="504" w:hanging="504"/>
      </w:pPr>
      <w:r>
        <w:rPr>
          <w:rFonts w:ascii="Times New Roman" w:hAnsi="Times New Roman"/>
          <w:b w:val="0"/>
        </w:rPr>
        <w:t>(i)</w:t>
        <w:tab/>
      </w:r>
      <w:r>
        <w:rPr>
          <w:rFonts w:ascii="Times New Roman" w:hAnsi="Times New Roman"/>
          <w:b w:val="0"/>
          <w:i w:val="0"/>
        </w:rPr>
        <w:t>No Default. No Event of Default shall exist, and no event shall have occurred that, with the giving of notice or the lapse of time, or both, would constitute an Event of Default under any Loan Document or under the Intercreditor Agreement.</w:t>
      </w:r>
    </w:p>
    <w:p>
      <w:pPr>
        <w:tabs>
          <w:tab w:pos="504" w:val="left"/>
        </w:tabs>
        <w:spacing w:after="140"/>
        <w:ind w:left="504" w:hanging="504"/>
      </w:pPr>
      <w:r>
        <w:rPr>
          <w:rFonts w:ascii="Times New Roman" w:hAnsi="Times New Roman"/>
          <w:b w:val="0"/>
        </w:rPr>
        <w:t>(ii)</w:t>
        <w:tab/>
      </w:r>
      <w:r>
        <w:rPr>
          <w:rFonts w:ascii="Times New Roman" w:hAnsi="Times New Roman"/>
          <w:b w:val="0"/>
          <w:i w:val="0"/>
        </w:rPr>
        <w:t>Notice. Borrower shall have delivered written notice of its election to exercise the Extension Option not less than sixty (60) days prior to the Mini-Perm Maturity Date, together with payment of the Extension Fee.</w:t>
      </w:r>
    </w:p>
    <w:p>
      <w:pPr>
        <w:tabs>
          <w:tab w:pos="504" w:val="left"/>
        </w:tabs>
        <w:spacing w:after="140"/>
        <w:ind w:left="504" w:hanging="504"/>
      </w:pPr>
      <w:r>
        <w:rPr>
          <w:rFonts w:ascii="Times New Roman" w:hAnsi="Times New Roman"/>
          <w:b w:val="0"/>
        </w:rPr>
        <w:t>(iii)</w:t>
        <w:tab/>
      </w:r>
      <w:r>
        <w:rPr>
          <w:rFonts w:ascii="Times New Roman" w:hAnsi="Times New Roman"/>
          <w:b w:val="0"/>
          <w:i w:val="0"/>
        </w:rPr>
        <w:t>Completion. Substantial Completion shall have been achieved and a final, unconditional certificate of occupancy shall have been issued by the City of Durham for all residential units and retail spaces in the Project.</w:t>
      </w:r>
    </w:p>
    <w:p>
      <w:pPr>
        <w:tabs>
          <w:tab w:pos="504" w:val="left"/>
        </w:tabs>
        <w:spacing w:after="140"/>
        <w:ind w:left="504" w:hanging="504"/>
      </w:pPr>
      <w:r>
        <w:rPr>
          <w:rFonts w:ascii="Times New Roman" w:hAnsi="Times New Roman"/>
          <w:b w:val="0"/>
        </w:rPr>
        <w:t>(iv)</w:t>
        <w:tab/>
      </w:r>
      <w:r>
        <w:rPr>
          <w:rFonts w:ascii="Times New Roman" w:hAnsi="Times New Roman"/>
          <w:b w:val="0"/>
          <w:i w:val="0"/>
        </w:rPr>
        <w:t>Occupancy. Not less than seventy-five percent (75%) of the residential units in the Project shall be leased to tenants under executed leases having initial terms of not less than twelve (12) months and shall be physically occupied as of the date of the extension request.</w:t>
      </w:r>
    </w:p>
    <w:p>
      <w:pPr>
        <w:tabs>
          <w:tab w:pos="504" w:val="left"/>
        </w:tabs>
        <w:spacing w:after="140"/>
        <w:ind w:left="504" w:hanging="504"/>
      </w:pPr>
      <w:r>
        <w:rPr>
          <w:rFonts w:ascii="Times New Roman" w:hAnsi="Times New Roman"/>
          <w:b w:val="0"/>
        </w:rPr>
        <w:t>(v)</w:t>
        <w:tab/>
      </w:r>
      <w:r>
        <w:rPr>
          <w:rFonts w:ascii="Times New Roman" w:hAnsi="Times New Roman"/>
          <w:b w:val="0"/>
          <w:i w:val="0"/>
        </w:rPr>
        <w:t>Minimum DSCR. The Debt Service Coverage Ratio, calculated as set forth in Section 9.3 using the annualized in-place net operating income for the most recent three (3) month period, divided by the annual debt service on the outstanding principal balance of the Loan at the then-current Interest Rate (interest only), shall be not less than 1.15x.</w:t>
      </w:r>
    </w:p>
    <w:p>
      <w:pPr>
        <w:tabs>
          <w:tab w:pos="504" w:val="left"/>
        </w:tabs>
        <w:spacing w:after="140"/>
        <w:ind w:left="504" w:hanging="504"/>
      </w:pPr>
      <w:r>
        <w:rPr>
          <w:rFonts w:ascii="Times New Roman" w:hAnsi="Times New Roman"/>
          <w:b w:val="0"/>
        </w:rPr>
        <w:t>(vi)</w:t>
        <w:tab/>
      </w:r>
      <w:r>
        <w:rPr>
          <w:rFonts w:ascii="Times New Roman" w:hAnsi="Times New Roman"/>
          <w:b w:val="0"/>
          <w:i w:val="0"/>
        </w:rPr>
        <w:t>Updated Appraisal. Lender shall have received an updated appraisal from an MAI-designated appraiser acceptable to Lender confirming that the ratio of the outstanding principal balance of the Loan to the as-stabilized appraised value of the Property does not exceed seventy percent (70%).</w:t>
      </w:r>
    </w:p>
    <w:p>
      <w:pPr>
        <w:tabs>
          <w:tab w:pos="504" w:val="left"/>
        </w:tabs>
        <w:spacing w:after="140"/>
        <w:ind w:left="504" w:hanging="504"/>
      </w:pPr>
      <w:r>
        <w:rPr>
          <w:rFonts w:ascii="Times New Roman" w:hAnsi="Times New Roman"/>
          <w:b w:val="0"/>
        </w:rPr>
        <w:t>(vii)</w:t>
        <w:tab/>
      </w:r>
      <w:r>
        <w:rPr>
          <w:rFonts w:ascii="Times New Roman" w:hAnsi="Times New Roman"/>
          <w:b w:val="0"/>
          <w:i w:val="0"/>
        </w:rPr>
        <w:t>Interest Rate Cap. If required by Lender, Borrower shall have delivered an interest rate cap agreement, in form and substance satisfactory to Lender, with a strike rate not greater than the rate reasonably required by Lender, from a counterparty having a long-term unsecured credit rating of not less than A- (S&amp;P) or A3 (Moody's), covering the outstanding principal balance of the Loan through the Extended Maturity Date, together with an assignment of the cap to Lender and Lender's confirmation of control.</w:t>
      </w:r>
    </w:p>
    <w:p>
      <w:pPr>
        <w:tabs>
          <w:tab w:pos="504" w:val="left"/>
        </w:tabs>
        <w:spacing w:after="140"/>
        <w:ind w:left="504" w:hanging="504"/>
      </w:pPr>
      <w:r>
        <w:rPr>
          <w:rFonts w:ascii="Times New Roman" w:hAnsi="Times New Roman"/>
          <w:b w:val="0"/>
        </w:rPr>
        <w:t>(viii)</w:t>
        <w:tab/>
      </w:r>
      <w:r>
        <w:rPr>
          <w:rFonts w:ascii="Times New Roman" w:hAnsi="Times New Roman"/>
          <w:b w:val="0"/>
          <w:i w:val="0"/>
        </w:rPr>
        <w:t>Third-Party Consents. The Intercreditor Agreement shall remain in full force and effect, no default shall exist thereunder, and the Mezzanine Loan shall have been extended to a maturity date not earlier than the Extended Maturity Date.</w:t>
      </w:r>
    </w:p>
    <w:p>
      <w:pPr>
        <w:tabs>
          <w:tab w:pos="504" w:val="left"/>
        </w:tabs>
        <w:spacing w:after="140"/>
        <w:ind w:left="504" w:hanging="504"/>
      </w:pPr>
      <w:r>
        <w:rPr>
          <w:rFonts w:ascii="Times New Roman" w:hAnsi="Times New Roman"/>
          <w:b w:val="0"/>
        </w:rPr>
        <w:t>(ix)</w:t>
        <w:tab/>
      </w:r>
      <w:r>
        <w:rPr>
          <w:rFonts w:ascii="Times New Roman" w:hAnsi="Times New Roman"/>
          <w:b w:val="0"/>
          <w:i w:val="0"/>
        </w:rPr>
        <w:t>Reaffirmation. Borrower and each Guarantor shall have executed and delivered such reaffirmations, certificates and opinions as Lender may reasonably request, and each representation and warranty in Article VI shall be true and correct in all material respects as of the date of the extension.</w:t>
      </w:r>
    </w:p>
    <w:p>
      <w:r>
        <w:rPr>
          <w:rFonts w:ascii="Times New Roman" w:hAnsi="Times New Roman"/>
          <w:b w:val="0"/>
          <w:i w:val="0"/>
        </w:rPr>
        <w:t>[Drafting Note: Section 3.2 of the Term Sheet states only that the Extension Option is “subject to satisfaction of customary conditions to be determined and set forth in the definitive Loan Agreement.” The conditions above are drawn from Section 11 of the Credit Memorandum. Note that the Credit Memorandum's 1.15x extension test uses annualized three-month in-place NOI, which is inconsistent with the 1.25x trailing-twelve-month test in Section 6.3 of the Term Sheet; see Cover Memorandum Issue No. 13.]</w:t>
      </w:r>
    </w:p>
    <w:p>
      <w:pPr>
        <w:pStyle w:val="Heading2"/>
      </w:pPr>
      <w:r>
        <w:rPr>
          <w:rFonts w:ascii="Times New Roman" w:hAnsi="Times New Roman"/>
          <w:b/>
          <w:sz w:val="22"/>
        </w:rPr>
        <w:t>Section 2.15  Late Charges</w:t>
      </w:r>
    </w:p>
    <w:p>
      <w:r>
        <w:rPr>
          <w:rFonts w:ascii="Times New Roman" w:hAnsi="Times New Roman"/>
          <w:b w:val="0"/>
          <w:i w:val="0"/>
        </w:rPr>
        <w:t>If any amount payable under the Loan Documents (other than an amount payable on the Mini-Perm Maturity Date or upon acceleration) is not paid within five (5) days after its due date, Borrower shall pay Lender a late charge equal to five percent (5.00%) of the overdue amount, which late charge shall be in addition to interest at the Default Rate and shall be secured by the Loan Documents.</w:t>
      </w:r>
    </w:p>
    <w:p>
      <w:pPr>
        <w:pStyle w:val="Heading2"/>
      </w:pPr>
      <w:r>
        <w:rPr>
          <w:rFonts w:ascii="Times New Roman" w:hAnsi="Times New Roman"/>
          <w:b/>
          <w:sz w:val="22"/>
        </w:rPr>
        <w:t>Section 2.16  Maximum Rate; Usury Savings</w:t>
      </w:r>
    </w:p>
    <w:p>
      <w:r>
        <w:rPr>
          <w:rFonts w:ascii="Times New Roman" w:hAnsi="Times New Roman"/>
          <w:b w:val="0"/>
          <w:i w:val="0"/>
        </w:rPr>
        <w:t>Nothing in the Loan Documents shall require Borrower to pay, or permit Lender to collect, interest or other charges in excess of the Maximum Rate. If any amount in excess of the Maximum Rate would otherwise be payable, (a) such excess shall be applied to reduce the principal balance of the Loan, and (b) if the principal balance has been paid in full, such excess shall be refunded to Borrower. To the extent permitted by applicable law, all amounts paid or agreed to be paid to Lender for the use, forbearance or detention of money shall, to the maximum extent permitted, be amortized, prorated, allocated and spread over the full period of the Loan. [Drafting Note: Counsel should confirm at signing that the Default Rate (the applicable contract rate plus 5.00%) and the late charge are within the maximum lawful rate for a commercial loan of this size under N.C.G.S. § 24-1.1 and the exemptions in N.C.G.S. § 24-8.]</w:t>
      </w:r>
    </w:p>
    <w:p>
      <w:pPr>
        <w:pStyle w:val="Heading2"/>
      </w:pPr>
      <w:r>
        <w:rPr>
          <w:rFonts w:ascii="Times New Roman" w:hAnsi="Times New Roman"/>
          <w:b/>
          <w:sz w:val="22"/>
        </w:rPr>
        <w:t>Section 2.17  Conditions to Lender's Obligations Absolute</w:t>
      </w:r>
    </w:p>
    <w:p>
      <w:r>
        <w:rPr>
          <w:rFonts w:ascii="Times New Roman" w:hAnsi="Times New Roman"/>
          <w:b w:val="0"/>
          <w:i w:val="0"/>
        </w:rPr>
        <w:t>Borrower's obligation to repay the Loan and to perform its obligations under the Loan Documents is absolute and unconditional and is not subject to any right of setoff, counterclaim, recoupment, defense or abatement. No failure of the Project to be completed, no dispute with any contractor, architect, consultant or tenant, no failure of any condition to an Advance to be satisfied and no other event shall affect Borrower's obligations, except to the extent expressly provided in this Agreement.</w:t>
      </w:r>
    </w:p>
    <w:p>
      <w:pPr>
        <w:pStyle w:val="Heading1"/>
        <w:spacing w:before="360"/>
      </w:pPr>
      <w:r>
        <w:rPr>
          <w:rFonts w:ascii="Times New Roman" w:hAnsi="Times New Roman"/>
          <w:b/>
          <w:sz w:val="24"/>
        </w:rPr>
        <w:t>ARTICLE III — CONDITIONS PRECEDENT TO CLOSING</w:t>
      </w:r>
    </w:p>
    <w:p>
      <w:r>
        <w:rPr>
          <w:rFonts w:ascii="Times New Roman" w:hAnsi="Times New Roman"/>
          <w:b w:val="0"/>
          <w:i w:val="0"/>
        </w:rPr>
        <w:t>Lender's obligation to make the Initial Advance is subject to the satisfaction (or written waiver by Lender) of each of the following conditions, each in form and substance satisfactory to Lender and its counsel:</w:t>
      </w:r>
    </w:p>
    <w:p>
      <w:pPr>
        <w:pStyle w:val="Heading2"/>
      </w:pPr>
      <w:r>
        <w:rPr>
          <w:rFonts w:ascii="Times New Roman" w:hAnsi="Times New Roman"/>
          <w:b/>
          <w:sz w:val="22"/>
        </w:rPr>
        <w:t>Section 3.1  Loan Documents</w:t>
      </w:r>
    </w:p>
    <w:p>
      <w:r>
        <w:rPr>
          <w:rFonts w:ascii="Times New Roman" w:hAnsi="Times New Roman"/>
          <w:b w:val="0"/>
          <w:i w:val="0"/>
        </w:rPr>
        <w:t>Borrower and each Guarantor, as applicable, shall have executed and delivered each of the Loan Documents, including this Agreement, the Note, the Deed of Trust, the Assignment of Leases and Rents, the Security Agreement, the Assignments of the Construction Contract and the Architect's Agreement, the Collateral Assignment of Insurance Proceeds and Condemnation Awards, the Membership Interest Pledges, the Guaranties, the Environmental Indemnity and the Intercreditor Agreement, together with all UCC financing statements, fixture filings and other instruments necessary to perfect Lender's security interests.</w:t>
      </w:r>
    </w:p>
    <w:p>
      <w:pPr>
        <w:pStyle w:val="Heading2"/>
      </w:pPr>
      <w:r>
        <w:rPr>
          <w:rFonts w:ascii="Times New Roman" w:hAnsi="Times New Roman"/>
          <w:b/>
          <w:sz w:val="22"/>
        </w:rPr>
        <w:t>Section 3.2  Due Diligence Reports</w:t>
      </w:r>
    </w:p>
    <w:p>
      <w:r>
        <w:rPr>
          <w:rFonts w:ascii="Times New Roman" w:hAnsi="Times New Roman"/>
          <w:b w:val="0"/>
          <w:i w:val="0"/>
        </w:rPr>
        <w:t>Lender shall have received and approved (a) the appraisal of the Property prepared by Ridgeline Appraisal Services Inc. dated November 15, 2024, confirming an as-is land value of not less than $8,900,000, an as-completed value of not less than $72,800,000 and an as-stabilized value of not less than $76,200,000, together with Lender's internal appraisal review and a FIRREA-compliant evaluation; (b) the Phase I ESA; (c) the Phase II ESA; (d) the NFA Letter; (e) a geotechnical report from Carolina Geotechnical Associates acceptable to Lender; and (f) an updated market study or rent survey if requested by Lender. If the Closing Date occurs after April 26, 2025, Borrower shall deliver an updated Phase I ESA satisfying 40 C.F.R. § 312.20(c) at its expense.</w:t>
      </w:r>
    </w:p>
    <w:p>
      <w:pPr>
        <w:pStyle w:val="Heading2"/>
      </w:pPr>
      <w:r>
        <w:rPr>
          <w:rFonts w:ascii="Times New Roman" w:hAnsi="Times New Roman"/>
          <w:b/>
          <w:sz w:val="22"/>
        </w:rPr>
        <w:t>Section 3.3  Title Insurance</w:t>
      </w:r>
    </w:p>
    <w:p>
      <w:r>
        <w:rPr>
          <w:rFonts w:ascii="Times New Roman" w:hAnsi="Times New Roman"/>
          <w:b w:val="0"/>
          <w:i w:val="0"/>
        </w:rPr>
        <w:t>The Title Company shall have issued a pro forma Title Policy, in the amount of the Loan Amount, insuring the Deed of Trust as a valid first priority lien on the fee simple estate in the Property, subject only to the Permitted Exceptions, and shall have committed to issue at Closing such endorsements as Lender may require, including an ALTA 9 series (restrictions, encroachments and minerals) endorsement, access and contiguity endorsements, a survey endorsement, a zoning 3.0 endorsement (if available), a variable rate endorsement and an environmental protection lien endorsement. The Title Policy shall contain no exception for any mechanics' or materialmen's lien, for the deed of trust described in Section 3.14, or for the matters identified in Schedule 3 as matters to be released at Closing.</w:t>
      </w:r>
    </w:p>
    <w:p>
      <w:pPr>
        <w:pStyle w:val="Heading2"/>
      </w:pPr>
      <w:r>
        <w:rPr>
          <w:rFonts w:ascii="Times New Roman" w:hAnsi="Times New Roman"/>
          <w:b/>
          <w:sz w:val="22"/>
        </w:rPr>
        <w:t>Section 3.4  Survey</w:t>
      </w:r>
    </w:p>
    <w:p>
      <w:r>
        <w:rPr>
          <w:rFonts w:ascii="Times New Roman" w:hAnsi="Times New Roman"/>
          <w:b w:val="0"/>
          <w:i w:val="0"/>
        </w:rPr>
        <w:t>Lender shall have received an ALTA/NSPS Land Title Survey of the Property, dated or re-certified not more than ninety (90) days prior to the Closing Date, prepared by a surveyor licensed in North Carolina, certified to Lender, Borrower and the Title Company, meeting the 2021 ALTA/NSPS Minimum Standard Detail Requirements and including Table A items 1, 2, 4, 6, 8, 9, 11, 13 and 14 and such other optional items as Lender may require. The survey shall depict (a) the legal description of each parcel and the aggregate acreage, (b) the Duke Energy Carolinas easement and the City of Durham stormwater management easement, (c) the Affected Area by metes and bounds or by reference to the recorded deed notice, and (d) the building footprint and the relationship of the Affected Area to the proposed residential floors. [Drafting Note: The Phase I ESA description of the parcels (1.89 and 1.58 acres; western and eastern parcels; frontage on Foster Street to the north) is inconsistent with the metes and bounds legal descriptions in the Title Commitment (2.09 and 1.38 acres; north and south parcels; Foster Street along the western boundary), which See Cover Memorandum Issue No. 7.]</w:t>
      </w:r>
    </w:p>
    <w:p>
      <w:pPr>
        <w:pStyle w:val="Heading2"/>
      </w:pPr>
      <w:r>
        <w:rPr>
          <w:rFonts w:ascii="Times New Roman" w:hAnsi="Times New Roman"/>
          <w:b/>
          <w:sz w:val="22"/>
        </w:rPr>
        <w:t>Section 3.5  Environmental Conditions</w:t>
      </w:r>
    </w:p>
    <w:p>
      <w:r>
        <w:rPr>
          <w:rFonts w:ascii="Times New Roman" w:hAnsi="Times New Roman"/>
          <w:b w:val="0"/>
          <w:i w:val="0"/>
        </w:rPr>
        <w:t>Without limiting Section 3.2, Lender shall have received and approved:</w:t>
      </w:r>
    </w:p>
    <w:p>
      <w:pPr>
        <w:tabs>
          <w:tab w:pos="792" w:val="left"/>
        </w:tabs>
        <w:spacing w:after="140"/>
        <w:ind w:left="792" w:hanging="360"/>
      </w:pPr>
      <w:r>
        <w:rPr>
          <w:rFonts w:ascii="Times New Roman" w:hAnsi="Times New Roman"/>
          <w:b w:val="0"/>
        </w:rPr>
        <w:t>(a)</w:t>
        <w:tab/>
      </w:r>
      <w:r>
        <w:rPr>
          <w:rFonts w:ascii="Times New Roman" w:hAnsi="Times New Roman"/>
          <w:b w:val="0"/>
          <w:i w:val="0"/>
        </w:rPr>
        <w:t>the NFA Letter in full, together with NCDEQ's written confirmation of the then-current compliance status of Site ID IHSB-24-1203, and evidence that each condition of the NFA Letter other than the installation of the Vapor Mitigation System has been satisfied or is not yet due;</w:t>
      </w:r>
    </w:p>
    <w:p>
      <w:pPr>
        <w:tabs>
          <w:tab w:pos="792" w:val="left"/>
        </w:tabs>
        <w:spacing w:after="140"/>
        <w:ind w:left="792" w:hanging="360"/>
      </w:pPr>
      <w:r>
        <w:rPr>
          <w:rFonts w:ascii="Times New Roman" w:hAnsi="Times New Roman"/>
          <w:b w:val="0"/>
        </w:rPr>
        <w:t>(a)</w:t>
        <w:tab/>
      </w:r>
      <w:r>
        <w:rPr>
          <w:rFonts w:ascii="Times New Roman" w:hAnsi="Times New Roman"/>
          <w:b w:val="0"/>
          <w:i w:val="0"/>
        </w:rPr>
        <w:t>evidence that the deed notice required by Condition 4 of the NFA Letter has been recorded in the Durham County Registry of Deeds within the sixty (60) day period specified in the NFA Letter, together with a copy of the recorded instrument, a title date-down search confirming its recording, and confirmation that the Title Company has taken all appropriate exception therefor;</w:t>
      </w:r>
    </w:p>
    <w:p>
      <w:pPr>
        <w:tabs>
          <w:tab w:pos="792" w:val="left"/>
        </w:tabs>
        <w:spacing w:after="140"/>
        <w:ind w:left="792" w:hanging="360"/>
      </w:pPr>
      <w:r>
        <w:rPr>
          <w:rFonts w:ascii="Times New Roman" w:hAnsi="Times New Roman"/>
          <w:b w:val="0"/>
        </w:rPr>
        <w:t>(a)</w:t>
        <w:tab/>
      </w:r>
      <w:r>
        <w:rPr>
          <w:rFonts w:ascii="Times New Roman" w:hAnsi="Times New Roman"/>
          <w:b w:val="0"/>
          <w:i w:val="0"/>
        </w:rPr>
        <w:t>evidence that the Soil Management Plan has been submitted to and approved by NCDEQ prior to the commencement of any subsurface disturbance in the Affected Area;</w:t>
      </w:r>
    </w:p>
    <w:p>
      <w:pPr>
        <w:tabs>
          <w:tab w:pos="792" w:val="left"/>
        </w:tabs>
        <w:spacing w:after="140"/>
        <w:ind w:left="792" w:hanging="360"/>
      </w:pPr>
      <w:r>
        <w:rPr>
          <w:rFonts w:ascii="Times New Roman" w:hAnsi="Times New Roman"/>
          <w:b w:val="0"/>
        </w:rPr>
        <w:t>(a)</w:t>
        <w:tab/>
      </w:r>
      <w:r>
        <w:rPr>
          <w:rFonts w:ascii="Times New Roman" w:hAnsi="Times New Roman"/>
          <w:b w:val="0"/>
          <w:i w:val="0"/>
        </w:rPr>
        <w:t>the final design of the Vapor Mitigation System, prepared by a professional engineer licensed in North Carolina and stated in the quantities of the Construction Contract, together with the engineer's certification that the design satisfies Condition 1 of the NFA Letter and permits conversion to an active depressurization system;</w:t>
      </w:r>
    </w:p>
    <w:p>
      <w:pPr>
        <w:tabs>
          <w:tab w:pos="792" w:val="left"/>
        </w:tabs>
        <w:spacing w:after="140"/>
        <w:ind w:left="792" w:hanging="360"/>
      </w:pPr>
      <w:r>
        <w:rPr>
          <w:rFonts w:ascii="Times New Roman" w:hAnsi="Times New Roman"/>
          <w:b w:val="0"/>
        </w:rPr>
        <w:t>(a)</w:t>
        <w:tab/>
      </w:r>
      <w:r>
        <w:rPr>
          <w:rFonts w:ascii="Times New Roman" w:hAnsi="Times New Roman"/>
          <w:b w:val="0"/>
          <w:i w:val="0"/>
        </w:rPr>
        <w:t>an overlay plan prepared by the Architect confirming the relationship between the Affected Area and the building footprint, and identifying with specificity each dwelling unit, if any, located above the Affected Area, together with written confirmation from Borrower of how compliance with the non-residential use restriction will be maintained;</w:t>
      </w:r>
    </w:p>
    <w:p>
      <w:pPr>
        <w:tabs>
          <w:tab w:pos="792" w:val="left"/>
        </w:tabs>
        <w:spacing w:after="140"/>
        <w:ind w:left="792" w:hanging="360"/>
      </w:pPr>
      <w:r>
        <w:rPr>
          <w:rFonts w:ascii="Times New Roman" w:hAnsi="Times New Roman"/>
          <w:b w:val="0"/>
        </w:rPr>
        <w:t>(a)</w:t>
        <w:tab/>
      </w:r>
      <w:r>
        <w:rPr>
          <w:rFonts w:ascii="Times New Roman" w:hAnsi="Times New Roman"/>
          <w:b w:val="0"/>
          <w:i w:val="0"/>
        </w:rPr>
        <w:t>a reliance letter in favor of Lender from Sentinel Environmental Consulting LLC with respect to the Phase I ESA and the Phase II ESA; and</w:t>
      </w:r>
    </w:p>
    <w:p>
      <w:pPr>
        <w:tabs>
          <w:tab w:pos="792" w:val="left"/>
        </w:tabs>
        <w:spacing w:after="140"/>
        <w:ind w:left="792" w:hanging="360"/>
      </w:pPr>
      <w:r>
        <w:rPr>
          <w:rFonts w:ascii="Times New Roman" w:hAnsi="Times New Roman"/>
          <w:b w:val="0"/>
        </w:rPr>
        <w:t>(a)</w:t>
        <w:tab/>
      </w:r>
      <w:r>
        <w:rPr>
          <w:rFonts w:ascii="Times New Roman" w:hAnsi="Times New Roman"/>
          <w:b w:val="0"/>
          <w:i w:val="0"/>
        </w:rPr>
        <w:t>if required by Lender, evidence of a pollution legal liability insurance policy covering the Affected Area, in an amount and with terms acceptable to Lender, naming Lender as additional insured and loss payee.</w:t>
      </w:r>
    </w:p>
    <w:p>
      <w:r>
        <w:rPr>
          <w:rFonts w:ascii="Times New Roman" w:hAnsi="Times New Roman"/>
          <w:b w:val="0"/>
          <w:i w:val="0"/>
        </w:rPr>
        <w:t>[Drafting Note: The Phase I ESA establishes that as of October 28, 2024 the consultant had not been provided evidence that the deed notice was recorded. The Title Commitment effective December 5, 2024 does not list a recorded deed notice or declaration of land use restriction in Schedule B-II. The appraisal states that a Declaration of Land Use Restrictions has been recorded. These statements cannot all be correct. See Cover Memorandum Issues Nos. 8 and 11.]</w:t>
      </w:r>
    </w:p>
    <w:p>
      <w:pPr>
        <w:pStyle w:val="Heading2"/>
      </w:pPr>
      <w:r>
        <w:rPr>
          <w:rFonts w:ascii="Times New Roman" w:hAnsi="Times New Roman"/>
          <w:b/>
          <w:sz w:val="22"/>
        </w:rPr>
        <w:t>Section 3.6  Historic District Covenant Compliance</w:t>
      </w:r>
    </w:p>
    <w:p>
      <w:r>
        <w:rPr>
          <w:rFonts w:ascii="Times New Roman" w:hAnsi="Times New Roman"/>
          <w:b w:val="0"/>
          <w:i w:val="0"/>
        </w:rPr>
        <w:t>Borrower shall have delivered either (a) the written approval of the Brightleaf Historic District Association Architectural Review Committee of the final plans and specifications for the Project, (b) evidence that the sixty (60) day deemed-approval period under Article V of the Declaration of Covenants, Conditions and Restrictions recorded in Book 6984, Page 1155, as amended by First Amendment recorded in Book 7102, Page 388, Durham County Registry, has elapsed following a complete submission made not less than ninety (90) days prior to the anticipated commencement of construction, or (c) a written opinion of North Carolina counsel reasonably acceptable to Lender that the architectural review provisions do not apply to the Project. Borrower shall have also delivered a current statement from the Association of all assessments and charges due with respect to the Property.</w:t>
      </w:r>
    </w:p>
    <w:p>
      <w:r>
        <w:rPr>
          <w:rFonts w:ascii="Times New Roman" w:hAnsi="Times New Roman"/>
          <w:b w:val="0"/>
          <w:i w:val="0"/>
        </w:rPr>
        <w:t>[Drafting Note: The appraisal states that the Project's design “has been reviewed and approved by the Brightleaf Historic District Association in accordance with the CC&amp;Rs.” The Title Commitment states that the Title Company “has not received evidence that the current project plans have been submitted to or approved by” the Architectural Review Committee, and that the Association has a right to seek injunctive relief to halt unapproved construction. See Cover Memorandum Issue No. 9.]</w:t>
      </w:r>
    </w:p>
    <w:p>
      <w:pPr>
        <w:pStyle w:val="Heading2"/>
      </w:pPr>
      <w:r>
        <w:rPr>
          <w:rFonts w:ascii="Times New Roman" w:hAnsi="Times New Roman"/>
          <w:b/>
          <w:sz w:val="22"/>
        </w:rPr>
        <w:t>Section 3.7  Equity Contribution and Sources and Uses</w:t>
      </w:r>
    </w:p>
    <w:p>
      <w:r>
        <w:rPr>
          <w:rFonts w:ascii="Times New Roman" w:hAnsi="Times New Roman"/>
          <w:b w:val="0"/>
          <w:i w:val="0"/>
        </w:rPr>
        <w:t>Borrower shall have deposited the Equity Contribution in the amount of $[4,080,000] in immediately available funds into the Equity Escrow Account, and Lender shall have received evidence reasonably satisfactory to it that the Equity Contribution and the balance of the land acquisition cost were funded from sources that are not, directly or indirectly, the Mezzanine Loan, the proceeds of any other Indebtedness, Brightleaf Mezzanine Capital LLC, Brightleaf Investors Group LLC, Thomas R. Chen, or any Affiliate of any of the foregoing. Lender shall have also received a corrected and reconciled sources and uses of funds statement, certified by Borrower and approved by Lender, reflecting (a) the Total Project Costs including all costs described in Section 9.1(c), (b) the payoff of the deed of trust described in Section 3.14, (c) the amount of the Interest Reserve, and (d) the Equity Contribution, in each case reconciling to the dollar.</w:t>
      </w:r>
    </w:p>
    <w:p>
      <w:r>
        <w:rPr>
          <w:rFonts w:ascii="Times New Roman" w:hAnsi="Times New Roman"/>
          <w:b w:val="0"/>
          <w:i w:val="0"/>
        </w:rPr>
        <w:t>[Drafting Note: The Equity Contribution of $2,140,000 required by Section 10.1(2) of the Credit Memorandum was computed against a $56,700,000 budget that omits (i) the payoff of the Triangle Commercial Bank deed of trust (original principal $3,400,000) and (ii) approximately $680,000 of demolition and remediation costs incurred before Closing. Applying the $56,700,000 budget, Loan of $47,500,000 and Mezzanine Loan of $9,200,000, no equity is required at all — the problem is that the budget does not include the payoff. On a corrected budget of $[60,780,000], the Equity Contribution required is $[4,080,000] and LTC is 78.15%. See Cover Memorandum Issue No. 3.]</w:t>
      </w:r>
    </w:p>
    <w:p>
      <w:pPr>
        <w:pStyle w:val="Heading2"/>
      </w:pPr>
      <w:r>
        <w:rPr>
          <w:rFonts w:ascii="Times New Roman" w:hAnsi="Times New Roman"/>
          <w:b/>
          <w:sz w:val="22"/>
        </w:rPr>
        <w:t>Section 3.8  Intercreditor Agreement</w:t>
      </w:r>
    </w:p>
    <w:p>
      <w:r>
        <w:rPr>
          <w:rFonts w:ascii="Times New Roman" w:hAnsi="Times New Roman"/>
          <w:b w:val="0"/>
          <w:i w:val="0"/>
        </w:rPr>
        <w:t>Lender, Mezzanine Lender and Borrower shall have executed and delivered the Intercreditor Agreement, which shall provide, among other things, that:</w:t>
      </w:r>
    </w:p>
    <w:p>
      <w:pPr>
        <w:tabs>
          <w:tab w:pos="792" w:val="left"/>
        </w:tabs>
        <w:spacing w:after="140"/>
        <w:ind w:left="792" w:hanging="360"/>
      </w:pPr>
      <w:r>
        <w:rPr>
          <w:rFonts w:ascii="Times New Roman" w:hAnsi="Times New Roman"/>
          <w:b w:val="0"/>
        </w:rPr>
        <w:t>(a)</w:t>
        <w:tab/>
      </w:r>
      <w:r>
        <w:rPr>
          <w:rFonts w:ascii="Times New Roman" w:hAnsi="Times New Roman"/>
          <w:b w:val="0"/>
          <w:i w:val="0"/>
        </w:rPr>
        <w:t>Lender holds a first priority security interest in the Property, the other Collateral and the membership interests in Borrower, and Mezzanine Lender holds a security interest in the membership interests that is subordinate in all respects to Lender's security interest;</w:t>
      </w:r>
    </w:p>
    <w:p>
      <w:pPr>
        <w:tabs>
          <w:tab w:pos="792" w:val="left"/>
        </w:tabs>
        <w:spacing w:after="140"/>
        <w:ind w:left="792" w:hanging="360"/>
      </w:pPr>
      <w:r>
        <w:rPr>
          <w:rFonts w:ascii="Times New Roman" w:hAnsi="Times New Roman"/>
          <w:b w:val="0"/>
        </w:rPr>
        <w:t>(a)</w:t>
        <w:tab/>
      </w:r>
      <w:r>
        <w:rPr>
          <w:rFonts w:ascii="Times New Roman" w:hAnsi="Times New Roman"/>
          <w:b w:val="0"/>
          <w:i w:val="0"/>
        </w:rPr>
        <w:t>Mezzanine Lender is subject to a standstill period of not less than ninety (90) days following the occurrence of a default under the Mezzanine Documents, during which Mezzanine Lender may not exercise any remedy against Borrower, the membership interests or the Property;</w:t>
      </w:r>
    </w:p>
    <w:p>
      <w:pPr>
        <w:tabs>
          <w:tab w:pos="792" w:val="left"/>
        </w:tabs>
        <w:spacing w:after="140"/>
        <w:ind w:left="792" w:hanging="360"/>
      </w:pPr>
      <w:r>
        <w:rPr>
          <w:rFonts w:ascii="Times New Roman" w:hAnsi="Times New Roman"/>
          <w:b w:val="0"/>
        </w:rPr>
        <w:t>(a)</w:t>
        <w:tab/>
      </w:r>
      <w:r>
        <w:rPr>
          <w:rFonts w:ascii="Times New Roman" w:hAnsi="Times New Roman"/>
          <w:b w:val="0"/>
          <w:i w:val="0"/>
        </w:rPr>
        <w:t>Mezzanine Lender receives copies of all default and acceleration notices delivered by Lender and has the right, but not the obligation, to cure defaults under the Loan within the periods specified in the Intercreditor Agreement and to purchase the Loan at par plus accrued and unpaid interest, fees, costs and the Exit Fee;</w:t>
      </w:r>
    </w:p>
    <w:p>
      <w:pPr>
        <w:tabs>
          <w:tab w:pos="792" w:val="left"/>
        </w:tabs>
        <w:spacing w:after="140"/>
        <w:ind w:left="792" w:hanging="360"/>
      </w:pPr>
      <w:r>
        <w:rPr>
          <w:rFonts w:ascii="Times New Roman" w:hAnsi="Times New Roman"/>
          <w:b w:val="0"/>
        </w:rPr>
        <w:t>(a)</w:t>
        <w:tab/>
      </w:r>
      <w:r>
        <w:rPr>
          <w:rFonts w:ascii="Times New Roman" w:hAnsi="Times New Roman"/>
          <w:b w:val="0"/>
          <w:i w:val="0"/>
        </w:rPr>
        <w:t>Mezzanine Lender may not amend, waive or modify any material term of the Mezzanine Documents, increase the principal amount of the Mezzanine Loan, or accept any prepayment thereof, without Lender's prior written consent;</w:t>
      </w:r>
    </w:p>
    <w:p>
      <w:pPr>
        <w:tabs>
          <w:tab w:pos="792" w:val="left"/>
        </w:tabs>
        <w:spacing w:after="140"/>
        <w:ind w:left="792" w:hanging="360"/>
      </w:pPr>
      <w:r>
        <w:rPr>
          <w:rFonts w:ascii="Times New Roman" w:hAnsi="Times New Roman"/>
          <w:b w:val="0"/>
        </w:rPr>
        <w:t>(a)</w:t>
        <w:tab/>
      </w:r>
      <w:r>
        <w:rPr>
          <w:rFonts w:ascii="Times New Roman" w:hAnsi="Times New Roman"/>
          <w:b w:val="0"/>
          <w:i w:val="0"/>
        </w:rPr>
        <w:t>Mezzanine Lender may not file, or join in the filing of, an involuntary petition against Borrower, and will not contest or interfere with Lender's exercise of remedies;</w:t>
      </w:r>
    </w:p>
    <w:p>
      <w:pPr>
        <w:tabs>
          <w:tab w:pos="792" w:val="left"/>
        </w:tabs>
        <w:spacing w:after="140"/>
        <w:ind w:left="792" w:hanging="360"/>
      </w:pPr>
      <w:r>
        <w:rPr>
          <w:rFonts w:ascii="Times New Roman" w:hAnsi="Times New Roman"/>
          <w:b w:val="0"/>
        </w:rPr>
        <w:t>(a)</w:t>
        <w:tab/>
      </w:r>
      <w:r>
        <w:rPr>
          <w:rFonts w:ascii="Times New Roman" w:hAnsi="Times New Roman"/>
          <w:b w:val="0"/>
          <w:i w:val="0"/>
        </w:rPr>
        <w:t>all payments in respect of the Mezzanine Loan are subject to a standstill upon the occurrence of an Event of Default, and no payment (whether in cash or in kind) may be made in respect of the Mezzanine Loan if a Default or Event of Default exists under the Loan Documents;</w:t>
      </w:r>
    </w:p>
    <w:p>
      <w:pPr>
        <w:tabs>
          <w:tab w:pos="792" w:val="left"/>
        </w:tabs>
        <w:spacing w:after="140"/>
        <w:ind w:left="792" w:hanging="360"/>
      </w:pPr>
      <w:r>
        <w:rPr>
          <w:rFonts w:ascii="Times New Roman" w:hAnsi="Times New Roman"/>
          <w:b w:val="0"/>
        </w:rPr>
        <w:t>(a)</w:t>
        <w:tab/>
      </w:r>
      <w:r>
        <w:rPr>
          <w:rFonts w:ascii="Times New Roman" w:hAnsi="Times New Roman"/>
          <w:b w:val="0"/>
          <w:i w:val="0"/>
        </w:rPr>
        <w:t>the affiliate relationship between Mezzanine Lender and Brightleaf Investors Group LLC (each under the common control of Thomas R. Chen) is expressly acknowledged, and Mezzanine Lender waives any claim arising from that relationship; and</w:t>
      </w:r>
    </w:p>
    <w:p>
      <w:pPr>
        <w:tabs>
          <w:tab w:pos="792" w:val="left"/>
        </w:tabs>
        <w:spacing w:after="140"/>
        <w:ind w:left="792" w:hanging="360"/>
      </w:pPr>
      <w:r>
        <w:rPr>
          <w:rFonts w:ascii="Times New Roman" w:hAnsi="Times New Roman"/>
          <w:b w:val="0"/>
        </w:rPr>
        <w:t>(a)</w:t>
        <w:tab/>
      </w:r>
      <w:r>
        <w:rPr>
          <w:rFonts w:ascii="Times New Roman" w:hAnsi="Times New Roman"/>
          <w:b w:val="0"/>
          <w:i w:val="0"/>
        </w:rPr>
        <w:t>the Mezzanine Loan matures no earlier than the Mini-Perm Maturity Date as extended, and any accrual of interest that is not paid in cash is capitalized and reported to Lender monthly.</w:t>
      </w:r>
    </w:p>
    <w:p>
      <w:pPr>
        <w:pStyle w:val="Heading2"/>
      </w:pPr>
      <w:r>
        <w:rPr>
          <w:rFonts w:ascii="Times New Roman" w:hAnsi="Times New Roman"/>
          <w:b/>
          <w:sz w:val="22"/>
        </w:rPr>
        <w:t>Section 3.9  Single-Purpose Entity Amendments; Non-Consolidation Opinion</w:t>
      </w:r>
    </w:p>
    <w:p>
      <w:r>
        <w:rPr>
          <w:rFonts w:ascii="Times New Roman" w:hAnsi="Times New Roman"/>
          <w:b w:val="0"/>
          <w:i w:val="0"/>
        </w:rPr>
        <w:t>Borrower shall have delivered (a) an amendment to its Amended and Restated Operating Agreement, in form and substance satisfactory to Lender and duly adopted by all members, adding the SPE Covenants, requiring the appointment and retention of an independent manager who is not an officer, employee, member, manager or Affiliate of Borrower, any member, Mezzanine Lender or Thomas R. Chen, and requiring such independent manager's affirmative written consent to any voluntary bankruptcy filing, insolvency filing or general assignment for the benefit of creditors, and (b) a non-consolidation opinion of Borrower's counsel addressed to Lender, in form and substance satisfactory to Lender and its counsel, opining that a court applying North Carolina law would not substantively consolidate Borrower with any member, Affiliate of any member or Mezzanine Lender.</w:t>
      </w:r>
    </w:p>
    <w:p>
      <w:r>
        <w:rPr>
          <w:rFonts w:ascii="Times New Roman" w:hAnsi="Times New Roman"/>
          <w:b w:val="0"/>
          <w:i w:val="0"/>
        </w:rPr>
        <w:t>Borrower shall also have delivered the written consent of the Managing Member to the pledge by each member of its membership interest as required by Section 9.1 of the Operating Agreement, together with the consent of members holding not less than seventy-five percent (75%) of the membership interests to the borrowing and the granting of security as required by Section 3.2 of the Operating Agreement.</w:t>
      </w:r>
    </w:p>
    <w:p>
      <w:r>
        <w:rPr>
          <w:rFonts w:ascii="Times New Roman" w:hAnsi="Times New Roman"/>
          <w:b w:val="0"/>
          <w:i w:val="0"/>
        </w:rPr>
        <w:t>[Drafting Note: Section 2 of the organizational materials confirms that the Operating Agreement currently contains no independent manager or separateness provisions, and that the 75% major decisions threshold gives Brightleaf Investors Group LLC (28%) an effective veto because Ms. Vasquez-Torres (62%) and Mr. Osei (10%) hold only 72% between them. Both the loan authorization and the membership interest pledges therefore require the written consent of the affiliated member. See Cover Memorandum Issue No. 15.]</w:t>
      </w:r>
    </w:p>
    <w:p>
      <w:pPr>
        <w:pStyle w:val="Heading2"/>
      </w:pPr>
      <w:r>
        <w:rPr>
          <w:rFonts w:ascii="Times New Roman" w:hAnsi="Times New Roman"/>
          <w:b/>
          <w:sz w:val="22"/>
        </w:rPr>
        <w:t>Section 3.10  Organizational Documents and Authority</w:t>
      </w:r>
    </w:p>
    <w:p>
      <w:r>
        <w:rPr>
          <w:rFonts w:ascii="Times New Roman" w:hAnsi="Times New Roman"/>
          <w:b w:val="0"/>
          <w:i w:val="0"/>
        </w:rPr>
        <w:t>Borrower shall have delivered (a) a certificate of existence and good standing from the North Carolina Secretary of State dated within thirty (30) days of Closing; (b) certified copies of its articles of organization and operating agreement as amended; (c) a certificate of the Managing Member as to the incumbency of the officers and authorized signatories executing the Loan Documents, together with copies of the resolutions or written consents required by Section 3.9; (d) certificates of good standing or equivalent for Brightleaf Investors Group LLC; and (e) evidence of the good standing and identity of each Guarantor, including a copy of a government-issued identification document for each Guarantor.</w:t>
      </w:r>
    </w:p>
    <w:p>
      <w:pPr>
        <w:pStyle w:val="Heading2"/>
      </w:pPr>
      <w:r>
        <w:rPr>
          <w:rFonts w:ascii="Times New Roman" w:hAnsi="Times New Roman"/>
          <w:b/>
          <w:sz w:val="22"/>
        </w:rPr>
        <w:t>Section 3.11  Construction Documents</w:t>
      </w:r>
    </w:p>
    <w:p>
      <w:r>
        <w:rPr>
          <w:rFonts w:ascii="Times New Roman" w:hAnsi="Times New Roman"/>
          <w:b w:val="0"/>
          <w:i w:val="0"/>
        </w:rPr>
        <w:t>Lender shall have received and approved (a) the Construction Contract, executed and in full force and effect, in the GMP amount of $34,750,000, together with all exhibits, allowance schedules, unit price schedules and the full set of general conditions, and a collateral assignment thereof to Lender acknowledged by the contractor; (b) the architect's agreement with Meridian Design Collective PC, together with the collateral assignment thereof and the architect's consent; (c) the Approved Plans and Specifications, and evidence of all required plan reviews and permit approvals; (d) a construction schedule showing achievement of Substantial Completion no later than the Construction Maturity Date; (e) the contractor's current financial statements, a certificate of insurance and evidence of payment and performance bonding or of the contractor's stated bonding capacity; (f) a subcontractor list and a schedule of values for the Construction Contract; and (g) confirmation that the scope of the Construction Contract excludes work already completed at the Property, including the demolition completed in August 2024 and the environmental remediation completed in September 2024, or that an appropriate credit has been given therefor.</w:t>
      </w:r>
    </w:p>
    <w:p>
      <w:r>
        <w:rPr>
          <w:rFonts w:ascii="Times New Roman" w:hAnsi="Times New Roman"/>
          <w:b w:val="0"/>
          <w:i w:val="0"/>
        </w:rPr>
        <w:t>[Drafting Note: Line item 2.01 of the project budget describes $3,180,000 of site work as including “Demolition, grading, utilities, paving.” The warehouse demolition described in the Phase I ESA was completed in August 2024 and the remediation, at a cost of approximately $485,000, in September 2024. The GMP scope should be confirmed to exclude completed work. See Cover Memorandum Issue No. 5.]</w:t>
      </w:r>
    </w:p>
    <w:p>
      <w:pPr>
        <w:pStyle w:val="Heading2"/>
      </w:pPr>
      <w:r>
        <w:rPr>
          <w:rFonts w:ascii="Times New Roman" w:hAnsi="Times New Roman"/>
          <w:b/>
          <w:sz w:val="22"/>
        </w:rPr>
        <w:t>Section 3.12  Permits, Zoning and Governmental Approvals</w:t>
      </w:r>
    </w:p>
    <w:p>
      <w:r>
        <w:rPr>
          <w:rFonts w:ascii="Times New Roman" w:hAnsi="Times New Roman"/>
          <w:b w:val="0"/>
          <w:i w:val="0"/>
        </w:rPr>
        <w:t>Borrower shall have delivered (a) all building permits, grading permits, utility permits and other governmental approvals necessary for the commencement of construction; (b) a zoning compliance letter or equivalent determination from the City of Durham confirming that the Project is permitted as of right in the MU-D zoning district without variance, special use permit or conditional zoning; (c) evidence of the payment of all impact fees and utility tap fees; and (d) evidence of compliance with the North Carolina Sedimentation Pollution Control Act, including an approved erosion control plan.</w:t>
      </w:r>
    </w:p>
    <w:p>
      <w:pPr>
        <w:pStyle w:val="Heading2"/>
      </w:pPr>
      <w:r>
        <w:rPr>
          <w:rFonts w:ascii="Times New Roman" w:hAnsi="Times New Roman"/>
          <w:b/>
          <w:sz w:val="22"/>
        </w:rPr>
        <w:t>Section 3.13  Insurance</w:t>
      </w:r>
    </w:p>
    <w:p>
      <w:r>
        <w:rPr>
          <w:rFonts w:ascii="Times New Roman" w:hAnsi="Times New Roman"/>
          <w:b w:val="0"/>
          <w:i w:val="0"/>
        </w:rPr>
        <w:t>Borrower shall have delivered certificates of insurance and, if requested, certified copies of policies evidencing the coverages described in Schedule 5, each naming Lender as mortgagee, loss payee and/or additional insured as its interests appear, each with the endorsements required by Lender, and each providing for not less than thirty (30) days' prior written notice of cancellation, non-renewal or material change (ten (10) days' for non-payment of premium).</w:t>
      </w:r>
    </w:p>
    <w:p>
      <w:pPr>
        <w:pStyle w:val="Heading2"/>
      </w:pPr>
      <w:r>
        <w:rPr>
          <w:rFonts w:ascii="Times New Roman" w:hAnsi="Times New Roman"/>
          <w:b/>
          <w:sz w:val="22"/>
        </w:rPr>
        <w:t>Section 3.14  Payoff and Release of Prior Deed of Trust</w:t>
      </w:r>
    </w:p>
    <w:p>
      <w:r>
        <w:rPr>
          <w:rFonts w:ascii="Times New Roman" w:hAnsi="Times New Roman"/>
          <w:b w:val="0"/>
          <w:i w:val="0"/>
        </w:rPr>
        <w:t>Borrower shall have caused the deed of trust dated September 14, 2018 from Foster Street Properties LLC to the Trustee named therein for the benefit of Triangle Commercial Bank, recorded in Book 6215, Page 892, Durham County Registry, securing an original principal amount of $3,400,000, to be satisfied and released of record at or prior to Closing. Borrower shall have delivered (a) a payoff letter from Triangle Commercial Bank dated within thirty (30) days of the Closing Date stating the outstanding principal balance, accrued interest and per diem, and the amount required to obtain a release; (b) a certificate of satisfaction or cancellation of deed of trust in recordable form executed by Triangle Commercial Bank; and (c) a settlement statement reflecting the disbursement of the payoff from sources identified in the corrected sources and uses. The Title Policy shall contain no exception for such deed of trust.</w:t>
      </w:r>
    </w:p>
    <w:p>
      <w:r>
        <w:rPr>
          <w:rFonts w:ascii="Times New Roman" w:hAnsi="Times New Roman"/>
          <w:b w:val="0"/>
          <w:i w:val="0"/>
        </w:rPr>
        <w:t>[Drafting Note: The Title Commitment records that the indebtedness secured by this deed of trust has been “partially repaid” and that the Title Company has not independently verified the outstanding balance. No payoff amount appears anywhere in the record, and no use of funds line item exists in the $56,700,000 budget for the payoff. See Cover Memorandum Issue No. 2.]</w:t>
      </w:r>
    </w:p>
    <w:p>
      <w:pPr>
        <w:pStyle w:val="Heading2"/>
      </w:pPr>
      <w:r>
        <w:rPr>
          <w:rFonts w:ascii="Times New Roman" w:hAnsi="Times New Roman"/>
          <w:b/>
          <w:sz w:val="22"/>
        </w:rPr>
        <w:t>Section 3.15  Lien Waivers and No Prior Work</w:t>
      </w:r>
    </w:p>
    <w:p>
      <w:r>
        <w:rPr>
          <w:rFonts w:ascii="Times New Roman" w:hAnsi="Times New Roman"/>
          <w:b w:val="0"/>
          <w:i w:val="0"/>
        </w:rPr>
        <w:t>Borrower shall have delivered (a) final unconditional lien waivers, in statutory form under N.C.G.S. Chapter 44A, from the demolition contractor, the environmental remediation contractor and each other contractor, subcontractor and material supplier that has furnished labor or materials at the Property prior to Closing, together with evidence of payment in full of the amounts so waived; (b) an owner's affidavit and a contractor's affidavit as to the date of first furnishing and the absence of unpaid claims; and (c) if any labor or materials have been furnished prior to the recording of the Deed of Trust, such additional protections as Lender or the Title Company may require by reason of the relation-back provisions of N.C.G.S. § 44A-10.</w:t>
      </w:r>
    </w:p>
    <w:p>
      <w:r>
        <w:rPr>
          <w:rFonts w:ascii="Times New Roman" w:hAnsi="Times New Roman"/>
          <w:b w:val="0"/>
          <w:i w:val="0"/>
        </w:rPr>
        <w:t>[Drafting Note: Because demolition and remediation work was performed in 2024, mechanics' liens for that work could relate back to a date before recordation of the Deed of Trust. The Title Company's Note 4 to the Commitment raises the same point. See Cover Memorandum Issue No. 10.]</w:t>
      </w:r>
    </w:p>
    <w:p>
      <w:pPr>
        <w:pStyle w:val="Heading2"/>
      </w:pPr>
      <w:r>
        <w:rPr>
          <w:rFonts w:ascii="Times New Roman" w:hAnsi="Times New Roman"/>
          <w:b/>
          <w:sz w:val="22"/>
        </w:rPr>
        <w:t>Section 3.16  Financial Information</w:t>
      </w:r>
    </w:p>
    <w:p>
      <w:r>
        <w:rPr>
          <w:rFonts w:ascii="Times New Roman" w:hAnsi="Times New Roman"/>
          <w:b w:val="0"/>
          <w:i w:val="0"/>
        </w:rPr>
        <w:t>Lender shall have received and approved (a) Borrower's financial statements as of a date not more than ninety (90) days prior to Closing, prepared in accordance with GAAP (audited or reviewed), together with a certified schedule of Borrower's assets and liabilities reconciling to the $14,200,000 net worth representation; (b) each Guarantor's current personal financial statement, dated not more than ninety (90) days prior to Closing, together with supporting statements for each depository and brokerage account listed therein; (c) two years of federal income tax returns for Borrower and each Guarantor; (d) Borrower's operating pro forma for the Project; and (e) such other credit information as Lender may reasonably require.</w:t>
      </w:r>
    </w:p>
    <w:p>
      <w:r>
        <w:rPr>
          <w:rFonts w:ascii="Times New Roman" w:hAnsi="Times New Roman"/>
          <w:b w:val="0"/>
          <w:i w:val="0"/>
        </w:rPr>
        <w:t>[Drafting Note: The $14,200,000 Borrower net worth and $9,300,000 guarantor liquidity figures are repeated throughout the record but are not supported by any financial statement in the documents provided. A single-purpose entity holding only the Property at a cost of $8,200,000, subject to the $3,400,000 Triangle deed of trust and to the remediation and site costs, cannot readily support a $14,200,000 net worth. See Cover Memorandum Issue No. 14.]</w:t>
      </w:r>
    </w:p>
    <w:p>
      <w:pPr>
        <w:pStyle w:val="Heading2"/>
      </w:pPr>
      <w:r>
        <w:rPr>
          <w:rFonts w:ascii="Times New Roman" w:hAnsi="Times New Roman"/>
          <w:b/>
          <w:sz w:val="22"/>
        </w:rPr>
        <w:t>Section 3.17  Legal Opinions</w:t>
      </w:r>
    </w:p>
    <w:p>
      <w:r>
        <w:rPr>
          <w:rFonts w:ascii="Times New Roman" w:hAnsi="Times New Roman"/>
          <w:b w:val="0"/>
          <w:i w:val="0"/>
        </w:rPr>
        <w:t>Lender shall have received from Calloway &amp; Strauss PLLC, counsel to Borrower, (a) an opinion as to the due organization, valid existence and good standing of Borrower, the due authorization, execution and delivery of the Loan Documents, and the enforceability of the Loan Documents against Borrower and each Guarantor; (b) the non-consolidation opinion required by Section 3.9; (c) an opinion as to the perfection and first priority of Lender's security interests in the Collateral; and (d) such other opinions as Lender may reasonably require, including with respect to the valid creation and first priority of the Deed of Trust under North Carolina law.</w:t>
      </w:r>
    </w:p>
    <w:p>
      <w:pPr>
        <w:pStyle w:val="Heading2"/>
      </w:pPr>
      <w:r>
        <w:rPr>
          <w:rFonts w:ascii="Times New Roman" w:hAnsi="Times New Roman"/>
          <w:b/>
          <w:sz w:val="22"/>
        </w:rPr>
        <w:t>Section 3.18  Fees, Expenses and Deposits</w:t>
      </w:r>
    </w:p>
    <w:p>
      <w:r>
        <w:rPr>
          <w:rFonts w:ascii="Times New Roman" w:hAnsi="Times New Roman"/>
          <w:b w:val="0"/>
          <w:i w:val="0"/>
        </w:rPr>
        <w:t>Borrower shall have paid the Origination Fee, all fees of Lender's counsel and the Title Company, the title insurance premiums, the recording and documentary excise taxes payable on the Deed of Trust and the Note, and all other costs and expenses payable by Borrower under Section 18.2, in each case to the extent then due.</w:t>
      </w:r>
    </w:p>
    <w:p>
      <w:pPr>
        <w:pStyle w:val="Heading2"/>
      </w:pPr>
      <w:r>
        <w:rPr>
          <w:rFonts w:ascii="Times New Roman" w:hAnsi="Times New Roman"/>
          <w:b/>
          <w:sz w:val="22"/>
        </w:rPr>
        <w:t>Section 3.19  No Material Adverse Change; Committee Approval</w:t>
      </w:r>
    </w:p>
    <w:p>
      <w:r>
        <w:rPr>
          <w:rFonts w:ascii="Times New Roman" w:hAnsi="Times New Roman"/>
          <w:b w:val="0"/>
          <w:i w:val="0"/>
        </w:rPr>
        <w:t>No Material Adverse Effect shall have occurred, no material adverse change shall have occurred in the financial condition of Borrower or either Guarantor or in general real estate market conditions, and Lender shall have received all internal credit approvals required for the Loan (including any required re-approval by Lender's Senior Loan Committee of any change from the terms approved on January 22, 2025).</w:t>
      </w:r>
    </w:p>
    <w:p>
      <w:pPr>
        <w:pStyle w:val="Heading2"/>
      </w:pPr>
      <w:r>
        <w:rPr>
          <w:rFonts w:ascii="Times New Roman" w:hAnsi="Times New Roman"/>
          <w:b/>
          <w:sz w:val="22"/>
        </w:rPr>
        <w:t>Section 3.20  Additional Conditions</w:t>
      </w:r>
    </w:p>
    <w:p>
      <w:r>
        <w:rPr>
          <w:rFonts w:ascii="Times New Roman" w:hAnsi="Times New Roman"/>
          <w:b w:val="0"/>
          <w:i w:val="0"/>
        </w:rPr>
        <w:t>Lender shall have received such other documents, instruments, certificates, consents, estoppels and opinions as Lender may reasonably require in connection with the Loan, including estoppel certificates from the Brightleaf Historic District Association, the City of Durham and Duke Energy Carolinas with respect to the recorded easements, and evidence of the matters described in Section 3.5 in form satisfactory to Lender's environmental counsel.</w:t>
      </w:r>
    </w:p>
    <w:p>
      <w:pPr>
        <w:pStyle w:val="Heading1"/>
        <w:spacing w:before="360"/>
      </w:pPr>
      <w:r>
        <w:rPr>
          <w:rFonts w:ascii="Times New Roman" w:hAnsi="Times New Roman"/>
          <w:b/>
          <w:sz w:val="24"/>
        </w:rPr>
        <w:t>ARTICLE IV — DISBURSEMENT OF LOAN PROCEEDS</w:t>
      </w:r>
    </w:p>
    <w:p>
      <w:pPr>
        <w:pStyle w:val="Heading2"/>
      </w:pPr>
      <w:r>
        <w:rPr>
          <w:rFonts w:ascii="Times New Roman" w:hAnsi="Times New Roman"/>
          <w:b/>
          <w:sz w:val="22"/>
        </w:rPr>
        <w:t>Section 4.1  Draw Schedule</w:t>
      </w:r>
    </w:p>
    <w:p>
      <w:r>
        <w:rPr>
          <w:rFonts w:ascii="Times New Roman" w:hAnsi="Times New Roman"/>
          <w:b w:val="0"/>
          <w:i w:val="0"/>
        </w:rPr>
        <w:t>Loan proceeds shall be disbursed in accordance with the Draw Schedule attached as Schedule 1, which is keyed to construction milestones and to the line items of the Approved Project Budget. The Draw Schedule reflects (a) the Initial Advance at Closing in the amount of $9,475,000, consisting of soft costs of $4,150,000, the Interest Reserve of $4,850,000 and the Origination Fee of $475,000; (b) Advances for hard construction costs in the aggregate gross amount of $34,750,000, from which Retainage in the aggregate amount of $3,475,000 shall be withheld; (c) Advances from the Contingency in the aggregate amount of $1,440,000; (d) Advances of the Loan-funded portion of the Developer Fee in the aggregate amount of $1,835,000; and (e) the release of Retainage in the amount of $3,475,000 following Substantial Completion. The aggregate of all Advances shall not exceed $47,500,000.</w:t>
      </w:r>
    </w:p>
    <w:p>
      <w:r>
        <w:rPr>
          <w:rFonts w:ascii="Times New Roman" w:hAnsi="Times New Roman"/>
          <w:b w:val="0"/>
          <w:i w:val="0"/>
        </w:rPr>
        <w:t>[Drafting Note: The draw table in Section 9.2 of the Term Sheet does not withhold the 10% retainage that Section 9.1 of the Term Sheet requires: its Draws 2 through 8 total $34,750,000, or 100% of the GMP, and its Draw 9 of $3,275,000 is described as a “Retainage Release” although 10% of the GMP is $3,475,000. In fact $3,275,000 equals exactly the sum of the Contingency ($1,440,000) and the Loan-funded portion of the Developer Fee ($1,835,000). The Draw Schedule on Schedule 1 conforms the disbursements to the stated 10% retainage and separately identifies the Contingency and Developer Fee. The draw schedule delivered by Borrower (dated January 8, 2025) contains a related $1,000,000 imbalance in its component columns. See Cover Memorandum Issue No. 5.]</w:t>
      </w:r>
    </w:p>
    <w:p>
      <w:pPr>
        <w:pStyle w:val="Heading2"/>
      </w:pPr>
      <w:r>
        <w:rPr>
          <w:rFonts w:ascii="Times New Roman" w:hAnsi="Times New Roman"/>
          <w:b/>
          <w:sz w:val="22"/>
        </w:rPr>
        <w:t>Section 4.2  Draw Requests</w:t>
      </w:r>
    </w:p>
    <w:p>
      <w:r>
        <w:rPr>
          <w:rFonts w:ascii="Times New Roman" w:hAnsi="Times New Roman"/>
          <w:b w:val="0"/>
          <w:i w:val="0"/>
        </w:rPr>
        <w:t>Borrower shall submit a Draw Request to Lender not less than fifteen (15) days prior to the requested Advance date, on not more than one occasion per calendar month, accompanied by:</w:t>
      </w:r>
    </w:p>
    <w:p>
      <w:pPr>
        <w:tabs>
          <w:tab w:pos="792" w:val="left"/>
        </w:tabs>
        <w:spacing w:after="140"/>
        <w:ind w:left="792" w:hanging="360"/>
      </w:pPr>
      <w:r>
        <w:rPr>
          <w:rFonts w:ascii="Times New Roman" w:hAnsi="Times New Roman"/>
          <w:b w:val="0"/>
        </w:rPr>
        <w:t>(a)</w:t>
        <w:tab/>
      </w:r>
      <w:r>
        <w:rPr>
          <w:rFonts w:ascii="Times New Roman" w:hAnsi="Times New Roman"/>
          <w:b w:val="0"/>
          <w:i w:val="0"/>
        </w:rPr>
        <w:t>a completed AIA Application and Certificate for Payment (AIA Forms G702 and G703), certified by the Architect and the general contractor, and an updated schedule of values;</w:t>
      </w:r>
    </w:p>
    <w:p>
      <w:pPr>
        <w:tabs>
          <w:tab w:pos="792" w:val="left"/>
        </w:tabs>
        <w:spacing w:after="140"/>
        <w:ind w:left="792" w:hanging="360"/>
      </w:pPr>
      <w:r>
        <w:rPr>
          <w:rFonts w:ascii="Times New Roman" w:hAnsi="Times New Roman"/>
          <w:b w:val="0"/>
        </w:rPr>
        <w:t>(a)</w:t>
        <w:tab/>
      </w:r>
      <w:r>
        <w:rPr>
          <w:rFonts w:ascii="Times New Roman" w:hAnsi="Times New Roman"/>
          <w:b w:val="0"/>
          <w:i w:val="0"/>
        </w:rPr>
        <w:t>the Construction Inspector's report and certification that the applicable milestone has been achieved and that the undisbursed Loan proceeds, the Contingency and Borrower's remaining equity are sufficient to complete the Project;</w:t>
      </w:r>
    </w:p>
    <w:p>
      <w:pPr>
        <w:tabs>
          <w:tab w:pos="792" w:val="left"/>
        </w:tabs>
        <w:spacing w:after="140"/>
        <w:ind w:left="792" w:hanging="360"/>
      </w:pPr>
      <w:r>
        <w:rPr>
          <w:rFonts w:ascii="Times New Roman" w:hAnsi="Times New Roman"/>
          <w:b w:val="0"/>
        </w:rPr>
        <w:t>(a)</w:t>
        <w:tab/>
      </w:r>
      <w:r>
        <w:rPr>
          <w:rFonts w:ascii="Times New Roman" w:hAnsi="Times New Roman"/>
          <w:b w:val="0"/>
          <w:i w:val="0"/>
        </w:rPr>
        <w:t>conditional partial lien waivers in statutory form from the general contractor, each subcontractor and each material supplier for work performed and materials furnished through the date of the Draw Request;</w:t>
      </w:r>
    </w:p>
    <w:p>
      <w:pPr>
        <w:tabs>
          <w:tab w:pos="792" w:val="left"/>
        </w:tabs>
        <w:spacing w:after="140"/>
        <w:ind w:left="792" w:hanging="360"/>
      </w:pPr>
      <w:r>
        <w:rPr>
          <w:rFonts w:ascii="Times New Roman" w:hAnsi="Times New Roman"/>
          <w:b w:val="0"/>
        </w:rPr>
        <w:t>(a)</w:t>
        <w:tab/>
      </w:r>
      <w:r>
        <w:rPr>
          <w:rFonts w:ascii="Times New Roman" w:hAnsi="Times New Roman"/>
          <w:b w:val="0"/>
          <w:i w:val="0"/>
        </w:rPr>
        <w:t>a title date-down endorsement from the Title Company confirming that no intervening lien, encumbrance or title defect has arisen since the prior endorsement;</w:t>
      </w:r>
    </w:p>
    <w:p>
      <w:pPr>
        <w:tabs>
          <w:tab w:pos="792" w:val="left"/>
        </w:tabs>
        <w:spacing w:after="140"/>
        <w:ind w:left="792" w:hanging="360"/>
      </w:pPr>
      <w:r>
        <w:rPr>
          <w:rFonts w:ascii="Times New Roman" w:hAnsi="Times New Roman"/>
          <w:b w:val="0"/>
        </w:rPr>
        <w:t>(a)</w:t>
        <w:tab/>
      </w:r>
      <w:r>
        <w:rPr>
          <w:rFonts w:ascii="Times New Roman" w:hAnsi="Times New Roman"/>
          <w:b w:val="0"/>
          <w:i w:val="0"/>
        </w:rPr>
        <w:t>evidence that all insurance required by Schedule 5 remains in full force and effect;</w:t>
      </w:r>
    </w:p>
    <w:p>
      <w:pPr>
        <w:tabs>
          <w:tab w:pos="792" w:val="left"/>
        </w:tabs>
        <w:spacing w:after="140"/>
        <w:ind w:left="792" w:hanging="360"/>
      </w:pPr>
      <w:r>
        <w:rPr>
          <w:rFonts w:ascii="Times New Roman" w:hAnsi="Times New Roman"/>
          <w:b w:val="0"/>
        </w:rPr>
        <w:t>(a)</w:t>
        <w:tab/>
      </w:r>
      <w:r>
        <w:rPr>
          <w:rFonts w:ascii="Times New Roman" w:hAnsi="Times New Roman"/>
          <w:b w:val="0"/>
          <w:i w:val="0"/>
        </w:rPr>
        <w:t>the interest reserve adequacy certification required by Section 5.4;</w:t>
      </w:r>
    </w:p>
    <w:p>
      <w:pPr>
        <w:tabs>
          <w:tab w:pos="792" w:val="left"/>
        </w:tabs>
        <w:spacing w:after="140"/>
        <w:ind w:left="792" w:hanging="360"/>
      </w:pPr>
      <w:r>
        <w:rPr>
          <w:rFonts w:ascii="Times New Roman" w:hAnsi="Times New Roman"/>
          <w:b w:val="0"/>
        </w:rPr>
        <w:t>(a)</w:t>
        <w:tab/>
      </w:r>
      <w:r>
        <w:rPr>
          <w:rFonts w:ascii="Times New Roman" w:hAnsi="Times New Roman"/>
          <w:b w:val="0"/>
          <w:i w:val="0"/>
        </w:rPr>
        <w:t>Borrower's certification that no Default or Event of Default exists, that all representations and warranties remain true and correct in all material respects, and that the Draw Request is within the line items of the Approved Project Budget; and</w:t>
      </w:r>
    </w:p>
    <w:p>
      <w:pPr>
        <w:tabs>
          <w:tab w:pos="792" w:val="left"/>
        </w:tabs>
        <w:spacing w:after="140"/>
        <w:ind w:left="792" w:hanging="360"/>
      </w:pPr>
      <w:r>
        <w:rPr>
          <w:rFonts w:ascii="Times New Roman" w:hAnsi="Times New Roman"/>
          <w:b w:val="0"/>
        </w:rPr>
        <w:t>(a)</w:t>
        <w:tab/>
      </w:r>
      <w:r>
        <w:rPr>
          <w:rFonts w:ascii="Times New Roman" w:hAnsi="Times New Roman"/>
          <w:b w:val="0"/>
          <w:i w:val="0"/>
        </w:rPr>
        <w:t>an updated budget reconciliation, certified by Borrower and the Construction Inspector, demonstrating that the remaining undisbursed Loan proceeds, Contingency and Borrower equity are sufficient to complete the Project.</w:t>
      </w:r>
    </w:p>
    <w:p>
      <w:pPr>
        <w:pStyle w:val="Heading2"/>
      </w:pPr>
      <w:r>
        <w:rPr>
          <w:rFonts w:ascii="Times New Roman" w:hAnsi="Times New Roman"/>
          <w:b/>
          <w:sz w:val="22"/>
        </w:rPr>
        <w:t>Section 4.3  Conditions to Each Advance</w:t>
      </w:r>
    </w:p>
    <w:p>
      <w:r>
        <w:rPr>
          <w:rFonts w:ascii="Times New Roman" w:hAnsi="Times New Roman"/>
          <w:b w:val="0"/>
          <w:i w:val="0"/>
        </w:rPr>
        <w:t>Lender's obligation to make any Advance (including the Initial Advance) is subject to the satisfaction of each of the following conditions as of the date of the Advance: (a) no Default or Event of Default shall exist; (b) each representation and warranty in Article VI shall be true and correct in all material respects; (c) Lender shall have received a complete Draw Request and all accompanying documentation; (d) the Construction Inspector shall have confirmed achievement of the applicable milestone; (e) the conditions of Section 3.5 shall remain satisfied with respect to the portion of the work then being performed; (f) no Material Adverse Effect shall have occurred; (g) the interest reserve adequacy test in Section 5.4 shall have been satisfied or Borrower shall have replenished the Interest Reserve; and (h) Borrower shall have satisfied the equity-first requirement of Section 4.6.</w:t>
      </w:r>
    </w:p>
    <w:p>
      <w:pPr>
        <w:pStyle w:val="Heading2"/>
      </w:pPr>
      <w:r>
        <w:rPr>
          <w:rFonts w:ascii="Times New Roman" w:hAnsi="Times New Roman"/>
          <w:b/>
          <w:sz w:val="22"/>
        </w:rPr>
        <w:t>Section 4.4  Retainage</w:t>
      </w:r>
    </w:p>
    <w:p>
      <w:r>
        <w:rPr>
          <w:rFonts w:ascii="Times New Roman" w:hAnsi="Times New Roman"/>
          <w:b w:val="0"/>
          <w:i w:val="0"/>
        </w:rPr>
        <w:t>Lender shall withhold Retainage equal to ten percent (10%) of each Advance for hard construction costs, such that Retainage in the aggregate amount of $3,475,000 (being 10% of the $34,750,000 GMP) is held at Substantial Completion. Lender shall release the Retainage as the final Advance (Draw No. 9) upon satisfaction of each of the following: (a) Substantial Completion and issuance of a final, unconditional certificate of occupancy by the City of Durham for all residential units and retail space; (b) delivery of final, unconditional lien waivers from the general contractor, each subcontractor and each material supplier; (c) delivery of the Architect's certificate of final completion and the Construction Inspector's final report; (d) expiration of the one hundred twenty (120) day period for filing claims of lien under N.C.G.S. Chapter 44A following the last furnishing of labor or materials, or posting of a lien bond satisfactory to Lender; and (e) delivery of an as-built survey, an updated title date-down, and evidence that the Vapor Mitigation System has been installed and, if required, that the as-built drawings and performance verification have been submitted to NCDEQ. No Retainage shall be released while a Default or Event of Default exists.</w:t>
      </w:r>
    </w:p>
    <w:p>
      <w:pPr>
        <w:pStyle w:val="Heading2"/>
      </w:pPr>
      <w:r>
        <w:rPr>
          <w:rFonts w:ascii="Times New Roman" w:hAnsi="Times New Roman"/>
          <w:b/>
          <w:sz w:val="22"/>
        </w:rPr>
        <w:t>Section 4.5  Change Orders; Contingency; Budget Reallocations</w:t>
      </w:r>
    </w:p>
    <w:p>
      <w:r>
        <w:rPr>
          <w:rFonts w:ascii="Times New Roman" w:hAnsi="Times New Roman"/>
          <w:b w:val="0"/>
          <w:i w:val="0"/>
        </w:rPr>
        <w:t>Borrower shall not authorize or permit any change order, change directive, allowance draw, field order or other modification of the Construction Contract that (a) increases the GMP, (b) reduces the scope, quality or quantity of the work in any material respect, (c) affects the structural, mechanical, electrical, plumbing, fire protection, building envelope or soil vapor mitigation systems, or (d) would cause the Project to be completed later than the Construction Maturity Date, without Lender's prior written consent, which consent may be withheld in Lender's sole and absolute discretion with respect to clauses (b) and (c).</w:t>
      </w:r>
    </w:p>
    <w:p>
      <w:r>
        <w:rPr>
          <w:rFonts w:ascii="Times New Roman" w:hAnsi="Times New Roman"/>
          <w:b w:val="0"/>
          <w:i w:val="0"/>
        </w:rPr>
        <w:t>Change orders that do not require Lender's consent and that are funded entirely from the Contingency may be paid from the Contingency upon Lender's approval of the applicable Draw Request, provided that (i) the aggregate of all hard cost contingency draws does not exceed $1,140,000 and of all soft cost contingency draws does not exceed $300,000, and (ii) Borrower provides a revised budget reconciliation demonstrating that the Project remains fully funded. Any change order that causes Total Project Costs to exceed the Approved Project Budget shall be funded by Borrower from sources other than the Loan and the Mezzanine Loan, in accordance with Section 4.6(c).</w:t>
      </w:r>
    </w:p>
    <w:p>
      <w:pPr>
        <w:pStyle w:val="Heading2"/>
      </w:pPr>
      <w:r>
        <w:rPr>
          <w:rFonts w:ascii="Times New Roman" w:hAnsi="Times New Roman"/>
          <w:b/>
          <w:sz w:val="22"/>
        </w:rPr>
        <w:t>Section 4.6  Equity First; Cost Overruns</w:t>
      </w:r>
    </w:p>
    <w:p>
      <w:pPr>
        <w:tabs>
          <w:tab w:pos="504" w:val="left"/>
        </w:tabs>
        <w:spacing w:after="140"/>
        <w:ind w:left="504" w:hanging="504"/>
      </w:pPr>
      <w:r>
        <w:rPr>
          <w:rFonts w:ascii="Times New Roman" w:hAnsi="Times New Roman"/>
          <w:b w:val="0"/>
        </w:rPr>
        <w:t>(a)</w:t>
        <w:tab/>
      </w:r>
      <w:r>
        <w:rPr>
          <w:rFonts w:ascii="Times New Roman" w:hAnsi="Times New Roman"/>
          <w:b w:val="0"/>
          <w:i w:val="0"/>
        </w:rPr>
        <w:t>Equity Escrow. The Equity Contribution shall be deposited into the Equity Escrow Account prior to Closing and shall be disbursed to pay Project costs in accordance with Lender's escrow disbursement instructions. Except for the Initial Advance, no Advance shall be made unless and until the entire Equity Contribution has been disbursed and applied to Project costs.</w:t>
      </w:r>
    </w:p>
    <w:p>
      <w:pPr>
        <w:tabs>
          <w:tab w:pos="504" w:val="left"/>
        </w:tabs>
        <w:spacing w:after="140"/>
        <w:ind w:left="504" w:hanging="504"/>
      </w:pPr>
      <w:r>
        <w:rPr>
          <w:rFonts w:ascii="Times New Roman" w:hAnsi="Times New Roman"/>
          <w:b w:val="0"/>
        </w:rPr>
        <w:t>(b)</w:t>
        <w:tab/>
      </w:r>
      <w:r>
        <w:rPr>
          <w:rFonts w:ascii="Times New Roman" w:hAnsi="Times New Roman"/>
          <w:b w:val="0"/>
          <w:i w:val="0"/>
        </w:rPr>
        <w:t>Land Contribution Not a Source. Borrower acknowledges that the land at 601 and 615 Foster Street was acquired for $8,200,000 and is included in the Total Project Costs as a cost incurred prior to Closing, and that the land acquisition cost is not a source of funds for the Project. Borrower shall not represent, in any certificate, draw request, compliance certificate or other document delivered to Lender, that the land contribution constitutes the Equity Contribution or otherwise satisfies the equity requirement of Section 3.7.</w:t>
      </w:r>
    </w:p>
    <w:p>
      <w:pPr>
        <w:tabs>
          <w:tab w:pos="504" w:val="left"/>
        </w:tabs>
        <w:spacing w:after="140"/>
        <w:ind w:left="504" w:hanging="504"/>
      </w:pPr>
      <w:r>
        <w:rPr>
          <w:rFonts w:ascii="Times New Roman" w:hAnsi="Times New Roman"/>
          <w:b w:val="0"/>
        </w:rPr>
        <w:t>(c)</w:t>
        <w:tab/>
      </w:r>
      <w:r>
        <w:rPr>
          <w:rFonts w:ascii="Times New Roman" w:hAnsi="Times New Roman"/>
          <w:b w:val="0"/>
          <w:i w:val="0"/>
        </w:rPr>
        <w:t>Cost Overruns. Borrower shall pay all costs of the Project in excess of the Approved Project Budget, and all interest payable on the Loan after exhaustion of the Interest Reserve, from its own funds (and not from the proceeds of the Loan, the Mezzanine Loan or any other Indebtedness) within five (5) Business Days after demand by Lender. Failure to do so shall constitute an Event of Default under Section 13.3.</w:t>
      </w:r>
    </w:p>
    <w:p>
      <w:r>
        <w:rPr>
          <w:rFonts w:ascii="Times New Roman" w:hAnsi="Times New Roman"/>
          <w:b w:val="0"/>
          <w:i w:val="0"/>
        </w:rPr>
        <w:t>[Drafting Note: The record contains three inconsistent descriptions of how the $8,200,000 land cost was funded: (i) Section 5.2 of the Term Sheet and Section 2.2 of the Credit Memorandum state that the land was contributed as Borrower equity, funded by member capital calls including capital from Brightleaf Investors Group LLC; (ii) Section 1.3 of the organizational materials states that the land was acquired by Ms. Vasquez-Torres from personal resources and contributed at cost, and that Brightleaf Investors Group LLC has contributed $0; and (iii) line item 1.01 of the project budget states that the land is “Funded by Mezzanine Loan” in the amount of $8,200,000 and describes it as funded “by mezzanine loan proceeds and member capital calls.” Only description (iii) balances the sources and uses as presented. See Cover Memorandum Issue No. 1.]</w:t>
      </w:r>
    </w:p>
    <w:p>
      <w:pPr>
        <w:pStyle w:val="Heading2"/>
      </w:pPr>
      <w:r>
        <w:rPr>
          <w:rFonts w:ascii="Times New Roman" w:hAnsi="Times New Roman"/>
          <w:b/>
          <w:sz w:val="22"/>
        </w:rPr>
        <w:t>Section 4.7  Construction Inspector; Lender's Right to Inspect</w:t>
      </w:r>
    </w:p>
    <w:p>
      <w:r>
        <w:rPr>
          <w:rFonts w:ascii="Times New Roman" w:hAnsi="Times New Roman"/>
          <w:b w:val="0"/>
          <w:i w:val="0"/>
        </w:rPr>
        <w:t>Lender shall engage, at Borrower's expense, a Construction Inspector to review and certify construction progress prior to each Advance and at such other times as Lender may reasonably require. Borrower shall afford Lender, the Construction Inspector and their consultants access to the Property at all reasonable times upon reasonable prior notice, and shall cause the general contractor and the Architect to cooperate with the Construction Inspector, including by providing access to the work, the schedule of values, subcontracts, change orders and payment records.</w:t>
      </w:r>
    </w:p>
    <w:p>
      <w:pPr>
        <w:pStyle w:val="Heading2"/>
      </w:pPr>
      <w:r>
        <w:rPr>
          <w:rFonts w:ascii="Times New Roman" w:hAnsi="Times New Roman"/>
          <w:b/>
          <w:sz w:val="22"/>
        </w:rPr>
        <w:t>Section 4.8  Suspension and Termination of Advances</w:t>
      </w:r>
    </w:p>
    <w:p>
      <w:r>
        <w:rPr>
          <w:rFonts w:ascii="Times New Roman" w:hAnsi="Times New Roman"/>
          <w:b w:val="0"/>
          <w:i w:val="0"/>
        </w:rPr>
        <w:t>Lender may suspend or terminate its obligation to make further Advances upon the occurrence of any Default or Event of Default, upon the failure of any condition in Section 4.3 to be satisfied, upon any material deviation from the Approved Plans and Specifications, upon any stop-work order or other governmental action affecting the Project, or if Lender reasonably determines that the undisbursed Loan proceeds, the Contingency and Borrower's committed equity are insufficient to complete the Project. No suspension shall relieve Borrower of any obligation under the Loan Documents or constitute a waiver of any right of Lender.</w:t>
      </w:r>
    </w:p>
    <w:p>
      <w:pPr>
        <w:pStyle w:val="Heading2"/>
      </w:pPr>
      <w:r>
        <w:rPr>
          <w:rFonts w:ascii="Times New Roman" w:hAnsi="Times New Roman"/>
          <w:b/>
          <w:sz w:val="22"/>
        </w:rPr>
        <w:t>Section 4.9  No Obligation to Disburse for Non-Compliant Work</w:t>
      </w:r>
    </w:p>
    <w:p>
      <w:r>
        <w:rPr>
          <w:rFonts w:ascii="Times New Roman" w:hAnsi="Times New Roman"/>
          <w:b w:val="0"/>
          <w:i w:val="0"/>
        </w:rPr>
        <w:t>Lender shall have no obligation to make any Advance with respect to work that has not been performed in accordance with the Approved Plans and Specifications, work located in the Affected Area prior to satisfaction of the requirements of Section 12.3 and Section 12.4, or work that would violate any condition of the NFA Letter. Lender may withhold any Advance for work located over the Affected Area until Borrower has delivered the certifications described in Section 12.7.</w:t>
      </w:r>
    </w:p>
    <w:p>
      <w:pPr>
        <w:pStyle w:val="Heading1"/>
        <w:spacing w:before="360"/>
      </w:pPr>
      <w:r>
        <w:rPr>
          <w:rFonts w:ascii="Times New Roman" w:hAnsi="Times New Roman"/>
          <w:b/>
          <w:sz w:val="24"/>
        </w:rPr>
        <w:t>ARTICLE V — INTEREST RESERVE</w:t>
      </w:r>
    </w:p>
    <w:p>
      <w:pPr>
        <w:pStyle w:val="Heading2"/>
      </w:pPr>
      <w:r>
        <w:rPr>
          <w:rFonts w:ascii="Times New Roman" w:hAnsi="Times New Roman"/>
          <w:b/>
          <w:sz w:val="22"/>
        </w:rPr>
        <w:t>Section 5.1  Funding of the Interest Reserve</w:t>
      </w:r>
    </w:p>
    <w:p>
      <w:r>
        <w:rPr>
          <w:rFonts w:ascii="Times New Roman" w:hAnsi="Times New Roman"/>
          <w:b w:val="0"/>
          <w:i w:val="0"/>
        </w:rPr>
        <w:t>At Closing, Lender shall fund the Interest Reserve in the amount of $4,850,000 from the proceeds of the Initial Advance and shall deposit the same in the Interest Reserve Account. The Interest Reserve shall not constitute a trust fund, shall not bear interest to the benefit of Borrower (except that Lender may, in its discretion, credit interest actually earned on the Interest Reserve Account against interest payable on the Loan), and shall secure the Loan on a parity with all other obligations under the Loan Documents.</w:t>
      </w:r>
    </w:p>
    <w:p>
      <w:pPr>
        <w:pStyle w:val="Heading2"/>
      </w:pPr>
      <w:r>
        <w:rPr>
          <w:rFonts w:ascii="Times New Roman" w:hAnsi="Times New Roman"/>
          <w:b/>
          <w:sz w:val="22"/>
        </w:rPr>
        <w:t>Section 5.2  Application of the Interest Reserve</w:t>
      </w:r>
    </w:p>
    <w:p>
      <w:r>
        <w:rPr>
          <w:rFonts w:ascii="Times New Roman" w:hAnsi="Times New Roman"/>
          <w:b w:val="0"/>
          <w:i w:val="0"/>
        </w:rPr>
        <w:t>Amounts in the Interest Reserve Account shall be applied solely to the payment of interest accruing on the outstanding principal balance of the Loan during the Construction Period, on each interest payment date, until the Interest Reserve is exhausted. No amount in the Interest Reserve Account may be applied to principal, fees, costs, construction costs or any other purpose.</w:t>
      </w:r>
    </w:p>
    <w:p>
      <w:pPr>
        <w:pStyle w:val="Heading2"/>
      </w:pPr>
      <w:r>
        <w:rPr>
          <w:rFonts w:ascii="Times New Roman" w:hAnsi="Times New Roman"/>
          <w:b/>
          <w:sz w:val="22"/>
        </w:rPr>
        <w:t>Section 5.3  Replenishment Obligation</w:t>
      </w:r>
    </w:p>
    <w:p>
      <w:r>
        <w:rPr>
          <w:rFonts w:ascii="Times New Roman" w:hAnsi="Times New Roman"/>
          <w:b w:val="0"/>
          <w:i w:val="0"/>
        </w:rPr>
        <w:t>If at any time Lender determines that the balance of the Interest Reserve Account is or will be insufficient to pay interest on the Loan through the Construction Maturity Date, Lender shall notify Borrower in writing, and Borrower shall deposit additional funds into the Interest Reserve Account, from sources other than the Loan, the Mezzanine Loan or any other Indebtedness, within five (5) Business Days after such notice, in the amount specified by Lender. Borrower's obligation to fund any deficiency in the Interest Reserve is absolute, is in addition to the Carry Guaranty, and shall not be limited by the amount of any advance of the Loan then remaining undisbursed.</w:t>
      </w:r>
    </w:p>
    <w:p>
      <w:pPr>
        <w:pStyle w:val="Heading2"/>
      </w:pPr>
      <w:r>
        <w:rPr>
          <w:rFonts w:ascii="Times New Roman" w:hAnsi="Times New Roman"/>
          <w:b/>
          <w:sz w:val="22"/>
        </w:rPr>
        <w:t>Section 5.4  Interest Reserve Adequacy Testing</w:t>
      </w:r>
    </w:p>
    <w:p>
      <w:r>
        <w:rPr>
          <w:rFonts w:ascii="Times New Roman" w:hAnsi="Times New Roman"/>
          <w:b w:val="0"/>
          <w:i w:val="0"/>
        </w:rPr>
        <w:t>At each Draw Request and in any event not less than quarterly, Borrower shall deliver to Lender a certification, in form satisfactory to Lender, demonstrating that the balance of the Interest Reserve Account, together with any additional amounts Borrower has committed to deposit, is sufficient to pay projected interest on the Loan through the earlier of (a) the next anticipated Advance date or (b) the date that is ninety (90) days after the date of the certification, in each case calculated at the then-current Daily Simple SOFR and the then-projected outstanding principal balance of the Loan. If the certification is not delivered or the test is not satisfied, Borrower shall deposit the deficiency into the Interest Reserve Account before any further Advance will be made.</w:t>
      </w:r>
    </w:p>
    <w:p>
      <w:pPr>
        <w:pStyle w:val="Heading2"/>
      </w:pPr>
      <w:r>
        <w:rPr>
          <w:rFonts w:ascii="Times New Roman" w:hAnsi="Times New Roman"/>
          <w:b/>
          <w:sz w:val="22"/>
        </w:rPr>
        <w:t>Section 5.5  Monthly Reconciliation and Reporting</w:t>
      </w:r>
    </w:p>
    <w:p>
      <w:r>
        <w:rPr>
          <w:rFonts w:ascii="Times New Roman" w:hAnsi="Times New Roman"/>
          <w:b w:val="0"/>
          <w:i w:val="0"/>
        </w:rPr>
        <w:t>Borrower shall deliver to Lender, within fifteen (15) days after the end of each calendar month during the Construction Period, a reconciliation of the Interest Reserve Account showing the opening balance, interest accrued and paid, any deposits, the closing balance, and projected interest through the Construction Maturity Date at both the then-current rate and at a rate 100 basis points higher.</w:t>
      </w:r>
    </w:p>
    <w:p>
      <w:pPr>
        <w:pStyle w:val="Heading2"/>
      </w:pPr>
      <w:r>
        <w:rPr>
          <w:rFonts w:ascii="Times New Roman" w:hAnsi="Times New Roman"/>
          <w:b/>
          <w:sz w:val="22"/>
        </w:rPr>
        <w:t>Section 5.6  Interest Reserve Analysis; Acknowledgement</w:t>
      </w:r>
    </w:p>
    <w:p>
      <w:r>
        <w:rPr>
          <w:rFonts w:ascii="Times New Roman" w:hAnsi="Times New Roman"/>
          <w:b w:val="0"/>
          <w:i w:val="0"/>
        </w:rPr>
        <w:t>Borrower acknowledges that (a) the Interest Reserve was sized by Borrower using an assumed Daily Simple SOFR of 3.50% per annum, which was approximately 85 basis points below the rate prevailing when the Credit Memorandum was prepared; (b) on the Draw Schedule, the Interest Reserve is sufficient to pay projected interest through the Construction Maturity Date only if Daily Simple SOFR averages approximately 3.82% per annum or less; and (c) at the Daily Simple SOFR of 4.35% assumed in the Credit Memorandum, the Interest Reserve would be exhausted before the Construction Maturity Date by approximately $360,000 to $565,000, depending on the method used, and the shortfall would exceed $1,000,000 at a Daily Simple SOFR of 5.35%. Borrower accordingly acknowledges that the replenishment obligation in Section 5.3 is a material inducement to Lender and is likely to be called upon. Borrower further acknowledges that Lender makes no representation that the Interest Reserve is adequate.</w:t>
      </w:r>
    </w:p>
    <w:p>
      <w:r>
        <w:rPr>
          <w:rFonts w:ascii="Times New Roman" w:hAnsi="Times New Roman"/>
          <w:b w:val="0"/>
          <w:i w:val="0"/>
        </w:rPr>
        <w:t>[Drafting Note: Borrower's interest reserve model (draw schedule tab, dated January 8, 2025) concludes “APPEARS ADEQUATE” with a $221,325 surplus at 3.50% SOFR, while the Credit Memorandum concludes the reserve is $565,000 short at 4.35% SOFR, and Borrower's own sensitivity table shows a $365,830 shortfall at 4.35%. The three conclusions cannot be reconciled; the arithmetic above reflects an independent recomputation of Borrower's model. See Cover Memorandum Issue No. 12.]</w:t>
      </w:r>
    </w:p>
    <w:p>
      <w:pPr>
        <w:pStyle w:val="Heading1"/>
        <w:spacing w:before="360"/>
      </w:pPr>
      <w:r>
        <w:rPr>
          <w:rFonts w:ascii="Times New Roman" w:hAnsi="Times New Roman"/>
          <w:b/>
          <w:sz w:val="24"/>
        </w:rPr>
        <w:t>ARTICLE VI — REPRESENTATIONS AND WARRANTIES</w:t>
      </w:r>
    </w:p>
    <w:p>
      <w:r>
        <w:rPr>
          <w:rFonts w:ascii="Times New Roman" w:hAnsi="Times New Roman"/>
          <w:b w:val="0"/>
          <w:i w:val="0"/>
        </w:rPr>
        <w:t>Borrower and each Guarantor (as to itself and, where applicable, as to Borrower) represent and warrant to Lender as of the Closing Date and as of the date of each Advance that:</w:t>
      </w:r>
    </w:p>
    <w:p>
      <w:pPr>
        <w:pStyle w:val="Heading2"/>
      </w:pPr>
      <w:r>
        <w:rPr>
          <w:rFonts w:ascii="Times New Roman" w:hAnsi="Times New Roman"/>
          <w:b/>
          <w:sz w:val="22"/>
        </w:rPr>
        <w:t>Section 6.1  Organization; Power; Authorization</w:t>
      </w:r>
    </w:p>
    <w:p>
      <w:r>
        <w:rPr>
          <w:rFonts w:ascii="Times New Roman" w:hAnsi="Times New Roman"/>
          <w:b w:val="0"/>
          <w:i w:val="0"/>
        </w:rPr>
        <w:t>Borrower is a limited liability company duly organized, validly existing and in good standing under the laws of the State of North Carolina, has all requisite power and authority to own the Property, to carry on its business as now conducted and as proposed to be conducted, and to execute, deliver and perform the Loan Documents. The execution, delivery and performance of the Loan Documents have been duly authorized by all necessary action of Borrower, its members and its managing member, including the consents required by Sections 3.2 and 9.1 of its operating agreement.</w:t>
      </w:r>
    </w:p>
    <w:p>
      <w:pPr>
        <w:pStyle w:val="Heading2"/>
      </w:pPr>
      <w:r>
        <w:rPr>
          <w:rFonts w:ascii="Times New Roman" w:hAnsi="Times New Roman"/>
          <w:b/>
          <w:sz w:val="22"/>
        </w:rPr>
        <w:t>Section 6.2  Enforceability; No Conflicts</w:t>
      </w:r>
    </w:p>
    <w:p>
      <w:r>
        <w:rPr>
          <w:rFonts w:ascii="Times New Roman" w:hAnsi="Times New Roman"/>
          <w:b w:val="0"/>
          <w:i w:val="0"/>
        </w:rPr>
        <w:t>The Loan Documents constitute the legal, valid and binding obligations of Borrower and each Guarantor, enforceable in accordance with their terms, subject to applicable bankruptcy, insolvency, reorganization, moratorium and similar laws and to general principles of equity. The execution and performance of the Loan Documents do not violate Borrower's articles of organization or operating agreement, any applicable law, or any material agreement, order or judgment binding on Borrower or any Guarantor, and do not result in the creation of any lien on the Property other than in favor of Lender.</w:t>
      </w:r>
    </w:p>
    <w:p>
      <w:pPr>
        <w:pStyle w:val="Heading2"/>
      </w:pPr>
      <w:r>
        <w:rPr>
          <w:rFonts w:ascii="Times New Roman" w:hAnsi="Times New Roman"/>
          <w:b/>
          <w:sz w:val="22"/>
        </w:rPr>
        <w:t>Section 6.3  Title to the Property</w:t>
      </w:r>
    </w:p>
    <w:p>
      <w:r>
        <w:rPr>
          <w:rFonts w:ascii="Times New Roman" w:hAnsi="Times New Roman"/>
          <w:b w:val="0"/>
          <w:i w:val="0"/>
        </w:rPr>
        <w:t>Borrower holds good, marketable and insurable fee simple title to the Property, free and clear of all liens, encumbrances and exceptions other than the Permitted Exceptions and the deed of trust to be released at Closing pursuant to Section 3.14. Borrower has not granted any option, right of first refusal or right of first offer with respect to the Property, and no person other than Borrower has any ownership, leasehold or occupancy interest in the Property.</w:t>
      </w:r>
    </w:p>
    <w:p>
      <w:pPr>
        <w:pStyle w:val="Heading2"/>
      </w:pPr>
      <w:r>
        <w:rPr>
          <w:rFonts w:ascii="Times New Roman" w:hAnsi="Times New Roman"/>
          <w:b/>
          <w:sz w:val="22"/>
        </w:rPr>
        <w:t>Section 6.4  Litigation</w:t>
      </w:r>
    </w:p>
    <w:p>
      <w:r>
        <w:rPr>
          <w:rFonts w:ascii="Times New Roman" w:hAnsi="Times New Roman"/>
          <w:b w:val="0"/>
          <w:i w:val="0"/>
        </w:rPr>
        <w:t>There is no action, suit, proceeding, investigation, arbitration or governmental inquiry pending or, to the knowledge of Borrower or any Guarantor, threatened against Borrower, any Guarantor, any member of Borrower or the Property that (a) could reasonably be expected to have a Material Adverse Effect, (b) questions the validity of any Loan Document, or (c) relates to any environmental condition at the Property. There are no unsatisfied judgments against Borrower or any Guarantor.</w:t>
      </w:r>
    </w:p>
    <w:p>
      <w:pPr>
        <w:pStyle w:val="Heading2"/>
      </w:pPr>
      <w:r>
        <w:rPr>
          <w:rFonts w:ascii="Times New Roman" w:hAnsi="Times New Roman"/>
          <w:b/>
          <w:sz w:val="22"/>
        </w:rPr>
        <w:t>Section 6.5  Compliance with Laws; Zoning</w:t>
      </w:r>
    </w:p>
    <w:p>
      <w:r>
        <w:rPr>
          <w:rFonts w:ascii="Times New Roman" w:hAnsi="Times New Roman"/>
          <w:b w:val="0"/>
          <w:i w:val="0"/>
        </w:rPr>
        <w:t>The Property and the Project comply, and will comply, in all material respects with all applicable laws, ordinances, rules, regulations and orders, including the Durham Unified Development Ordinance, building, fire, accessibility and life-safety codes, and all Environmental Laws. The Project is permitted as of right in the MU-D zoning district without variance, special use permit, conditional zoning or other discretionary approval. All governmental approvals required for the construction of the Project have been obtained or will be obtained before the applicable stage of construction.</w:t>
      </w:r>
    </w:p>
    <w:p>
      <w:pPr>
        <w:pStyle w:val="Heading2"/>
      </w:pPr>
      <w:r>
        <w:rPr>
          <w:rFonts w:ascii="Times New Roman" w:hAnsi="Times New Roman"/>
          <w:b/>
          <w:sz w:val="22"/>
        </w:rPr>
        <w:t>Section 6.6  Financial Statements</w:t>
      </w:r>
    </w:p>
    <w:p>
      <w:r>
        <w:rPr>
          <w:rFonts w:ascii="Times New Roman" w:hAnsi="Times New Roman"/>
          <w:b w:val="0"/>
          <w:i w:val="0"/>
        </w:rPr>
        <w:t>The financial statements and other financial information of Borrower and each Guarantor delivered to Lender are true, complete and correct in all material respects and fairly present the financial condition of Borrower and such Guarantor as of the dates and for the periods indicated. Borrower's net worth is not less than $14,200,000 as of the date of its most recent financial statements, and the combined liquid assets of the Guarantors are not less than $9,300,000 as of the dates of their respective personal financial statements. Neither Borrower nor any Guarantor has any material contingent liability not disclosed in such statements.</w:t>
      </w:r>
    </w:p>
    <w:p>
      <w:pPr>
        <w:pStyle w:val="Heading2"/>
      </w:pPr>
      <w:r>
        <w:rPr>
          <w:rFonts w:ascii="Times New Roman" w:hAnsi="Times New Roman"/>
          <w:b/>
          <w:sz w:val="22"/>
        </w:rPr>
        <w:t>Section 6.7  No Default</w:t>
      </w:r>
    </w:p>
    <w:p>
      <w:r>
        <w:rPr>
          <w:rFonts w:ascii="Times New Roman" w:hAnsi="Times New Roman"/>
          <w:b w:val="0"/>
          <w:i w:val="0"/>
        </w:rPr>
        <w:t>No Default or Event of Default exists, and no event has occurred that with the giving of notice or the passage of time, or both, would constitute a Default or Event of Default under any Loan Document, the Mezzanine Documents or any other material agreement to which Borrower or any Guarantor is a party.</w:t>
      </w:r>
    </w:p>
    <w:p>
      <w:pPr>
        <w:pStyle w:val="Heading2"/>
      </w:pPr>
      <w:r>
        <w:rPr>
          <w:rFonts w:ascii="Times New Roman" w:hAnsi="Times New Roman"/>
          <w:b/>
          <w:sz w:val="22"/>
        </w:rPr>
        <w:t>Section 6.8  Permits and Approvals</w:t>
      </w:r>
    </w:p>
    <w:p>
      <w:r>
        <w:rPr>
          <w:rFonts w:ascii="Times New Roman" w:hAnsi="Times New Roman"/>
          <w:b w:val="0"/>
          <w:i w:val="0"/>
        </w:rPr>
        <w:t>Borrower has obtained all permits, licenses, consents and approvals necessary to commence construction of the Project, and each such permit is in full force and effect. Borrower has not received any notice of any violation, stop-work order or revocation with respect to any such permit.</w:t>
      </w:r>
    </w:p>
    <w:p>
      <w:pPr>
        <w:pStyle w:val="Heading2"/>
      </w:pPr>
      <w:r>
        <w:rPr>
          <w:rFonts w:ascii="Times New Roman" w:hAnsi="Times New Roman"/>
          <w:b/>
          <w:sz w:val="22"/>
        </w:rPr>
        <w:t>Section 6.9  Single-Purpose Entity</w:t>
      </w:r>
    </w:p>
    <w:p>
      <w:r>
        <w:rPr>
          <w:rFonts w:ascii="Times New Roman" w:hAnsi="Times New Roman"/>
          <w:b w:val="0"/>
          <w:i w:val="0"/>
        </w:rPr>
        <w:t>Borrower is, and since its formation has been, a single-purpose entity that (a) owns no assets other than the Property and related Project assets, (b) has incurred no liabilities other than the Loan, the Mezzanine Loan and trade payables in the ordinary course, and (c) has conducted no business other than the acquisition, development, construction and ownership of the Project. Borrower has not commingled its funds with those of any member or Affiliate and has observed all limited liability company formalities.</w:t>
      </w:r>
    </w:p>
    <w:p>
      <w:pPr>
        <w:pStyle w:val="Heading2"/>
      </w:pPr>
      <w:r>
        <w:rPr>
          <w:rFonts w:ascii="Times New Roman" w:hAnsi="Times New Roman"/>
          <w:b/>
          <w:sz w:val="22"/>
        </w:rPr>
        <w:t>Section 6.10  Environmental Matters</w:t>
      </w:r>
    </w:p>
    <w:p>
      <w:r>
        <w:rPr>
          <w:rFonts w:ascii="Times New Roman" w:hAnsi="Times New Roman"/>
          <w:b w:val="0"/>
          <w:i w:val="0"/>
        </w:rPr>
        <w:t>Except as disclosed in the Phase I ESA, the Phase II ESA and the NFA Letter, and to Borrower's knowledge: (a) no Hazardous Materials are present at, on, under or migrating from the Property in violation of any Environmental Law or in a condition that requires reporting, investigation, remediation or other response action; (b) the Property has not been used for the generation, treatment, storage, disposal or release of Hazardous Materials except in compliance with Environmental Laws; (c) there are no underground or aboveground storage tanks, sumps, dry wells, landfills or disposal areas at the Property other than the former tank identified in the Phase I ESA; (d) neither Borrower nor any Guarantor has received any notice of violation, information request, demand, claim, order or notice of potential responsibility under any Environmental Law relating to the Property; (e) the Property is not listed on any federal, state or local list of hazardous sites, other than the NCDEQ listings associated with Site ID IHSB-24-1203 and Incident No. NONUST-24-0847; and (f) there is no asbestos-containing material, lead-based paint, polychlorinated biphenyl or mold at the Property except as previously abated in accordance with the pre-demolition survey completed in July 2024.</w:t>
      </w:r>
    </w:p>
    <w:p>
      <w:pPr>
        <w:pStyle w:val="Heading2"/>
      </w:pPr>
      <w:r>
        <w:rPr>
          <w:rFonts w:ascii="Times New Roman" w:hAnsi="Times New Roman"/>
          <w:b/>
          <w:sz w:val="22"/>
        </w:rPr>
        <w:t>Section 6.11  NFA Letter Compliance</w:t>
      </w:r>
    </w:p>
    <w:p>
      <w:r>
        <w:rPr>
          <w:rFonts w:ascii="Times New Roman" w:hAnsi="Times New Roman"/>
          <w:b w:val="0"/>
          <w:i w:val="0"/>
        </w:rPr>
        <w:t>The NFA Letter is in full force and effect and has not been revoked, modified, conditioned further or appealed. Borrower has complied in all respects with each condition of the NFA Letter as and to the extent such condition is currently due and applicable, including the recording of the deed notice required by Condition 4 within the period specified in the NFA Letter. The Soil Management Plan and the design of the Vapor Mitigation System satisfy the requirements of the NFA Letter and have been incorporated into the Approved Plans and Specifications and into the Construction Contract. No portion of the building footprint that contains, or is designed or intended to contain, residential dwelling units overlaps the Affected Area in a manner inconsistent with the non-residential use restriction of Condition 2 of the NFA Letter, except as disclosed in the overlay plan delivered pursuant to Section 3.5 and approved in writing by Lender.</w:t>
      </w:r>
    </w:p>
    <w:p>
      <w:pPr>
        <w:pStyle w:val="Heading2"/>
      </w:pPr>
      <w:r>
        <w:rPr>
          <w:rFonts w:ascii="Times New Roman" w:hAnsi="Times New Roman"/>
          <w:b/>
          <w:sz w:val="22"/>
        </w:rPr>
        <w:t>Section 6.12  Construction Documents</w:t>
      </w:r>
    </w:p>
    <w:p>
      <w:r>
        <w:rPr>
          <w:rFonts w:ascii="Times New Roman" w:hAnsi="Times New Roman"/>
          <w:b w:val="0"/>
          <w:i w:val="0"/>
        </w:rPr>
        <w:t>The Construction Contract and the architect's agreement are in full force and effect, have not been modified except as disclosed to Lender in writing, and represent the entire agreement between Borrower and the contractor and the Architect with respect to the Project. The GMP of $34,750,000 covers the complete scope of work described in the Approved Plans and Specifications, and Borrower knows of no defect, omission or gap in the scope, the plans or the budget that would prevent completion of the Project for the Total Project Costs. No work has been performed at the Property except the demolition and remediation described in the Phase I ESA.</w:t>
      </w:r>
    </w:p>
    <w:p>
      <w:pPr>
        <w:pStyle w:val="Heading2"/>
      </w:pPr>
      <w:r>
        <w:rPr>
          <w:rFonts w:ascii="Times New Roman" w:hAnsi="Times New Roman"/>
          <w:b/>
          <w:sz w:val="22"/>
        </w:rPr>
        <w:t>Section 6.13  Project Budget; Sources and Uses</w:t>
      </w:r>
    </w:p>
    <w:p>
      <w:r>
        <w:rPr>
          <w:rFonts w:ascii="Times New Roman" w:hAnsi="Times New Roman"/>
          <w:b w:val="0"/>
          <w:i w:val="0"/>
        </w:rPr>
        <w:t>The Approved Project Budget and the sources and uses of funds delivered to Lender are true, complete and correct, include all costs of the Project, and reconcile to the dollar. No portion of the Equity Contribution has been or will be funded, directly or indirectly, with the proceeds of the Mezzanine Loan or any other Indebtedness or with funds provided by Mezzanine Lender, Brightleaf Investors Group LLC, Thomas R. Chen or any of their Affiliates.</w:t>
      </w:r>
    </w:p>
    <w:p>
      <w:pPr>
        <w:pStyle w:val="Heading2"/>
      </w:pPr>
      <w:r>
        <w:rPr>
          <w:rFonts w:ascii="Times New Roman" w:hAnsi="Times New Roman"/>
          <w:b/>
          <w:sz w:val="22"/>
        </w:rPr>
        <w:t>Section 6.14  Insurance</w:t>
      </w:r>
    </w:p>
    <w:p>
      <w:r>
        <w:rPr>
          <w:rFonts w:ascii="Times New Roman" w:hAnsi="Times New Roman"/>
          <w:b w:val="0"/>
          <w:i w:val="0"/>
        </w:rPr>
        <w:t>Borrower has obtained, and will maintain, the insurance required by Schedule 5, and each policy is in full force and effect with all premiums paid. Borrower has not received any notice of cancellation, non-renewal, denial of coverage or material increase in premium with respect to any such policy.</w:t>
      </w:r>
    </w:p>
    <w:p>
      <w:pPr>
        <w:pStyle w:val="Heading2"/>
      </w:pPr>
      <w:r>
        <w:rPr>
          <w:rFonts w:ascii="Times New Roman" w:hAnsi="Times New Roman"/>
          <w:b/>
          <w:sz w:val="22"/>
        </w:rPr>
        <w:t>Section 6.15  Taxes</w:t>
      </w:r>
    </w:p>
    <w:p>
      <w:r>
        <w:rPr>
          <w:rFonts w:ascii="Times New Roman" w:hAnsi="Times New Roman"/>
          <w:b w:val="0"/>
          <w:i w:val="0"/>
        </w:rPr>
        <w:t>All federal, state and local tax returns required to be filed by Borrower and each Guarantor have been filed, and all taxes shown thereon to be due have been paid. All real property taxes, assessments and governmental charges affecting the Property that are due and payable have been paid. Borrower has not received any notice of deficiency, lien or proposed assessment with respect to the Property.</w:t>
      </w:r>
    </w:p>
    <w:p>
      <w:pPr>
        <w:pStyle w:val="Heading2"/>
      </w:pPr>
      <w:r>
        <w:rPr>
          <w:rFonts w:ascii="Times New Roman" w:hAnsi="Times New Roman"/>
          <w:b/>
          <w:sz w:val="22"/>
        </w:rPr>
        <w:t>Section 6.16  No Additional Indebtedness; Solvency</w:t>
      </w:r>
    </w:p>
    <w:p>
      <w:r>
        <w:rPr>
          <w:rFonts w:ascii="Times New Roman" w:hAnsi="Times New Roman"/>
          <w:b w:val="0"/>
          <w:i w:val="0"/>
        </w:rPr>
        <w:t>Borrower has no Indebtedness other than the Loan and the Mezzanine Loan, and has no material liabilities other than those disclosed to Lender. Borrower and each Guarantor are solvent, are able to pay their debts as they become due, and have no intent to hinder, delay or defraud any creditor. Neither Borrower nor any Guarantor is contemplating any voluntary bankruptcy, insolvency or reorganization proceeding.</w:t>
      </w:r>
    </w:p>
    <w:p>
      <w:pPr>
        <w:pStyle w:val="Heading2"/>
      </w:pPr>
      <w:r>
        <w:rPr>
          <w:rFonts w:ascii="Times New Roman" w:hAnsi="Times New Roman"/>
          <w:b/>
          <w:sz w:val="22"/>
        </w:rPr>
        <w:t>Section 6.17  Guaranties</w:t>
      </w:r>
    </w:p>
    <w:p>
      <w:r>
        <w:rPr>
          <w:rFonts w:ascii="Times New Roman" w:hAnsi="Times New Roman"/>
          <w:b w:val="0"/>
          <w:i w:val="0"/>
        </w:rPr>
        <w:t>Each Guaranty has been duly authorized, executed and delivered by each Guarantor and constitutes the legal, valid and binding obligation of such Guarantor, enforceable in accordance with its terms, and is not subject to any condition, defense, setoff or counterclaim.</w:t>
      </w:r>
    </w:p>
    <w:p>
      <w:pPr>
        <w:pStyle w:val="Heading2"/>
      </w:pPr>
      <w:r>
        <w:rPr>
          <w:rFonts w:ascii="Times New Roman" w:hAnsi="Times New Roman"/>
          <w:b/>
          <w:sz w:val="22"/>
        </w:rPr>
        <w:t>Section 6.18  Mezzanine Loan and Intercreditor Agreement</w:t>
      </w:r>
    </w:p>
    <w:p>
      <w:r>
        <w:rPr>
          <w:rFonts w:ascii="Times New Roman" w:hAnsi="Times New Roman"/>
          <w:b w:val="0"/>
          <w:i w:val="0"/>
        </w:rPr>
        <w:t>The Mezzanine Documents have been delivered to Lender in complete form and, together with the Intercreditor Agreement, constitute the entire agreement between Borrower and Mezzanine Lender with respect to the Mezzanine Loan. The outstanding principal amount of the Mezzanine Loan does not exceed $9,200,000, no default exists thereunder and no interest, fee or other amount has been paid in cash in respect thereof except as disclosed to Lender in writing.</w:t>
      </w:r>
    </w:p>
    <w:p>
      <w:pPr>
        <w:pStyle w:val="Heading2"/>
      </w:pPr>
      <w:r>
        <w:rPr>
          <w:rFonts w:ascii="Times New Roman" w:hAnsi="Times New Roman"/>
          <w:b/>
          <w:sz w:val="22"/>
        </w:rPr>
        <w:t>Section 6.19  Membership Interests</w:t>
      </w:r>
    </w:p>
    <w:p>
      <w:r>
        <w:rPr>
          <w:rFonts w:ascii="Times New Roman" w:hAnsi="Times New Roman"/>
          <w:b w:val="0"/>
          <w:i w:val="0"/>
        </w:rPr>
        <w:t>Schedule 6.19 sets forth a complete and correct list of the members of Borrower and their respective membership interests, and there are no other equity interests, options, warrants, profits interests, phantom equity or rights to acquire any interest in Borrower. Borrower has no subsidiaries. The membership interests of Borrower are uncertificated or, to the extent certificated, have been delivered to Lender together with undated transfer powers.</w:t>
      </w:r>
    </w:p>
    <w:p>
      <w:pPr>
        <w:pStyle w:val="Heading2"/>
      </w:pPr>
      <w:r>
        <w:rPr>
          <w:rFonts w:ascii="Times New Roman" w:hAnsi="Times New Roman"/>
          <w:b/>
          <w:sz w:val="22"/>
        </w:rPr>
        <w:t>Section 6.20  Anti-Terrorism; Anti-Money Laundering</w:t>
      </w:r>
    </w:p>
    <w:p>
      <w:r>
        <w:rPr>
          <w:rFonts w:ascii="Times New Roman" w:hAnsi="Times New Roman"/>
          <w:b w:val="0"/>
          <w:i w:val="0"/>
        </w:rPr>
        <w:t>Neither Borrower, any Guarantor, any member of Borrower nor any Person holding a direct or indirect interest in Borrower is a person identified on the Specially Designated Nationals and Blocked Persons List maintained by the U.S. Department of the Treasury's Office of Foreign Assets Control, or is otherwise subject to any economic or trade sanction. Borrower has complied with all applicable anti-money laundering and know-your-customer requirements.</w:t>
      </w:r>
    </w:p>
    <w:p>
      <w:pPr>
        <w:pStyle w:val="Heading2"/>
      </w:pPr>
      <w:r>
        <w:rPr>
          <w:rFonts w:ascii="Times New Roman" w:hAnsi="Times New Roman"/>
          <w:b/>
          <w:sz w:val="22"/>
        </w:rPr>
        <w:t>Section 6.21  Brokers</w:t>
      </w:r>
    </w:p>
    <w:p>
      <w:r>
        <w:rPr>
          <w:rFonts w:ascii="Times New Roman" w:hAnsi="Times New Roman"/>
          <w:b w:val="0"/>
          <w:i w:val="0"/>
        </w:rPr>
        <w:t>No broker, finder, investment banker or similar intermediary is entitled to any commission or fee in connection with the Loan based on any arrangement made by or on behalf of Borrower or any Guarantor.</w:t>
      </w:r>
    </w:p>
    <w:p>
      <w:pPr>
        <w:spacing w:before="120"/>
      </w:pPr>
      <w:r>
        <w:rPr>
          <w:rFonts w:ascii="Times New Roman" w:hAnsi="Times New Roman"/>
          <w:b w:val="0"/>
          <w:i w:val="0"/>
        </w:rPr>
        <w:t>The representations and warranties in this Article shall survive the Closing and the making of each Advance, and shall be deemed repeated and restated as of the date of each Advance and each extension of the Loan, except that representations as to financial statements shall be deemed to refer to the most recent financial statements delivered to Lender.</w:t>
      </w:r>
    </w:p>
    <w:p>
      <w:pPr>
        <w:pStyle w:val="Heading1"/>
        <w:spacing w:before="360"/>
      </w:pPr>
      <w:r>
        <w:rPr>
          <w:rFonts w:ascii="Times New Roman" w:hAnsi="Times New Roman"/>
          <w:b/>
          <w:sz w:val="24"/>
        </w:rPr>
        <w:t>ARTICLE VII — AFFIRMATIVE COVENANTS</w:t>
      </w:r>
    </w:p>
    <w:p>
      <w:r>
        <w:rPr>
          <w:rFonts w:ascii="Times New Roman" w:hAnsi="Times New Roman"/>
          <w:b w:val="0"/>
          <w:i w:val="0"/>
        </w:rPr>
        <w:t>From the Closing Date until the Loan and all other amounts payable under the Loan Documents have been paid in full and the Loan Documents have been terminated, Borrower shall, and shall cause each Guarantor to (as to matters applicable to such Guarantor), do each of the following:</w:t>
      </w:r>
    </w:p>
    <w:p>
      <w:pPr>
        <w:pStyle w:val="Heading2"/>
      </w:pPr>
      <w:r>
        <w:rPr>
          <w:rFonts w:ascii="Times New Roman" w:hAnsi="Times New Roman"/>
          <w:b/>
          <w:sz w:val="22"/>
        </w:rPr>
        <w:t>Section 7.1  Completion of the Project</w:t>
      </w:r>
    </w:p>
    <w:p>
      <w:r>
        <w:rPr>
          <w:rFonts w:ascii="Times New Roman" w:hAnsi="Times New Roman"/>
          <w:b w:val="0"/>
          <w:i w:val="0"/>
        </w:rPr>
        <w:t>Cause the Project to be constructed and completed in a good and workmanlike manner, lien-free, in accordance with the Approved Plans and Specifications, the Approved Project Budget and the Construction Contract, and cause Substantial Completion to be achieved on or before the Construction Maturity Date. Borrower acknowledges that Projected Substantial Completion under the Construction Contract is August 31, 2027, which is three (3) days after the Construction Maturity Date, and that Borrower bears the risk of that gap.</w:t>
      </w:r>
    </w:p>
    <w:p>
      <w:pPr>
        <w:pStyle w:val="Heading2"/>
      </w:pPr>
      <w:r>
        <w:rPr>
          <w:rFonts w:ascii="Times New Roman" w:hAnsi="Times New Roman"/>
          <w:b/>
          <w:sz w:val="22"/>
        </w:rPr>
        <w:t>Section 7.2  Inspections and Progress Reports</w:t>
      </w:r>
    </w:p>
    <w:p>
      <w:r>
        <w:rPr>
          <w:rFonts w:ascii="Times New Roman" w:hAnsi="Times New Roman"/>
          <w:b w:val="0"/>
          <w:i w:val="0"/>
        </w:rPr>
        <w:t>Deliver to Lender, within fifteen (15) days after the end of each calendar month during the Construction Period, a construction progress report (on AIA Form G702/G703 or in such other form as Lender may approve) certified by Borrower, the general contractor and the Architect, together with the Construction Inspector's certification, an updated construction schedule, a change order log and a budget reconciliation. Permit Lender and the Construction Inspector to inspect the Property at any time during normal business hours upon reasonable prior notice.</w:t>
      </w:r>
    </w:p>
    <w:p>
      <w:pPr>
        <w:pStyle w:val="Heading2"/>
      </w:pPr>
      <w:r>
        <w:rPr>
          <w:rFonts w:ascii="Times New Roman" w:hAnsi="Times New Roman"/>
          <w:b/>
          <w:sz w:val="22"/>
        </w:rPr>
        <w:t>Section 7.3  Financial Reporting</w:t>
      </w:r>
    </w:p>
    <w:p>
      <w:r>
        <w:rPr>
          <w:rFonts w:ascii="Times New Roman" w:hAnsi="Times New Roman"/>
          <w:b w:val="0"/>
          <w:i w:val="0"/>
        </w:rPr>
        <w:t>Deliver to Lender: (a) quarterly unaudited financial statements of Borrower within forty-five (45) days after the end of each fiscal quarter; (b) annual audited financial statements of Borrower, prepared by a nationally or regionally recognized independent certified public accounting firm, within one hundred twenty (120) days after the end of each fiscal year; (c) annual personal financial statements of each Guarantor, with supporting asset schedules, within one hundred twenty (120) days after the end of each calendar year; (d) quarterly certifications of guarantor liquidity within forty-five (45) days after the end of each fiscal quarter; (e) annual net worth certifications of Borrower within one hundred twenty (120) days after the end of each fiscal year; (f) annual rent rolls and operating statements during the Mini-Perm Period within thirty (30) days after the end of each calendar quarter; (g) copies of the annual federal income tax returns of Borrower and each Guarantor within thirty (30) days after filing; and (h) such other financial information as Lender may reasonably request.</w:t>
      </w:r>
    </w:p>
    <w:p>
      <w:pPr>
        <w:pStyle w:val="Heading2"/>
      </w:pPr>
      <w:r>
        <w:rPr>
          <w:rFonts w:ascii="Times New Roman" w:hAnsi="Times New Roman"/>
          <w:b/>
          <w:sz w:val="22"/>
        </w:rPr>
        <w:t>Section 7.4  Compliance Certificates</w:t>
      </w:r>
    </w:p>
    <w:p>
      <w:r>
        <w:rPr>
          <w:rFonts w:ascii="Times New Roman" w:hAnsi="Times New Roman"/>
          <w:b w:val="0"/>
          <w:i w:val="0"/>
        </w:rPr>
        <w:t>Deliver to Lender, concurrently with the financial statements required by Section 7.3 and at each Draw Request, a compliance certificate substantially in the form of Exhibit C, executed by the Managing Member of Borrower, certifying compliance with each financial covenant in Article IX (with supporting calculations) and stating that no Default or Event of Default exists or, if one exists, describing it in reasonable detail.</w:t>
      </w:r>
    </w:p>
    <w:p>
      <w:pPr>
        <w:pStyle w:val="Heading2"/>
      </w:pPr>
      <w:r>
        <w:rPr>
          <w:rFonts w:ascii="Times New Roman" w:hAnsi="Times New Roman"/>
          <w:b/>
          <w:sz w:val="22"/>
        </w:rPr>
        <w:t>Section 7.5  Insurance</w:t>
      </w:r>
    </w:p>
    <w:p>
      <w:r>
        <w:rPr>
          <w:rFonts w:ascii="Times New Roman" w:hAnsi="Times New Roman"/>
          <w:b w:val="0"/>
          <w:i w:val="0"/>
        </w:rPr>
        <w:t>Maintain at all times the insurance required by Schedule 5 and by Article XVI, with insurers, deductibles, limits and endorsements acceptable to Lender, naming Lender as mortgagee, loss payee and additional insured as its interests appear, and deliver evidence of renewal not less than fifteen (15) days before each policy expiration.</w:t>
      </w:r>
    </w:p>
    <w:p>
      <w:pPr>
        <w:pStyle w:val="Heading2"/>
      </w:pPr>
      <w:r>
        <w:rPr>
          <w:rFonts w:ascii="Times New Roman" w:hAnsi="Times New Roman"/>
          <w:b/>
          <w:sz w:val="22"/>
        </w:rPr>
        <w:t>Section 7.6  Taxes and Charges</w:t>
      </w:r>
    </w:p>
    <w:p>
      <w:r>
        <w:rPr>
          <w:rFonts w:ascii="Times New Roman" w:hAnsi="Times New Roman"/>
          <w:b w:val="0"/>
          <w:i w:val="0"/>
        </w:rPr>
        <w:t>Pay and discharge, before delinquency, all taxes, assessments, water charges, sewer rents and other governmental charges imposed on the Property, the Project or Borrower, and deliver evidence of payment upon request. Borrower may contest in good faith, by appropriate proceedings promptly instituted and diligently conducted, any such item, provided that it has established reserves satisfactory to Lender and that no lien attaches to the Property.</w:t>
      </w:r>
    </w:p>
    <w:p>
      <w:pPr>
        <w:pStyle w:val="Heading2"/>
      </w:pPr>
      <w:r>
        <w:rPr>
          <w:rFonts w:ascii="Times New Roman" w:hAnsi="Times New Roman"/>
          <w:b/>
          <w:sz w:val="22"/>
        </w:rPr>
        <w:t>Section 7.7  Compliance with Laws</w:t>
      </w:r>
    </w:p>
    <w:p>
      <w:r>
        <w:rPr>
          <w:rFonts w:ascii="Times New Roman" w:hAnsi="Times New Roman"/>
          <w:b w:val="0"/>
          <w:i w:val="0"/>
        </w:rPr>
        <w:t>Comply in all material respects with all applicable laws, ordinances, rules, regulations and orders, including building and life-safety codes, accessibility requirements, the Durham Unified Development Ordinance, the Declaration of Covenants, Conditions and Restrictions applicable to the Property, and all Environmental Laws.</w:t>
      </w:r>
    </w:p>
    <w:p>
      <w:pPr>
        <w:pStyle w:val="Heading2"/>
      </w:pPr>
      <w:r>
        <w:rPr>
          <w:rFonts w:ascii="Times New Roman" w:hAnsi="Times New Roman"/>
          <w:b/>
          <w:sz w:val="22"/>
        </w:rPr>
        <w:t>Section 7.8  Environmental Compliance and NFA Conditions</w:t>
      </w:r>
    </w:p>
    <w:p>
      <w:r>
        <w:rPr>
          <w:rFonts w:ascii="Times New Roman" w:hAnsi="Times New Roman"/>
          <w:b w:val="0"/>
          <w:i w:val="0"/>
        </w:rPr>
        <w:t>Comply, and cause the general contractor and each subcontractor to comply, with each condition of the NFA Letter and with the Soil Management Plan, including (a) the installation, operation, maintenance, testing and, if required, conversion of the Vapor Mitigation System; (b) the submission to NCDEQ of the as-built drawings and the system performance verification report within ninety (90) days after completion of the building foundation in the Affected Area; (c) the maintenance of the recorded deed notice and land use restriction; (d) the implementation of the Soil Management Plan for all subsurface disturbance in the Affected Area; and (e) the preservation of all records relating to the foregoing for not less than ten (10) years, and provide Lender with copies of all correspondence with NCDEQ within five (5) Business Days after sending or receipt.</w:t>
      </w:r>
    </w:p>
    <w:p>
      <w:pPr>
        <w:pStyle w:val="Heading2"/>
      </w:pPr>
      <w:r>
        <w:rPr>
          <w:rFonts w:ascii="Times New Roman" w:hAnsi="Times New Roman"/>
          <w:b/>
          <w:sz w:val="22"/>
        </w:rPr>
        <w:t>Section 7.9  Permits and Approvals</w:t>
      </w:r>
    </w:p>
    <w:p>
      <w:r>
        <w:rPr>
          <w:rFonts w:ascii="Times New Roman" w:hAnsi="Times New Roman"/>
          <w:b w:val="0"/>
          <w:i w:val="0"/>
        </w:rPr>
        <w:t>Maintain in full force and effect all permits, licenses, consents and approvals necessary for the construction and operation of the Project, and deliver copies to Lender upon request. Borrower shall promptly notify Lender of any suspension, revocation, expiration or threatened revocation of any such permit.</w:t>
      </w:r>
    </w:p>
    <w:p>
      <w:pPr>
        <w:pStyle w:val="Heading2"/>
      </w:pPr>
      <w:r>
        <w:rPr>
          <w:rFonts w:ascii="Times New Roman" w:hAnsi="Times New Roman"/>
          <w:b/>
          <w:sz w:val="22"/>
        </w:rPr>
        <w:t>Section 7.10  Books and Records; Access</w:t>
      </w:r>
    </w:p>
    <w:p>
      <w:r>
        <w:rPr>
          <w:rFonts w:ascii="Times New Roman" w:hAnsi="Times New Roman"/>
          <w:b w:val="0"/>
          <w:i w:val="0"/>
        </w:rPr>
        <w:t>Maintain complete and accurate books and records in accordance with GAAP, and permit Lender and its representatives to examine and audit such books and records and to discuss Borrower's affairs with its officers, managers, accountants and consultants at reasonable times upon reasonable prior notice.</w:t>
      </w:r>
    </w:p>
    <w:p>
      <w:pPr>
        <w:pStyle w:val="Heading2"/>
      </w:pPr>
      <w:r>
        <w:rPr>
          <w:rFonts w:ascii="Times New Roman" w:hAnsi="Times New Roman"/>
          <w:b/>
          <w:sz w:val="22"/>
        </w:rPr>
        <w:t>Section 7.11  Single-Purpose Entity</w:t>
      </w:r>
    </w:p>
    <w:p>
      <w:r>
        <w:rPr>
          <w:rFonts w:ascii="Times New Roman" w:hAnsi="Times New Roman"/>
          <w:b w:val="0"/>
          <w:i w:val="0"/>
        </w:rPr>
        <w:t>Maintain its status as a single-purpose entity in compliance with the SPE Covenants set forth in Article XV.</w:t>
      </w:r>
    </w:p>
    <w:p>
      <w:pPr>
        <w:pStyle w:val="Heading2"/>
      </w:pPr>
      <w:r>
        <w:rPr>
          <w:rFonts w:ascii="Times New Roman" w:hAnsi="Times New Roman"/>
          <w:b/>
          <w:sz w:val="22"/>
        </w:rPr>
        <w:t>Section 7.12  Guarantor Obligations</w:t>
      </w:r>
    </w:p>
    <w:p>
      <w:r>
        <w:rPr>
          <w:rFonts w:ascii="Times New Roman" w:hAnsi="Times New Roman"/>
          <w:b w:val="0"/>
          <w:i w:val="0"/>
        </w:rPr>
        <w:t>Cause each Guarantor to maintain the minimum combined liquidity required by Section 9.5, to deliver the financial information required by Section 7.3, to preserve and not to transfer any material portion of such Guarantor's assets outside the ordinary course of business, and not to revoke, terminate, disaffirm or attempt to limit the enforceability of any Guaranty.</w:t>
      </w:r>
    </w:p>
    <w:p>
      <w:pPr>
        <w:pStyle w:val="Heading2"/>
      </w:pPr>
      <w:r>
        <w:rPr>
          <w:rFonts w:ascii="Times New Roman" w:hAnsi="Times New Roman"/>
          <w:b/>
          <w:sz w:val="22"/>
        </w:rPr>
        <w:t>Section 7.13  Notices of Material Events</w:t>
      </w:r>
    </w:p>
    <w:p>
      <w:r>
        <w:rPr>
          <w:rFonts w:ascii="Times New Roman" w:hAnsi="Times New Roman"/>
          <w:b w:val="0"/>
          <w:i w:val="0"/>
        </w:rPr>
        <w:t>Notify Lender in writing within five (5) Business Days after Borrower or any Guarantor obtains knowledge of (a) any Default or Event of Default; (b) any litigation, arbitration or governmental proceeding commenced or threatened against Borrower, any Guarantor or the Property involving a claim in excess of $100,000; (c) any material adverse change in the financial condition of Borrower or any Guarantor; (d) any casualty, condemnation or taking affecting the Property; (e) any environmental claim, notice of violation, information request, notice of potential responsibility, spill, release or agency inspection relating to the Property; (f) any default or event of default under the Mezzanine Documents or the Intercreditor Agreement; (g) any notice from the Brightleaf Historic District Association alleging a violation of the Declaration; and (h) any change in the identity of the members of Borrower or of the independent manager.</w:t>
      </w:r>
    </w:p>
    <w:p>
      <w:pPr>
        <w:pStyle w:val="Heading2"/>
      </w:pPr>
      <w:r>
        <w:rPr>
          <w:rFonts w:ascii="Times New Roman" w:hAnsi="Times New Roman"/>
          <w:b/>
          <w:sz w:val="22"/>
        </w:rPr>
        <w:t>Section 7.14  Further Assurances</w:t>
      </w:r>
    </w:p>
    <w:p>
      <w:r>
        <w:rPr>
          <w:rFonts w:ascii="Times New Roman" w:hAnsi="Times New Roman"/>
          <w:b w:val="0"/>
          <w:i w:val="0"/>
        </w:rPr>
        <w:t>Execute, acknowledge and deliver such further instruments and take such further action as Lender may reasonably request to carry out the purposes of the Loan Documents, to perfect or maintain the priority of Lender's security interests, or to comply with applicable law, including any request arising from Lender's participation or securitization of the Loan that does not materially increase Borrower's obligations or costs.</w:t>
      </w:r>
    </w:p>
    <w:p>
      <w:pPr>
        <w:pStyle w:val="Heading2"/>
      </w:pPr>
      <w:r>
        <w:rPr>
          <w:rFonts w:ascii="Times New Roman" w:hAnsi="Times New Roman"/>
          <w:b/>
          <w:sz w:val="22"/>
        </w:rPr>
        <w:t>Section 7.15  Lender's Expenses</w:t>
      </w:r>
    </w:p>
    <w:p>
      <w:r>
        <w:rPr>
          <w:rFonts w:ascii="Times New Roman" w:hAnsi="Times New Roman"/>
          <w:b w:val="0"/>
          <w:i w:val="0"/>
        </w:rPr>
        <w:t>Reimburse Lender on demand for all costs and expenses incurred in connection with the administration, servicing, enforcement and protection of the Loan, including the fees of the Construction Inspector, appraisal and reappraisal costs, environmental consultants, title endorsements, UCC and lien searches, and the fees and disbursements of Lender's counsel, in each case in accordance with Section 18.2.</w:t>
      </w:r>
    </w:p>
    <w:p>
      <w:pPr>
        <w:pStyle w:val="Heading2"/>
      </w:pPr>
      <w:r>
        <w:rPr>
          <w:rFonts w:ascii="Times New Roman" w:hAnsi="Times New Roman"/>
          <w:b/>
          <w:sz w:val="22"/>
        </w:rPr>
        <w:t>Section 7.16  Leasing During the Mini-Perm Period</w:t>
      </w:r>
    </w:p>
    <w:p>
      <w:r>
        <w:rPr>
          <w:rFonts w:ascii="Times New Roman" w:hAnsi="Times New Roman"/>
          <w:b w:val="0"/>
          <w:i w:val="0"/>
        </w:rPr>
        <w:t>Upon commencement of the Mini-Perm Period, (a) lease the residential units and retail space in the ordinary course on arm's-length terms and in accordance with Section 17.1; (b) deliver to Lender, within fifteen (15) days after the end of each month, a rent roll and a leasing status report; and (c) apply all rents and other income from the Property as required by the Assignment of Leases and Rents.</w:t>
      </w:r>
    </w:p>
    <w:p>
      <w:pPr>
        <w:pStyle w:val="Heading2"/>
      </w:pPr>
      <w:r>
        <w:rPr>
          <w:rFonts w:ascii="Times New Roman" w:hAnsi="Times New Roman"/>
          <w:b/>
          <w:sz w:val="22"/>
        </w:rPr>
        <w:t>Section 7.17  Annual Budgets</w:t>
      </w:r>
    </w:p>
    <w:p>
      <w:r>
        <w:rPr>
          <w:rFonts w:ascii="Times New Roman" w:hAnsi="Times New Roman"/>
          <w:b w:val="0"/>
          <w:i w:val="0"/>
        </w:rPr>
        <w:t>Deliver to Lender, not less than thirty (30) days prior to the beginning of each fiscal year during the Mini-Perm Period, an annual operating budget for the Property, and not less than thirty (30) days prior to the commencement of each calendar year during the Construction Period, an updated construction budget and schedule.</w:t>
      </w:r>
    </w:p>
    <w:p>
      <w:pPr>
        <w:pStyle w:val="Heading1"/>
        <w:spacing w:before="360"/>
      </w:pPr>
      <w:r>
        <w:rPr>
          <w:rFonts w:ascii="Times New Roman" w:hAnsi="Times New Roman"/>
          <w:b/>
          <w:sz w:val="24"/>
        </w:rPr>
        <w:t>ARTICLE VIII — NEGATIVE COVENANTS</w:t>
      </w:r>
    </w:p>
    <w:p>
      <w:r>
        <w:rPr>
          <w:rFonts w:ascii="Times New Roman" w:hAnsi="Times New Roman"/>
          <w:b w:val="0"/>
          <w:i w:val="0"/>
        </w:rPr>
        <w:t>From the Closing Date until the Loan and all other amounts payable under the Loan Documents have been paid in full, Borrower shall not, and shall not permit any Guarantor to, without Lender's prior written consent (which consent may be withheld in Lender's sole and absolute discretion):</w:t>
      </w:r>
    </w:p>
    <w:p>
      <w:pPr>
        <w:pStyle w:val="Heading2"/>
      </w:pPr>
      <w:r>
        <w:rPr>
          <w:rFonts w:ascii="Times New Roman" w:hAnsi="Times New Roman"/>
          <w:b/>
          <w:sz w:val="22"/>
        </w:rPr>
        <w:t>Section 8.1  Indebtedness</w:t>
      </w:r>
    </w:p>
    <w:p>
      <w:r>
        <w:rPr>
          <w:rFonts w:ascii="Times New Roman" w:hAnsi="Times New Roman"/>
          <w:b w:val="0"/>
          <w:i w:val="0"/>
        </w:rPr>
        <w:t>Incur, assume, guarantee or permit to exist any Indebtedness other than (a) the Loan, (b) the Mezzanine Loan as permitted by the Intercreditor Agreement, and (c) trade payables and accrued expenses incurred in the ordinary course of business and not more than ninety (90) days past due.</w:t>
      </w:r>
    </w:p>
    <w:p>
      <w:pPr>
        <w:pStyle w:val="Heading2"/>
      </w:pPr>
      <w:r>
        <w:rPr>
          <w:rFonts w:ascii="Times New Roman" w:hAnsi="Times New Roman"/>
          <w:b/>
          <w:sz w:val="22"/>
        </w:rPr>
        <w:t>Section 8.2  Liens</w:t>
      </w:r>
    </w:p>
    <w:p>
      <w:r>
        <w:rPr>
          <w:rFonts w:ascii="Times New Roman" w:hAnsi="Times New Roman"/>
          <w:b w:val="0"/>
          <w:i w:val="0"/>
        </w:rPr>
        <w:t>Create, incur, assume or permit to exist any lien, mortgage, deed of trust, pledge, security interest, encumbrance, judgment lien, mechanics' or materialmen's lien, or other charge on the Property, the Collateral or any membership interest in Borrower, other than the Permitted Exceptions, the liens in favor of Lender, and the subordinated pledge in favor of Mezzanine Lender expressly permitted by the Intercreditor Agreement.</w:t>
      </w:r>
    </w:p>
    <w:p>
      <w:pPr>
        <w:pStyle w:val="Heading2"/>
      </w:pPr>
      <w:r>
        <w:rPr>
          <w:rFonts w:ascii="Times New Roman" w:hAnsi="Times New Roman"/>
          <w:b/>
          <w:sz w:val="22"/>
        </w:rPr>
        <w:t>Section 8.3  Transfers</w:t>
      </w:r>
    </w:p>
    <w:p>
      <w:r>
        <w:rPr>
          <w:rFonts w:ascii="Times New Roman" w:hAnsi="Times New Roman"/>
          <w:b w:val="0"/>
          <w:i w:val="0"/>
        </w:rPr>
        <w:t>Sell, transfer, convey, assign, option, ground lease, contribute or otherwise dispose of the Property or any portion thereof or any interest therein, whether directly or indirectly, or enter into any agreement to do any of the foregoing.</w:t>
      </w:r>
    </w:p>
    <w:p>
      <w:pPr>
        <w:pStyle w:val="Heading2"/>
      </w:pPr>
      <w:r>
        <w:rPr>
          <w:rFonts w:ascii="Times New Roman" w:hAnsi="Times New Roman"/>
          <w:b/>
          <w:sz w:val="22"/>
        </w:rPr>
        <w:t>Section 8.4  Ownership Changes</w:t>
      </w:r>
    </w:p>
    <w:p>
      <w:r>
        <w:rPr>
          <w:rFonts w:ascii="Times New Roman" w:hAnsi="Times New Roman"/>
          <w:b w:val="0"/>
          <w:i w:val="0"/>
        </w:rPr>
        <w:t>Cause or permit any change in the ownership structure of Borrower or in the membership interests of Borrower, including any sale, assignment, transfer, pledge, hypothecation, encumbrance, dilution, redemption or issuance of any membership interest, other than the Membership Interest Pledges to Lender and the subordinated pledge to Mezzanine Lender permitted by the Intercreditor Agreement. Any change in the identity of the managing member, any admission of a new member, or any change of control of Brightleaf Investors Group LLC or of Mezzanine Lender shall require Lender's prior written consent.</w:t>
      </w:r>
    </w:p>
    <w:p>
      <w:pPr>
        <w:pStyle w:val="Heading2"/>
      </w:pPr>
      <w:r>
        <w:rPr>
          <w:rFonts w:ascii="Times New Roman" w:hAnsi="Times New Roman"/>
          <w:b/>
          <w:sz w:val="22"/>
        </w:rPr>
        <w:t>Section 8.5  Organizational Documents</w:t>
      </w:r>
    </w:p>
    <w:p>
      <w:r>
        <w:rPr>
          <w:rFonts w:ascii="Times New Roman" w:hAnsi="Times New Roman"/>
          <w:b w:val="0"/>
          <w:i w:val="0"/>
        </w:rPr>
        <w:t>Amend, restate, modify or waive any provision of Borrower's articles of organization or operating agreement in any manner that affects management, capital contributions, distributions, transfer restrictions or the SPE Covenants, or that could reasonably be expected to have a Material Adverse Effect.</w:t>
      </w:r>
    </w:p>
    <w:p>
      <w:pPr>
        <w:pStyle w:val="Heading2"/>
      </w:pPr>
      <w:r>
        <w:rPr>
          <w:rFonts w:ascii="Times New Roman" w:hAnsi="Times New Roman"/>
          <w:b/>
          <w:sz w:val="22"/>
        </w:rPr>
        <w:t>Section 8.6  Affiliate Transactions</w:t>
      </w:r>
    </w:p>
    <w:p>
      <w:r>
        <w:rPr>
          <w:rFonts w:ascii="Times New Roman" w:hAnsi="Times New Roman"/>
          <w:b w:val="0"/>
          <w:i w:val="0"/>
        </w:rPr>
        <w:t>Enter into, amend or permit to exist any transaction, contract or arrangement with any member, manager, Affiliate of Borrower, Mezzanine Lender or Thomas R. Chen, except on arm's-length terms and for fair and reasonable consideration and with prior written notice to Lender. Borrower shall not pay any management, oversight, monitoring, guarantee, development, construction management or similar fee to any Affiliate other than the Developer Fee in accordance with Section 8.7.</w:t>
      </w:r>
    </w:p>
    <w:p>
      <w:pPr>
        <w:pStyle w:val="Heading2"/>
      </w:pPr>
      <w:r>
        <w:rPr>
          <w:rFonts w:ascii="Times New Roman" w:hAnsi="Times New Roman"/>
          <w:b/>
          <w:sz w:val="22"/>
        </w:rPr>
        <w:t>Section 8.7  Distributions and Developer Fee</w:t>
      </w:r>
    </w:p>
    <w:p>
      <w:r>
        <w:rPr>
          <w:rFonts w:ascii="Times New Roman" w:hAnsi="Times New Roman"/>
          <w:b w:val="0"/>
          <w:i w:val="0"/>
        </w:rPr>
        <w:t>Declare or make any dividend, distribution, return of capital, redemption, loan or advance to any member, or pay any portion of the Developer Fee, (a) during the Construction Period; (b) while any Default or Event of Default exists; (c) while the Interest Reserve is less than the amount required by Section 5.4; or (d) unless Substantial Completion has been achieved and the Debt Service Coverage Ratio is not less than 1.25x. Amounts deposited as the Equity Contribution may not be returned to any member before the Loan is repaid in full. The Loan-funded portion of the Developer Fee ($1,835,000) shall be disbursed only as provided in the Draw Schedule and only if no Default or Event of Default exists.</w:t>
      </w:r>
    </w:p>
    <w:p>
      <w:pPr>
        <w:pStyle w:val="Heading2"/>
      </w:pPr>
      <w:r>
        <w:rPr>
          <w:rFonts w:ascii="Times New Roman" w:hAnsi="Times New Roman"/>
          <w:b/>
          <w:sz w:val="22"/>
        </w:rPr>
        <w:t>Section 8.8  Construction Documents</w:t>
      </w:r>
    </w:p>
    <w:p>
      <w:r>
        <w:rPr>
          <w:rFonts w:ascii="Times New Roman" w:hAnsi="Times New Roman"/>
          <w:b w:val="0"/>
          <w:i w:val="0"/>
        </w:rPr>
        <w:t>Amend, modify, supplement, terminate or waive any provision of the Construction Contract, the architect's agreement or the Approved Plans and Specifications, or approve any change order, except in accordance with Section 4.5.</w:t>
      </w:r>
    </w:p>
    <w:p>
      <w:pPr>
        <w:pStyle w:val="Heading2"/>
      </w:pPr>
      <w:r>
        <w:rPr>
          <w:rFonts w:ascii="Times New Roman" w:hAnsi="Times New Roman"/>
          <w:b/>
          <w:sz w:val="22"/>
        </w:rPr>
        <w:t>Section 8.9  Change of Business, Name or Location</w:t>
      </w:r>
    </w:p>
    <w:p>
      <w:r>
        <w:rPr>
          <w:rFonts w:ascii="Times New Roman" w:hAnsi="Times New Roman"/>
          <w:b w:val="0"/>
          <w:i w:val="0"/>
        </w:rPr>
        <w:t>Change its name, its jurisdiction of organization, its organizational identification number, its principal place of business or its state of organization, or engage in any business other than the ownership, development, construction, leasing, management and operation of the Project.</w:t>
      </w:r>
    </w:p>
    <w:p>
      <w:pPr>
        <w:pStyle w:val="Heading2"/>
      </w:pPr>
      <w:r>
        <w:rPr>
          <w:rFonts w:ascii="Times New Roman" w:hAnsi="Times New Roman"/>
          <w:b/>
          <w:sz w:val="22"/>
        </w:rPr>
        <w:t>Section 8.10  Fiscal Year</w:t>
      </w:r>
    </w:p>
    <w:p>
      <w:r>
        <w:rPr>
          <w:rFonts w:ascii="Times New Roman" w:hAnsi="Times New Roman"/>
          <w:b w:val="0"/>
          <w:i w:val="0"/>
        </w:rPr>
        <w:t>Change its fiscal year, which is the calendar year as of the Closing Date.</w:t>
      </w:r>
    </w:p>
    <w:p>
      <w:pPr>
        <w:pStyle w:val="Heading2"/>
      </w:pPr>
      <w:r>
        <w:rPr>
          <w:rFonts w:ascii="Times New Roman" w:hAnsi="Times New Roman"/>
          <w:b/>
          <w:sz w:val="22"/>
        </w:rPr>
        <w:t>Section 8.11  Subsidiaries; Joint Ventures</w:t>
      </w:r>
    </w:p>
    <w:p>
      <w:r>
        <w:rPr>
          <w:rFonts w:ascii="Times New Roman" w:hAnsi="Times New Roman"/>
          <w:b w:val="0"/>
          <w:i w:val="0"/>
        </w:rPr>
        <w:t>Create or acquire any subsidiary, or enter into any partnership, joint venture or similar arrangement with respect to the Property or the Project.</w:t>
      </w:r>
    </w:p>
    <w:p>
      <w:pPr>
        <w:pStyle w:val="Heading2"/>
      </w:pPr>
      <w:r>
        <w:rPr>
          <w:rFonts w:ascii="Times New Roman" w:hAnsi="Times New Roman"/>
          <w:b/>
          <w:sz w:val="22"/>
        </w:rPr>
        <w:t>Section 8.12  Environmental</w:t>
      </w:r>
    </w:p>
    <w:p>
      <w:r>
        <w:rPr>
          <w:rFonts w:ascii="Times New Roman" w:hAnsi="Times New Roman"/>
          <w:b w:val="0"/>
          <w:i w:val="0"/>
        </w:rPr>
        <w:t>Cause or permit any release, discharge, disposal, storage or threatened release of Hazardous Materials at, on, under or from the Property; conduct any excavation, grading or other subsurface disturbance in the Affected Area other than in compliance with the Soil Management Plan; use any portion of the Affected Area for residential purposes unless and until NCDEQ has modified the NFA Letter to permit such use and Lender has consented in writing; or take any action that would cause the NFA Letter to be revoked, modified adversely, reopened or rendered inapplicable.</w:t>
      </w:r>
    </w:p>
    <w:p>
      <w:pPr>
        <w:pStyle w:val="Heading2"/>
      </w:pPr>
      <w:r>
        <w:rPr>
          <w:rFonts w:ascii="Times New Roman" w:hAnsi="Times New Roman"/>
          <w:b/>
          <w:sz w:val="22"/>
        </w:rPr>
        <w:t>Section 8.13  Mezzanine Loan Modifications and Prepayments</w:t>
      </w:r>
    </w:p>
    <w:p>
      <w:r>
        <w:rPr>
          <w:rFonts w:ascii="Times New Roman" w:hAnsi="Times New Roman"/>
          <w:b w:val="0"/>
          <w:i w:val="0"/>
        </w:rPr>
        <w:t>Amend, modify, waive or supplement any Mezzanine Document; increase the principal amount of, or the rate of interest on, the Mezzanine Loan; prepay, defease or repay the Mezzanine Loan other than in accordance with the Intercreditor Agreement; or make any payment in respect of the Mezzanine Loan while a Default or Event of Default exists.</w:t>
      </w:r>
    </w:p>
    <w:p>
      <w:pPr>
        <w:pStyle w:val="Heading2"/>
      </w:pPr>
      <w:r>
        <w:rPr>
          <w:rFonts w:ascii="Times New Roman" w:hAnsi="Times New Roman"/>
          <w:b/>
          <w:sz w:val="22"/>
        </w:rPr>
        <w:t>Section 8.14  Use of Proceeds</w:t>
      </w:r>
    </w:p>
    <w:p>
      <w:r>
        <w:rPr>
          <w:rFonts w:ascii="Times New Roman" w:hAnsi="Times New Roman"/>
          <w:b w:val="0"/>
          <w:i w:val="0"/>
        </w:rPr>
        <w:t>Use any proceeds of the Loan for any purpose other than as provided in Section 2.2.</w:t>
      </w:r>
    </w:p>
    <w:p>
      <w:pPr>
        <w:pStyle w:val="Heading2"/>
      </w:pPr>
      <w:r>
        <w:rPr>
          <w:rFonts w:ascii="Times New Roman" w:hAnsi="Times New Roman"/>
          <w:b/>
          <w:sz w:val="22"/>
        </w:rPr>
        <w:t>Section 8.15  Zoning and Easements</w:t>
      </w:r>
    </w:p>
    <w:p>
      <w:r>
        <w:rPr>
          <w:rFonts w:ascii="Times New Roman" w:hAnsi="Times New Roman"/>
          <w:b w:val="0"/>
          <w:i w:val="0"/>
        </w:rPr>
        <w:t>Seek or consent to any rezoning, variance, special use permit, amendment of the Durham Unified Development Ordinance as applicable to the Property, or modification, relocation or release of any recorded easement, without Lender's prior written consent.</w:t>
      </w:r>
    </w:p>
    <w:p>
      <w:pPr>
        <w:pStyle w:val="Heading2"/>
      </w:pPr>
      <w:r>
        <w:rPr>
          <w:rFonts w:ascii="Times New Roman" w:hAnsi="Times New Roman"/>
          <w:b/>
          <w:sz w:val="22"/>
        </w:rPr>
        <w:t>Section 8.16  Related Party Leasing</w:t>
      </w:r>
    </w:p>
    <w:p>
      <w:r>
        <w:rPr>
          <w:rFonts w:ascii="Times New Roman" w:hAnsi="Times New Roman"/>
          <w:b w:val="0"/>
          <w:i w:val="0"/>
        </w:rPr>
        <w:t>Lease any portion of the Property to any member, manager, Affiliate or immediate family member of any of them, except on arm's-length terms approved in writing by Lender.</w:t>
      </w:r>
    </w:p>
    <w:p>
      <w:pPr>
        <w:pStyle w:val="Heading1"/>
        <w:spacing w:before="360"/>
      </w:pPr>
      <w:r>
        <w:rPr>
          <w:rFonts w:ascii="Times New Roman" w:hAnsi="Times New Roman"/>
          <w:b/>
          <w:sz w:val="24"/>
        </w:rPr>
        <w:t>ARTICLE IX — FINANCIAL COVENANTS</w:t>
      </w:r>
    </w:p>
    <w:p>
      <w:pPr>
        <w:pStyle w:val="Heading2"/>
      </w:pPr>
      <w:r>
        <w:rPr>
          <w:rFonts w:ascii="Times New Roman" w:hAnsi="Times New Roman"/>
          <w:b/>
          <w:sz w:val="22"/>
        </w:rPr>
        <w:t>Section 9.1  Loan-to-Cost Ratio</w:t>
      </w:r>
    </w:p>
    <w:p>
      <w:pPr>
        <w:tabs>
          <w:tab w:pos="504" w:val="left"/>
        </w:tabs>
        <w:spacing w:after="140"/>
        <w:ind w:left="504" w:hanging="504"/>
      </w:pPr>
      <w:r>
        <w:rPr>
          <w:rFonts w:ascii="Times New Roman" w:hAnsi="Times New Roman"/>
          <w:b w:val="0"/>
        </w:rPr>
        <w:t>(a)</w:t>
        <w:tab/>
      </w:r>
      <w:r>
        <w:rPr>
          <w:rFonts w:ascii="Times New Roman" w:hAnsi="Times New Roman"/>
          <w:b w:val="0"/>
          <w:i w:val="0"/>
        </w:rPr>
        <w:t>Borrower shall not permit the Loan-to-Cost Ratio to exceed eighty percent (80%) at any time during the term of the Loan. The “Loan-to-Cost Ratio” means the outstanding principal balance of the Loan divided by Total Project Costs.</w:t>
      </w:r>
    </w:p>
    <w:p>
      <w:pPr>
        <w:tabs>
          <w:tab w:pos="504" w:val="left"/>
        </w:tabs>
        <w:spacing w:after="140"/>
        <w:ind w:left="504" w:hanging="504"/>
      </w:pPr>
      <w:r>
        <w:rPr>
          <w:rFonts w:ascii="Times New Roman" w:hAnsi="Times New Roman"/>
          <w:b w:val="0"/>
        </w:rPr>
        <w:t>(b)</w:t>
        <w:tab/>
      </w:r>
      <w:r>
        <w:rPr>
          <w:rFonts w:ascii="Times New Roman" w:hAnsi="Times New Roman"/>
          <w:b w:val="0"/>
          <w:i w:val="0"/>
        </w:rPr>
        <w:t>Total Project Costs means the aggregate of all costs and expenses incurred or to be incurred in connection with the acquisition, development, construction and completion of the Project, as set forth in the Approved Project Budget as the same may be revised with Lender's consent, including the land acquisition cost of $8,200,000, the GMP of $34,750,000, soft costs of $4,150,000, the Interest Reserve of $4,850,000, the Origination Fee of $475,000, the Developer Fee of $2,835,000 and the Contingency of $1,440,000.</w:t>
      </w:r>
    </w:p>
    <w:p>
      <w:pPr>
        <w:tabs>
          <w:tab w:pos="504" w:val="left"/>
        </w:tabs>
        <w:spacing w:after="140"/>
        <w:ind w:left="504" w:hanging="504"/>
      </w:pPr>
      <w:r>
        <w:rPr>
          <w:rFonts w:ascii="Times New Roman" w:hAnsi="Times New Roman"/>
          <w:b w:val="0"/>
        </w:rPr>
        <w:t>(c)</w:t>
        <w:tab/>
      </w:r>
      <w:r>
        <w:rPr>
          <w:rFonts w:ascii="Times New Roman" w:hAnsi="Times New Roman"/>
          <w:b w:val="0"/>
          <w:i w:val="0"/>
        </w:rPr>
        <w:t>Total Project Costs shall also include, without duplication, (i) all demolition, abatement, investigation, remediation and regulatory compliance costs incurred with respect to the Property prior to Closing, including the approximately $680,000 of demolition and remediation costs described in the appraisal and the Phase I ESA; (ii) all amounts paid or payable to satisfy and release any prior lien on the Property; (iii) all interest accrued and capitalized on the Loan and the Mezzanine Loan; (iv) all costs of the Vapor Mitigation System, the Soil Management Plan and any environmental monitoring or reporting required by the NFA Letter; and (v) all documentary excise taxes, title premiums and recording costs paid in connection with the Loan.</w:t>
      </w:r>
    </w:p>
    <w:p>
      <w:pPr>
        <w:tabs>
          <w:tab w:pos="504" w:val="left"/>
        </w:tabs>
        <w:spacing w:after="140"/>
        <w:ind w:left="504" w:hanging="504"/>
      </w:pPr>
      <w:r>
        <w:rPr>
          <w:rFonts w:ascii="Times New Roman" w:hAnsi="Times New Roman"/>
          <w:b w:val="0"/>
        </w:rPr>
        <w:t>(d)</w:t>
        <w:tab/>
      </w:r>
      <w:r>
        <w:rPr>
          <w:rFonts w:ascii="Times New Roman" w:hAnsi="Times New Roman"/>
          <w:b w:val="0"/>
          <w:i w:val="0"/>
        </w:rPr>
        <w:t>As of the Closing Date, on the basis of the Approved Project Budget of $56,700,000 and the Loan Amount, the Loan-to-Cost Ratio is 83.77%, which exceeds the maximum permitted ratio by 3.77 percentage points, or $2,140,000 (the amount by which the Loan Amount exceeds 80% of Total Project Costs, being $45,360,000). The parties acknowledge that compliance with this Section 9.1 on and after the Closing Date depends on the accuracy of Total Project Costs as restated pursuant to Section 3.7 and on the funding of the Equity Contribution, and that a recomputation of Total Project Costs to include the items described in Section 9.1(c) must be delivered at Closing.</w:t>
      </w:r>
    </w:p>
    <w:p>
      <w:r>
        <w:rPr>
          <w:rFonts w:ascii="Times New Roman" w:hAnsi="Times New Roman"/>
          <w:b w:val="0"/>
          <w:i w:val="0"/>
        </w:rPr>
        <w:t>[Drafting Note: On a corrected budget of $60,780,000 (which includes the payoff of the Triangle Commercial Bank deed of trust and the pre-closing site costs), the Loan-to-Cost Ratio would be 78.15% and would comply with this Section without reducing the Loan Amount, provided the Equity Contribution is increased to approximately $4,080,000. Conversely, if the payoff and site costs are not added to Total Project Costs, the Loan-to-Cost Ratio is 83.77% and this covenant is breached at Closing. The two positions cannot both be right. See Cover Memorandum Issue No. 3.]</w:t>
      </w:r>
    </w:p>
    <w:p>
      <w:pPr>
        <w:pStyle w:val="Heading2"/>
      </w:pPr>
      <w:r>
        <w:rPr>
          <w:rFonts w:ascii="Times New Roman" w:hAnsi="Times New Roman"/>
          <w:b/>
          <w:sz w:val="22"/>
        </w:rPr>
        <w:t>Section 9.2  Loan-to-Value Ratios</w:t>
      </w:r>
    </w:p>
    <w:p>
      <w:pPr>
        <w:tabs>
          <w:tab w:pos="504" w:val="left"/>
        </w:tabs>
        <w:spacing w:after="140"/>
        <w:ind w:left="504" w:hanging="504"/>
      </w:pPr>
      <w:r>
        <w:rPr>
          <w:rFonts w:ascii="Times New Roman" w:hAnsi="Times New Roman"/>
          <w:b w:val="0"/>
        </w:rPr>
        <w:t>(a)</w:t>
        <w:tab/>
      </w:r>
      <w:r>
        <w:rPr>
          <w:rFonts w:ascii="Times New Roman" w:hAnsi="Times New Roman"/>
          <w:b w:val="0"/>
          <w:i w:val="0"/>
        </w:rPr>
        <w:t>Borrower shall not permit the Loan-to-Value Ratio on an as-completed basis to exceed sixty-five percent (65%), determined by dividing the outstanding principal balance of the Loan by the as-completed appraised value of the Property, which as of the Closing Date is $72,800,000.</w:t>
      </w:r>
    </w:p>
    <w:p>
      <w:pPr>
        <w:tabs>
          <w:tab w:pos="504" w:val="left"/>
        </w:tabs>
        <w:spacing w:after="140"/>
        <w:ind w:left="504" w:hanging="504"/>
      </w:pPr>
      <w:r>
        <w:rPr>
          <w:rFonts w:ascii="Times New Roman" w:hAnsi="Times New Roman"/>
          <w:b w:val="0"/>
        </w:rPr>
        <w:t>(b)</w:t>
        <w:tab/>
      </w:r>
      <w:r>
        <w:rPr>
          <w:rFonts w:ascii="Times New Roman" w:hAnsi="Times New Roman"/>
          <w:b w:val="0"/>
          <w:i w:val="0"/>
        </w:rPr>
        <w:t>Borrower shall not permit the Loan-to-Value Ratio on an as-stabilized basis to exceed sixty-five percent (65%), determined by dividing the outstanding principal balance of the Loan by the as-stabilized appraised value, which as of the Closing Date is $76,200,000.</w:t>
      </w:r>
    </w:p>
    <w:p>
      <w:pPr>
        <w:tabs>
          <w:tab w:pos="504" w:val="left"/>
        </w:tabs>
        <w:spacing w:after="140"/>
        <w:ind w:left="504" w:hanging="504"/>
      </w:pPr>
      <w:r>
        <w:rPr>
          <w:rFonts w:ascii="Times New Roman" w:hAnsi="Times New Roman"/>
          <w:b w:val="0"/>
        </w:rPr>
        <w:t>(c)</w:t>
        <w:tab/>
      </w:r>
      <w:r>
        <w:rPr>
          <w:rFonts w:ascii="Times New Roman" w:hAnsi="Times New Roman"/>
          <w:b w:val="0"/>
          <w:i w:val="0"/>
        </w:rPr>
        <w:t>Lender may obtain, at Borrower's expense, a reappraisal of the Property at any time after the occurrence of a Default or Event of Default, at the commencement of the Mini-Perm Period, in connection with any extension of the Loan, and otherwise not more than once in any twelve (12) month period, and each such appraisal shall be used for purposes of this Section.</w:t>
      </w:r>
    </w:p>
    <w:p>
      <w:pPr>
        <w:tabs>
          <w:tab w:pos="504" w:val="left"/>
        </w:tabs>
        <w:spacing w:after="140"/>
        <w:ind w:left="504" w:hanging="504"/>
      </w:pPr>
      <w:r>
        <w:rPr>
          <w:rFonts w:ascii="Times New Roman" w:hAnsi="Times New Roman"/>
          <w:b w:val="0"/>
        </w:rPr>
        <w:t>(d)</w:t>
        <w:tab/>
      </w:r>
      <w:r>
        <w:rPr>
          <w:rFonts w:ascii="Times New Roman" w:hAnsi="Times New Roman"/>
          <w:b w:val="0"/>
          <w:i w:val="0"/>
        </w:rPr>
        <w:t>Borrower acknowledges that, as of the Closing Date, the Loan-to-Value Ratio on an as-completed basis is 65.25% ($47,500,000 ÷ $72,800,000), which exceeds the sixty-five percent (65%) maximum by 0.25 percentage points, equivalent to $180,000 of principal (65% of $72,800,000 being $47,320,000). Borrower shall cure such exceedance at Closing either by reducing the Loan Amount to $47,320,000, by depositing additional equity in an amount sufficient to cause the Loan-to-Value Ratio on an as-completed basis to be not greater than 64.75%, or by such other means as Lender may approve in writing.</w:t>
      </w:r>
    </w:p>
    <w:p>
      <w:r>
        <w:rPr>
          <w:rFonts w:ascii="Times New Roman" w:hAnsi="Times New Roman"/>
          <w:b w:val="0"/>
          <w:i w:val="0"/>
        </w:rPr>
        <w:t>[Drafting Note: Sections 4 and 6.2 of the Term Sheet impose a 65% as-completed maximum, yet the Loan Amount of $47,500,000 against the $72,800,000 as-completed value yields 65.25%. Section 6.1 of the Credit Memorandum instead applies a 70% policy maximum and reports the ratio as a “Pass.” The covenant above states the Term Sheet test and the resulting cure requirement. See Cover Memorandum Issue No. 4.]</w:t>
      </w:r>
    </w:p>
    <w:p>
      <w:pPr>
        <w:pStyle w:val="Heading2"/>
      </w:pPr>
      <w:r>
        <w:rPr>
          <w:rFonts w:ascii="Times New Roman" w:hAnsi="Times New Roman"/>
          <w:b/>
          <w:sz w:val="22"/>
        </w:rPr>
        <w:t>Section 9.3  Debt Service Coverage Ratio</w:t>
      </w:r>
    </w:p>
    <w:p>
      <w:pPr>
        <w:tabs>
          <w:tab w:pos="504" w:val="left"/>
        </w:tabs>
        <w:spacing w:after="140"/>
        <w:ind w:left="504" w:hanging="504"/>
      </w:pPr>
      <w:r>
        <w:rPr>
          <w:rFonts w:ascii="Times New Roman" w:hAnsi="Times New Roman"/>
          <w:b w:val="0"/>
        </w:rPr>
        <w:t>(a)</w:t>
        <w:tab/>
      </w:r>
      <w:r>
        <w:rPr>
          <w:rFonts w:ascii="Times New Roman" w:hAnsi="Times New Roman"/>
          <w:b w:val="0"/>
          <w:i w:val="0"/>
        </w:rPr>
        <w:t>Borrower shall maintain a Debt Service Coverage Ratio of not less than 1.25x, tested (i) as of the commencement of the Mini-Perm Period, (ii) as of the end of each fiscal quarter thereafter, on a trailing twelve (12) month basis, and (iii) at any other time when required by Lender in connection with an extension or reappraisal. “Debt Service Coverage Ratio” means the net operating income of the Property for the applicable period, annualized, divided by annual debt service on the outstanding principal balance of the Loan at the then-current Interest Rate.</w:t>
      </w:r>
    </w:p>
    <w:p>
      <w:pPr>
        <w:tabs>
          <w:tab w:pos="504" w:val="left"/>
        </w:tabs>
        <w:spacing w:after="140"/>
        <w:ind w:left="504" w:hanging="504"/>
      </w:pPr>
      <w:r>
        <w:rPr>
          <w:rFonts w:ascii="Times New Roman" w:hAnsi="Times New Roman"/>
          <w:b w:val="0"/>
        </w:rPr>
        <w:t>(b)</w:t>
        <w:tab/>
      </w:r>
      <w:r>
        <w:rPr>
          <w:rFonts w:ascii="Times New Roman" w:hAnsi="Times New Roman"/>
          <w:b w:val="0"/>
          <w:i w:val="0"/>
        </w:rPr>
        <w:t>If the Debt Service Coverage Ratio is less than 1.25x at any testing date, Borrower shall, at Lender's election, either (i) prepay the principal of the Loan in an amount sufficient to restore the Debt Service Coverage Ratio to not less than 1.25x, or (ii) deposit cash collateral with Lender in an amount determined by Lender to be sufficient to restore the Debt Service Coverage Ratio to not less than 1.25x, in either case within thirty (30) days after Lender's written demand and without any obligation of Lender to make further Advances during such period.</w:t>
      </w:r>
    </w:p>
    <w:p>
      <w:pPr>
        <w:tabs>
          <w:tab w:pos="504" w:val="left"/>
        </w:tabs>
        <w:spacing w:after="140"/>
        <w:ind w:left="504" w:hanging="504"/>
      </w:pPr>
      <w:r>
        <w:rPr>
          <w:rFonts w:ascii="Times New Roman" w:hAnsi="Times New Roman"/>
          <w:b w:val="0"/>
        </w:rPr>
        <w:t>(c)</w:t>
        <w:tab/>
      </w:r>
      <w:r>
        <w:rPr>
          <w:rFonts w:ascii="Times New Roman" w:hAnsi="Times New Roman"/>
          <w:b w:val="0"/>
          <w:i w:val="0"/>
        </w:rPr>
        <w:t>Interest-only coverage. Borrower acknowledges that the Debt Service Coverage Ratio is calculated on an interest-only basis, does not include debt service on the Mezzanine Loan, and does not assume any amortization. Borrower further acknowledges that (i) including the Mezzanine Loan, combined debt service at the mini-perm rate of 7.85% on the Loan and the fixed rate of 12.50% on the Mezzanine Loan would total approximately $4,878,750 per annum against stabilized net operating income of $4,876,800, for combined coverage of approximately 1.00x, and (ii) a 200 basis point increase in Daily Simple SOFR would reduce the Loan's coverage to approximately 1.04x. The 1.25x covenant therefore does not evidence the Project's ability to service its aggregate debt, and repayment of the Loan is expected to depend on refinancing or sale.</w:t>
      </w:r>
    </w:p>
    <w:p>
      <w:r>
        <w:rPr>
          <w:rFonts w:ascii="Times New Roman" w:hAnsi="Times New Roman"/>
          <w:b w:val="0"/>
          <w:i w:val="0"/>
        </w:rPr>
        <w:t>[Drafting Note: A test of trailing twelve month actual net operating income as of the commencement of the Mini-Perm Period is likely to fail mechanically, because Substantial Completion is projected for August 31, 2027, three days after the Construction Maturity Date. The covenant should be conformed to a trailing three-month annualized or forward-looking test at that first testing date. See Cover Memorandum Issue No. 13.]</w:t>
      </w:r>
    </w:p>
    <w:p>
      <w:pPr>
        <w:pStyle w:val="Heading2"/>
      </w:pPr>
      <w:r>
        <w:rPr>
          <w:rFonts w:ascii="Times New Roman" w:hAnsi="Times New Roman"/>
          <w:b/>
          <w:sz w:val="22"/>
        </w:rPr>
        <w:t>Section 9.4  Borrower Net Worth</w:t>
      </w:r>
    </w:p>
    <w:p>
      <w:pPr>
        <w:tabs>
          <w:tab w:pos="504" w:val="left"/>
        </w:tabs>
        <w:spacing w:after="140"/>
        <w:ind w:left="504" w:hanging="504"/>
      </w:pPr>
      <w:r>
        <w:rPr>
          <w:rFonts w:ascii="Times New Roman" w:hAnsi="Times New Roman"/>
          <w:b w:val="0"/>
        </w:rPr>
        <w:t>(a)</w:t>
        <w:tab/>
      </w:r>
      <w:r>
        <w:rPr>
          <w:rFonts w:ascii="Times New Roman" w:hAnsi="Times New Roman"/>
          <w:b w:val="0"/>
          <w:i w:val="0"/>
        </w:rPr>
        <w:t>Borrower shall maintain a Net Worth of not less than $12,000,000, tested annually within one hundred twenty (120) days after the end of each fiscal year and at Closing.</w:t>
      </w:r>
    </w:p>
    <w:p>
      <w:pPr>
        <w:tabs>
          <w:tab w:pos="504" w:val="left"/>
        </w:tabs>
        <w:spacing w:after="140"/>
        <w:ind w:left="504" w:hanging="504"/>
      </w:pPr>
      <w:r>
        <w:rPr>
          <w:rFonts w:ascii="Times New Roman" w:hAnsi="Times New Roman"/>
          <w:b w:val="0"/>
        </w:rPr>
        <w:t>(b)</w:t>
        <w:tab/>
      </w:r>
      <w:r>
        <w:rPr>
          <w:rFonts w:ascii="Times New Roman" w:hAnsi="Times New Roman"/>
          <w:b w:val="0"/>
          <w:i w:val="0"/>
        </w:rPr>
        <w:t>If Borrower's Net Worth is less than the required amount at any testing date, Borrower shall, within thirty (30) days after Lender's written demand, make an additional capital contribution in the amount of the deficiency, which amount shall not be returned to any member while the Loan remains outstanding.</w:t>
      </w:r>
    </w:p>
    <w:p>
      <w:pPr>
        <w:tabs>
          <w:tab w:pos="504" w:val="left"/>
        </w:tabs>
        <w:spacing w:after="140"/>
        <w:ind w:left="504" w:hanging="504"/>
      </w:pPr>
      <w:r>
        <w:rPr>
          <w:rFonts w:ascii="Times New Roman" w:hAnsi="Times New Roman"/>
          <w:b w:val="0"/>
        </w:rPr>
        <w:t>(c)</w:t>
        <w:tab/>
      </w:r>
      <w:r>
        <w:rPr>
          <w:rFonts w:ascii="Times New Roman" w:hAnsi="Times New Roman"/>
          <w:b w:val="0"/>
          <w:i w:val="0"/>
        </w:rPr>
        <w:t>“Net Worth” means, as of any date, the excess of Borrower's total assets over its total liabilities determined in accordance with GAAP, excluding (i) any asset consisting of capitalized interest or capitalized fees, (ii) any receivable from any member or Affiliate, and (iii) any unrealized appreciation or revaluation of the Property. For the avoidance of doubt, Net Worth shall not include the amount of the Interest Reserve, the Contingency or any undisbursed Loan proceeds as an asset if the corresponding amount is also included as a liability.</w:t>
      </w:r>
    </w:p>
    <w:p>
      <w:r>
        <w:rPr>
          <w:rFonts w:ascii="Times New Roman" w:hAnsi="Times New Roman"/>
          <w:b w:val="0"/>
          <w:i w:val="0"/>
        </w:rPr>
        <w:t>[Drafting Note: The $12,000,000 minimum net worth covenant was set against an asserted Borrower net worth of $14,200,000. If the Project is funded 100% with debt (Loan of $47,500,000 plus Mezzanine Loan of $9,200,000 against Total Project Costs of $56,700,000) and the land carries the $3,400,000 Triangle deed of trust until Closing, a GAAP balance sheet for a single-purpose entity owning only the Property will show net worth of approximately $4,800,000 to $5,500,000, not $14,200,000. The definition in Section 9.4(c) and the Closing test in Section 9.4(a) will require the parties to confront this discrepancy. See Cover Memorandum Issue No. 14.]</w:t>
      </w:r>
    </w:p>
    <w:p>
      <w:pPr>
        <w:pStyle w:val="Heading2"/>
      </w:pPr>
      <w:r>
        <w:rPr>
          <w:rFonts w:ascii="Times New Roman" w:hAnsi="Times New Roman"/>
          <w:b/>
          <w:sz w:val="22"/>
        </w:rPr>
        <w:t>Section 9.5  Guarantor Liquidity</w:t>
      </w:r>
    </w:p>
    <w:p>
      <w:r>
        <w:rPr>
          <w:rFonts w:ascii="Times New Roman" w:hAnsi="Times New Roman"/>
          <w:b w:val="0"/>
          <w:i w:val="0"/>
        </w:rPr>
        <w:t>The Guarantors shall maintain combined Liquidity of not less than $5,000,000, tested quarterly, with a compliance certificate delivered within forty-five (45) days after the end of each fiscal quarter. “Liquidity” means cash, cash equivalents and marketable securities that are readily convertible to cash within thirty (30) days, determined without duplication and net of any margin debt, pledged balances or other encumbrance. As of the Closing Date, the Guarantors' combined Liquidity is represented to be approximately $9,300,000, consisting of approximately $6,100,000 attributable to Ms. Vasquez-Torres and approximately $3,200,000 attributable to Mr. Osei. If combined Liquidity falls below the required amount, the Guarantors shall restore compliance within thirty (30) days after Lender's written demand.</w:t>
      </w:r>
    </w:p>
    <w:p>
      <w:pPr>
        <w:pStyle w:val="Heading2"/>
      </w:pPr>
      <w:r>
        <w:rPr>
          <w:rFonts w:ascii="Times New Roman" w:hAnsi="Times New Roman"/>
          <w:b/>
          <w:sz w:val="22"/>
        </w:rPr>
        <w:t>Section 9.6  Testing; Certificates; Modification of Covenants</w:t>
      </w:r>
    </w:p>
    <w:p>
      <w:r>
        <w:rPr>
          <w:rFonts w:ascii="Times New Roman" w:hAnsi="Times New Roman"/>
          <w:b w:val="0"/>
          <w:i w:val="0"/>
        </w:rPr>
        <w:t>Each financial covenant in this Article shall be tested as set forth in the applicable Section and shall be evidenced by a compliance certificate substantially in the form of Exhibit C, with supporting calculations and such backup documentation as Lender may reasonably request. If Lender determines that a covenant has not been satisfied, Lender shall notify Borrower in writing and Borrower shall have thirty (30) days to cure, except that the cure rights in Section 9.2(d), Section 9.3(b) and Section 9.4(b) shall govern where applicable. Failure to cure within the applicable period shall constitute an Event of Default under Section 13.3, without regard to any additional cure period in that Section.</w:t>
      </w:r>
    </w:p>
    <w:p>
      <w:pPr>
        <w:pStyle w:val="Heading1"/>
        <w:spacing w:before="360"/>
      </w:pPr>
      <w:r>
        <w:rPr>
          <w:rFonts w:ascii="Times New Roman" w:hAnsi="Times New Roman"/>
          <w:b/>
          <w:sz w:val="24"/>
        </w:rPr>
        <w:t>ARTICLE X — COLLATERAL, SECURITY DOCUMENTS AND INTERCREDITOR MATTERS</w:t>
      </w:r>
    </w:p>
    <w:p>
      <w:pPr>
        <w:pStyle w:val="Heading2"/>
      </w:pPr>
      <w:r>
        <w:rPr>
          <w:rFonts w:ascii="Times New Roman" w:hAnsi="Times New Roman"/>
          <w:b/>
          <w:sz w:val="22"/>
        </w:rPr>
        <w:t>Section 10.1  Deed of Trust</w:t>
      </w:r>
    </w:p>
    <w:p>
      <w:r>
        <w:rPr>
          <w:rFonts w:ascii="Times New Roman" w:hAnsi="Times New Roman"/>
          <w:b w:val="0"/>
          <w:i w:val="0"/>
        </w:rPr>
        <w:t>As security for the payment and performance of all obligations under the Loan Documents, Borrower shall grant, pursuant to the Deed of Trust, a first priority deed of trust lien on and security interest in the fee simple estate in the Property, including both parcels (Durham County Parcel Identification Nos. 0821-04-72-3341 and 0821-04-72-4102) and all improvements, fixtures and appurtenances thereto, subject only to the Permitted Exceptions. The Deed of Trust shall be in recordable form, shall contain a power of sale exercisable by the Trustee in accordance with Article 2A of Chapter 45 of the North Carolina General Statutes, and shall be recorded in the Durham County Registry of Deeds at Closing.</w:t>
      </w:r>
    </w:p>
    <w:p>
      <w:pPr>
        <w:pStyle w:val="Heading2"/>
      </w:pPr>
      <w:r>
        <w:rPr>
          <w:rFonts w:ascii="Times New Roman" w:hAnsi="Times New Roman"/>
          <w:b/>
          <w:sz w:val="22"/>
        </w:rPr>
        <w:t>Section 10.2  Assignment of Leases and Rents</w:t>
      </w:r>
    </w:p>
    <w:p>
      <w:r>
        <w:rPr>
          <w:rFonts w:ascii="Times New Roman" w:hAnsi="Times New Roman"/>
          <w:b w:val="0"/>
          <w:i w:val="0"/>
        </w:rPr>
        <w:t>Borrower shall collaterally assign to Lender, pursuant to the Assignment of Leases and Rents, all of its right, title and interest in and to all present and future leases, licenses, concession agreements and occupancy agreements affecting the Property, together with all rents, income, receipts, profits, security deposits and proceeds thereof. The Assignment shall constitute a present, absolute assignment, shall constitute a security interest in favor of Lender in all personal property and general intangibles now or hereafter arising, and shall provide Lender with the right, upon the occurrence and during the continuance of an Event of Default, to collect rents directly.</w:t>
      </w:r>
    </w:p>
    <w:p>
      <w:pPr>
        <w:pStyle w:val="Heading2"/>
      </w:pPr>
      <w:r>
        <w:rPr>
          <w:rFonts w:ascii="Times New Roman" w:hAnsi="Times New Roman"/>
          <w:b/>
          <w:sz w:val="22"/>
        </w:rPr>
        <w:t>Section 10.3  Security Interest in Personal Property</w:t>
      </w:r>
    </w:p>
    <w:p>
      <w:r>
        <w:rPr>
          <w:rFonts w:ascii="Times New Roman" w:hAnsi="Times New Roman"/>
          <w:b w:val="0"/>
          <w:i w:val="0"/>
        </w:rPr>
        <w:t>Pursuant to the Security Agreement, Borrower shall grant Lender a first priority security interest in all personal property relating to the Project, including fixtures, equipment, materials, inventory, accounts, contract rights, permits, licenses, plans, specifications, drawings, warranties, guarantees, approvals, general intangibles and proceeds, whether now owned or hereafter acquired. Borrower shall execute and deliver all UCC-1 financing statements and fixture filings necessary to perfect such security interest, and shall maintain at its principal office all records relating to such collateral.</w:t>
      </w:r>
    </w:p>
    <w:p>
      <w:pPr>
        <w:pStyle w:val="Heading2"/>
      </w:pPr>
      <w:r>
        <w:rPr>
          <w:rFonts w:ascii="Times New Roman" w:hAnsi="Times New Roman"/>
          <w:b/>
          <w:sz w:val="22"/>
        </w:rPr>
        <w:t>Section 10.4  Assignments of Construction and Architect's Contracts</w:t>
      </w:r>
    </w:p>
    <w:p>
      <w:r>
        <w:rPr>
          <w:rFonts w:ascii="Times New Roman" w:hAnsi="Times New Roman"/>
          <w:b w:val="0"/>
          <w:i w:val="0"/>
        </w:rPr>
        <w:t>Borrower shall collaterally assign to Lender, pursuant to the collateral assignments delivered at Closing, all of its right, title and interest in and to the Construction Contract and the architect's agreement, including all claims, causes of action, warranties, retainage rights, change order rights and proceeds thereof. Each assignment shall be consented to in writing by the counterparty, and each such consent shall include a notice, cure and assumption provision acceptable to Lender. Upon an Event of Default, Borrower shall, upon Lender's request, assign the Construction Contract and the architect's agreement to Lender or to Lender's designee, free and clear of any claim of Borrower.</w:t>
      </w:r>
    </w:p>
    <w:p>
      <w:pPr>
        <w:pStyle w:val="Heading2"/>
      </w:pPr>
      <w:r>
        <w:rPr>
          <w:rFonts w:ascii="Times New Roman" w:hAnsi="Times New Roman"/>
          <w:b/>
          <w:sz w:val="22"/>
        </w:rPr>
        <w:t>Section 10.5  Insurance Proceeds and Condemnation Awards</w:t>
      </w:r>
    </w:p>
    <w:p>
      <w:r>
        <w:rPr>
          <w:rFonts w:ascii="Times New Roman" w:hAnsi="Times New Roman"/>
          <w:b w:val="0"/>
          <w:i w:val="0"/>
        </w:rPr>
        <w:t>Borrower shall collaterally assign to Lender all Insurance Proceeds and all awards, damages and compensation payable on account of any condemnation, expropriation or other taking of the Property or any part thereof, and shall hold any such amounts in trust for Lender pending Lender's determination under Article XVI.</w:t>
      </w:r>
    </w:p>
    <w:p>
      <w:pPr>
        <w:pStyle w:val="Heading2"/>
      </w:pPr>
      <w:r>
        <w:rPr>
          <w:rFonts w:ascii="Times New Roman" w:hAnsi="Times New Roman"/>
          <w:b/>
          <w:sz w:val="22"/>
        </w:rPr>
        <w:t>Section 10.6  Pledge of Membership Interests</w:t>
      </w:r>
    </w:p>
    <w:p>
      <w:pPr>
        <w:tabs>
          <w:tab w:pos="504" w:val="left"/>
        </w:tabs>
        <w:spacing w:after="140"/>
        <w:ind w:left="504" w:hanging="504"/>
      </w:pPr>
      <w:r>
        <w:rPr>
          <w:rFonts w:ascii="Times New Roman" w:hAnsi="Times New Roman"/>
          <w:b w:val="0"/>
        </w:rPr>
        <w:t>(a)</w:t>
        <w:tab/>
      </w:r>
      <w:r>
        <w:rPr>
          <w:rFonts w:ascii="Times New Roman" w:hAnsi="Times New Roman"/>
          <w:b w:val="0"/>
          <w:i w:val="0"/>
        </w:rPr>
        <w:t>Each member of Borrower shall pledge to Lender one hundred percent (100%) of its membership interest in Borrower pursuant to a Membership Interest Pledge, as follows: Elena Vasquez-Torres, a 62% membership interest; Brightleaf Investors Group LLC, a 28% membership interest; and Reginald K. Osei, a 10% membership interest.</w:t>
      </w:r>
    </w:p>
    <w:p>
      <w:pPr>
        <w:tabs>
          <w:tab w:pos="504" w:val="left"/>
        </w:tabs>
        <w:spacing w:after="140"/>
        <w:ind w:left="504" w:hanging="504"/>
      </w:pPr>
      <w:r>
        <w:rPr>
          <w:rFonts w:ascii="Times New Roman" w:hAnsi="Times New Roman"/>
          <w:b w:val="0"/>
        </w:rPr>
        <w:t>(b)</w:t>
        <w:tab/>
      </w:r>
      <w:r>
        <w:rPr>
          <w:rFonts w:ascii="Times New Roman" w:hAnsi="Times New Roman"/>
          <w:b w:val="0"/>
          <w:i w:val="0"/>
        </w:rPr>
        <w:t>The Membership Interest Pledges shall constitute a first priority security interest in the pledged membership interests, subject only to the subordinated pledge in favor of Mezzanine Lender permitted by the Intercreditor Agreement. Borrower and each member acknowledge that the pledge to Mezzanine Lender of the same membership interests, as described in Section 1.4 of the Term Sheet and in the organizational materials delivered to Lender, is in conflict with Section 8 of the Term Sheet and with this Section, and that the only permitted resolution is the subordination of the Mezzanine Lender's pledge under the Intercreditor Agreement.</w:t>
      </w:r>
    </w:p>
    <w:p>
      <w:pPr>
        <w:tabs>
          <w:tab w:pos="504" w:val="left"/>
        </w:tabs>
        <w:spacing w:after="140"/>
        <w:ind w:left="504" w:hanging="504"/>
      </w:pPr>
      <w:r>
        <w:rPr>
          <w:rFonts w:ascii="Times New Roman" w:hAnsi="Times New Roman"/>
          <w:b w:val="0"/>
        </w:rPr>
        <w:t>(c)</w:t>
        <w:tab/>
      </w:r>
      <w:r>
        <w:rPr>
          <w:rFonts w:ascii="Times New Roman" w:hAnsi="Times New Roman"/>
          <w:b w:val="0"/>
          <w:i w:val="0"/>
        </w:rPr>
        <w:t>The Operating Agreement of Borrower provides that a member may pledge its membership interest only with the written approval of the Managing Member. Borrower shall deliver such approval, and the written consent of the members holding not less than seventy-five percent (75%) of the membership interests to each pledge, as a condition to Closing under Section 3.9.</w:t>
      </w:r>
    </w:p>
    <w:p>
      <w:pPr>
        <w:tabs>
          <w:tab w:pos="504" w:val="left"/>
        </w:tabs>
        <w:spacing w:after="140"/>
        <w:ind w:left="504" w:hanging="504"/>
      </w:pPr>
      <w:r>
        <w:rPr>
          <w:rFonts w:ascii="Times New Roman" w:hAnsi="Times New Roman"/>
          <w:b w:val="0"/>
        </w:rPr>
        <w:t>(d)</w:t>
        <w:tab/>
      </w:r>
      <w:r>
        <w:rPr>
          <w:rFonts w:ascii="Times New Roman" w:hAnsi="Times New Roman"/>
          <w:b w:val="0"/>
          <w:i w:val="0"/>
        </w:rPr>
        <w:t>If any membership interest is evidenced by a certificate, Borrower shall cause each certificate to be delivered to Lender together with an undated assignment separate from certificate, and Borrower shall amend its operating agreement and articles of organization as necessary to provide that the pledged membership interests are certificated and subject to the pledge. If any pledged membership interest is uncertificated, Lender's security interest in the UCC § 8-102 general intangibles or in the uncertificated interests, as the case may be, shall be perfected by the filing of UCC-1 financing statements against the applicable pledgor and the applicable debtor.</w:t>
      </w:r>
    </w:p>
    <w:p>
      <w:pPr>
        <w:pStyle w:val="Heading2"/>
      </w:pPr>
      <w:r>
        <w:rPr>
          <w:rFonts w:ascii="Times New Roman" w:hAnsi="Times New Roman"/>
          <w:b/>
          <w:sz w:val="22"/>
        </w:rPr>
        <w:t>Section 10.7  Intercreditor Matters; Mezzanine Loan</w:t>
      </w:r>
    </w:p>
    <w:p>
      <w:r>
        <w:rPr>
          <w:rFonts w:ascii="Times New Roman" w:hAnsi="Times New Roman"/>
          <w:b w:val="0"/>
          <w:i w:val="0"/>
        </w:rPr>
        <w:t>The lien and security interest of Mezzanine Lender in the membership interests shall be subordinate and junior in all respects to the liens and security interests of Lender, as provided in the Intercreditor Agreement. Borrower acknowledges that Lender would not make the Loan without the Intercreditor Agreement in effect, that the Intercreditor Agreement is for the benefit of Lender and Mezzanine Lender, and that Borrower has no right to enforce any provision of the Intercreditor Agreement. Borrower shall not take any action, and shall not permit any member to take any action, that would cause the Mezzanine Loan to be in default or that would give Mezzanine Lender any right to exercise remedies against the membership interests.</w:t>
      </w:r>
    </w:p>
    <w:p>
      <w:pPr>
        <w:pStyle w:val="Heading2"/>
      </w:pPr>
      <w:r>
        <w:rPr>
          <w:rFonts w:ascii="Times New Roman" w:hAnsi="Times New Roman"/>
          <w:b/>
          <w:sz w:val="22"/>
        </w:rPr>
        <w:t>Section 10.8  Further Assurances; Protection of Collateral</w:t>
      </w:r>
    </w:p>
    <w:p>
      <w:r>
        <w:rPr>
          <w:rFonts w:ascii="Times New Roman" w:hAnsi="Times New Roman"/>
          <w:b w:val="0"/>
          <w:i w:val="0"/>
        </w:rPr>
        <w:t>Borrower shall execute, deliver, record and file such further instruments and take such further action as Lender may reasonably request to create, perfect, maintain and evidence the first priority of Lender's liens and security interests, including UCC continuation statements, title date-down endorsements, estoppel certificates, landlord and mortgagee waivers, consents to assignment, and, upon Lender's request, an assignment of the Soil Management Plan and all environmental permits and approvals relating to the Affected Area.</w:t>
      </w:r>
    </w:p>
    <w:p>
      <w:pPr>
        <w:pStyle w:val="Heading2"/>
      </w:pPr>
      <w:r>
        <w:rPr>
          <w:rFonts w:ascii="Times New Roman" w:hAnsi="Times New Roman"/>
          <w:b/>
          <w:sz w:val="22"/>
        </w:rPr>
        <w:t>Section 10.9  Release of Collateral</w:t>
      </w:r>
    </w:p>
    <w:p>
      <w:r>
        <w:rPr>
          <w:rFonts w:ascii="Times New Roman" w:hAnsi="Times New Roman"/>
          <w:b w:val="0"/>
          <w:i w:val="0"/>
        </w:rPr>
        <w:t>Lender shall release the lien of the Deed of Trust and the other security interests upon payment in full of the Loan and all other amounts payable under the Loan Documents and the expiration of all applicable periods under Section 18.4 and the Environmental Indemnity. Lender may release portions of the Collateral only with Lender's written consent and on terms approved by Lender. No release of any collateral, and no sale, transfer or other disposition of any collateral, shall relieve Borrower or any Guarantor of any obligation under the Loan Documents.</w:t>
      </w:r>
    </w:p>
    <w:p>
      <w:pPr>
        <w:pStyle w:val="Heading1"/>
        <w:spacing w:before="360"/>
      </w:pPr>
      <w:r>
        <w:rPr>
          <w:rFonts w:ascii="Times New Roman" w:hAnsi="Times New Roman"/>
          <w:b/>
          <w:sz w:val="24"/>
        </w:rPr>
        <w:t>ARTICLE XI — GUARANTIES AND ENVIRONMENTAL INDEMNITY</w:t>
      </w:r>
    </w:p>
    <w:p>
      <w:pPr>
        <w:pStyle w:val="Heading2"/>
      </w:pPr>
      <w:r>
        <w:rPr>
          <w:rFonts w:ascii="Times New Roman" w:hAnsi="Times New Roman"/>
          <w:b/>
          <w:sz w:val="22"/>
        </w:rPr>
        <w:t>Section 11.1  Completion Guaranty</w:t>
      </w:r>
    </w:p>
    <w:p>
      <w:r>
        <w:rPr>
          <w:rFonts w:ascii="Times New Roman" w:hAnsi="Times New Roman"/>
          <w:b w:val="0"/>
          <w:i w:val="0"/>
        </w:rPr>
        <w:t>Each Guarantor shall execute and deliver the Completion Guaranty, pursuant to which the Guarantors, jointly and severally, guarantee to Lender the lien-free completion of the Project in accordance with the Approved Plans and Specifications, the Approved Project Budget and the Draw Schedule, on or before the Construction Maturity Date, and the payment of all costs of such completion, including all costs of the Vapor Mitigation System, the Soil Management Plan and any environmental remediation required by the NFA Letter or any governmental authority. The Completion Guaranty shall remain in full force and effect until (a) Substantial Completion, (b) issuance of a final unconditional certificate of occupancy for all residential units and retail space, (c) release or bonding of all mechanics' and materialmen's liens, and (d) delivery to NCDEQ of the as-built drawings and performance verification for the Vapor Mitigation System.</w:t>
      </w:r>
    </w:p>
    <w:p>
      <w:pPr>
        <w:pStyle w:val="Heading2"/>
      </w:pPr>
      <w:r>
        <w:rPr>
          <w:rFonts w:ascii="Times New Roman" w:hAnsi="Times New Roman"/>
          <w:b/>
          <w:sz w:val="22"/>
        </w:rPr>
        <w:t>Section 11.2  Carry Guaranty</w:t>
      </w:r>
    </w:p>
    <w:p>
      <w:r>
        <w:rPr>
          <w:rFonts w:ascii="Times New Roman" w:hAnsi="Times New Roman"/>
          <w:b w:val="0"/>
          <w:i w:val="0"/>
        </w:rPr>
        <w:t>Each Guarantor shall execute and deliver the Carry Guaranty, pursuant to which the Guarantors, jointly and severally, guarantee to Lender the payment of interest on the Loan and all other carrying costs of the Property and the Project during the term of the Loan, including real estate taxes, insurance premiums, utilities, ground rents (if any), assessments under the Brightleaf Historic District Declaration, and Lender's expenses under Section 18.2. The Carry Guaranty is in addition to, and not in lieu of, the Interest Reserve, and shall be applicable to any interest and carrying costs that accrue after the Interest Reserve is exhausted or that exceed the amount available in the Interest Reserve. The Carry Guaranty shall not be reduced by any limitation on the amount of the Loan remaining undisbursed.</w:t>
      </w:r>
    </w:p>
    <w:p>
      <w:pPr>
        <w:pStyle w:val="Heading2"/>
      </w:pPr>
      <w:r>
        <w:rPr>
          <w:rFonts w:ascii="Times New Roman" w:hAnsi="Times New Roman"/>
          <w:b/>
          <w:sz w:val="22"/>
        </w:rPr>
        <w:t>Section 11.3  Partial Repayment Guaranty</w:t>
      </w:r>
    </w:p>
    <w:p>
      <w:pPr>
        <w:tabs>
          <w:tab w:pos="504" w:val="left"/>
        </w:tabs>
        <w:spacing w:after="140"/>
        <w:ind w:left="504" w:hanging="504"/>
      </w:pPr>
      <w:r>
        <w:rPr>
          <w:rFonts w:ascii="Times New Roman" w:hAnsi="Times New Roman"/>
          <w:b w:val="0"/>
        </w:rPr>
        <w:t>(a)</w:t>
        <w:tab/>
      </w:r>
      <w:r>
        <w:rPr>
          <w:rFonts w:ascii="Times New Roman" w:hAnsi="Times New Roman"/>
          <w:b w:val="0"/>
          <w:i w:val="0"/>
        </w:rPr>
        <w:t>Each Guarantor shall execute and deliver the Partial Repayment Guaranty, pursuant to which the Guarantors, jointly and severally, guarantee to Lender the repayment of a portion of the Loan equal to twenty-five percent (25%) of the Loan Amount.</w:t>
      </w:r>
    </w:p>
    <w:p>
      <w:pPr>
        <w:tabs>
          <w:tab w:pos="504" w:val="left"/>
        </w:tabs>
        <w:spacing w:after="140"/>
        <w:ind w:left="504" w:hanging="504"/>
      </w:pPr>
      <w:r>
        <w:rPr>
          <w:rFonts w:ascii="Times New Roman" w:hAnsi="Times New Roman"/>
          <w:b w:val="0"/>
        </w:rPr>
        <w:t>(b)</w:t>
        <w:tab/>
      </w:r>
      <w:r>
        <w:rPr>
          <w:rFonts w:ascii="Times New Roman" w:hAnsi="Times New Roman"/>
          <w:b w:val="0"/>
          <w:i w:val="0"/>
        </w:rPr>
        <w:t>The aggregate liability of the Guarantors under the Partial Repayment Guaranty shall not exceed $11,875,000 (being 25% of $47,500,000) in the aggregate for all Guarantors, and shall not be $11,875,000 per Guarantor. Payment by any Guarantor shall reduce, dollar for dollar, the aggregate amount recoverable from all Guarantors. Lender may proceed against any Guarantor for the full amount, but in no event shall Lender collect more than $11,875,000 in the aggregate under the Partial Repayment Guaranty.</w:t>
      </w:r>
    </w:p>
    <w:p>
      <w:pPr>
        <w:tabs>
          <w:tab w:pos="504" w:val="left"/>
        </w:tabs>
        <w:spacing w:after="140"/>
        <w:ind w:left="504" w:hanging="504"/>
      </w:pPr>
      <w:r>
        <w:rPr>
          <w:rFonts w:ascii="Times New Roman" w:hAnsi="Times New Roman"/>
          <w:b w:val="0"/>
        </w:rPr>
        <w:t>(c)</w:t>
        <w:tab/>
      </w:r>
      <w:r>
        <w:rPr>
          <w:rFonts w:ascii="Times New Roman" w:hAnsi="Times New Roman"/>
          <w:b w:val="0"/>
          <w:i w:val="0"/>
        </w:rPr>
        <w:t>The obligation of each Guarantor under the Partial Repayment Guaranty shall be reduced by the amount of any net recovery actually received by Lender from the realization on the Collateral, determined after deducting all costs and expenses of realization (including attorneys' fees) and, in the case of a foreclosure, after giving effect to any determination of fair value under N.C.G.S. § 45-21.36. [Drafting Note: Section 7.3 of the Term Sheet and Section 4.3 of the Credit Memorandum describe the Partial Repayment Guaranty inconsistently, the Credit Memorandum referring to “$11,875,000 per guarantor” and describing a payment guaranty triggered by “a payment default or other event of default.” The parties must elect between a 25% recourse/loss guaranty and a full payment guaranty in that amount. See Cover Memorandum Issue No. 16.]</w:t>
      </w:r>
    </w:p>
    <w:p>
      <w:pPr>
        <w:pStyle w:val="Heading2"/>
      </w:pPr>
      <w:r>
        <w:rPr>
          <w:rFonts w:ascii="Times New Roman" w:hAnsi="Times New Roman"/>
          <w:b/>
          <w:sz w:val="22"/>
        </w:rPr>
        <w:t>Section 11.4  Recourse Carve-Outs (Bad Boy Acts)</w:t>
      </w:r>
    </w:p>
    <w:p>
      <w:r>
        <w:rPr>
          <w:rFonts w:ascii="Times New Roman" w:hAnsi="Times New Roman"/>
          <w:b w:val="0"/>
          <w:i w:val="0"/>
        </w:rPr>
        <w:t>The Partial Repayment Guaranty is a limited recourse obligation except that, upon the occurrence of any of the following (each, a “Recourse Event”), the Guarantors shall be liable on a joint and several basis for the entire outstanding principal balance of the Loan, all accrued and unpaid interest, all fees (including the Exit Fee), all costs and expenses of enforcement, and all other amounts payable under the Loan Documents, without limitation to the $11,875,000 cap:</w:t>
      </w:r>
    </w:p>
    <w:p>
      <w:pPr>
        <w:tabs>
          <w:tab w:pos="792" w:val="left"/>
        </w:tabs>
        <w:spacing w:after="140"/>
        <w:ind w:left="792" w:hanging="360"/>
      </w:pPr>
      <w:r>
        <w:rPr>
          <w:rFonts w:ascii="Times New Roman" w:hAnsi="Times New Roman"/>
          <w:b w:val="0"/>
        </w:rPr>
        <w:t>(a)</w:t>
        <w:tab/>
      </w:r>
      <w:r>
        <w:rPr>
          <w:rFonts w:ascii="Times New Roman" w:hAnsi="Times New Roman"/>
          <w:b w:val="0"/>
          <w:i w:val="0"/>
        </w:rPr>
        <w:t>fraud, intentional misrepresentation, material misstatement or omission, or willful misconduct by Borrower, any member of Borrower, any Guarantor or any of their Affiliates, in connection with the Loan, the Project or any Loan Document;</w:t>
      </w:r>
    </w:p>
    <w:p>
      <w:pPr>
        <w:tabs>
          <w:tab w:pos="792" w:val="left"/>
        </w:tabs>
        <w:spacing w:after="140"/>
        <w:ind w:left="792" w:hanging="360"/>
      </w:pPr>
      <w:r>
        <w:rPr>
          <w:rFonts w:ascii="Times New Roman" w:hAnsi="Times New Roman"/>
          <w:b w:val="0"/>
        </w:rPr>
        <w:t>(a)</w:t>
        <w:tab/>
      </w:r>
      <w:r>
        <w:rPr>
          <w:rFonts w:ascii="Times New Roman" w:hAnsi="Times New Roman"/>
          <w:b w:val="0"/>
          <w:i w:val="0"/>
        </w:rPr>
        <w:t>any voluntary bankruptcy, insolvency, receivership or reorganization filing or proceeding by or on behalf of Borrower, any Guarantor or any member of Borrower, or any collusive involuntary filing, or any admission of insolvency or general assignment for the benefit of creditors;</w:t>
      </w:r>
    </w:p>
    <w:p>
      <w:pPr>
        <w:tabs>
          <w:tab w:pos="792" w:val="left"/>
        </w:tabs>
        <w:spacing w:after="140"/>
        <w:ind w:left="792" w:hanging="360"/>
      </w:pPr>
      <w:r>
        <w:rPr>
          <w:rFonts w:ascii="Times New Roman" w:hAnsi="Times New Roman"/>
          <w:b w:val="0"/>
        </w:rPr>
        <w:t>(a)</w:t>
        <w:tab/>
      </w:r>
      <w:r>
        <w:rPr>
          <w:rFonts w:ascii="Times New Roman" w:hAnsi="Times New Roman"/>
          <w:b w:val="0"/>
          <w:i w:val="0"/>
        </w:rPr>
        <w:t>any sale, transfer, pledge, encumbrance or other disposition of the Property, the Project, any membership interest in Borrower or any material asset of Borrower in violation of the Loan Documents;</w:t>
      </w:r>
    </w:p>
    <w:p>
      <w:pPr>
        <w:tabs>
          <w:tab w:pos="792" w:val="left"/>
        </w:tabs>
        <w:spacing w:after="140"/>
        <w:ind w:left="792" w:hanging="360"/>
      </w:pPr>
      <w:r>
        <w:rPr>
          <w:rFonts w:ascii="Times New Roman" w:hAnsi="Times New Roman"/>
          <w:b w:val="0"/>
        </w:rPr>
        <w:t>(a)</w:t>
        <w:tab/>
      </w:r>
      <w:r>
        <w:rPr>
          <w:rFonts w:ascii="Times New Roman" w:hAnsi="Times New Roman"/>
          <w:b w:val="0"/>
          <w:i w:val="0"/>
        </w:rPr>
        <w:t>any release, disposal, migration or presence of Hazardous Materials at, on, under or from the Property, or any violation of any Environmental Law or of any condition of the NFA Letter, in each case caused or permitted by Borrower, any Guarantor, any member of Borrower or any of their Affiliates or contractors;</w:t>
      </w:r>
    </w:p>
    <w:p>
      <w:pPr>
        <w:tabs>
          <w:tab w:pos="792" w:val="left"/>
        </w:tabs>
        <w:spacing w:after="140"/>
        <w:ind w:left="792" w:hanging="360"/>
      </w:pPr>
      <w:r>
        <w:rPr>
          <w:rFonts w:ascii="Times New Roman" w:hAnsi="Times New Roman"/>
          <w:b w:val="0"/>
        </w:rPr>
        <w:t>(a)</w:t>
        <w:tab/>
      </w:r>
      <w:r>
        <w:rPr>
          <w:rFonts w:ascii="Times New Roman" w:hAnsi="Times New Roman"/>
          <w:b w:val="0"/>
          <w:i w:val="0"/>
        </w:rPr>
        <w:t>the failure to maintain the Vapor Mitigation System, the Soil Management Plan, the recorded deed notice or the non-residential use restriction in the Affected Area, or any use of the Affected Area for residential purposes in violation of the NFA Letter;</w:t>
      </w:r>
    </w:p>
    <w:p>
      <w:pPr>
        <w:tabs>
          <w:tab w:pos="792" w:val="left"/>
        </w:tabs>
        <w:spacing w:after="140"/>
        <w:ind w:left="792" w:hanging="360"/>
      </w:pPr>
      <w:r>
        <w:rPr>
          <w:rFonts w:ascii="Times New Roman" w:hAnsi="Times New Roman"/>
          <w:b w:val="0"/>
        </w:rPr>
        <w:t>(a)</w:t>
        <w:tab/>
      </w:r>
      <w:r>
        <w:rPr>
          <w:rFonts w:ascii="Times New Roman" w:hAnsi="Times New Roman"/>
          <w:b w:val="0"/>
          <w:i w:val="0"/>
        </w:rPr>
        <w:t>any material violation of the SPE Covenants, including the failure to maintain separate books, records and accounts, any commingling of funds, or the failure to obtain the independent manager's consent to a bankruptcy filing;</w:t>
      </w:r>
    </w:p>
    <w:p>
      <w:pPr>
        <w:tabs>
          <w:tab w:pos="792" w:val="left"/>
        </w:tabs>
        <w:spacing w:after="140"/>
        <w:ind w:left="792" w:hanging="360"/>
      </w:pPr>
      <w:r>
        <w:rPr>
          <w:rFonts w:ascii="Times New Roman" w:hAnsi="Times New Roman"/>
          <w:b w:val="0"/>
        </w:rPr>
        <w:t>(a)</w:t>
        <w:tab/>
      </w:r>
      <w:r>
        <w:rPr>
          <w:rFonts w:ascii="Times New Roman" w:hAnsi="Times New Roman"/>
          <w:b w:val="0"/>
          <w:i w:val="0"/>
        </w:rPr>
        <w:t>waste, arson, physical injury to or destruction of the Property, or the misapplication or conversion of rents, Insurance Proceeds, condemnation awards, tenant security deposits, the Interest Reserve, the Equity Contribution or any other collateral or funds held in trust;</w:t>
      </w:r>
    </w:p>
    <w:p>
      <w:pPr>
        <w:tabs>
          <w:tab w:pos="792" w:val="left"/>
        </w:tabs>
        <w:spacing w:after="140"/>
        <w:ind w:left="792" w:hanging="360"/>
      </w:pPr>
      <w:r>
        <w:rPr>
          <w:rFonts w:ascii="Times New Roman" w:hAnsi="Times New Roman"/>
          <w:b w:val="0"/>
        </w:rPr>
        <w:t>(a)</w:t>
        <w:tab/>
      </w:r>
      <w:r>
        <w:rPr>
          <w:rFonts w:ascii="Times New Roman" w:hAnsi="Times New Roman"/>
          <w:b w:val="0"/>
          <w:i w:val="0"/>
        </w:rPr>
        <w:t>any failure to pay real estate taxes, assessments or insurance premiums, or any failure to maintain the insurance required by Schedule 5; and</w:t>
      </w:r>
    </w:p>
    <w:p>
      <w:pPr>
        <w:tabs>
          <w:tab w:pos="792" w:val="left"/>
        </w:tabs>
        <w:spacing w:after="140"/>
        <w:ind w:left="792" w:hanging="360"/>
      </w:pPr>
      <w:r>
        <w:rPr>
          <w:rFonts w:ascii="Times New Roman" w:hAnsi="Times New Roman"/>
          <w:b w:val="0"/>
        </w:rPr>
        <w:t>(a)</w:t>
        <w:tab/>
      </w:r>
      <w:r>
        <w:rPr>
          <w:rFonts w:ascii="Times New Roman" w:hAnsi="Times New Roman"/>
          <w:b w:val="0"/>
          <w:i w:val="0"/>
        </w:rPr>
        <w:t>any amendment, modification or waiver of the Loan Documents, or any other act, in each case in violation of the Loan Documents and to the material detriment of Lender.</w:t>
      </w:r>
    </w:p>
    <w:p>
      <w:r>
        <w:rPr>
          <w:rFonts w:ascii="Times New Roman" w:hAnsi="Times New Roman"/>
          <w:b w:val="0"/>
          <w:i w:val="0"/>
        </w:rPr>
        <w:t>The provisions of this Section are intended to define the circumstances in which the limitation on recourse is inapplicable, and shall not be construed to limit the liability of any Guarantor for fraud or for any other obligation that may not be waived or limited as a matter of applicable law.</w:t>
      </w:r>
    </w:p>
    <w:p>
      <w:pPr>
        <w:pStyle w:val="Heading2"/>
      </w:pPr>
      <w:r>
        <w:rPr>
          <w:rFonts w:ascii="Times New Roman" w:hAnsi="Times New Roman"/>
          <w:b/>
          <w:sz w:val="22"/>
        </w:rPr>
        <w:t>Section 11.5  Environmental Indemnity</w:t>
      </w:r>
    </w:p>
    <w:p>
      <w:r>
        <w:rPr>
          <w:rFonts w:ascii="Times New Roman" w:hAnsi="Times New Roman"/>
          <w:b w:val="0"/>
          <w:i w:val="0"/>
        </w:rPr>
        <w:t>Borrower and each Guarantor shall execute and deliver the Environmental Indemnity, pursuant to which they shall, jointly and severally, indemnify, defend and hold harmless the Lender Parties from and against all losses, liabilities, damages, penalties, fines, costs, expenses (including reasonable attorneys', consultants' and engineers' fees), remediation costs, diminution in value, response costs and claims arising out of or relating to (a) the presence, release, threatened release, storage, transport or disposal of Hazardous Materials at, on, under or from the Property, whenever occurring, including the condition described in the Phase I ESA and the Phase II ESA; (b) the Affected Area, the Vapor Mitigation System, the Soil Management Plan or the deed notice; (c) any violation of any Environmental Law with respect to the Property; (d) any failure to comply with any condition of the NFA Letter; and (e) any claim asserted by any tenant, occupant, purchaser or governmental authority arising out of any of the foregoing. The Environmental Indemnity shall be unlimited in amount, shall not be subject to any limitation on recourse, and shall survive repayment of the Loan, the release or reconveyance of the Deed of Trust, foreclosure, deed in lieu of foreclosure and any transfer of the Property.</w:t>
      </w:r>
    </w:p>
    <w:p>
      <w:r>
        <w:rPr>
          <w:rFonts w:ascii="Times New Roman" w:hAnsi="Times New Roman"/>
          <w:b w:val="0"/>
          <w:i w:val="0"/>
        </w:rPr>
        <w:t>[Drafting Note: Section 7.4 of the Term Sheet describes the Environmental Indemnity as guaranteed by each Guarantor; Section 8.2 of the Credit Memorandum requires it from the Borrower and the Guarantors. This Section follows the Credit Memorandum. See Cover Memorandum Issue No. 16.]</w:t>
      </w:r>
    </w:p>
    <w:p>
      <w:pPr>
        <w:pStyle w:val="Heading2"/>
      </w:pPr>
      <w:r>
        <w:rPr>
          <w:rFonts w:ascii="Times New Roman" w:hAnsi="Times New Roman"/>
          <w:b/>
          <w:sz w:val="22"/>
        </w:rPr>
        <w:t>Section 11.6  Guarantor Waivers; Joint and Several Liability</w:t>
      </w:r>
    </w:p>
    <w:p>
      <w:r>
        <w:rPr>
          <w:rFonts w:ascii="Times New Roman" w:hAnsi="Times New Roman"/>
          <w:b w:val="0"/>
          <w:i w:val="0"/>
        </w:rPr>
        <w:t>Each Guarantor's obligations under the Guaranties are primary, absolute, unconditional and joint and several and shall not be affected by any extension, renewal, modification or amendment of the Loan Documents; any release, substitution or impairment of any collateral; any bankruptcy, insolvency or reorganization of Borrower or any other Guarantor; the failure of Lender to perfect any security interest; the invalidity or unenforceability of any Loan Document against Borrower; or any other circumstance that might otherwise constitute a defense. Each Guarantor waives notice of acceptance, presentment, demand, protest, notice of dishonor, notice of default, notice of acceleration, and all defenses based on suretyship and the statutes of limitations to the fullest extent permitted by applicable law, including the provisions of Article 3 of the Uniform Commercial Code as in effect in North Carolina and the suretyship defenses codified in N.C.G.S. § 26-7, to the extent such waivers are enforceable.</w:t>
      </w:r>
    </w:p>
    <w:p>
      <w:pPr>
        <w:pStyle w:val="Heading2"/>
      </w:pPr>
      <w:r>
        <w:rPr>
          <w:rFonts w:ascii="Times New Roman" w:hAnsi="Times New Roman"/>
          <w:b/>
          <w:sz w:val="22"/>
        </w:rPr>
        <w:t>Section 11.7  Subordination of Guarantor Claims</w:t>
      </w:r>
    </w:p>
    <w:p>
      <w:r>
        <w:rPr>
          <w:rFonts w:ascii="Times New Roman" w:hAnsi="Times New Roman"/>
          <w:b w:val="0"/>
          <w:i w:val="0"/>
        </w:rPr>
        <w:t>All claims of any Guarantor against Borrower, whether now existing or hereafter arising, are and shall be subordinate in right of payment and in all other respects to the prior payment in full of all amounts payable under the Loan Documents, and each Guarantor shall not accept any payment on any such claim while any amount remains outstanding under the Loan Documents.</w:t>
      </w:r>
    </w:p>
    <w:p>
      <w:pPr>
        <w:pStyle w:val="Heading2"/>
      </w:pPr>
      <w:r>
        <w:rPr>
          <w:rFonts w:ascii="Times New Roman" w:hAnsi="Times New Roman"/>
          <w:b/>
          <w:sz w:val="22"/>
        </w:rPr>
        <w:t>Section 11.8  North Carolina Deficiency and Fair Value Matters</w:t>
      </w:r>
    </w:p>
    <w:p>
      <w:r>
        <w:rPr>
          <w:rFonts w:ascii="Times New Roman" w:hAnsi="Times New Roman"/>
          <w:b w:val="0"/>
          <w:i w:val="0"/>
        </w:rPr>
        <w:t>The parties acknowledge that real property foreclosure in North Carolina is conducted by the Trustee under a power of sale in a special proceeding before the Clerk of Superior Court pursuant to Article 2A of Chapter 45 of the North Carolina General Statutes, that a deficiency determination is subject to the fair value provisions of N.C.G.S. § 45-21.36 and the upset bid procedures of N.C.G.S. § 45-21.27 et seq., and that Lender's recovery from the Guarantors may be affected by the outcome of those proceedings. Lender may elect to pursue the Guarantors and the Collateral simultaneously, in any order, and no election of remedies shall operate as a waiver of any right of Lender. [Drafting Note: Section 4.3 of the Credit Memorandum characterizes North Carolina as a “judicial foreclosure state.” Counsel should confirm the accuracy of that characterization and its consistency with the Deed of Trust and the Credit Memorandum's discussion of anti-deficiency protections before the credit file is finalized. See Cover Memorandum Issue No. 21.]</w:t>
      </w:r>
    </w:p>
    <w:p>
      <w:pPr>
        <w:pStyle w:val="Heading1"/>
        <w:spacing w:before="360"/>
      </w:pPr>
      <w:r>
        <w:rPr>
          <w:rFonts w:ascii="Times New Roman" w:hAnsi="Times New Roman"/>
          <w:b/>
          <w:sz w:val="24"/>
        </w:rPr>
        <w:t>ARTICLE XII — ENVIRONMENTAL MATTERS</w:t>
      </w:r>
    </w:p>
    <w:p>
      <w:pPr>
        <w:pStyle w:val="Heading2"/>
      </w:pPr>
      <w:r>
        <w:rPr>
          <w:rFonts w:ascii="Times New Roman" w:hAnsi="Times New Roman"/>
          <w:b/>
          <w:sz w:val="22"/>
        </w:rPr>
        <w:t>Section 12.1  Acknowledgement of Environmental Condition</w:t>
      </w:r>
    </w:p>
    <w:p>
      <w:r>
        <w:rPr>
          <w:rFonts w:ascii="Times New Roman" w:hAnsi="Times New Roman"/>
          <w:b w:val="0"/>
          <w:i w:val="0"/>
        </w:rPr>
        <w:t>Borrower and each Guarantor acknowledge that Lender has made the Loan in reliance on the Phase I ESA, the Phase II ESA, the NFA Letter and Borrower's representations in Section 6.10 and Section 6.11; that residual petroleum contamination remains in soil at the Affected Area at concentrations exceeding the NCDEQ residential Preliminary Soil Remediation Goals, including TPH-DRO at up to 847 mg/kg (against a residential goal of 100 mg/kg) and benzene at up to 0.42 mg/kg (against a residential goal of 0.065 mg/kg); that soil gas benzene at up to 185 µg/m³ exceeds the NCDEQ residential vapor intrusion screening level of 31 µg/m³ by approximately six times; and that the NFA Letter does not constitute a clean closure and may be reopened. Borrower shall not, in any lease, purchase and sale agreement, condominium declaration, offering document or disclosure to any tenant or purchaser, misstate the status of the environmental condition of the Property or the scope of the NFA Letter.</w:t>
      </w:r>
    </w:p>
    <w:p>
      <w:pPr>
        <w:pStyle w:val="Heading2"/>
      </w:pPr>
      <w:r>
        <w:rPr>
          <w:rFonts w:ascii="Times New Roman" w:hAnsi="Times New Roman"/>
          <w:b/>
          <w:sz w:val="22"/>
        </w:rPr>
        <w:t>Section 12.2  Affected Area; Non-Residential Use Restriction</w:t>
      </w:r>
    </w:p>
    <w:p>
      <w:r>
        <w:rPr>
          <w:rFonts w:ascii="Times New Roman" w:hAnsi="Times New Roman"/>
          <w:b w:val="0"/>
          <w:i w:val="0"/>
        </w:rPr>
        <w:t>Borrower shall not use, and shall not permit the use of, the Affected Area for any residential purpose, and shall not construct or permit to be constructed any dwelling unit within the Affected Area, unless and until (a) NCDEQ has issued a written modification of the NFA Letter expressly permitting residential use of the Affected Area, (b) Borrower has delivered to Lender an environmental consultant's report and, if required, a risk assessment demonstrating that residential use is protective of human health under a residential exposure scenario, (c) the Title Company has insured over any recorded land use restriction to Lender's satisfaction, and (d) Lender has consented in writing. Borrower shall incorporate the restriction into all construction drawings, the Construction Contract, its leasing materials and any unit-level disclosure, and shall cause the Architect to depict the Affected Area boundary on the approved floor plans for levels 1 through 6.</w:t>
      </w:r>
    </w:p>
    <w:p>
      <w:pPr>
        <w:pStyle w:val="Heading2"/>
      </w:pPr>
      <w:r>
        <w:rPr>
          <w:rFonts w:ascii="Times New Roman" w:hAnsi="Times New Roman"/>
          <w:b/>
          <w:sz w:val="22"/>
        </w:rPr>
        <w:t>Section 12.3  Soil Vapor Mitigation System</w:t>
      </w:r>
    </w:p>
    <w:p>
      <w:r>
        <w:rPr>
          <w:rFonts w:ascii="Times New Roman" w:hAnsi="Times New Roman"/>
          <w:b w:val="0"/>
          <w:i w:val="0"/>
        </w:rPr>
        <w:t>Borrower shall cause the Vapor Mitigation System to be (a) designed by a professional engineer licensed in North Carolina, (b) constructed as a passive sub-slab depressurization system with the capability of conversion to an active depressurization system, (c) installed beneath every enclosed structure constructed over the Affected Area, in accordance with Condition 1 of the NFA Letter and the NCDEQ Division of Waste Management vapor intrusion guidance, (d) commissioned and tested prior to occupancy of any space above the Affected Area, and (e) submitted to NCDEQ, together with as-built drawings and a performance verification report, within ninety (90) days after completion of the building foundation in the Affected Area. Borrower shall deliver copies of all such submissions and of all NCDEQ responses to Lender within five (5) Business Days. Borrower shall maintain, operate, test and, if required, convert the system for so long as the NFA Letter requires, and shall not remove, disable or impair the system without Lender's prior written consent.</w:t>
      </w:r>
    </w:p>
    <w:p>
      <w:pPr>
        <w:pStyle w:val="Heading2"/>
      </w:pPr>
      <w:r>
        <w:rPr>
          <w:rFonts w:ascii="Times New Roman" w:hAnsi="Times New Roman"/>
          <w:b/>
          <w:sz w:val="22"/>
        </w:rPr>
        <w:t>Section 12.4  Soil Management Plan</w:t>
      </w:r>
    </w:p>
    <w:p>
      <w:r>
        <w:rPr>
          <w:rFonts w:ascii="Times New Roman" w:hAnsi="Times New Roman"/>
          <w:b w:val="0"/>
          <w:i w:val="0"/>
        </w:rPr>
        <w:t>Borrower shall cause the Soil Management Plan to be prepared, submitted to NCDEQ and approved by NCDEQ before any excavation, grading, dewatering or other subsurface disturbance occurs in the Affected Area. Borrower shall incorporate the Soil Management Plan into the Construction Contract and the construction specifications, shall require the general contractor and all subcontractors to comply with it, shall provide the training required by the Soil Management Plan, and shall deliver to Lender a written certification of compliance from the Construction Inspector concurrently with each Draw Request for work in or adjacent to the Affected Area.</w:t>
      </w:r>
    </w:p>
    <w:p>
      <w:pPr>
        <w:pStyle w:val="Heading2"/>
      </w:pPr>
      <w:r>
        <w:rPr>
          <w:rFonts w:ascii="Times New Roman" w:hAnsi="Times New Roman"/>
          <w:b/>
          <w:sz w:val="22"/>
        </w:rPr>
        <w:t>Section 12.5  Deed Notice and Land Use Restriction</w:t>
      </w:r>
    </w:p>
    <w:p>
      <w:r>
        <w:rPr>
          <w:rFonts w:ascii="Times New Roman" w:hAnsi="Times New Roman"/>
          <w:b w:val="0"/>
          <w:i w:val="0"/>
        </w:rPr>
        <w:t>Borrower shall record the deed notice required by Condition 4 of the NFA Letter in the Durham County Registry of Deeds within the period specified in the NFA Letter and, in any event, prior to Closing, and shall deliver to Lender a certified copy of the recorded instrument, the recording stamp and a title date-down confirming recordation. Borrower shall not modify, amend, release, terminate or seek the release of the deed notice or the recorded land use restriction without Lender's prior written consent. Any such instrument shall be a Permitted Exception under the Title Policy.</w:t>
      </w:r>
    </w:p>
    <w:p>
      <w:pPr>
        <w:pStyle w:val="Heading2"/>
      </w:pPr>
      <w:r>
        <w:rPr>
          <w:rFonts w:ascii="Times New Roman" w:hAnsi="Times New Roman"/>
          <w:b/>
          <w:sz w:val="22"/>
        </w:rPr>
        <w:t>Section 12.6  Monitoring, Reporting and Regulatory Contact</w:t>
      </w:r>
    </w:p>
    <w:p>
      <w:r>
        <w:rPr>
          <w:rFonts w:ascii="Times New Roman" w:hAnsi="Times New Roman"/>
          <w:b w:val="0"/>
          <w:i w:val="0"/>
        </w:rPr>
        <w:t>Borrower shall (a) conduct the post-construction soil gas and indoor air monitoring recommended in the Phase I ESA at the frequency and according to the protocol approved by Lender's environmental consultant, and deliver the results to Lender within fifteen (15) days after receipt; (b) promptly notify Lender of any NCDEQ inspection, notice, information request or enforcement action; (c) not settle, compromise or agree to any modification of the NFA Letter without Lender's prior written consent; and (d) maintain complete records of all environmental investigation, remediation, monitoring, construction and reporting activity at the Property and make them available to Lender upon request.</w:t>
      </w:r>
    </w:p>
    <w:p>
      <w:pPr>
        <w:pStyle w:val="Heading2"/>
      </w:pPr>
      <w:r>
        <w:rPr>
          <w:rFonts w:ascii="Times New Roman" w:hAnsi="Times New Roman"/>
          <w:b/>
          <w:sz w:val="22"/>
        </w:rPr>
        <w:t>Section 12.7  Lender's Disbursement Conditions Relating to the Affected Area</w:t>
      </w:r>
    </w:p>
    <w:p>
      <w:r>
        <w:rPr>
          <w:rFonts w:ascii="Times New Roman" w:hAnsi="Times New Roman"/>
          <w:b w:val="0"/>
          <w:i w:val="0"/>
        </w:rPr>
        <w:t>Notwithstanding anything in Article IV to the contrary, Lender shall not be obligated to make any Advance for foundation, structural, podium, parking structure, MEP rough-in, interior finish or any other work located in or over the Affected Area unless Borrower has delivered (a) NCDEQ's written approval of the Soil Management Plan; (b) the final design of the Vapor Mitigation System and the engineer's certification described in Section 3.5(d); (c) the recorded deed notice; (d) the Architect's certification that no dwelling unit is located in the Affected Area or, if any is, evidence of the NCDEQ modification and Lender's consent required by Section 12.2; and (e) the Construction Inspector's confirmation that the work conforms to the foregoing.</w:t>
      </w:r>
    </w:p>
    <w:p>
      <w:pPr>
        <w:pStyle w:val="Heading2"/>
      </w:pPr>
      <w:r>
        <w:rPr>
          <w:rFonts w:ascii="Times New Roman" w:hAnsi="Times New Roman"/>
          <w:b/>
          <w:sz w:val="22"/>
        </w:rPr>
        <w:t>Section 12.8  Environmental Insurance</w:t>
      </w:r>
    </w:p>
    <w:p>
      <w:r>
        <w:rPr>
          <w:rFonts w:ascii="Times New Roman" w:hAnsi="Times New Roman"/>
          <w:b w:val="0"/>
          <w:i w:val="0"/>
        </w:rPr>
        <w:t>Borrower shall, if requested by Lender, obtain and maintain a pollution legal liability insurance policy, from an insurer and in an amount, with deductibles and on terms acceptable to Lender, naming Lender as additional insured and loss payee, covering third-party bodily injury and property damage, first-party cleanup costs, legal defense costs, and, if available, the cost of obtaining a modification of the NFA Letter or of re-remediation, for the term of the Loan and for such period thereafter as Lender may reasonably require given the survival of the Environmental Indemnity.</w:t>
      </w:r>
    </w:p>
    <w:p>
      <w:pPr>
        <w:pStyle w:val="Heading2"/>
      </w:pPr>
      <w:r>
        <w:rPr>
          <w:rFonts w:ascii="Times New Roman" w:hAnsi="Times New Roman"/>
          <w:b/>
          <w:sz w:val="22"/>
        </w:rPr>
        <w:t>Section 12.9  Lender's Environmental Rights</w:t>
      </w:r>
    </w:p>
    <w:p>
      <w:r>
        <w:rPr>
          <w:rFonts w:ascii="Times New Roman" w:hAnsi="Times New Roman"/>
          <w:b w:val="0"/>
          <w:i w:val="0"/>
        </w:rPr>
        <w:t>Lender may, at Borrower's expense (which expense shall be a guaranteed carrying cost under the Carry Guaranty), engage an environmental consultant to conduct such investigations, reviews and monitoring as Lender reasonably considers necessary (a) upon the occurrence of a Default or Event of Default, (b) upon Lender's reasonable belief that a release or violation has occurred, or (c) in connection with any renewal, extension, reappraisal or securitization of the Loan. Borrower shall cooperate with any such consultant and shall provide access to the Property, the construction documents and the environmental records.</w:t>
      </w:r>
    </w:p>
    <w:p>
      <w:pPr>
        <w:pStyle w:val="Heading2"/>
      </w:pPr>
      <w:r>
        <w:rPr>
          <w:rFonts w:ascii="Times New Roman" w:hAnsi="Times New Roman"/>
          <w:b/>
          <w:sz w:val="22"/>
        </w:rPr>
        <w:t>Section 12.10  No Assumption of Liability by Lender</w:t>
      </w:r>
    </w:p>
    <w:p>
      <w:r>
        <w:rPr>
          <w:rFonts w:ascii="Times New Roman" w:hAnsi="Times New Roman"/>
          <w:b w:val="0"/>
          <w:i w:val="0"/>
        </w:rPr>
        <w:t>Nothing in this Agreement or in any other Loan Document, and no inspection, review or approval by Lender or its consultants, shall (a) constitute an assumption by Lender of any obligation or liability relating to the environmental condition of the Property, (b) constitute a waiver of Borrower's representations, warranties, covenants or indemnities, (c) constitute approval of the adequacy of the Vapor Mitigation System or the Soil Management Plan, or (d) constitute a determination that the Property complies with any Environmental Law. Lender shall have no liability for any environmental condition at the Property, and Borrower and each Guarantor waive any claim against any Lender Party arising from any such condition.</w:t>
      </w:r>
    </w:p>
    <w:p>
      <w:pPr>
        <w:pStyle w:val="Heading1"/>
        <w:spacing w:before="360"/>
      </w:pPr>
      <w:r>
        <w:rPr>
          <w:rFonts w:ascii="Times New Roman" w:hAnsi="Times New Roman"/>
          <w:b/>
          <w:sz w:val="24"/>
        </w:rPr>
        <w:t>ARTICLE XIII — EVENTS OF DEFAULT</w:t>
      </w:r>
    </w:p>
    <w:p>
      <w:r>
        <w:rPr>
          <w:rFonts w:ascii="Times New Roman" w:hAnsi="Times New Roman"/>
          <w:b w:val="0"/>
          <w:i w:val="0"/>
        </w:rPr>
        <w:t>Each of the following shall constitute an Event of Default under the Loan Documents:</w:t>
      </w:r>
    </w:p>
    <w:p>
      <w:pPr>
        <w:pStyle w:val="Heading2"/>
      </w:pPr>
      <w:r>
        <w:rPr>
          <w:rFonts w:ascii="Times New Roman" w:hAnsi="Times New Roman"/>
          <w:b/>
          <w:sz w:val="22"/>
        </w:rPr>
        <w:t>Section 13.1  Payment Default</w:t>
      </w:r>
    </w:p>
    <w:p>
      <w:r>
        <w:rPr>
          <w:rFonts w:ascii="Times New Roman" w:hAnsi="Times New Roman"/>
          <w:b w:val="0"/>
          <w:i w:val="0"/>
        </w:rPr>
        <w:t>Borrower fails to pay any principal, interest, fee, expense reimbursement or other amount payable under the Loan Documents when due, whether at stated maturity, by acceleration or otherwise, and such failure continues for five (5) days; provided that no grace period shall apply to any payment due on the Mini-Perm Maturity Date or after acceleration.</w:t>
      </w:r>
    </w:p>
    <w:p>
      <w:pPr>
        <w:pStyle w:val="Heading2"/>
      </w:pPr>
      <w:r>
        <w:rPr>
          <w:rFonts w:ascii="Times New Roman" w:hAnsi="Times New Roman"/>
          <w:b/>
          <w:sz w:val="22"/>
        </w:rPr>
        <w:t>Section 13.2  False Representations</w:t>
      </w:r>
    </w:p>
    <w:p>
      <w:r>
        <w:rPr>
          <w:rFonts w:ascii="Times New Roman" w:hAnsi="Times New Roman"/>
          <w:b w:val="0"/>
          <w:i w:val="0"/>
        </w:rPr>
        <w:t>Any representation or warranty made or deemed made by Borrower or any Guarantor in any Loan Document or in any certificate, financial statement or other document delivered to Lender proves to have been false, incorrect or misleading in any material respect when made or deemed made.</w:t>
      </w:r>
    </w:p>
    <w:p>
      <w:pPr>
        <w:pStyle w:val="Heading2"/>
      </w:pPr>
      <w:r>
        <w:rPr>
          <w:rFonts w:ascii="Times New Roman" w:hAnsi="Times New Roman"/>
          <w:b/>
          <w:sz w:val="22"/>
        </w:rPr>
        <w:t>Section 13.3  Covenant Defaults</w:t>
      </w:r>
    </w:p>
    <w:p>
      <w:r>
        <w:rPr>
          <w:rFonts w:ascii="Times New Roman" w:hAnsi="Times New Roman"/>
          <w:b w:val="0"/>
          <w:i w:val="0"/>
        </w:rPr>
        <w:t>Borrower or any Guarantor fails to observe or perform any covenant, condition or agreement contained in this Agreement or any other Loan Document (other than a payment default under Section 13.1 or a default described in Sections 13.4 through 13.16) and such failure continues for thirty (30) days after the earlier of written notice from Lender or actual knowledge of Borrower; provided that if the failure is not capable of cure within thirty (30) days and Borrower is diligently pursuing cure, such period shall be extended by an additional thirty (30) days, but in no event shall the aggregate cure period exceed sixty (60) days. The cure periods in this Section shall not apply to a breach of Section 4.6(c) (cost overruns), Section 5.3 (interest reserve replenishment), Article IX (financial covenants, which are governed by the cure rights stated therein) or Section 12.2 (use restriction).</w:t>
      </w:r>
    </w:p>
    <w:p>
      <w:pPr>
        <w:pStyle w:val="Heading2"/>
      </w:pPr>
      <w:r>
        <w:rPr>
          <w:rFonts w:ascii="Times New Roman" w:hAnsi="Times New Roman"/>
          <w:b/>
          <w:sz w:val="22"/>
        </w:rPr>
        <w:t>Section 13.4  Bankruptcy and Insolvency</w:t>
      </w:r>
    </w:p>
    <w:p>
      <w:r>
        <w:rPr>
          <w:rFonts w:ascii="Times New Roman" w:hAnsi="Times New Roman"/>
          <w:b w:val="0"/>
          <w:i w:val="0"/>
        </w:rPr>
        <w:t>Borrower, any Guarantor or any member of Borrower (a) commences any case, proceeding or other action under any bankruptcy, insolvency or reorganization statute, (b) has an involuntary case commenced against it that is not dismissed within sixty (60) days, (c) makes a general assignment for the benefit of creditors, (d) admits in writing its inability to pay its debts as they become due, (e) suffers the appointment of a receiver, trustee, custodian or liquidator for it or for a substantial part of its property, which appointment is not vacated within sixty (60) days, or (f) suffers the attachment, execution or judicial seizure of a material portion of the Property or the Collateral.</w:t>
      </w:r>
    </w:p>
    <w:p>
      <w:pPr>
        <w:pStyle w:val="Heading2"/>
      </w:pPr>
      <w:r>
        <w:rPr>
          <w:rFonts w:ascii="Times New Roman" w:hAnsi="Times New Roman"/>
          <w:b/>
          <w:sz w:val="22"/>
        </w:rPr>
        <w:t>Section 13.5  Material Adverse Change</w:t>
      </w:r>
    </w:p>
    <w:p>
      <w:r>
        <w:rPr>
          <w:rFonts w:ascii="Times New Roman" w:hAnsi="Times New Roman"/>
          <w:b w:val="0"/>
          <w:i w:val="0"/>
        </w:rPr>
        <w:t>A Material Adverse Effect occurs, including any material adverse change in the financial condition of Borrower or any Guarantor as determined by Lender in its reasonable discretion.</w:t>
      </w:r>
    </w:p>
    <w:p>
      <w:pPr>
        <w:pStyle w:val="Heading2"/>
      </w:pPr>
      <w:r>
        <w:rPr>
          <w:rFonts w:ascii="Times New Roman" w:hAnsi="Times New Roman"/>
          <w:b/>
          <w:sz w:val="22"/>
        </w:rPr>
        <w:t>Section 13.6  Construction Delay Default</w:t>
      </w:r>
    </w:p>
    <w:p>
      <w:r>
        <w:rPr>
          <w:rFonts w:ascii="Times New Roman" w:hAnsi="Times New Roman"/>
          <w:b w:val="0"/>
          <w:i w:val="0"/>
        </w:rPr>
        <w:t>The Project is more than ninety (90) days behind the construction schedule approved by Lender at any time during the Construction Period, or Substantial Completion has not occurred on or before the Construction Maturity Date, or any construction milestone in Schedule 1 is not achieved within sixty (60) days after the scheduled milestone date.</w:t>
      </w:r>
    </w:p>
    <w:p>
      <w:pPr>
        <w:pStyle w:val="Heading2"/>
      </w:pPr>
      <w:r>
        <w:rPr>
          <w:rFonts w:ascii="Times New Roman" w:hAnsi="Times New Roman"/>
          <w:b/>
          <w:sz w:val="22"/>
        </w:rPr>
        <w:t>Section 13.7  Abandonment</w:t>
      </w:r>
    </w:p>
    <w:p>
      <w:r>
        <w:rPr>
          <w:rFonts w:ascii="Times New Roman" w:hAnsi="Times New Roman"/>
          <w:b w:val="0"/>
          <w:i w:val="0"/>
        </w:rPr>
        <w:t>Borrower or the general contractor abandons the Project, suspends construction for more than fifteen (15) consecutive days (other than as a result of an event of force majeure approved in writing by Lender or a Lender-caused delay), or the Construction Contract is terminated for any reason.</w:t>
      </w:r>
    </w:p>
    <w:p>
      <w:pPr>
        <w:pStyle w:val="Heading2"/>
      </w:pPr>
      <w:r>
        <w:rPr>
          <w:rFonts w:ascii="Times New Roman" w:hAnsi="Times New Roman"/>
          <w:b/>
          <w:sz w:val="22"/>
        </w:rPr>
        <w:t>Section 13.8  Insurance</w:t>
      </w:r>
    </w:p>
    <w:p>
      <w:r>
        <w:rPr>
          <w:rFonts w:ascii="Times New Roman" w:hAnsi="Times New Roman"/>
          <w:b w:val="0"/>
          <w:i w:val="0"/>
        </w:rPr>
        <w:t>Borrower fails to maintain any insurance required by Schedule 5 or Article XVI, or any insurer cancels, does not renew or denies coverage with respect to any required policy and Borrower fails to obtain replacement coverage within ten (10) days.</w:t>
      </w:r>
    </w:p>
    <w:p>
      <w:pPr>
        <w:pStyle w:val="Heading2"/>
      </w:pPr>
      <w:r>
        <w:rPr>
          <w:rFonts w:ascii="Times New Roman" w:hAnsi="Times New Roman"/>
          <w:b/>
          <w:sz w:val="22"/>
        </w:rPr>
        <w:t>Section 13.9  Single-Purpose Entity</w:t>
      </w:r>
    </w:p>
    <w:p>
      <w:r>
        <w:rPr>
          <w:rFonts w:ascii="Times New Roman" w:hAnsi="Times New Roman"/>
          <w:b w:val="0"/>
          <w:i w:val="0"/>
        </w:rPr>
        <w:t>Borrower breaches any SPE Covenant set forth in Article XV, or fails to maintain its status as a single-purpose entity, or the independent manager resigns or is removed and is not replaced with a qualified independent manager within fifteen (15) days.</w:t>
      </w:r>
    </w:p>
    <w:p>
      <w:pPr>
        <w:pStyle w:val="Heading2"/>
      </w:pPr>
      <w:r>
        <w:rPr>
          <w:rFonts w:ascii="Times New Roman" w:hAnsi="Times New Roman"/>
          <w:b/>
          <w:sz w:val="22"/>
        </w:rPr>
        <w:t>Section 13.10  Mezzanine Loan or Intercreditor Default</w:t>
      </w:r>
    </w:p>
    <w:p>
      <w:r>
        <w:rPr>
          <w:rFonts w:ascii="Times New Roman" w:hAnsi="Times New Roman"/>
          <w:b w:val="0"/>
          <w:i w:val="0"/>
        </w:rPr>
        <w:t>A default or event of default occurs under the Mezzanine Documents or the Intercreditor Agreement, Mezzanine Lender commences any remedy or enforcement action, or any member grants or permits any lien on its membership interest other than as permitted by the Intercreditor Agreement.</w:t>
      </w:r>
    </w:p>
    <w:p>
      <w:pPr>
        <w:pStyle w:val="Heading2"/>
      </w:pPr>
      <w:r>
        <w:rPr>
          <w:rFonts w:ascii="Times New Roman" w:hAnsi="Times New Roman"/>
          <w:b/>
          <w:sz w:val="22"/>
        </w:rPr>
        <w:t>Section 13.11  Environmental Default</w:t>
      </w:r>
    </w:p>
    <w:p>
      <w:r>
        <w:rPr>
          <w:rFonts w:ascii="Times New Roman" w:hAnsi="Times New Roman"/>
          <w:b w:val="0"/>
          <w:i w:val="0"/>
        </w:rPr>
        <w:t>Any material violation of any Environmental Law or of any condition of the NFA Letter occurs with respect to the Property; any environmental order, notice of violation, directive, information request, demand, lien or proceeding is issued or commenced against Borrower or the Property; the NFA Letter is revoked, reopened, modified adversely or appealed; the Vapor Mitigation System, the Soil Management Plan or the deed notice is not installed, maintained, implemented or recorded as required; or any residential occupancy occurs in the Affected Area in violation of Section 12.2.</w:t>
      </w:r>
    </w:p>
    <w:p>
      <w:pPr>
        <w:pStyle w:val="Heading2"/>
      </w:pPr>
      <w:r>
        <w:rPr>
          <w:rFonts w:ascii="Times New Roman" w:hAnsi="Times New Roman"/>
          <w:b/>
          <w:sz w:val="22"/>
        </w:rPr>
        <w:t>Section 13.12  Judgments</w:t>
      </w:r>
    </w:p>
    <w:p>
      <w:r>
        <w:rPr>
          <w:rFonts w:ascii="Times New Roman" w:hAnsi="Times New Roman"/>
          <w:b w:val="0"/>
          <w:i w:val="0"/>
        </w:rPr>
        <w:t>One or more judgments, orders or decrees for the payment of money in an aggregate amount exceeding $500,000 is entered against Borrower or any Guarantor and remains unsatisfied, unbonded or unstayed on appeal for thirty (30) days.</w:t>
      </w:r>
    </w:p>
    <w:p>
      <w:pPr>
        <w:pStyle w:val="Heading2"/>
      </w:pPr>
      <w:r>
        <w:rPr>
          <w:rFonts w:ascii="Times New Roman" w:hAnsi="Times New Roman"/>
          <w:b/>
          <w:sz w:val="22"/>
        </w:rPr>
        <w:t>Section 13.13  Guarantor Default</w:t>
      </w:r>
    </w:p>
    <w:p>
      <w:r>
        <w:rPr>
          <w:rFonts w:ascii="Times New Roman" w:hAnsi="Times New Roman"/>
          <w:b w:val="0"/>
          <w:i w:val="0"/>
        </w:rPr>
        <w:t>Any Guarantor revokes, terminates, disaffirms or contests the validity or enforceability of any Guaranty, fails to maintain the liquidity required by Section 9.5, transfers a material portion of such Guarantor's assets outside the ordinary course of business, dies or becomes incapacitated, or is the subject of any criminal indictment or any proceeding that could reasonably be expected to result in a Material Adverse Effect.</w:t>
      </w:r>
    </w:p>
    <w:p>
      <w:pPr>
        <w:pStyle w:val="Heading2"/>
      </w:pPr>
      <w:r>
        <w:rPr>
          <w:rFonts w:ascii="Times New Roman" w:hAnsi="Times New Roman"/>
          <w:b/>
          <w:sz w:val="22"/>
        </w:rPr>
        <w:t>Section 13.14  Financial Covenant Default</w:t>
      </w:r>
    </w:p>
    <w:p>
      <w:r>
        <w:rPr>
          <w:rFonts w:ascii="Times New Roman" w:hAnsi="Times New Roman"/>
          <w:b w:val="0"/>
          <w:i w:val="0"/>
        </w:rPr>
        <w:t>Borrower fails to comply with any financial covenant in Article IX and does not cure such failure within the period provided in the applicable Section.</w:t>
      </w:r>
    </w:p>
    <w:p>
      <w:pPr>
        <w:pStyle w:val="Heading2"/>
      </w:pPr>
      <w:r>
        <w:rPr>
          <w:rFonts w:ascii="Times New Roman" w:hAnsi="Times New Roman"/>
          <w:b/>
          <w:sz w:val="22"/>
        </w:rPr>
        <w:t>Section 13.15  Security Documents and Priority</w:t>
      </w:r>
    </w:p>
    <w:p>
      <w:r>
        <w:rPr>
          <w:rFonts w:ascii="Times New Roman" w:hAnsi="Times New Roman"/>
          <w:b w:val="0"/>
          <w:i w:val="0"/>
        </w:rPr>
        <w:t>Any Loan Document ceases to be in full force and effect or is declared void or unenforceable; any lien or security interest granted to Lender ceases to be a valid first priority lien (subject only to the Permitted Exceptions); the Title Policy is not issued or is cancelled; or Borrower or any member asserts that any Loan Document is not binding.</w:t>
      </w:r>
    </w:p>
    <w:p>
      <w:pPr>
        <w:pStyle w:val="Heading2"/>
      </w:pPr>
      <w:r>
        <w:rPr>
          <w:rFonts w:ascii="Times New Roman" w:hAnsi="Times New Roman"/>
          <w:b/>
          <w:sz w:val="22"/>
        </w:rPr>
        <w:t>Section 13.16  Invalidity of Environmental Compliance</w:t>
      </w:r>
    </w:p>
    <w:p>
      <w:r>
        <w:rPr>
          <w:rFonts w:ascii="Times New Roman" w:hAnsi="Times New Roman"/>
          <w:b w:val="0"/>
          <w:i w:val="0"/>
        </w:rPr>
        <w:t>Any certificate, report or notice delivered under Article III, Article XII or Schedule 4 is materially inaccurate, or Borrower fails to deliver any report or certification required by Section 12.6 within the applicable period.</w:t>
      </w:r>
    </w:p>
    <w:p>
      <w:pPr>
        <w:spacing w:before="120"/>
      </w:pPr>
      <w:r>
        <w:rPr>
          <w:rFonts w:ascii="Times New Roman" w:hAnsi="Times New Roman"/>
          <w:b w:val="0"/>
          <w:i w:val="0"/>
        </w:rPr>
        <w:t>Lender may waive any Event of Default only by a written instrument signed by an authorized officer of Lender, and no such waiver shall extend to any subsequent or other Event of Default or impair any consequent right.</w:t>
      </w:r>
    </w:p>
    <w:p>
      <w:r>
        <w:rPr>
          <w:rFonts w:ascii="Times New Roman" w:hAnsi="Times New Roman"/>
          <w:b w:val="0"/>
          <w:i w:val="0"/>
        </w:rPr>
        <w:t>[Drafting Note: Sections 15 and 16 of the Term Sheet summarize the Events of Default and remedies and state that they will be “fully set forth in the definitive Loan Agreement.” The Events of Default above expand those summaries in several respects, including the addition of a construction milestone default, an interest reserve non-replenishment default and an environmental compliance default. Borrower should review the additions. Note also that the final bullet of Section 15 of the Term Sheet refers to a Guarantor's net worth falling below “the minimum threshold set forth in Section 6.4,” but Section 6.4 is a Borrower net worth covenant, not a Guarantor covenant. See Cover Memorandum Issue No. 19.]</w:t>
      </w:r>
    </w:p>
    <w:p>
      <w:pPr>
        <w:pStyle w:val="Heading1"/>
        <w:spacing w:before="360"/>
      </w:pPr>
      <w:r>
        <w:rPr>
          <w:rFonts w:ascii="Times New Roman" w:hAnsi="Times New Roman"/>
          <w:b/>
          <w:sz w:val="24"/>
        </w:rPr>
        <w:t>ARTICLE XIV — REMEDIES</w:t>
      </w:r>
    </w:p>
    <w:p>
      <w:pPr>
        <w:pStyle w:val="Heading2"/>
      </w:pPr>
      <w:r>
        <w:rPr>
          <w:rFonts w:ascii="Times New Roman" w:hAnsi="Times New Roman"/>
          <w:b/>
          <w:sz w:val="22"/>
        </w:rPr>
        <w:t>Section 14.1  Remedies Upon Default</w:t>
      </w:r>
    </w:p>
    <w:p>
      <w:r>
        <w:rPr>
          <w:rFonts w:ascii="Times New Roman" w:hAnsi="Times New Roman"/>
          <w:b w:val="0"/>
          <w:i w:val="0"/>
        </w:rPr>
        <w:t>Upon the occurrence and during the continuance of an Event of Default, Lender may, at its option and in addition to all other rights and remedies available at law or in equity, exercise any one or more of the following remedies, concurrently or successively, without notice except as required by applicable law:</w:t>
      </w:r>
    </w:p>
    <w:p>
      <w:pPr>
        <w:tabs>
          <w:tab w:pos="792" w:val="left"/>
        </w:tabs>
        <w:spacing w:after="140"/>
        <w:ind w:left="792" w:hanging="360"/>
      </w:pPr>
      <w:r>
        <w:rPr>
          <w:rFonts w:ascii="Times New Roman" w:hAnsi="Times New Roman"/>
          <w:b w:val="0"/>
        </w:rPr>
        <w:t>(a)</w:t>
        <w:tab/>
      </w:r>
      <w:r>
        <w:rPr>
          <w:rFonts w:ascii="Times New Roman" w:hAnsi="Times New Roman"/>
          <w:b w:val="0"/>
          <w:i w:val="0"/>
        </w:rPr>
        <w:t>declare the entire outstanding principal balance of the Loan, all accrued and unpaid interest, the Exit Fee, all prepayment and other fees, and all other amounts payable under the Loan Documents to be immediately due and payable, whereupon the same shall become immediately due and payable without further presentment, demand, protest or notice of any kind, all of which are hereby waived;</w:t>
      </w:r>
    </w:p>
    <w:p>
      <w:pPr>
        <w:tabs>
          <w:tab w:pos="792" w:val="left"/>
        </w:tabs>
        <w:spacing w:after="140"/>
        <w:ind w:left="792" w:hanging="360"/>
      </w:pPr>
      <w:r>
        <w:rPr>
          <w:rFonts w:ascii="Times New Roman" w:hAnsi="Times New Roman"/>
          <w:b w:val="0"/>
        </w:rPr>
        <w:t>(a)</w:t>
        <w:tab/>
      </w:r>
      <w:r>
        <w:rPr>
          <w:rFonts w:ascii="Times New Roman" w:hAnsi="Times New Roman"/>
          <w:b w:val="0"/>
          <w:i w:val="0"/>
        </w:rPr>
        <w:t>cease making Advances, cancel the Commitment and apply the Interest Reserve, the Contingency and the Equity Contribution as Lender determines;</w:t>
      </w:r>
    </w:p>
    <w:p>
      <w:pPr>
        <w:tabs>
          <w:tab w:pos="792" w:val="left"/>
        </w:tabs>
        <w:spacing w:after="140"/>
        <w:ind w:left="792" w:hanging="360"/>
      </w:pPr>
      <w:r>
        <w:rPr>
          <w:rFonts w:ascii="Times New Roman" w:hAnsi="Times New Roman"/>
          <w:b w:val="0"/>
        </w:rPr>
        <w:t>(a)</w:t>
        <w:tab/>
      </w:r>
      <w:r>
        <w:rPr>
          <w:rFonts w:ascii="Times New Roman" w:hAnsi="Times New Roman"/>
          <w:b w:val="0"/>
          <w:i w:val="0"/>
        </w:rPr>
        <w:t>apply the Default Rate to all outstanding amounts;</w:t>
      </w:r>
    </w:p>
    <w:p>
      <w:pPr>
        <w:tabs>
          <w:tab w:pos="792" w:val="left"/>
        </w:tabs>
        <w:spacing w:after="140"/>
        <w:ind w:left="792" w:hanging="360"/>
      </w:pPr>
      <w:r>
        <w:rPr>
          <w:rFonts w:ascii="Times New Roman" w:hAnsi="Times New Roman"/>
          <w:b w:val="0"/>
        </w:rPr>
        <w:t>(a)</w:t>
        <w:tab/>
      </w:r>
      <w:r>
        <w:rPr>
          <w:rFonts w:ascii="Times New Roman" w:hAnsi="Times New Roman"/>
          <w:b w:val="0"/>
          <w:i w:val="0"/>
        </w:rPr>
        <w:t>exercise all rights and remedies under the Deed of Trust, including causing the Trustee to institute a foreclosure proceeding by power of sale under Article 2A of Chapter 45 of the North Carolina General Statutes, and to conduct the sale in accordance with the notice, upset bid and confirmation procedures of N.C.G.S. Chapter 45;</w:t>
      </w:r>
    </w:p>
    <w:p>
      <w:pPr>
        <w:tabs>
          <w:tab w:pos="792" w:val="left"/>
        </w:tabs>
        <w:spacing w:after="140"/>
        <w:ind w:left="792" w:hanging="360"/>
      </w:pPr>
      <w:r>
        <w:rPr>
          <w:rFonts w:ascii="Times New Roman" w:hAnsi="Times New Roman"/>
          <w:b w:val="0"/>
        </w:rPr>
        <w:t>(a)</w:t>
        <w:tab/>
      </w:r>
      <w:r>
        <w:rPr>
          <w:rFonts w:ascii="Times New Roman" w:hAnsi="Times New Roman"/>
          <w:b w:val="0"/>
          <w:i w:val="0"/>
        </w:rPr>
        <w:t>exercise all rights and remedies of a secured party under the Uniform Commercial Code, including the right to take possession of, collect, sell or otherwise dispose of the Collateral, and, with respect to the pledged membership interests, to exercise all voting and consensual rights and to transfer the pledged interests to Lender or its designee;</w:t>
      </w:r>
    </w:p>
    <w:p>
      <w:pPr>
        <w:tabs>
          <w:tab w:pos="792" w:val="left"/>
        </w:tabs>
        <w:spacing w:after="140"/>
        <w:ind w:left="792" w:hanging="360"/>
      </w:pPr>
      <w:r>
        <w:rPr>
          <w:rFonts w:ascii="Times New Roman" w:hAnsi="Times New Roman"/>
          <w:b w:val="0"/>
        </w:rPr>
        <w:t>(a)</w:t>
        <w:tab/>
      </w:r>
      <w:r>
        <w:rPr>
          <w:rFonts w:ascii="Times New Roman" w:hAnsi="Times New Roman"/>
          <w:b w:val="0"/>
          <w:i w:val="0"/>
        </w:rPr>
        <w:t>apply to a court of competent jurisdiction for the appointment of a receiver for the Property, the Project, Borrower or the rents and profits thereof, without notice and without regard to the adequacy of the security, and Borrower consents to such appointment;</w:t>
      </w:r>
    </w:p>
    <w:p>
      <w:pPr>
        <w:tabs>
          <w:tab w:pos="792" w:val="left"/>
        </w:tabs>
        <w:spacing w:after="140"/>
        <w:ind w:left="792" w:hanging="360"/>
      </w:pPr>
      <w:r>
        <w:rPr>
          <w:rFonts w:ascii="Times New Roman" w:hAnsi="Times New Roman"/>
          <w:b w:val="0"/>
        </w:rPr>
        <w:t>(a)</w:t>
        <w:tab/>
      </w:r>
      <w:r>
        <w:rPr>
          <w:rFonts w:ascii="Times New Roman" w:hAnsi="Times New Roman"/>
          <w:b w:val="0"/>
          <w:i w:val="0"/>
        </w:rPr>
        <w:t>enforce the Guaranties and the Environmental Indemnity against the Guarantors;</w:t>
      </w:r>
    </w:p>
    <w:p>
      <w:pPr>
        <w:tabs>
          <w:tab w:pos="792" w:val="left"/>
        </w:tabs>
        <w:spacing w:after="140"/>
        <w:ind w:left="792" w:hanging="360"/>
      </w:pPr>
      <w:r>
        <w:rPr>
          <w:rFonts w:ascii="Times New Roman" w:hAnsi="Times New Roman"/>
          <w:b w:val="0"/>
        </w:rPr>
        <w:t>(a)</w:t>
        <w:tab/>
      </w:r>
      <w:r>
        <w:rPr>
          <w:rFonts w:ascii="Times New Roman" w:hAnsi="Times New Roman"/>
          <w:b w:val="0"/>
          <w:i w:val="0"/>
        </w:rPr>
        <w:t>sue for specific performance of any covenant, including the covenant to complete the Project; and</w:t>
      </w:r>
    </w:p>
    <w:p>
      <w:pPr>
        <w:tabs>
          <w:tab w:pos="792" w:val="left"/>
        </w:tabs>
        <w:spacing w:after="140"/>
        <w:ind w:left="792" w:hanging="360"/>
      </w:pPr>
      <w:r>
        <w:rPr>
          <w:rFonts w:ascii="Times New Roman" w:hAnsi="Times New Roman"/>
          <w:b w:val="0"/>
        </w:rPr>
        <w:t>(a)</w:t>
        <w:tab/>
      </w:r>
      <w:r>
        <w:rPr>
          <w:rFonts w:ascii="Times New Roman" w:hAnsi="Times New Roman"/>
          <w:b w:val="0"/>
          <w:i w:val="0"/>
        </w:rPr>
        <w:t>collect the rents and profits of the Property, whether by direct collection, assignment or otherwise, and apply them as provided in Section 2.11.</w:t>
      </w:r>
    </w:p>
    <w:p>
      <w:pPr>
        <w:pStyle w:val="Heading2"/>
      </w:pPr>
      <w:r>
        <w:rPr>
          <w:rFonts w:ascii="Times New Roman" w:hAnsi="Times New Roman"/>
          <w:b/>
          <w:sz w:val="22"/>
        </w:rPr>
        <w:t>Section 14.2  Cumulative Remedies; No Waiver</w:t>
      </w:r>
    </w:p>
    <w:p>
      <w:r>
        <w:rPr>
          <w:rFonts w:ascii="Times New Roman" w:hAnsi="Times New Roman"/>
          <w:b w:val="0"/>
          <w:i w:val="0"/>
        </w:rPr>
        <w:t>All rights and remedies of Lender under the Loan Documents are cumulative and not exclusive of any other right or remedy. No delay or failure by Lender in exercising any right or remedy shall operate as a waiver thereof, and no single or partial exercise shall preclude any other or further exercise. Lender may exercise remedies in any order and against any obligor or collateral without affecting its rights against any other obligor or collateral.</w:t>
      </w:r>
    </w:p>
    <w:p>
      <w:pPr>
        <w:pStyle w:val="Heading2"/>
      </w:pPr>
      <w:r>
        <w:rPr>
          <w:rFonts w:ascii="Times New Roman" w:hAnsi="Times New Roman"/>
          <w:b/>
          <w:sz w:val="22"/>
        </w:rPr>
        <w:t>Section 14.3  Application of Foreclosure Proceeds</w:t>
      </w:r>
    </w:p>
    <w:p>
      <w:r>
        <w:rPr>
          <w:rFonts w:ascii="Times New Roman" w:hAnsi="Times New Roman"/>
          <w:b w:val="0"/>
          <w:i w:val="0"/>
        </w:rPr>
        <w:t>Proceeds of any foreclosure sale, trustee's sale, UCC sale or other realization shall be applied in the order set forth in Section 2.11 and, in the case of a trustee's sale, in the order required by N.C.G.S. § 45-21.31. Borrower and each Guarantor acknowledge that, in any proceeding to determine a deficiency, the fair value of the Property may be established under N.C.G.S. § 45-21.36 and that the amount of any deficiency, and therefore the amount recoverable under the Guaranties, may be reduced accordingly.</w:t>
      </w:r>
    </w:p>
    <w:p>
      <w:pPr>
        <w:pStyle w:val="Heading2"/>
      </w:pPr>
      <w:r>
        <w:rPr>
          <w:rFonts w:ascii="Times New Roman" w:hAnsi="Times New Roman"/>
          <w:b/>
          <w:sz w:val="22"/>
        </w:rPr>
        <w:t>Section 14.4  Lender's Right to Cure</w:t>
      </w:r>
    </w:p>
    <w:p>
      <w:r>
        <w:rPr>
          <w:rFonts w:ascii="Times New Roman" w:hAnsi="Times New Roman"/>
          <w:b w:val="0"/>
          <w:i w:val="0"/>
        </w:rPr>
        <w:t>If Borrower fails to perform any obligation under the Loan Documents, Lender may (but shall not be obligated to) perform such obligation on Borrower's behalf, including paying taxes, insurance premiums, mechanics' liens or other claims, completing construction, curing any environmental violation or complying with any NCDEQ requirement, and all amounts so expended, together with interest at the Default Rate, shall be promptly reimbursed by Borrower and shall be secured by the Loan Documents. Lender's exercise of this right shall not cure any Event of Default or waive any right of Lender.</w:t>
      </w:r>
    </w:p>
    <w:p>
      <w:pPr>
        <w:pStyle w:val="Heading2"/>
      </w:pPr>
      <w:r>
        <w:rPr>
          <w:rFonts w:ascii="Times New Roman" w:hAnsi="Times New Roman"/>
          <w:b/>
          <w:sz w:val="22"/>
        </w:rPr>
        <w:t>Section 14.5  Setoff</w:t>
      </w:r>
    </w:p>
    <w:p>
      <w:r>
        <w:rPr>
          <w:rFonts w:ascii="Times New Roman" w:hAnsi="Times New Roman"/>
          <w:b w:val="0"/>
          <w:i w:val="0"/>
        </w:rPr>
        <w:t>Upon the occurrence and during the continuance of an Event of Default, Lender and its Affiliates are authorized at any time, without prior notice, to set off and apply any and all deposits, balances, credits or other property of Borrower or any Guarantor in the possession of Lender or any of its Affiliates against any amount then due under the Loan Documents, and each of Borrower and each Guarantor grants Lender a security interest in all such property to secure such obligations.</w:t>
      </w:r>
    </w:p>
    <w:p>
      <w:pPr>
        <w:pStyle w:val="Heading1"/>
        <w:spacing w:before="360"/>
      </w:pPr>
      <w:r>
        <w:rPr>
          <w:rFonts w:ascii="Times New Roman" w:hAnsi="Times New Roman"/>
          <w:b/>
          <w:sz w:val="24"/>
        </w:rPr>
        <w:t>ARTICLE XV — SINGLE-PURPOSE ENTITY COVENANTS</w:t>
      </w:r>
    </w:p>
    <w:p>
      <w:r>
        <w:rPr>
          <w:rFonts w:ascii="Times New Roman" w:hAnsi="Times New Roman"/>
          <w:b w:val="0"/>
          <w:i w:val="0"/>
        </w:rPr>
        <w:t>Borrower shall at all times during the term of the Loan maintain its status as a single-purpose, bankruptcy-remote entity and shall, at its sole cost and expense:</w:t>
      </w:r>
    </w:p>
    <w:p>
      <w:pPr>
        <w:tabs>
          <w:tab w:pos="792" w:val="left"/>
        </w:tabs>
        <w:spacing w:after="140"/>
        <w:ind w:left="792" w:hanging="360"/>
      </w:pPr>
      <w:r>
        <w:rPr>
          <w:rFonts w:ascii="Times New Roman" w:hAnsi="Times New Roman"/>
          <w:b w:val="0"/>
        </w:rPr>
        <w:t>(a)</w:t>
        <w:tab/>
      </w:r>
      <w:r>
        <w:rPr>
          <w:rFonts w:ascii="Times New Roman" w:hAnsi="Times New Roman"/>
          <w:b w:val="0"/>
          <w:i w:val="0"/>
        </w:rPr>
        <w:t>maintain its existence as a limited liability company separate and apart from any member, Affiliate or other Person, and maintain its assets and liabilities separate from those of any other Person;</w:t>
      </w:r>
    </w:p>
    <w:p>
      <w:pPr>
        <w:tabs>
          <w:tab w:pos="792" w:val="left"/>
        </w:tabs>
        <w:spacing w:after="140"/>
        <w:ind w:left="792" w:hanging="360"/>
      </w:pPr>
      <w:r>
        <w:rPr>
          <w:rFonts w:ascii="Times New Roman" w:hAnsi="Times New Roman"/>
          <w:b w:val="0"/>
        </w:rPr>
        <w:t>(a)</w:t>
        <w:tab/>
      </w:r>
      <w:r>
        <w:rPr>
          <w:rFonts w:ascii="Times New Roman" w:hAnsi="Times New Roman"/>
          <w:b w:val="0"/>
          <w:i w:val="0"/>
        </w:rPr>
        <w:t>hold no assets other than the Property, the Project and related Project assets, and incur no liabilities other than the Loan, the Mezzanine Loan (as permitted by the Intercreditor Agreement) and trade payables incurred in the ordinary course of business;</w:t>
      </w:r>
    </w:p>
    <w:p>
      <w:pPr>
        <w:tabs>
          <w:tab w:pos="792" w:val="left"/>
        </w:tabs>
        <w:spacing w:after="140"/>
        <w:ind w:left="792" w:hanging="360"/>
      </w:pPr>
      <w:r>
        <w:rPr>
          <w:rFonts w:ascii="Times New Roman" w:hAnsi="Times New Roman"/>
          <w:b w:val="0"/>
        </w:rPr>
        <w:t>(a)</w:t>
        <w:tab/>
      </w:r>
      <w:r>
        <w:rPr>
          <w:rFonts w:ascii="Times New Roman" w:hAnsi="Times New Roman"/>
          <w:b w:val="0"/>
          <w:i w:val="0"/>
        </w:rPr>
        <w:t>conduct no business other than the ownership, development, construction, leasing, management and operation of the Project;</w:t>
      </w:r>
    </w:p>
    <w:p>
      <w:pPr>
        <w:tabs>
          <w:tab w:pos="792" w:val="left"/>
        </w:tabs>
        <w:spacing w:after="140"/>
        <w:ind w:left="792" w:hanging="360"/>
      </w:pPr>
      <w:r>
        <w:rPr>
          <w:rFonts w:ascii="Times New Roman" w:hAnsi="Times New Roman"/>
          <w:b w:val="0"/>
        </w:rPr>
        <w:t>(a)</w:t>
        <w:tab/>
      </w:r>
      <w:r>
        <w:rPr>
          <w:rFonts w:ascii="Times New Roman" w:hAnsi="Times New Roman"/>
          <w:b w:val="0"/>
          <w:i w:val="0"/>
        </w:rPr>
        <w:t>maintain its own books, records, financial statements, bank accounts and payroll, and not commingle its funds or other assets with those of any member, Affiliate or other Person;</w:t>
      </w:r>
    </w:p>
    <w:p>
      <w:pPr>
        <w:tabs>
          <w:tab w:pos="792" w:val="left"/>
        </w:tabs>
        <w:spacing w:after="140"/>
        <w:ind w:left="792" w:hanging="360"/>
      </w:pPr>
      <w:r>
        <w:rPr>
          <w:rFonts w:ascii="Times New Roman" w:hAnsi="Times New Roman"/>
          <w:b w:val="0"/>
        </w:rPr>
        <w:t>(a)</w:t>
        <w:tab/>
      </w:r>
      <w:r>
        <w:rPr>
          <w:rFonts w:ascii="Times New Roman" w:hAnsi="Times New Roman"/>
          <w:b w:val="0"/>
          <w:i w:val="0"/>
        </w:rPr>
        <w:t>pay its own liabilities and expenses from its own funds, and not pay the liabilities of any member or Affiliate, and not guarantee or become obligated for the debts of any other Person (other than the Guaranties from the Guarantors, who are individuals who are also members);</w:t>
      </w:r>
    </w:p>
    <w:p>
      <w:pPr>
        <w:tabs>
          <w:tab w:pos="792" w:val="left"/>
        </w:tabs>
        <w:spacing w:after="140"/>
        <w:ind w:left="792" w:hanging="360"/>
      </w:pPr>
      <w:r>
        <w:rPr>
          <w:rFonts w:ascii="Times New Roman" w:hAnsi="Times New Roman"/>
          <w:b w:val="0"/>
        </w:rPr>
        <w:t>(a)</w:t>
        <w:tab/>
      </w:r>
      <w:r>
        <w:rPr>
          <w:rFonts w:ascii="Times New Roman" w:hAnsi="Times New Roman"/>
          <w:b w:val="0"/>
          <w:i w:val="0"/>
        </w:rPr>
        <w:t>hold itself out to the public, to creditors and to all third parties as a legal entity separate and distinct from its members and their Affiliates, and conduct its business in its own name;</w:t>
      </w:r>
    </w:p>
    <w:p>
      <w:pPr>
        <w:tabs>
          <w:tab w:pos="792" w:val="left"/>
        </w:tabs>
        <w:spacing w:after="140"/>
        <w:ind w:left="792" w:hanging="360"/>
      </w:pPr>
      <w:r>
        <w:rPr>
          <w:rFonts w:ascii="Times New Roman" w:hAnsi="Times New Roman"/>
          <w:b w:val="0"/>
        </w:rPr>
        <w:t>(a)</w:t>
        <w:tab/>
      </w:r>
      <w:r>
        <w:rPr>
          <w:rFonts w:ascii="Times New Roman" w:hAnsi="Times New Roman"/>
          <w:b w:val="0"/>
          <w:i w:val="0"/>
        </w:rPr>
        <w:t>observe all limited liability company formalities, including maintaining its records, holding required meetings or obtaining required written consents, maintaining its registered agent and registered office, and making all required filings with the North Carolina Secretary of State;</w:t>
      </w:r>
    </w:p>
    <w:p>
      <w:pPr>
        <w:tabs>
          <w:tab w:pos="792" w:val="left"/>
        </w:tabs>
        <w:spacing w:after="140"/>
        <w:ind w:left="792" w:hanging="360"/>
      </w:pPr>
      <w:r>
        <w:rPr>
          <w:rFonts w:ascii="Times New Roman" w:hAnsi="Times New Roman"/>
          <w:b w:val="0"/>
        </w:rPr>
        <w:t>(a)</w:t>
        <w:tab/>
      </w:r>
      <w:r>
        <w:rPr>
          <w:rFonts w:ascii="Times New Roman" w:hAnsi="Times New Roman"/>
          <w:b w:val="0"/>
          <w:i w:val="0"/>
        </w:rPr>
        <w:t>allocate fairly and reasonably any overhead expenses shared with any member or Affiliate, and maintain an arm's-length relationship with each member and Affiliate, including with respect to any space, services or administrative support provided to Borrower;</w:t>
      </w:r>
    </w:p>
    <w:p>
      <w:pPr>
        <w:tabs>
          <w:tab w:pos="792" w:val="left"/>
        </w:tabs>
        <w:spacing w:after="140"/>
        <w:ind w:left="792" w:hanging="360"/>
      </w:pPr>
      <w:r>
        <w:rPr>
          <w:rFonts w:ascii="Times New Roman" w:hAnsi="Times New Roman"/>
          <w:b w:val="0"/>
        </w:rPr>
        <w:t>(a)</w:t>
        <w:tab/>
      </w:r>
      <w:r>
        <w:rPr>
          <w:rFonts w:ascii="Times New Roman" w:hAnsi="Times New Roman"/>
          <w:b w:val="0"/>
          <w:i w:val="0"/>
        </w:rPr>
        <w:t>not hold itself out as responsible for the debts or obligations of any member or Affiliate, and not permit any member or Affiliate to hold itself out as responsible for the debts of Borrower;</w:t>
      </w:r>
    </w:p>
    <w:p>
      <w:pPr>
        <w:tabs>
          <w:tab w:pos="792" w:val="left"/>
        </w:tabs>
        <w:spacing w:after="140"/>
        <w:ind w:left="792" w:hanging="360"/>
      </w:pPr>
      <w:r>
        <w:rPr>
          <w:rFonts w:ascii="Times New Roman" w:hAnsi="Times New Roman"/>
          <w:b w:val="0"/>
        </w:rPr>
        <w:t>(a)</w:t>
        <w:tab/>
      </w:r>
      <w:r>
        <w:rPr>
          <w:rFonts w:ascii="Times New Roman" w:hAnsi="Times New Roman"/>
          <w:b w:val="0"/>
          <w:i w:val="0"/>
        </w:rPr>
        <w:t>maintain the Equity Contribution in the Equity Escrow Account free of any claim of any member or creditor, and not distribute or return any portion of it while the Loan is outstanding;</w:t>
      </w:r>
    </w:p>
    <w:p>
      <w:pPr>
        <w:tabs>
          <w:tab w:pos="792" w:val="left"/>
        </w:tabs>
        <w:spacing w:after="140"/>
        <w:ind w:left="792" w:hanging="360"/>
      </w:pPr>
      <w:r>
        <w:rPr>
          <w:rFonts w:ascii="Times New Roman" w:hAnsi="Times New Roman"/>
          <w:b w:val="0"/>
        </w:rPr>
        <w:t>(a)</w:t>
        <w:tab/>
      </w:r>
      <w:r>
        <w:rPr>
          <w:rFonts w:ascii="Times New Roman" w:hAnsi="Times New Roman"/>
          <w:b w:val="0"/>
          <w:i w:val="0"/>
        </w:rPr>
        <w:t>at all times maintain at least one independent manager who (i) is not, and has not been within five years, an officer, employee, director, manager, member, creditor, supplier or Affiliate of Borrower, any member, Mezzanine Lender or Thomas R. Chen, (ii) has no economic interest in Borrower other than a nominal fee for service as an independent manager, and (iii) is not a party to any agreement that would compromise such person's independence as determined by Lender;</w:t>
      </w:r>
    </w:p>
    <w:p>
      <w:pPr>
        <w:tabs>
          <w:tab w:pos="792" w:val="left"/>
        </w:tabs>
        <w:spacing w:after="140"/>
        <w:ind w:left="792" w:hanging="360"/>
      </w:pPr>
      <w:r>
        <w:rPr>
          <w:rFonts w:ascii="Times New Roman" w:hAnsi="Times New Roman"/>
          <w:b w:val="0"/>
        </w:rPr>
        <w:t>(a)</w:t>
        <w:tab/>
      </w:r>
      <w:r>
        <w:rPr>
          <w:rFonts w:ascii="Times New Roman" w:hAnsi="Times New Roman"/>
          <w:b w:val="0"/>
          <w:i w:val="0"/>
        </w:rPr>
        <w:t>include in its operating agreement a provision requiring the affirmative written consent of the independent manager to the commencement of any voluntary bankruptcy, insolvency or reorganization case, the consent to the appointment of a receiver or trustee, the making of a general assignment for the benefit of creditors, or the admission in writing of an inability to pay debts generally as they become due;</w:t>
      </w:r>
    </w:p>
    <w:p>
      <w:pPr>
        <w:tabs>
          <w:tab w:pos="792" w:val="left"/>
        </w:tabs>
        <w:spacing w:after="140"/>
        <w:ind w:left="792" w:hanging="360"/>
      </w:pPr>
      <w:r>
        <w:rPr>
          <w:rFonts w:ascii="Times New Roman" w:hAnsi="Times New Roman"/>
          <w:b w:val="0"/>
        </w:rPr>
        <w:t>(a)</w:t>
        <w:tab/>
      </w:r>
      <w:r>
        <w:rPr>
          <w:rFonts w:ascii="Times New Roman" w:hAnsi="Times New Roman"/>
          <w:b w:val="0"/>
          <w:i w:val="0"/>
        </w:rPr>
        <w:t>not amend, modify or repeal any SPE Covenant or any provision of its operating agreement relating to the independent manager without Lender's prior written consent; and</w:t>
      </w:r>
    </w:p>
    <w:p>
      <w:pPr>
        <w:tabs>
          <w:tab w:pos="792" w:val="left"/>
        </w:tabs>
        <w:spacing w:after="140"/>
        <w:ind w:left="792" w:hanging="360"/>
      </w:pPr>
      <w:r>
        <w:rPr>
          <w:rFonts w:ascii="Times New Roman" w:hAnsi="Times New Roman"/>
          <w:b w:val="0"/>
        </w:rPr>
        <w:t>(a)</w:t>
        <w:tab/>
      </w:r>
      <w:r>
        <w:rPr>
          <w:rFonts w:ascii="Times New Roman" w:hAnsi="Times New Roman"/>
          <w:b w:val="0"/>
          <w:i w:val="0"/>
        </w:rPr>
        <w:t>provide Lender with an annual certificate of the independent manager, and such other evidence of separateness as Lender may reasonably request, and cause Borrower's counsel to deliver a further non-consolidation opinion upon any change in the identity of the independent manager or any amendment of the operating agreement.</w:t>
      </w:r>
    </w:p>
    <w:p>
      <w:pPr>
        <w:spacing w:before="120"/>
      </w:pPr>
      <w:r>
        <w:rPr>
          <w:rFonts w:ascii="Times New Roman" w:hAnsi="Times New Roman"/>
          <w:b w:val="0"/>
          <w:i w:val="0"/>
        </w:rPr>
        <w:t>The SPE Covenants in this Article are among the Recourse Events described in Section 11.4 and a breach of any of them is an Event of Default under Section 13.9. Borrower acknowledges that the presence of Brightleaf Investors Group LLC (28% member) and Brightleaf Mezzanine Capital LLC (mezzanine lender) under the common control of Thomas R. Chen increases the risk of substantive consolidation and that the requirements of this Article, of Section 3.9 and of Section 8.6 are intended to address that risk.</w:t>
      </w:r>
    </w:p>
    <w:p>
      <w:pPr>
        <w:pStyle w:val="Heading1"/>
        <w:spacing w:before="360"/>
      </w:pPr>
      <w:r>
        <w:rPr>
          <w:rFonts w:ascii="Times New Roman" w:hAnsi="Times New Roman"/>
          <w:b/>
          <w:sz w:val="24"/>
        </w:rPr>
        <w:t>ARTICLE XVI — INSURANCE, CASUALTY AND CONDEMNATION</w:t>
      </w:r>
    </w:p>
    <w:p>
      <w:pPr>
        <w:pStyle w:val="Heading2"/>
      </w:pPr>
      <w:r>
        <w:rPr>
          <w:rFonts w:ascii="Times New Roman" w:hAnsi="Times New Roman"/>
          <w:b/>
          <w:sz w:val="22"/>
        </w:rPr>
        <w:t>Section 16.1  Required Insurance</w:t>
      </w:r>
    </w:p>
    <w:p>
      <w:r>
        <w:rPr>
          <w:rFonts w:ascii="Times New Roman" w:hAnsi="Times New Roman"/>
          <w:b w:val="0"/>
          <w:i w:val="0"/>
        </w:rPr>
        <w:t>Borrower shall maintain at all times during the Construction Period the insurance coverages specified in Schedule 5, each in form and substance satisfactory to Lender and with insurers having a rating of not less than A- by A.M. Best.</w:t>
      </w:r>
    </w:p>
    <w:p>
      <w:pPr>
        <w:pStyle w:val="Heading2"/>
      </w:pPr>
      <w:r>
        <w:rPr>
          <w:rFonts w:ascii="Times New Roman" w:hAnsi="Times New Roman"/>
          <w:b/>
          <w:sz w:val="22"/>
        </w:rPr>
        <w:t>Section 16.2  Mini-Perm Period Coverage</w:t>
      </w:r>
    </w:p>
    <w:p>
      <w:r>
        <w:rPr>
          <w:rFonts w:ascii="Times New Roman" w:hAnsi="Times New Roman"/>
          <w:b w:val="0"/>
          <w:i w:val="0"/>
        </w:rPr>
        <w:t>Commencing at Substantial Completion and continuing throughout the Mini-Perm Period and any extension, Borrower shall maintain (a) special form property insurance covering the entire Project, on a replacement cost basis, in an amount not less than the full insurable replacement value of the Project, with an agreed amount endorsement and without coinsurance; (b) commercial general liability insurance with limits of not less than $5,000,000 per occurrence and $10,000,000 in the aggregate; (c) umbrella or excess liability insurance of not less than $10,000,000; (d) business income and rent loss insurance covering not less than twelve (12) months of gross rental income and continuing expenses, including debt service; (e) equipment breakdown, boiler and machinery coverage; (f) flood insurance at any time any portion of the Project is located in a Special Flood Hazard Area, in the amount required by applicable law; (g) builder's risk coverage until the earlier of final completion or expiration of the construction punch list period; and (h) such other coverage as Lender may reasonably require. Borrower acknowledges that Schedule 5 as delivered addresses only Construction Period coverage and must be supplemented for the Mini-Perm Period as provided in this Section.</w:t>
      </w:r>
    </w:p>
    <w:p>
      <w:r>
        <w:rPr>
          <w:rFonts w:ascii="Times New Roman" w:hAnsi="Times New Roman"/>
          <w:b w:val="0"/>
          <w:i w:val="0"/>
        </w:rPr>
        <w:t>[Drafting Note: Sections 11 and 19 of the Term Sheet, Section 8.1 of the Credit Memorandum and Schedule 5 of the project budget address builder's risk in the GMP amount of $34,750,000 only. No document specifies the property, rent loss or mini-perm period insurance limits. See Cover Memorandum Issue No. 18.]</w:t>
      </w:r>
    </w:p>
    <w:p>
      <w:pPr>
        <w:pStyle w:val="Heading2"/>
      </w:pPr>
      <w:r>
        <w:rPr>
          <w:rFonts w:ascii="Times New Roman" w:hAnsi="Times New Roman"/>
          <w:b/>
          <w:sz w:val="22"/>
        </w:rPr>
        <w:t>Section 16.3  Casualty</w:t>
      </w:r>
    </w:p>
    <w:p>
      <w:r>
        <w:rPr>
          <w:rFonts w:ascii="Times New Roman" w:hAnsi="Times New Roman"/>
          <w:b w:val="0"/>
          <w:i w:val="0"/>
        </w:rPr>
        <w:t>If the Property is damaged by fire or other casualty, Borrower shall promptly notify Lender and shall, at Lender's election (which election shall be made within a reasonable period and in good faith), either (a) cause the Insurance Proceeds to be held by Lender and disbursed for restoration in accordance with a restoration plan and budget approved by Lender, or (b) cause the Insurance Proceeds to be applied to the repayment of the Loan in accordance with Section 2.11. Lender's election shall be governed by whether (i) the cost of restoration exceeds the greater of $1,000,000 or five percent (5%) of the outstanding principal balance of the Loan, (ii) the loss is covered by insurance in an amount sufficient to restore, (iii) the Project can be restored to its pre-casualty condition within the remaining term of the Loan, and (iv) no Default or Event of Default exists.</w:t>
      </w:r>
    </w:p>
    <w:p>
      <w:pPr>
        <w:pStyle w:val="Heading2"/>
      </w:pPr>
      <w:r>
        <w:rPr>
          <w:rFonts w:ascii="Times New Roman" w:hAnsi="Times New Roman"/>
          <w:b/>
          <w:sz w:val="22"/>
        </w:rPr>
        <w:t>Section 16.4  Condemnation</w:t>
      </w:r>
    </w:p>
    <w:p>
      <w:r>
        <w:rPr>
          <w:rFonts w:ascii="Times New Roman" w:hAnsi="Times New Roman"/>
          <w:b w:val="0"/>
          <w:i w:val="0"/>
        </w:rPr>
        <w:t>If all or any material portion of the Property is taken by condemnation or eminent domain, the entire award shall be paid to Lender and, at Lender's election, either applied to the restoration of the Property or to the repayment of the Loan. Borrower shall promptly notify Lender of any actual or threatened taking and shall not settle or agree to any award without Lender's prior written consent. If the condemnation affects the Affected Area, the Vapor Mitigation System or any access to the Property, Lender may require the Loan to be repaid in full.</w:t>
      </w:r>
    </w:p>
    <w:p>
      <w:pPr>
        <w:pStyle w:val="Heading2"/>
      </w:pPr>
      <w:r>
        <w:rPr>
          <w:rFonts w:ascii="Times New Roman" w:hAnsi="Times New Roman"/>
          <w:b/>
          <w:sz w:val="22"/>
        </w:rPr>
        <w:t>Section 16.5  Flood Zone Determination</w:t>
      </w:r>
    </w:p>
    <w:p>
      <w:r>
        <w:rPr>
          <w:rFonts w:ascii="Times New Roman" w:hAnsi="Times New Roman"/>
          <w:b w:val="0"/>
          <w:i w:val="0"/>
        </w:rPr>
        <w:t>Borrower shall deliver a standard flood hazard determination with respect to the Property prior to Closing, and shall annually thereafter during the term of the Loan. Borrower acknowledges that the appraisal describes the Property as located in Flood Zone X on FIRM panel 3710406400J, effective May 2, 2019, while the Phase I ESA describes the Property as located in Zone X on FIRM panel 3720098700J, effective March 2, 2009. Borrower shall obtain and deliver a current determination from a nationally recognized flood zone determination service, and Lender's reliance shall be solely on such current determination.</w:t>
      </w:r>
    </w:p>
    <w:p>
      <w:pPr>
        <w:pStyle w:val="Heading1"/>
        <w:spacing w:before="360"/>
      </w:pPr>
      <w:r>
        <w:rPr>
          <w:rFonts w:ascii="Times New Roman" w:hAnsi="Times New Roman"/>
          <w:b/>
          <w:sz w:val="24"/>
        </w:rPr>
        <w:t>ARTICLE XVII — LEASING AND MINI-PERM MATTERS</w:t>
      </w:r>
    </w:p>
    <w:p>
      <w:pPr>
        <w:pStyle w:val="Heading2"/>
      </w:pPr>
      <w:r>
        <w:rPr>
          <w:rFonts w:ascii="Times New Roman" w:hAnsi="Times New Roman"/>
          <w:b/>
          <w:sz w:val="22"/>
        </w:rPr>
        <w:t>Section 17.1  Leasing Standards</w:t>
      </w:r>
    </w:p>
    <w:p>
      <w:r>
        <w:rPr>
          <w:rFonts w:ascii="Times New Roman" w:hAnsi="Times New Roman"/>
          <w:b w:val="0"/>
          <w:i w:val="0"/>
        </w:rPr>
        <w:t>Borrower shall lease the residential units and retail space of the Project in the ordinary course of business, on arm's-length terms, at market rents, without payment of leasing commissions to any Affiliate except as approved by Lender, and on a form of lease approved by Lender. No lease shall (a) have a term of more than five (5) years for retail space or fifteen (15) months for residential space, (b) grant any option to purchase, right of first refusal or right of first offer with respect to any portion of the Property, (c) grant any rent concession in excess of one (1) month of free rent, or (d) lease any portion of the Affected Area for residential occupancy. Borrower shall cause each residential lease to include a disclosure, in form approved by Lender and consistent with 40 C.F.R. Part 745 and applicable North Carolina law, regarding the environmental condition of the Property and the recorded land use restriction.</w:t>
      </w:r>
    </w:p>
    <w:p>
      <w:pPr>
        <w:pStyle w:val="Heading2"/>
      </w:pPr>
      <w:r>
        <w:rPr>
          <w:rFonts w:ascii="Times New Roman" w:hAnsi="Times New Roman"/>
          <w:b/>
          <w:sz w:val="22"/>
        </w:rPr>
        <w:t>Section 17.2  Rent Rolls and Leasing Reports</w:t>
      </w:r>
    </w:p>
    <w:p>
      <w:r>
        <w:rPr>
          <w:rFonts w:ascii="Times New Roman" w:hAnsi="Times New Roman"/>
          <w:b w:val="0"/>
          <w:i w:val="0"/>
        </w:rPr>
        <w:t>During the Mini-Perm Period, Borrower shall deliver to Lender monthly rent rolls, a leasing and occupancy report, and quarterly operating statements for the Property, each certified by the Managing Member, and shall promptly notify Lender of any tenant default, bankruptcy, early termination or vacancy exceeding five percent (5%) of the leased area.</w:t>
      </w:r>
    </w:p>
    <w:p>
      <w:pPr>
        <w:pStyle w:val="Heading2"/>
      </w:pPr>
      <w:r>
        <w:rPr>
          <w:rFonts w:ascii="Times New Roman" w:hAnsi="Times New Roman"/>
          <w:b/>
          <w:sz w:val="22"/>
        </w:rPr>
        <w:t>Section 17.3  Conversion to the Mini-Perm Period</w:t>
      </w:r>
    </w:p>
    <w:p>
      <w:r>
        <w:rPr>
          <w:rFonts w:ascii="Times New Roman" w:hAnsi="Times New Roman"/>
          <w:b w:val="0"/>
          <w:i w:val="0"/>
        </w:rPr>
        <w:t>The Loan shall convert to the Mini-Perm Period automatically upon the Construction Maturity Date, whether or not Substantial Completion has been achieved, and the Interest Rate shall increase to Daily Simple SOFR plus 3.50% per annum from and after that date. Conversion shall not constitute a waiver of any Event of Default, and if Substantial Completion has not occurred by the Construction Maturity Date, Lender may, in addition to its other remedies, suspend all further Advances other than the release of Retainage.</w:t>
      </w:r>
    </w:p>
    <w:p>
      <w:pPr>
        <w:pStyle w:val="Heading2"/>
      </w:pPr>
      <w:r>
        <w:rPr>
          <w:rFonts w:ascii="Times New Roman" w:hAnsi="Times New Roman"/>
          <w:b/>
          <w:sz w:val="22"/>
        </w:rPr>
        <w:t>Section 17.4  Take-Out Financing</w:t>
      </w:r>
    </w:p>
    <w:p>
      <w:r>
        <w:rPr>
          <w:rFonts w:ascii="Times New Roman" w:hAnsi="Times New Roman"/>
          <w:b w:val="0"/>
          <w:i w:val="0"/>
        </w:rPr>
        <w:t>Borrower shall use commercially reasonable efforts to obtain permanent take-out financing for the Loan, or to sell the Property, in each case on or before the date that is six (6) months prior to the Mini-Perm Maturity Date, and shall deliver to Lender, on a quarterly basis during the Mini-Perm Period, a written status report describing its take-out or sale efforts. Lender's receipt of any such report shall not constitute a commitment to extend, renew or refinance the Loan.</w:t>
      </w:r>
    </w:p>
    <w:p>
      <w:pPr>
        <w:pStyle w:val="Heading1"/>
        <w:spacing w:before="360"/>
      </w:pPr>
      <w:r>
        <w:rPr>
          <w:rFonts w:ascii="Times New Roman" w:hAnsi="Times New Roman"/>
          <w:b/>
          <w:sz w:val="24"/>
        </w:rPr>
        <w:t>ARTICLE XVIII — INDEMNIFICATION AND EXPENSES</w:t>
      </w:r>
    </w:p>
    <w:p>
      <w:pPr>
        <w:pStyle w:val="Heading2"/>
      </w:pPr>
      <w:r>
        <w:rPr>
          <w:rFonts w:ascii="Times New Roman" w:hAnsi="Times New Roman"/>
          <w:b/>
          <w:sz w:val="22"/>
        </w:rPr>
        <w:t>Section 18.1  General Indemnity</w:t>
      </w:r>
    </w:p>
    <w:p>
      <w:r>
        <w:rPr>
          <w:rFonts w:ascii="Times New Roman" w:hAnsi="Times New Roman"/>
          <w:b w:val="0"/>
          <w:i w:val="0"/>
        </w:rPr>
        <w:t>Borrower and each Guarantor shall, jointly and severally, indemnify, defend (with counsel reasonably acceptable to Lender) and hold harmless the Lender Parties from and against any and all losses, claims, damages, liabilities, penalties, judgments, settlements, costs and expenses (including reasonable attorneys' fees and costs of investigation and appeal) arising out of or relating to (a) the Loan, the Loan Documents or the transactions contemplated thereby, (b) the Property, the Project or the construction thereof, (c) any claim by any contractor, subcontractor, material supplier, architect, consultant, tenant, purchaser or member relating to the Project or the Loan, (d) any failure by Borrower to comply with applicable law, (e) any brokerage or finder's fee asserted by any Person claiming by or through Borrower, and (f) any action taken or omitted by any Lender Party in connection with the administration or enforcement of the Loan, except to the extent resulting from such Lender Party's gross negligence, willful misconduct or breach of the Loan Documents as determined by a final, non-appealable judgment. This indemnity shall not apply to any loss that is covered by the Environmental Indemnity, as to which the Environmental Indemnity shall control.</w:t>
      </w:r>
    </w:p>
    <w:p>
      <w:pPr>
        <w:pStyle w:val="Heading2"/>
      </w:pPr>
      <w:r>
        <w:rPr>
          <w:rFonts w:ascii="Times New Roman" w:hAnsi="Times New Roman"/>
          <w:b/>
          <w:sz w:val="22"/>
        </w:rPr>
        <w:t>Section 18.2  Lender's Expenses</w:t>
      </w:r>
    </w:p>
    <w:p>
      <w:r>
        <w:rPr>
          <w:rFonts w:ascii="Times New Roman" w:hAnsi="Times New Roman"/>
          <w:b w:val="0"/>
          <w:i w:val="0"/>
        </w:rPr>
        <w:t>Borrower shall pay on demand all costs and expenses incurred by Lender in connection with the negotiation, documentation, closing, administration, servicing, enforcement and protection of the Loan, including (a) the fees and disbursements of Ashford, Cromdale Consulting &amp; Laine LLP; (b) appraisal, reappraisal, environmental, engineering and construction inspection costs; (c) title insurance premiums, endorsements, escrow fees, recording fees and the North Carolina documentary excise tax payable on the Deed of Trust and the Note; (d) UCC and lien search and filing costs; (e) fees of any loan servicer, rating agency, auditor or syndication advisor; and (f) all costs of enforcement, foreclosure, bankruptcy, insolvency and appellate proceedings. Borrower's obligation to pay Lender's legal fees and expenses applies regardless of whether the Loan closes, as provided in Section 21.5 of the Term Sheet and subject only to the application of the expense deposit.</w:t>
      </w:r>
    </w:p>
    <w:p>
      <w:pPr>
        <w:pStyle w:val="Heading2"/>
      </w:pPr>
      <w:r>
        <w:rPr>
          <w:rFonts w:ascii="Times New Roman" w:hAnsi="Times New Roman"/>
          <w:b/>
          <w:sz w:val="22"/>
        </w:rPr>
        <w:t>Section 18.3  Environmental Indemnity</w:t>
      </w:r>
    </w:p>
    <w:p>
      <w:r>
        <w:rPr>
          <w:rFonts w:ascii="Times New Roman" w:hAnsi="Times New Roman"/>
          <w:b w:val="0"/>
          <w:i w:val="0"/>
        </w:rPr>
        <w:t>The Environmental Indemnity required by Section 11.5 is in addition to, and not in limitation of, this Article XVIII.</w:t>
      </w:r>
    </w:p>
    <w:p>
      <w:pPr>
        <w:pStyle w:val="Heading2"/>
      </w:pPr>
      <w:r>
        <w:rPr>
          <w:rFonts w:ascii="Times New Roman" w:hAnsi="Times New Roman"/>
          <w:b/>
          <w:sz w:val="22"/>
        </w:rPr>
        <w:t>Section 18.4  Survival</w:t>
      </w:r>
    </w:p>
    <w:p>
      <w:r>
        <w:rPr>
          <w:rFonts w:ascii="Times New Roman" w:hAnsi="Times New Roman"/>
          <w:b w:val="0"/>
          <w:i w:val="0"/>
        </w:rPr>
        <w:t>The obligations of Borrower and the Guarantors under this Article XVIII, under Section 11.5 and under the Environmental Indemnity shall survive the repayment of the Loan, the release or reconveyance of the Deed of Trust, foreclosure, deed in lieu of foreclosure and any transfer of the Property, and shall remain in effect for so long as any applicable statute of limitations permits a claim.</w:t>
      </w:r>
    </w:p>
    <w:p>
      <w:pPr>
        <w:pStyle w:val="Heading1"/>
        <w:spacing w:before="360"/>
      </w:pPr>
      <w:r>
        <w:rPr>
          <w:rFonts w:ascii="Times New Roman" w:hAnsi="Times New Roman"/>
          <w:b/>
          <w:sz w:val="24"/>
        </w:rPr>
        <w:t>ARTICLE XIX — NOTICES</w:t>
      </w:r>
    </w:p>
    <w:p>
      <w:r>
        <w:rPr>
          <w:rFonts w:ascii="Times New Roman" w:hAnsi="Times New Roman"/>
          <w:b w:val="0"/>
          <w:i w:val="0"/>
        </w:rPr>
        <w:t>All notices, requests, demands and other communications under the Loan Documents shall be in writing and shall be deemed duly given (a) when delivered personally, (b) one (1) Business Day after deposit with a nationally recognized overnight courier, (c) three (3) Business Days after deposit in the United States mail, certified or registered, postage prepaid, return receipt requested, or (d) when sent by electronic mail with confirmation of transmission, provided that any notice of default, acceleration, foreclosure or exercise of remedies shall also be sent by one of the methods described in clauses (a) through (c). Notices shall be addressed as set forth on Schedule 7, or to such other address or electronic mail address as a party may designate by notice given in accordance with this Article. Notices of default, notice of intention to accelerate and notices of acceleration shall be given in the manner required by applicable law, including N.C.G.S. § 45-21.16 with respect to any foreclosure proceeding.</w:t>
      </w:r>
    </w:p>
    <w:p>
      <w:pPr>
        <w:pStyle w:val="Heading1"/>
        <w:spacing w:before="360"/>
      </w:pPr>
      <w:r>
        <w:rPr>
          <w:rFonts w:ascii="Times New Roman" w:hAnsi="Times New Roman"/>
          <w:b/>
          <w:sz w:val="24"/>
        </w:rPr>
        <w:t>ARTICLE XX — MISCELLANEOUS</w:t>
      </w:r>
    </w:p>
    <w:p>
      <w:pPr>
        <w:pStyle w:val="Heading2"/>
      </w:pPr>
      <w:r>
        <w:rPr>
          <w:rFonts w:ascii="Times New Roman" w:hAnsi="Times New Roman"/>
          <w:b/>
          <w:sz w:val="22"/>
        </w:rPr>
        <w:t>Section 20.1  Governing Law</w:t>
      </w:r>
    </w:p>
    <w:p>
      <w:r>
        <w:rPr>
          <w:rFonts w:ascii="Times New Roman" w:hAnsi="Times New Roman"/>
          <w:b w:val="0"/>
          <w:i w:val="0"/>
        </w:rPr>
        <w:t>The Loan Documents shall be governed by, and construed and enforced in accordance with, the laws of the State of North Carolina, without regard to its conflict of laws principles, except that the creation, perfection and priority of security interests in personal property shall be governed by the Uniform Commercial Code of the jurisdiction in which such property is located or in which the debtor is located, as applicable.</w:t>
      </w:r>
    </w:p>
    <w:p>
      <w:pPr>
        <w:pStyle w:val="Heading2"/>
      </w:pPr>
      <w:r>
        <w:rPr>
          <w:rFonts w:ascii="Times New Roman" w:hAnsi="Times New Roman"/>
          <w:b/>
          <w:sz w:val="22"/>
        </w:rPr>
        <w:t>Section 20.2  Venue; Consent to Jurisdiction</w:t>
      </w:r>
    </w:p>
    <w:p>
      <w:r>
        <w:rPr>
          <w:rFonts w:ascii="Times New Roman" w:hAnsi="Times New Roman"/>
          <w:b w:val="0"/>
          <w:i w:val="0"/>
        </w:rPr>
        <w:t>Each party irrevocably submits to the exclusive jurisdiction of the General Court of Justice of North Carolina, Durham County, and the United States District Court for the Middle District of North Carolina, for the purposes of any suit, action or proceeding arising out of or relating to the Loan Documents, waives any objection to venue in any such court, and agrees that service of process may be made in the manner provided in Article XIX. Nothing in this Section shall limit Lender's right to conduct a foreclosure sale pursuant to the Deed of Trust or to proceed in any other court of competent jurisdiction to enforce its security interests.</w:t>
      </w:r>
    </w:p>
    <w:p>
      <w:pPr>
        <w:pStyle w:val="Heading2"/>
      </w:pPr>
      <w:r>
        <w:rPr>
          <w:rFonts w:ascii="Times New Roman" w:hAnsi="Times New Roman"/>
          <w:b/>
          <w:sz w:val="22"/>
        </w:rPr>
        <w:t>Section 20.3  Waiver of Jury Trial</w:t>
      </w:r>
    </w:p>
    <w:p>
      <w:r>
        <w:rPr>
          <w:rFonts w:ascii="Times New Roman" w:hAnsi="Times New Roman"/>
          <w:b w:val="0"/>
          <w:i w:val="0"/>
        </w:rPr>
        <w:t>EACH PARTY HEREBY KNOWINGLY, VOLUNTARILY AND INTENTIONALLY WAIVES, TO THE FULLEST EXTENT PERMITTED BY APPLICABLE LAW, ANY RIGHT TO A TRIAL BY JURY IN ANY ACTION, PROCEEDING OR COUNTERCLAIM ARISING OUT OF OR RELATING TO THIS AGREEMENT, ANY OTHER LOAN DOCUMENT OR THE LOAN.</w:t>
      </w:r>
    </w:p>
    <w:p>
      <w:pPr>
        <w:pStyle w:val="Heading2"/>
      </w:pPr>
      <w:r>
        <w:rPr>
          <w:rFonts w:ascii="Times New Roman" w:hAnsi="Times New Roman"/>
          <w:b/>
          <w:sz w:val="22"/>
        </w:rPr>
        <w:t>Section 20.4  Assignment and Participation</w:t>
      </w:r>
    </w:p>
    <w:p>
      <w:r>
        <w:rPr>
          <w:rFonts w:ascii="Times New Roman" w:hAnsi="Times New Roman"/>
          <w:b w:val="0"/>
          <w:i w:val="0"/>
        </w:rPr>
        <w:t>Lender may sell, assign, syndicate or grant participations in all or any portion of the Loan and its rights under the Loan Documents without the consent of Borrower or any Guarantor, and may disclose all information relating to Borrower, the Guarantors and the Project to any actual or prospective participant or assignee and to any rating agency, subject to customary confidentiality undertakings. Borrower may not assign, delegate or transfer any of its rights or obligations under the Loan Documents without Lender's prior written consent, which consent may be withheld in Lender's sole discretion, and any purported assignment without such consent shall be void.</w:t>
      </w:r>
    </w:p>
    <w:p>
      <w:pPr>
        <w:pStyle w:val="Heading2"/>
      </w:pPr>
      <w:r>
        <w:rPr>
          <w:rFonts w:ascii="Times New Roman" w:hAnsi="Times New Roman"/>
          <w:b/>
          <w:sz w:val="22"/>
        </w:rPr>
        <w:t>Section 20.5  Amendments and Waivers</w:t>
      </w:r>
    </w:p>
    <w:p>
      <w:r>
        <w:rPr>
          <w:rFonts w:ascii="Times New Roman" w:hAnsi="Times New Roman"/>
          <w:b w:val="0"/>
          <w:i w:val="0"/>
        </w:rPr>
        <w:t>No amendment, modification, waiver or consent under the Loan Documents shall be effective unless in writing and signed by Lender and, in the case of an amendment or modification, by Borrower, and then only to the extent specifically set forth therein. No waiver of any provision shall be deemed a waiver of any other provision or of the same provision on any other occasion.</w:t>
      </w:r>
    </w:p>
    <w:p>
      <w:pPr>
        <w:pStyle w:val="Heading2"/>
      </w:pPr>
      <w:r>
        <w:rPr>
          <w:rFonts w:ascii="Times New Roman" w:hAnsi="Times New Roman"/>
          <w:b/>
          <w:sz w:val="22"/>
        </w:rPr>
        <w:t>Section 20.6  Severability</w:t>
      </w:r>
    </w:p>
    <w:p>
      <w:r>
        <w:rPr>
          <w:rFonts w:ascii="Times New Roman" w:hAnsi="Times New Roman"/>
          <w:b w:val="0"/>
          <w:i w:val="0"/>
        </w:rPr>
        <w:t>If any provision of any Loan Document is held to be invalid, illegal or unenforceable, such provision shall be enforced to the maximum extent permitted by applicable law, and the remaining provisions shall remain in full force and effect.</w:t>
      </w:r>
    </w:p>
    <w:p>
      <w:pPr>
        <w:pStyle w:val="Heading2"/>
      </w:pPr>
      <w:r>
        <w:rPr>
          <w:rFonts w:ascii="Times New Roman" w:hAnsi="Times New Roman"/>
          <w:b/>
          <w:sz w:val="22"/>
        </w:rPr>
        <w:t>Section 20.7  Entire Agreement</w:t>
      </w:r>
    </w:p>
    <w:p>
      <w:r>
        <w:rPr>
          <w:rFonts w:ascii="Times New Roman" w:hAnsi="Times New Roman"/>
          <w:b w:val="0"/>
          <w:i w:val="0"/>
        </w:rPr>
        <w:t>The Loan Documents constitute the entire agreement among the parties with respect to the Loan and supersede all prior and contemporaneous negotiations, understandings and agreements, including the Term Sheet (except to the extent Sections 22 and 23 thereof are expressly binding) and the Credit Memorandum. Borrower acknowledges that it has not relied on any representation or warranty of any Lender Party except those expressly set forth in the Loan Documents.</w:t>
      </w:r>
    </w:p>
    <w:p>
      <w:pPr>
        <w:pStyle w:val="Heading2"/>
      </w:pPr>
      <w:r>
        <w:rPr>
          <w:rFonts w:ascii="Times New Roman" w:hAnsi="Times New Roman"/>
          <w:b/>
          <w:sz w:val="22"/>
        </w:rPr>
        <w:t>Section 20.8  Counterparts; Electronic Signatures</w:t>
      </w:r>
    </w:p>
    <w:p>
      <w:r>
        <w:rPr>
          <w:rFonts w:ascii="Times New Roman" w:hAnsi="Times New Roman"/>
          <w:b w:val="0"/>
          <w:i w:val="0"/>
        </w:rPr>
        <w:t>This Agreement may be executed in any number of counterparts, each of which shall be deemed an original and all of which together shall constitute one instrument. Signatures delivered by electronic means, including by PDF or by a nationally recognized e-signature platform, shall be deemed original signatures for all purposes and shall be admissible in any proceeding.</w:t>
      </w:r>
    </w:p>
    <w:p>
      <w:pPr>
        <w:pStyle w:val="Heading2"/>
      </w:pPr>
      <w:r>
        <w:rPr>
          <w:rFonts w:ascii="Times New Roman" w:hAnsi="Times New Roman"/>
          <w:b/>
          <w:sz w:val="22"/>
        </w:rPr>
        <w:t>Section 20.9  Time of the Essence</w:t>
      </w:r>
    </w:p>
    <w:p>
      <w:r>
        <w:rPr>
          <w:rFonts w:ascii="Times New Roman" w:hAnsi="Times New Roman"/>
          <w:b w:val="0"/>
          <w:i w:val="0"/>
        </w:rPr>
        <w:t>Time is of the essence with respect to the performance of each obligation under the Loan Documents, including the achievement of each construction milestone in Schedule 1 and the performance of each obligation subject to a cure period.</w:t>
      </w:r>
    </w:p>
    <w:p>
      <w:pPr>
        <w:pStyle w:val="Heading2"/>
      </w:pPr>
      <w:r>
        <w:rPr>
          <w:rFonts w:ascii="Times New Roman" w:hAnsi="Times New Roman"/>
          <w:b/>
          <w:sz w:val="22"/>
        </w:rPr>
        <w:t>Section 20.10  No Third Party Beneficiaries</w:t>
      </w:r>
    </w:p>
    <w:p>
      <w:r>
        <w:rPr>
          <w:rFonts w:ascii="Times New Roman" w:hAnsi="Times New Roman"/>
          <w:b w:val="0"/>
          <w:i w:val="0"/>
        </w:rPr>
        <w:t>The Loan Documents are solely for the benefit of Lender, Borrower and the Guarantors (and, as to the Intercreditor Agreement, Mezzanine Lender), and no other Person, including any contractor, subcontractor, tenant, member or creditor of Borrower, shall have any right to enforce any provision hereof.</w:t>
      </w:r>
    </w:p>
    <w:p>
      <w:pPr>
        <w:pStyle w:val="Heading2"/>
      </w:pPr>
      <w:r>
        <w:rPr>
          <w:rFonts w:ascii="Times New Roman" w:hAnsi="Times New Roman"/>
          <w:b/>
          <w:sz w:val="22"/>
        </w:rPr>
        <w:t>Section 20.11  Relationship of the Parties</w:t>
      </w:r>
    </w:p>
    <w:p>
      <w:r>
        <w:rPr>
          <w:rFonts w:ascii="Times New Roman" w:hAnsi="Times New Roman"/>
          <w:b w:val="0"/>
          <w:i w:val="0"/>
        </w:rPr>
        <w:t>Nothing in the Loan Documents shall be construed to create a partnership, joint venture, agency or fiduciary relationship between Lender and Borrower or any Guarantor. Lender's review and approval of the plans, the budget, the Construction Contract, draw requests and construction progress are for Lender's own protection only and shall not be construed as a representation, warranty or approval of the adequacy, design, workmanship or completion of the Project or as an assumption of any duty to Borrower or any third party.</w:t>
      </w:r>
    </w:p>
    <w:p>
      <w:pPr>
        <w:pStyle w:val="Heading2"/>
      </w:pPr>
      <w:r>
        <w:rPr>
          <w:rFonts w:ascii="Times New Roman" w:hAnsi="Times New Roman"/>
          <w:b/>
          <w:sz w:val="22"/>
        </w:rPr>
        <w:t>Section 20.12  Usury Savings</w:t>
      </w:r>
    </w:p>
    <w:p>
      <w:r>
        <w:rPr>
          <w:rFonts w:ascii="Times New Roman" w:hAnsi="Times New Roman"/>
          <w:b w:val="0"/>
          <w:i w:val="0"/>
        </w:rPr>
        <w:t>The provisions of Section 2.16 are incorporated in this Section by reference and shall control over any inconsistent provision of any Loan Document.</w:t>
      </w:r>
    </w:p>
    <w:p>
      <w:pPr>
        <w:pStyle w:val="Heading2"/>
      </w:pPr>
      <w:r>
        <w:rPr>
          <w:rFonts w:ascii="Times New Roman" w:hAnsi="Times New Roman"/>
          <w:b/>
          <w:sz w:val="22"/>
        </w:rPr>
        <w:t>Section 20.13  Joint and Several Liability; Guarantor Acknowledgment</w:t>
      </w:r>
    </w:p>
    <w:p>
      <w:r>
        <w:rPr>
          <w:rFonts w:ascii="Times New Roman" w:hAnsi="Times New Roman"/>
          <w:b w:val="0"/>
          <w:i w:val="0"/>
        </w:rPr>
        <w:t>The obligations of Borrower and each Guarantor under the Loan Documents are joint and several. Each Guarantor acknowledges that it has received a copy of this Agreement, that it has had the opportunity to consult with independent counsel, and that it executes the Loan Documents to which it is a party for valuable consideration, including Lender's agreement to make the Loan.</w:t>
      </w:r>
    </w:p>
    <w:p>
      <w:pPr>
        <w:pStyle w:val="Heading2"/>
      </w:pPr>
      <w:r>
        <w:rPr>
          <w:rFonts w:ascii="Times New Roman" w:hAnsi="Times New Roman"/>
          <w:b/>
          <w:sz w:val="22"/>
        </w:rPr>
        <w:t>Section 20.14  Confidentiality</w:t>
      </w:r>
    </w:p>
    <w:p>
      <w:r>
        <w:rPr>
          <w:rFonts w:ascii="Times New Roman" w:hAnsi="Times New Roman"/>
          <w:b w:val="0"/>
          <w:i w:val="0"/>
        </w:rPr>
        <w:t>Lender may disclose information relating to Borrower, the Guarantors and the Project as permitted by Section 20.4 and as required by applicable law, regulation, bank examination or subpoena, without notice to Borrower except where legally permitted. Borrower and the Guarantors shall keep the terms of the Loan Documents confidential except as required by law or as disclosed to their respective advisors, members and prospective transferees on a need-to-know basis.</w:t>
      </w:r>
    </w:p>
    <w:p>
      <w:pPr>
        <w:pStyle w:val="Heading2"/>
      </w:pPr>
      <w:r>
        <w:rPr>
          <w:rFonts w:ascii="Times New Roman" w:hAnsi="Times New Roman"/>
          <w:b/>
          <w:sz w:val="22"/>
        </w:rPr>
        <w:t>Section 20.15  Further Documentation</w:t>
      </w:r>
    </w:p>
    <w:p>
      <w:r>
        <w:rPr>
          <w:rFonts w:ascii="Times New Roman" w:hAnsi="Times New Roman"/>
          <w:b w:val="0"/>
          <w:i w:val="0"/>
        </w:rPr>
        <w:t>Borrower shall execute and deliver such additional documents, and shall cause the Title Company to issue such additional endorsements, as Lender may require to conform the Loan Documents to the requirements of Lender's regulators, of any rating agency or of any participant or assignee, provided that no such document shall increase the principal amount of the Loan, increase the Interest Rate or materially increase Borrower's obligations.</w:t>
      </w:r>
    </w:p>
    <w:p>
      <w:r>
        <w:br w:type="page"/>
      </w:r>
    </w:p>
    <w:p>
      <w:pPr>
        <w:pStyle w:val="Heading1"/>
        <w:spacing w:before="360"/>
      </w:pPr>
      <w:r>
        <w:rPr>
          <w:rFonts w:ascii="Times New Roman" w:hAnsi="Times New Roman"/>
          <w:b/>
          <w:sz w:val="24"/>
        </w:rPr>
        <w:t>SIGNATURE PAGES</w:t>
      </w:r>
    </w:p>
    <w:p>
      <w:r>
        <w:rPr>
          <w:rFonts w:ascii="Times New Roman" w:hAnsi="Times New Roman"/>
          <w:b w:val="0"/>
          <w:i w:val="0"/>
        </w:rPr>
        <w:t>IN WITNESS WHEREOF, the parties have executed this Construction-to-Mini-Permanent Loan Agreement as of the date first written above.</w:t>
      </w:r>
    </w:p>
    <w:p>
      <w:pPr>
        <w:spacing w:before="320" w:after="80"/>
      </w:pPr>
      <w:r>
        <w:rPr>
          <w:rFonts w:ascii="Times New Roman" w:hAnsi="Times New Roman"/>
          <w:b/>
          <w:i w:val="0"/>
          <w:sz w:val="22"/>
        </w:rPr>
        <w:t>LENDER:</w:t>
      </w:r>
    </w:p>
    <w:p>
      <w:pPr>
        <w:spacing w:after="40"/>
      </w:pPr>
      <w:r>
        <w:rPr>
          <w:rFonts w:ascii="Times New Roman" w:hAnsi="Times New Roman"/>
          <w:b/>
          <w:i w:val="0"/>
          <w:sz w:val="21"/>
        </w:rPr>
        <w:t>PINNACLE SAVINGS BANK, N.A.,</w:t>
      </w:r>
    </w:p>
    <w:p>
      <w:pPr>
        <w:spacing w:after="360"/>
      </w:pPr>
      <w:r>
        <w:rPr>
          <w:rFonts w:ascii="Times New Roman" w:hAnsi="Times New Roman"/>
          <w:b w:val="0"/>
          <w:i w:val="0"/>
          <w:sz w:val="21"/>
        </w:rPr>
        <w:t>a nationally chartered savings bank</w:t>
      </w:r>
    </w:p>
    <w:p>
      <w:pPr>
        <w:spacing w:after="40"/>
      </w:pPr>
      <w:r>
        <w:rPr>
          <w:rFonts w:ascii="Times New Roman" w:hAnsi="Times New Roman"/>
          <w:b w:val="0"/>
          <w:i w:val="0"/>
          <w:sz w:val="21"/>
        </w:rPr>
        <w:t>By: _________________________________</w:t>
      </w:r>
    </w:p>
    <w:p>
      <w:pPr>
        <w:spacing w:after="40"/>
      </w:pPr>
      <w:r>
        <w:rPr>
          <w:rFonts w:ascii="Times New Roman" w:hAnsi="Times New Roman"/>
          <w:b w:val="0"/>
          <w:i w:val="0"/>
          <w:sz w:val="21"/>
        </w:rPr>
        <w:t>Name: _______________________________</w:t>
      </w:r>
    </w:p>
    <w:p>
      <w:pPr>
        <w:spacing w:after="40"/>
      </w:pPr>
      <w:r>
        <w:rPr>
          <w:rFonts w:ascii="Times New Roman" w:hAnsi="Times New Roman"/>
          <w:b w:val="0"/>
          <w:i w:val="0"/>
          <w:sz w:val="21"/>
        </w:rPr>
        <w:t>Title: ________________________________</w:t>
      </w:r>
    </w:p>
    <w:p>
      <w:pPr>
        <w:spacing w:after="480"/>
      </w:pPr>
      <w:r>
        <w:rPr>
          <w:rFonts w:ascii="Times New Roman" w:hAnsi="Times New Roman"/>
          <w:b w:val="0"/>
          <w:i w:val="0"/>
          <w:sz w:val="21"/>
        </w:rPr>
        <w:t>Date: _________________________________</w:t>
      </w:r>
    </w:p>
    <w:p>
      <w:pPr>
        <w:spacing w:before="160" w:after="80"/>
      </w:pPr>
      <w:r>
        <w:rPr>
          <w:rFonts w:ascii="Times New Roman" w:hAnsi="Times New Roman"/>
          <w:b/>
          <w:i w:val="0"/>
          <w:sz w:val="22"/>
        </w:rPr>
        <w:t>BORROWER:</w:t>
      </w:r>
    </w:p>
    <w:p>
      <w:pPr>
        <w:spacing w:after="40"/>
      </w:pPr>
      <w:r>
        <w:rPr>
          <w:rFonts w:ascii="Times New Roman" w:hAnsi="Times New Roman"/>
          <w:b/>
          <w:i w:val="0"/>
          <w:sz w:val="21"/>
        </w:rPr>
        <w:t>HARBORVIEW CAPITAL PARTNERS LLC,</w:t>
      </w:r>
    </w:p>
    <w:p>
      <w:pPr>
        <w:spacing w:after="360"/>
      </w:pPr>
      <w:r>
        <w:rPr>
          <w:rFonts w:ascii="Times New Roman" w:hAnsi="Times New Roman"/>
          <w:b w:val="0"/>
          <w:i w:val="0"/>
          <w:sz w:val="21"/>
        </w:rPr>
        <w:t>a North Carolina limited liability company</w:t>
      </w:r>
    </w:p>
    <w:p>
      <w:pPr>
        <w:spacing w:after="40"/>
      </w:pPr>
      <w:r>
        <w:rPr>
          <w:rFonts w:ascii="Times New Roman" w:hAnsi="Times New Roman"/>
          <w:b w:val="0"/>
          <w:i w:val="0"/>
          <w:sz w:val="21"/>
        </w:rPr>
        <w:t>By: _________________________________</w:t>
      </w:r>
    </w:p>
    <w:p>
      <w:pPr>
        <w:spacing w:after="40"/>
      </w:pPr>
      <w:r>
        <w:rPr>
          <w:rFonts w:ascii="Times New Roman" w:hAnsi="Times New Roman"/>
          <w:b w:val="0"/>
          <w:i w:val="0"/>
          <w:sz w:val="21"/>
        </w:rPr>
        <w:t>Name: Elena Vasquez-Torres</w:t>
      </w:r>
    </w:p>
    <w:p>
      <w:pPr>
        <w:spacing w:after="40"/>
      </w:pPr>
      <w:r>
        <w:rPr>
          <w:rFonts w:ascii="Times New Roman" w:hAnsi="Times New Roman"/>
          <w:b w:val="0"/>
          <w:i w:val="0"/>
          <w:sz w:val="21"/>
        </w:rPr>
        <w:t>Title: Managing Member</w:t>
      </w:r>
    </w:p>
    <w:p>
      <w:pPr>
        <w:spacing w:after="480"/>
      </w:pPr>
      <w:r>
        <w:rPr>
          <w:rFonts w:ascii="Times New Roman" w:hAnsi="Times New Roman"/>
          <w:b w:val="0"/>
          <w:i w:val="0"/>
          <w:sz w:val="21"/>
        </w:rPr>
        <w:t>Date: _________________________________</w:t>
      </w:r>
    </w:p>
    <w:p>
      <w:pPr>
        <w:spacing w:before="160" w:after="160"/>
      </w:pPr>
      <w:r>
        <w:rPr>
          <w:rFonts w:ascii="Times New Roman" w:hAnsi="Times New Roman"/>
          <w:b/>
          <w:i w:val="0"/>
          <w:sz w:val="22"/>
        </w:rPr>
        <w:t>GUARANTORS:</w:t>
      </w:r>
    </w:p>
    <w:p>
      <w:pPr>
        <w:spacing w:after="40"/>
      </w:pPr>
      <w:r>
        <w:rPr>
          <w:rFonts w:ascii="Times New Roman" w:hAnsi="Times New Roman"/>
          <w:b w:val="0"/>
          <w:i w:val="0"/>
          <w:sz w:val="21"/>
        </w:rPr>
        <w:t>_____________________________________</w:t>
      </w:r>
    </w:p>
    <w:p>
      <w:pPr>
        <w:spacing w:after="40"/>
      </w:pPr>
      <w:r>
        <w:rPr>
          <w:rFonts w:ascii="Times New Roman" w:hAnsi="Times New Roman"/>
          <w:b w:val="0"/>
          <w:i w:val="0"/>
          <w:sz w:val="21"/>
        </w:rPr>
        <w:t>ELENA VASQUEZ-TORRES, individually</w:t>
      </w:r>
    </w:p>
    <w:p>
      <w:pPr>
        <w:spacing w:after="440"/>
      </w:pPr>
      <w:r>
        <w:rPr>
          <w:rFonts w:ascii="Times New Roman" w:hAnsi="Times New Roman"/>
          <w:b w:val="0"/>
          <w:i w:val="0"/>
          <w:sz w:val="21"/>
        </w:rPr>
        <w:t>Date: _________________________________</w:t>
      </w:r>
    </w:p>
    <w:p>
      <w:pPr>
        <w:spacing w:after="40"/>
      </w:pPr>
      <w:r>
        <w:rPr>
          <w:rFonts w:ascii="Times New Roman" w:hAnsi="Times New Roman"/>
          <w:b w:val="0"/>
          <w:i w:val="0"/>
          <w:sz w:val="21"/>
        </w:rPr>
        <w:t>_____________________________________</w:t>
      </w:r>
    </w:p>
    <w:p>
      <w:pPr>
        <w:spacing w:after="40"/>
      </w:pPr>
      <w:r>
        <w:rPr>
          <w:rFonts w:ascii="Times New Roman" w:hAnsi="Times New Roman"/>
          <w:b w:val="0"/>
          <w:i w:val="0"/>
          <w:sz w:val="21"/>
        </w:rPr>
        <w:t>REGINALD K. OSEI, individually</w:t>
      </w:r>
    </w:p>
    <w:p>
      <w:pPr>
        <w:spacing w:after="360"/>
      </w:pPr>
      <w:r>
        <w:rPr>
          <w:rFonts w:ascii="Times New Roman" w:hAnsi="Times New Roman"/>
          <w:b w:val="0"/>
          <w:i w:val="0"/>
          <w:sz w:val="21"/>
        </w:rPr>
        <w:t>Date: _________________________________</w:t>
      </w:r>
    </w:p>
    <w:p>
      <w:pPr>
        <w:spacing w:before="360"/>
        <w:jc w:val="center"/>
      </w:pPr>
      <w:r>
        <w:rPr>
          <w:rFonts w:ascii="Times New Roman" w:hAnsi="Times New Roman"/>
          <w:b w:val="0"/>
          <w:i/>
          <w:sz w:val="18"/>
        </w:rPr>
        <w:t>[Signature page to Construction-to-Mini-Permanent Loan Agreement — Loan No. CRE-2025-0342 — Harborview Capital Partners LLC / The Piedmont at Brightleaf]</w:t>
      </w:r>
    </w:p>
    <w:p>
      <w:r>
        <w:br w:type="page"/>
      </w:r>
    </w:p>
    <w:p>
      <w:pPr>
        <w:sectPr>
          <w:headerReference w:type="default" r:id="rId9"/>
          <w:footerReference w:type="default" r:id="rId10"/>
          <w:pgSz w:w="12240" w:h="15840"/>
          <w:pgMar w:top="1440" w:right="1440" w:bottom="1440" w:left="1440" w:header="720" w:footer="720" w:gutter="0"/>
          <w:cols w:space="720"/>
          <w:titlePg/>
          <w:docGrid w:linePitch="360"/>
        </w:sectPr>
      </w:pPr>
    </w:p>
    <w:p>
      <w:pPr>
        <w:pStyle w:val="Heading1"/>
        <w:spacing w:before="360"/>
      </w:pPr>
      <w:r>
        <w:rPr>
          <w:rFonts w:ascii="Times New Roman" w:hAnsi="Times New Roman"/>
          <w:b/>
          <w:sz w:val="24"/>
        </w:rPr>
        <w:t>SCHEDULE 1 — DRAW SCHEDULE AND CONSTRUCTION MILESTONES</w:t>
      </w:r>
    </w:p>
    <w:p>
      <w:r>
        <w:rPr>
          <w:rFonts w:ascii="Times New Roman" w:hAnsi="Times New Roman"/>
          <w:b w:val="0"/>
          <w:i w:val="0"/>
          <w:sz w:val="20"/>
        </w:rPr>
        <w:t>Capitalized terms used in this Schedule have the meanings given in the Agreement. Advances shall be made only in accordance with this Schedule 1 and Article IV. The percentages in the “% Complete” column are measured against the GMP of $34,750,000 on a cumulative basis, inclusive of Retainage.</w:t>
      </w:r>
    </w:p>
    <w:tbl>
      <w:tblPr>
        <w:tblStyle w:val="TableGrid"/>
        <w:tblW w:type="auto" w:w="0"/>
        <w:jc w:val="center"/>
        <w:tblLayout w:type="fixed"/>
        <w:tblLook w:firstColumn="1" w:firstRow="1" w:lastColumn="0" w:lastRow="0" w:noHBand="0" w:noVBand="1" w:val="04A0"/>
      </w:tblPr>
      <w:tblGrid>
        <w:gridCol w:w="648"/>
        <w:gridCol w:w="2520"/>
        <w:gridCol w:w="979"/>
        <w:gridCol w:w="1181"/>
        <w:gridCol w:w="1224"/>
        <w:gridCol w:w="1152"/>
        <w:gridCol w:w="1152"/>
        <w:gridCol w:w="1080"/>
        <w:gridCol w:w="1152"/>
        <w:gridCol w:w="1224"/>
        <w:gridCol w:w="1267"/>
      </w:tblGrid>
      <w:tr>
        <w:trPr>
          <w:tblHeader w:val="true"/>
        </w:trPr>
        <w:tc>
          <w:tcPr>
            <w:tcW w:type="dxa" w:w="648"/>
            <w:shd w:val="clear" w:color="auto" w:fill="1F3355"/>
          </w:tcPr>
          <w:p>
            <w:pPr>
              <w:spacing w:before="60" w:after="60"/>
              <w:jc w:val="center"/>
            </w:pPr>
            <w:r/>
            <w:r>
              <w:rPr>
                <w:rFonts w:ascii="Times New Roman" w:hAnsi="Times New Roman"/>
                <w:b/>
                <w:color w:val="FFFFFF"/>
                <w:sz w:val="17"/>
              </w:rPr>
              <w:t>No.</w:t>
            </w:r>
          </w:p>
        </w:tc>
        <w:tc>
          <w:tcPr>
            <w:tcW w:type="dxa" w:w="2520"/>
            <w:shd w:val="clear" w:color="auto" w:fill="1F3355"/>
          </w:tcPr>
          <w:p>
            <w:pPr>
              <w:spacing w:before="60" w:after="60"/>
              <w:jc w:val="center"/>
            </w:pPr>
            <w:r/>
            <w:r>
              <w:rPr>
                <w:rFonts w:ascii="Times New Roman" w:hAnsi="Times New Roman"/>
                <w:b/>
                <w:color w:val="FFFFFF"/>
                <w:sz w:val="17"/>
              </w:rPr>
              <w:t>Milestone</w:t>
            </w:r>
          </w:p>
        </w:tc>
        <w:tc>
          <w:tcPr>
            <w:tcW w:type="dxa" w:w="979"/>
            <w:shd w:val="clear" w:color="auto" w:fill="1F3355"/>
          </w:tcPr>
          <w:p>
            <w:pPr>
              <w:spacing w:before="60" w:after="60"/>
              <w:jc w:val="center"/>
            </w:pPr>
            <w:r/>
            <w:r>
              <w:rPr>
                <w:rFonts w:ascii="Times New Roman" w:hAnsi="Times New Roman"/>
                <w:b/>
                <w:color w:val="FFFFFF"/>
                <w:sz w:val="17"/>
              </w:rPr>
              <w:t>% Comp.</w:t>
            </w:r>
          </w:p>
        </w:tc>
        <w:tc>
          <w:tcPr>
            <w:tcW w:type="dxa" w:w="1181"/>
            <w:shd w:val="clear" w:color="auto" w:fill="1F3355"/>
          </w:tcPr>
          <w:p>
            <w:pPr>
              <w:spacing w:before="60" w:after="60"/>
              <w:jc w:val="center"/>
            </w:pPr>
            <w:r/>
            <w:r>
              <w:rPr>
                <w:rFonts w:ascii="Times New Roman" w:hAnsi="Times New Roman"/>
                <w:b/>
                <w:color w:val="FFFFFF"/>
                <w:sz w:val="17"/>
              </w:rPr>
              <w:t>Date</w:t>
            </w:r>
          </w:p>
        </w:tc>
        <w:tc>
          <w:tcPr>
            <w:tcW w:type="dxa" w:w="1224"/>
            <w:shd w:val="clear" w:color="auto" w:fill="1F3355"/>
          </w:tcPr>
          <w:p>
            <w:pPr>
              <w:spacing w:before="60" w:after="60"/>
              <w:jc w:val="center"/>
            </w:pPr>
            <w:r/>
            <w:r>
              <w:rPr>
                <w:rFonts w:ascii="Times New Roman" w:hAnsi="Times New Roman"/>
                <w:b/>
                <w:color w:val="FFFFFF"/>
                <w:sz w:val="17"/>
              </w:rPr>
              <w:t>Gross Hard Cost</w:t>
            </w:r>
          </w:p>
        </w:tc>
        <w:tc>
          <w:tcPr>
            <w:tcW w:type="dxa" w:w="1152"/>
            <w:shd w:val="clear" w:color="auto" w:fill="1F3355"/>
          </w:tcPr>
          <w:p>
            <w:pPr>
              <w:spacing w:before="60" w:after="60"/>
              <w:jc w:val="center"/>
            </w:pPr>
            <w:r/>
            <w:r>
              <w:rPr>
                <w:rFonts w:ascii="Times New Roman" w:hAnsi="Times New Roman"/>
                <w:b/>
                <w:color w:val="FFFFFF"/>
                <w:sz w:val="17"/>
              </w:rPr>
              <w:t>Retainage</w:t>
            </w:r>
          </w:p>
        </w:tc>
        <w:tc>
          <w:tcPr>
            <w:tcW w:type="dxa" w:w="1152"/>
            <w:shd w:val="clear" w:color="auto" w:fill="1F3355"/>
          </w:tcPr>
          <w:p>
            <w:pPr>
              <w:spacing w:before="60" w:after="60"/>
              <w:jc w:val="center"/>
            </w:pPr>
            <w:r/>
            <w:r>
              <w:rPr>
                <w:rFonts w:ascii="Times New Roman" w:hAnsi="Times New Roman"/>
                <w:b/>
                <w:color w:val="FFFFFF"/>
                <w:sz w:val="17"/>
              </w:rPr>
              <w:t>Soft Costs</w:t>
            </w:r>
          </w:p>
        </w:tc>
        <w:tc>
          <w:tcPr>
            <w:tcW w:type="dxa" w:w="1080"/>
            <w:shd w:val="clear" w:color="auto" w:fill="1F3355"/>
          </w:tcPr>
          <w:p>
            <w:pPr>
              <w:spacing w:before="60" w:after="60"/>
              <w:jc w:val="center"/>
            </w:pPr>
            <w:r/>
            <w:r>
              <w:rPr>
                <w:rFonts w:ascii="Times New Roman" w:hAnsi="Times New Roman"/>
                <w:b/>
                <w:color w:val="FFFFFF"/>
                <w:sz w:val="17"/>
              </w:rPr>
              <w:t>Contin-gency</w:t>
            </w:r>
          </w:p>
        </w:tc>
        <w:tc>
          <w:tcPr>
            <w:tcW w:type="dxa" w:w="1152"/>
            <w:shd w:val="clear" w:color="auto" w:fill="1F3355"/>
          </w:tcPr>
          <w:p>
            <w:pPr>
              <w:spacing w:before="60" w:after="60"/>
              <w:jc w:val="center"/>
            </w:pPr>
            <w:r/>
            <w:r>
              <w:rPr>
                <w:rFonts w:ascii="Times New Roman" w:hAnsi="Times New Roman"/>
                <w:b/>
                <w:color w:val="FFFFFF"/>
                <w:sz w:val="17"/>
              </w:rPr>
              <w:t>Dev. Fee</w:t>
            </w:r>
          </w:p>
        </w:tc>
        <w:tc>
          <w:tcPr>
            <w:tcW w:type="dxa" w:w="1224"/>
            <w:shd w:val="clear" w:color="auto" w:fill="1F3355"/>
          </w:tcPr>
          <w:p>
            <w:pPr>
              <w:spacing w:before="60" w:after="60"/>
              <w:jc w:val="center"/>
            </w:pPr>
            <w:r/>
            <w:r>
              <w:rPr>
                <w:rFonts w:ascii="Times New Roman" w:hAnsi="Times New Roman"/>
                <w:b/>
                <w:color w:val="FFFFFF"/>
                <w:sz w:val="17"/>
              </w:rPr>
              <w:t>Total Advance</w:t>
            </w:r>
          </w:p>
        </w:tc>
        <w:tc>
          <w:tcPr>
            <w:tcW w:type="dxa" w:w="1267"/>
            <w:shd w:val="clear" w:color="auto" w:fill="1F3355"/>
          </w:tcPr>
          <w:p>
            <w:pPr>
              <w:spacing w:before="60" w:after="60"/>
              <w:jc w:val="center"/>
            </w:pPr>
            <w:r/>
            <w:r>
              <w:rPr>
                <w:rFonts w:ascii="Times New Roman" w:hAnsi="Times New Roman"/>
                <w:b/>
                <w:color w:val="FFFFFF"/>
                <w:sz w:val="17"/>
              </w:rPr>
              <w:t>Cumulat-ive</w:t>
            </w:r>
          </w:p>
        </w:tc>
      </w:tr>
      <w:tr>
        <w:trPr>
          <w:cantSplit w:val="true"/>
        </w:trPr>
        <w:tc>
          <w:tcPr>
            <w:tcW w:type="dxa" w:w="648"/>
          </w:tcPr>
          <w:p>
            <w:pPr>
              <w:spacing w:before="40" w:after="40"/>
              <w:jc w:val="left"/>
            </w:pPr>
            <w:r/>
            <w:r>
              <w:rPr>
                <w:rFonts w:ascii="Times New Roman" w:hAnsi="Times New Roman"/>
                <w:b w:val="0"/>
                <w:i w:val="0"/>
                <w:sz w:val="17"/>
              </w:rPr>
              <w:t>1</w:t>
            </w:r>
          </w:p>
        </w:tc>
        <w:tc>
          <w:tcPr>
            <w:tcW w:type="dxa" w:w="2520"/>
          </w:tcPr>
          <w:p>
            <w:pPr>
              <w:spacing w:before="40" w:after="40"/>
              <w:jc w:val="left"/>
            </w:pPr>
            <w:r/>
            <w:r>
              <w:rPr>
                <w:rFonts w:ascii="Times New Roman" w:hAnsi="Times New Roman"/>
                <w:b w:val="0"/>
                <w:i w:val="0"/>
                <w:sz w:val="17"/>
              </w:rPr>
              <w:t>Closing — soft costs, Interest Reserve, Origination Fee</w:t>
            </w:r>
          </w:p>
        </w:tc>
        <w:tc>
          <w:tcPr>
            <w:tcW w:type="dxa" w:w="979"/>
          </w:tcPr>
          <w:p>
            <w:pPr>
              <w:spacing w:before="40" w:after="40"/>
              <w:jc w:val="right"/>
            </w:pPr>
            <w:r/>
            <w:r>
              <w:rPr>
                <w:rFonts w:ascii="Times New Roman" w:hAnsi="Times New Roman"/>
                <w:b w:val="0"/>
                <w:i w:val="0"/>
                <w:sz w:val="17"/>
              </w:rPr>
              <w:t>0%</w:t>
            </w:r>
          </w:p>
        </w:tc>
        <w:tc>
          <w:tcPr>
            <w:tcW w:type="dxa" w:w="1181"/>
          </w:tcPr>
          <w:p>
            <w:pPr>
              <w:spacing w:before="40" w:after="40"/>
              <w:jc w:val="left"/>
            </w:pPr>
            <w:r/>
            <w:r>
              <w:rPr>
                <w:rFonts w:ascii="Times New Roman" w:hAnsi="Times New Roman"/>
                <w:b w:val="0"/>
                <w:i w:val="0"/>
                <w:sz w:val="17"/>
              </w:rPr>
              <w:t>Feb. 2025</w:t>
            </w:r>
          </w:p>
        </w:tc>
        <w:tc>
          <w:tcPr>
            <w:tcW w:type="dxa" w:w="1224"/>
          </w:tcPr>
          <w:p>
            <w:pPr>
              <w:spacing w:before="40" w:after="40"/>
              <w:jc w:val="right"/>
            </w:pPr>
            <w:r/>
            <w:r>
              <w:rPr>
                <w:rFonts w:ascii="Times New Roman" w:hAnsi="Times New Roman"/>
                <w:b w:val="0"/>
                <w:i w:val="0"/>
                <w:sz w:val="17"/>
              </w:rPr>
              <w:t>—</w:t>
            </w:r>
          </w:p>
        </w:tc>
        <w:tc>
          <w:tcPr>
            <w:tcW w:type="dxa" w:w="1152"/>
          </w:tcPr>
          <w:p>
            <w:pPr>
              <w:spacing w:before="40" w:after="40"/>
              <w:jc w:val="right"/>
            </w:pPr>
            <w:r/>
            <w:r>
              <w:rPr>
                <w:rFonts w:ascii="Times New Roman" w:hAnsi="Times New Roman"/>
                <w:b w:val="0"/>
                <w:i w:val="0"/>
                <w:sz w:val="17"/>
              </w:rPr>
              <w:t>—</w:t>
            </w:r>
          </w:p>
        </w:tc>
        <w:tc>
          <w:tcPr>
            <w:tcW w:type="dxa" w:w="1152"/>
          </w:tcPr>
          <w:p>
            <w:pPr>
              <w:spacing w:before="40" w:after="40"/>
              <w:jc w:val="right"/>
            </w:pPr>
            <w:r/>
            <w:r>
              <w:rPr>
                <w:rFonts w:ascii="Times New Roman" w:hAnsi="Times New Roman"/>
                <w:b w:val="0"/>
                <w:i w:val="0"/>
                <w:sz w:val="17"/>
              </w:rPr>
              <w:t>4,150,000</w:t>
            </w:r>
          </w:p>
        </w:tc>
        <w:tc>
          <w:tcPr>
            <w:tcW w:type="dxa" w:w="1080"/>
          </w:tcPr>
          <w:p>
            <w:pPr>
              <w:spacing w:before="40" w:after="40"/>
              <w:jc w:val="right"/>
            </w:pPr>
            <w:r/>
            <w:r>
              <w:rPr>
                <w:rFonts w:ascii="Times New Roman" w:hAnsi="Times New Roman"/>
                <w:b w:val="0"/>
                <w:i w:val="0"/>
                <w:sz w:val="17"/>
              </w:rPr>
              <w:t>—</w:t>
            </w:r>
          </w:p>
        </w:tc>
        <w:tc>
          <w:tcPr>
            <w:tcW w:type="dxa" w:w="1152"/>
          </w:tcPr>
          <w:p>
            <w:pPr>
              <w:spacing w:before="40" w:after="40"/>
              <w:jc w:val="right"/>
            </w:pPr>
            <w:r/>
            <w:r>
              <w:rPr>
                <w:rFonts w:ascii="Times New Roman" w:hAnsi="Times New Roman"/>
                <w:b w:val="0"/>
                <w:i w:val="0"/>
                <w:sz w:val="17"/>
              </w:rPr>
              <w:t>475,000</w:t>
            </w:r>
          </w:p>
        </w:tc>
        <w:tc>
          <w:tcPr>
            <w:tcW w:type="dxa" w:w="1224"/>
          </w:tcPr>
          <w:p>
            <w:pPr>
              <w:spacing w:before="40" w:after="40"/>
              <w:jc w:val="right"/>
            </w:pPr>
            <w:r/>
            <w:r>
              <w:rPr>
                <w:rFonts w:ascii="Times New Roman" w:hAnsi="Times New Roman"/>
                <w:b w:val="0"/>
                <w:i w:val="0"/>
                <w:sz w:val="17"/>
              </w:rPr>
              <w:t>9,475,000</w:t>
            </w:r>
          </w:p>
        </w:tc>
        <w:tc>
          <w:tcPr>
            <w:tcW w:type="dxa" w:w="1267"/>
          </w:tcPr>
          <w:p>
            <w:pPr>
              <w:spacing w:before="40" w:after="40"/>
              <w:jc w:val="right"/>
            </w:pPr>
            <w:r/>
            <w:r>
              <w:rPr>
                <w:rFonts w:ascii="Times New Roman" w:hAnsi="Times New Roman"/>
                <w:b w:val="0"/>
                <w:i w:val="0"/>
                <w:sz w:val="17"/>
              </w:rPr>
              <w:t>9,475,000</w:t>
            </w:r>
          </w:p>
        </w:tc>
      </w:tr>
      <w:tr>
        <w:trPr>
          <w:cantSplit w:val="true"/>
        </w:trPr>
        <w:tc>
          <w:tcPr>
            <w:tcW w:type="dxa" w:w="648"/>
            <w:shd w:val="clear" w:color="auto" w:fill="F7F8FA"/>
          </w:tcPr>
          <w:p>
            <w:pPr>
              <w:spacing w:before="40" w:after="40"/>
              <w:jc w:val="left"/>
            </w:pPr>
            <w:r/>
            <w:r>
              <w:rPr>
                <w:rFonts w:ascii="Times New Roman" w:hAnsi="Times New Roman"/>
                <w:b w:val="0"/>
                <w:i w:val="0"/>
                <w:sz w:val="17"/>
              </w:rPr>
              <w:t>2</w:t>
            </w:r>
          </w:p>
        </w:tc>
        <w:tc>
          <w:tcPr>
            <w:tcW w:type="dxa" w:w="2520"/>
            <w:shd w:val="clear" w:color="auto" w:fill="F7F8FA"/>
          </w:tcPr>
          <w:p>
            <w:pPr>
              <w:spacing w:before="40" w:after="40"/>
              <w:jc w:val="left"/>
            </w:pPr>
            <w:r/>
            <w:r>
              <w:rPr>
                <w:rFonts w:ascii="Times New Roman" w:hAnsi="Times New Roman"/>
                <w:b w:val="0"/>
                <w:i w:val="0"/>
                <w:sz w:val="17"/>
              </w:rPr>
              <w:t>Foundation complete</w:t>
            </w:r>
          </w:p>
        </w:tc>
        <w:tc>
          <w:tcPr>
            <w:tcW w:type="dxa" w:w="979"/>
            <w:shd w:val="clear" w:color="auto" w:fill="F7F8FA"/>
          </w:tcPr>
          <w:p>
            <w:pPr>
              <w:spacing w:before="40" w:after="40"/>
              <w:jc w:val="right"/>
            </w:pPr>
            <w:r/>
            <w:r>
              <w:rPr>
                <w:rFonts w:ascii="Times New Roman" w:hAnsi="Times New Roman"/>
                <w:b w:val="0"/>
                <w:i w:val="0"/>
                <w:sz w:val="17"/>
              </w:rPr>
              <w:t>15%</w:t>
            </w:r>
          </w:p>
        </w:tc>
        <w:tc>
          <w:tcPr>
            <w:tcW w:type="dxa" w:w="1181"/>
            <w:shd w:val="clear" w:color="auto" w:fill="F7F8FA"/>
          </w:tcPr>
          <w:p>
            <w:pPr>
              <w:spacing w:before="40" w:after="40"/>
              <w:jc w:val="left"/>
            </w:pPr>
            <w:r/>
            <w:r>
              <w:rPr>
                <w:rFonts w:ascii="Times New Roman" w:hAnsi="Times New Roman"/>
                <w:b w:val="0"/>
                <w:i w:val="0"/>
                <w:sz w:val="17"/>
              </w:rPr>
              <w:t>June 2025</w:t>
            </w:r>
          </w:p>
        </w:tc>
        <w:tc>
          <w:tcPr>
            <w:tcW w:type="dxa" w:w="1224"/>
            <w:shd w:val="clear" w:color="auto" w:fill="F7F8FA"/>
          </w:tcPr>
          <w:p>
            <w:pPr>
              <w:spacing w:before="40" w:after="40"/>
              <w:jc w:val="right"/>
            </w:pPr>
            <w:r/>
            <w:r>
              <w:rPr>
                <w:rFonts w:ascii="Times New Roman" w:hAnsi="Times New Roman"/>
                <w:b w:val="0"/>
                <w:i w:val="0"/>
                <w:sz w:val="17"/>
              </w:rPr>
              <w:t>5,212,500</w:t>
            </w:r>
          </w:p>
        </w:tc>
        <w:tc>
          <w:tcPr>
            <w:tcW w:type="dxa" w:w="1152"/>
            <w:shd w:val="clear" w:color="auto" w:fill="F7F8FA"/>
          </w:tcPr>
          <w:p>
            <w:pPr>
              <w:spacing w:before="40" w:after="40"/>
              <w:jc w:val="right"/>
            </w:pPr>
            <w:r/>
            <w:r>
              <w:rPr>
                <w:rFonts w:ascii="Times New Roman" w:hAnsi="Times New Roman"/>
                <w:b w:val="0"/>
                <w:i w:val="0"/>
                <w:sz w:val="17"/>
              </w:rPr>
              <w:t>(521,250)</w:t>
            </w:r>
          </w:p>
        </w:tc>
        <w:tc>
          <w:tcPr>
            <w:tcW w:type="dxa" w:w="1152"/>
            <w:shd w:val="clear" w:color="auto" w:fill="F7F8FA"/>
          </w:tcPr>
          <w:p>
            <w:pPr>
              <w:spacing w:before="40" w:after="40"/>
              <w:jc w:val="right"/>
            </w:pPr>
            <w:r/>
            <w:r>
              <w:rPr>
                <w:rFonts w:ascii="Times New Roman" w:hAnsi="Times New Roman"/>
                <w:b w:val="0"/>
                <w:i w:val="0"/>
                <w:sz w:val="17"/>
              </w:rPr>
              <w:t>—</w:t>
            </w:r>
          </w:p>
        </w:tc>
        <w:tc>
          <w:tcPr>
            <w:tcW w:type="dxa" w:w="1080"/>
            <w:shd w:val="clear" w:color="auto" w:fill="F7F8FA"/>
          </w:tcPr>
          <w:p>
            <w:pPr>
              <w:spacing w:before="40" w:after="40"/>
              <w:jc w:val="right"/>
            </w:pPr>
            <w:r/>
            <w:r>
              <w:rPr>
                <w:rFonts w:ascii="Times New Roman" w:hAnsi="Times New Roman"/>
                <w:b w:val="0"/>
                <w:i w:val="0"/>
                <w:sz w:val="17"/>
              </w:rPr>
              <w:t>—</w:t>
            </w:r>
          </w:p>
        </w:tc>
        <w:tc>
          <w:tcPr>
            <w:tcW w:type="dxa" w:w="1152"/>
            <w:shd w:val="clear" w:color="auto" w:fill="F7F8FA"/>
          </w:tcPr>
          <w:p>
            <w:pPr>
              <w:spacing w:before="40" w:after="40"/>
              <w:jc w:val="right"/>
            </w:pPr>
            <w:r/>
            <w:r>
              <w:rPr>
                <w:rFonts w:ascii="Times New Roman" w:hAnsi="Times New Roman"/>
                <w:b w:val="0"/>
                <w:i w:val="0"/>
                <w:sz w:val="17"/>
              </w:rPr>
              <w:t>—</w:t>
            </w:r>
          </w:p>
        </w:tc>
        <w:tc>
          <w:tcPr>
            <w:tcW w:type="dxa" w:w="1224"/>
            <w:shd w:val="clear" w:color="auto" w:fill="F7F8FA"/>
          </w:tcPr>
          <w:p>
            <w:pPr>
              <w:spacing w:before="40" w:after="40"/>
              <w:jc w:val="right"/>
            </w:pPr>
            <w:r/>
            <w:r>
              <w:rPr>
                <w:rFonts w:ascii="Times New Roman" w:hAnsi="Times New Roman"/>
                <w:b w:val="0"/>
                <w:i w:val="0"/>
                <w:sz w:val="17"/>
              </w:rPr>
              <w:t>4,691,250</w:t>
            </w:r>
          </w:p>
        </w:tc>
        <w:tc>
          <w:tcPr>
            <w:tcW w:type="dxa" w:w="1267"/>
            <w:shd w:val="clear" w:color="auto" w:fill="F7F8FA"/>
          </w:tcPr>
          <w:p>
            <w:pPr>
              <w:spacing w:before="40" w:after="40"/>
              <w:jc w:val="right"/>
            </w:pPr>
            <w:r/>
            <w:r>
              <w:rPr>
                <w:rFonts w:ascii="Times New Roman" w:hAnsi="Times New Roman"/>
                <w:b w:val="0"/>
                <w:i w:val="0"/>
                <w:sz w:val="17"/>
              </w:rPr>
              <w:t>14,166,250</w:t>
            </w:r>
          </w:p>
        </w:tc>
      </w:tr>
      <w:tr>
        <w:trPr>
          <w:cantSplit w:val="true"/>
        </w:trPr>
        <w:tc>
          <w:tcPr>
            <w:tcW w:type="dxa" w:w="648"/>
          </w:tcPr>
          <w:p>
            <w:pPr>
              <w:spacing w:before="40" w:after="40"/>
              <w:jc w:val="left"/>
            </w:pPr>
            <w:r/>
            <w:r>
              <w:rPr>
                <w:rFonts w:ascii="Times New Roman" w:hAnsi="Times New Roman"/>
                <w:b w:val="0"/>
                <w:i w:val="0"/>
                <w:sz w:val="17"/>
              </w:rPr>
              <w:t>3</w:t>
            </w:r>
          </w:p>
        </w:tc>
        <w:tc>
          <w:tcPr>
            <w:tcW w:type="dxa" w:w="2520"/>
          </w:tcPr>
          <w:p>
            <w:pPr>
              <w:spacing w:before="40" w:after="40"/>
              <w:jc w:val="left"/>
            </w:pPr>
            <w:r/>
            <w:r>
              <w:rPr>
                <w:rFonts w:ascii="Times New Roman" w:hAnsi="Times New Roman"/>
                <w:b w:val="0"/>
                <w:i w:val="0"/>
                <w:sz w:val="17"/>
              </w:rPr>
              <w:t>Structural frame — Level 3</w:t>
            </w:r>
          </w:p>
        </w:tc>
        <w:tc>
          <w:tcPr>
            <w:tcW w:type="dxa" w:w="979"/>
          </w:tcPr>
          <w:p>
            <w:pPr>
              <w:spacing w:before="40" w:after="40"/>
              <w:jc w:val="right"/>
            </w:pPr>
            <w:r/>
            <w:r>
              <w:rPr>
                <w:rFonts w:ascii="Times New Roman" w:hAnsi="Times New Roman"/>
                <w:b w:val="0"/>
                <w:i w:val="0"/>
                <w:sz w:val="17"/>
              </w:rPr>
              <w:t>35%</w:t>
            </w:r>
          </w:p>
        </w:tc>
        <w:tc>
          <w:tcPr>
            <w:tcW w:type="dxa" w:w="1181"/>
          </w:tcPr>
          <w:p>
            <w:pPr>
              <w:spacing w:before="40" w:after="40"/>
              <w:jc w:val="left"/>
            </w:pPr>
            <w:r/>
            <w:r>
              <w:rPr>
                <w:rFonts w:ascii="Times New Roman" w:hAnsi="Times New Roman"/>
                <w:b w:val="0"/>
                <w:i w:val="0"/>
                <w:sz w:val="17"/>
              </w:rPr>
              <w:t>Nov. 2025</w:t>
            </w:r>
          </w:p>
        </w:tc>
        <w:tc>
          <w:tcPr>
            <w:tcW w:type="dxa" w:w="1224"/>
          </w:tcPr>
          <w:p>
            <w:pPr>
              <w:spacing w:before="40" w:after="40"/>
              <w:jc w:val="right"/>
            </w:pPr>
            <w:r/>
            <w:r>
              <w:rPr>
                <w:rFonts w:ascii="Times New Roman" w:hAnsi="Times New Roman"/>
                <w:b w:val="0"/>
                <w:i w:val="0"/>
                <w:sz w:val="17"/>
              </w:rPr>
              <w:t>6,950,000</w:t>
            </w:r>
          </w:p>
        </w:tc>
        <w:tc>
          <w:tcPr>
            <w:tcW w:type="dxa" w:w="1152"/>
          </w:tcPr>
          <w:p>
            <w:pPr>
              <w:spacing w:before="40" w:after="40"/>
              <w:jc w:val="right"/>
            </w:pPr>
            <w:r/>
            <w:r>
              <w:rPr>
                <w:rFonts w:ascii="Times New Roman" w:hAnsi="Times New Roman"/>
                <w:b w:val="0"/>
                <w:i w:val="0"/>
                <w:sz w:val="17"/>
              </w:rPr>
              <w:t>(695,000)</w:t>
            </w:r>
          </w:p>
        </w:tc>
        <w:tc>
          <w:tcPr>
            <w:tcW w:type="dxa" w:w="1152"/>
          </w:tcPr>
          <w:p>
            <w:pPr>
              <w:spacing w:before="40" w:after="40"/>
              <w:jc w:val="right"/>
            </w:pPr>
            <w:r/>
            <w:r>
              <w:rPr>
                <w:rFonts w:ascii="Times New Roman" w:hAnsi="Times New Roman"/>
                <w:b w:val="0"/>
                <w:i w:val="0"/>
                <w:sz w:val="17"/>
              </w:rPr>
              <w:t>—</w:t>
            </w:r>
          </w:p>
        </w:tc>
        <w:tc>
          <w:tcPr>
            <w:tcW w:type="dxa" w:w="1080"/>
          </w:tcPr>
          <w:p>
            <w:pPr>
              <w:spacing w:before="40" w:after="40"/>
              <w:jc w:val="right"/>
            </w:pPr>
            <w:r/>
            <w:r>
              <w:rPr>
                <w:rFonts w:ascii="Times New Roman" w:hAnsi="Times New Roman"/>
                <w:b w:val="0"/>
                <w:i w:val="0"/>
                <w:sz w:val="17"/>
              </w:rPr>
              <w:t>—</w:t>
            </w:r>
          </w:p>
        </w:tc>
        <w:tc>
          <w:tcPr>
            <w:tcW w:type="dxa" w:w="1152"/>
          </w:tcPr>
          <w:p>
            <w:pPr>
              <w:spacing w:before="40" w:after="40"/>
              <w:jc w:val="right"/>
            </w:pPr>
            <w:r/>
            <w:r>
              <w:rPr>
                <w:rFonts w:ascii="Times New Roman" w:hAnsi="Times New Roman"/>
                <w:b w:val="0"/>
                <w:i w:val="0"/>
                <w:sz w:val="17"/>
              </w:rPr>
              <w:t>—</w:t>
            </w:r>
          </w:p>
        </w:tc>
        <w:tc>
          <w:tcPr>
            <w:tcW w:type="dxa" w:w="1224"/>
          </w:tcPr>
          <w:p>
            <w:pPr>
              <w:spacing w:before="40" w:after="40"/>
              <w:jc w:val="right"/>
            </w:pPr>
            <w:r/>
            <w:r>
              <w:rPr>
                <w:rFonts w:ascii="Times New Roman" w:hAnsi="Times New Roman"/>
                <w:b w:val="0"/>
                <w:i w:val="0"/>
                <w:sz w:val="17"/>
              </w:rPr>
              <w:t>6,255,000</w:t>
            </w:r>
          </w:p>
        </w:tc>
        <w:tc>
          <w:tcPr>
            <w:tcW w:type="dxa" w:w="1267"/>
          </w:tcPr>
          <w:p>
            <w:pPr>
              <w:spacing w:before="40" w:after="40"/>
              <w:jc w:val="right"/>
            </w:pPr>
            <w:r/>
            <w:r>
              <w:rPr>
                <w:rFonts w:ascii="Times New Roman" w:hAnsi="Times New Roman"/>
                <w:b w:val="0"/>
                <w:i w:val="0"/>
                <w:sz w:val="17"/>
              </w:rPr>
              <w:t>20,421,250</w:t>
            </w:r>
          </w:p>
        </w:tc>
      </w:tr>
      <w:tr>
        <w:trPr>
          <w:cantSplit w:val="true"/>
        </w:trPr>
        <w:tc>
          <w:tcPr>
            <w:tcW w:type="dxa" w:w="648"/>
            <w:shd w:val="clear" w:color="auto" w:fill="F7F8FA"/>
          </w:tcPr>
          <w:p>
            <w:pPr>
              <w:spacing w:before="40" w:after="40"/>
              <w:jc w:val="left"/>
            </w:pPr>
            <w:r/>
            <w:r>
              <w:rPr>
                <w:rFonts w:ascii="Times New Roman" w:hAnsi="Times New Roman"/>
                <w:b w:val="0"/>
                <w:i w:val="0"/>
                <w:sz w:val="17"/>
              </w:rPr>
              <w:t>4</w:t>
            </w:r>
          </w:p>
        </w:tc>
        <w:tc>
          <w:tcPr>
            <w:tcW w:type="dxa" w:w="2520"/>
            <w:shd w:val="clear" w:color="auto" w:fill="F7F8FA"/>
          </w:tcPr>
          <w:p>
            <w:pPr>
              <w:spacing w:before="40" w:after="40"/>
              <w:jc w:val="left"/>
            </w:pPr>
            <w:r/>
            <w:r>
              <w:rPr>
                <w:rFonts w:ascii="Times New Roman" w:hAnsi="Times New Roman"/>
                <w:b w:val="0"/>
                <w:i w:val="0"/>
                <w:sz w:val="17"/>
              </w:rPr>
              <w:t>Structural frame — topped out</w:t>
            </w:r>
          </w:p>
        </w:tc>
        <w:tc>
          <w:tcPr>
            <w:tcW w:type="dxa" w:w="979"/>
            <w:shd w:val="clear" w:color="auto" w:fill="F7F8FA"/>
          </w:tcPr>
          <w:p>
            <w:pPr>
              <w:spacing w:before="40" w:after="40"/>
              <w:jc w:val="right"/>
            </w:pPr>
            <w:r/>
            <w:r>
              <w:rPr>
                <w:rFonts w:ascii="Times New Roman" w:hAnsi="Times New Roman"/>
                <w:b w:val="0"/>
                <w:i w:val="0"/>
                <w:sz w:val="17"/>
              </w:rPr>
              <w:t>55%</w:t>
            </w:r>
          </w:p>
        </w:tc>
        <w:tc>
          <w:tcPr>
            <w:tcW w:type="dxa" w:w="1181"/>
            <w:shd w:val="clear" w:color="auto" w:fill="F7F8FA"/>
          </w:tcPr>
          <w:p>
            <w:pPr>
              <w:spacing w:before="40" w:after="40"/>
              <w:jc w:val="left"/>
            </w:pPr>
            <w:r/>
            <w:r>
              <w:rPr>
                <w:rFonts w:ascii="Times New Roman" w:hAnsi="Times New Roman"/>
                <w:b w:val="0"/>
                <w:i w:val="0"/>
                <w:sz w:val="17"/>
              </w:rPr>
              <w:t>Apr. 2026</w:t>
            </w:r>
          </w:p>
        </w:tc>
        <w:tc>
          <w:tcPr>
            <w:tcW w:type="dxa" w:w="1224"/>
            <w:shd w:val="clear" w:color="auto" w:fill="F7F8FA"/>
          </w:tcPr>
          <w:p>
            <w:pPr>
              <w:spacing w:before="40" w:after="40"/>
              <w:jc w:val="right"/>
            </w:pPr>
            <w:r/>
            <w:r>
              <w:rPr>
                <w:rFonts w:ascii="Times New Roman" w:hAnsi="Times New Roman"/>
                <w:b w:val="0"/>
                <w:i w:val="0"/>
                <w:sz w:val="17"/>
              </w:rPr>
              <w:t>6,950,000</w:t>
            </w:r>
          </w:p>
        </w:tc>
        <w:tc>
          <w:tcPr>
            <w:tcW w:type="dxa" w:w="1152"/>
            <w:shd w:val="clear" w:color="auto" w:fill="F7F8FA"/>
          </w:tcPr>
          <w:p>
            <w:pPr>
              <w:spacing w:before="40" w:after="40"/>
              <w:jc w:val="right"/>
            </w:pPr>
            <w:r/>
            <w:r>
              <w:rPr>
                <w:rFonts w:ascii="Times New Roman" w:hAnsi="Times New Roman"/>
                <w:b w:val="0"/>
                <w:i w:val="0"/>
                <w:sz w:val="17"/>
              </w:rPr>
              <w:t>(695,000)</w:t>
            </w:r>
          </w:p>
        </w:tc>
        <w:tc>
          <w:tcPr>
            <w:tcW w:type="dxa" w:w="1152"/>
            <w:shd w:val="clear" w:color="auto" w:fill="F7F8FA"/>
          </w:tcPr>
          <w:p>
            <w:pPr>
              <w:spacing w:before="40" w:after="40"/>
              <w:jc w:val="right"/>
            </w:pPr>
            <w:r/>
            <w:r>
              <w:rPr>
                <w:rFonts w:ascii="Times New Roman" w:hAnsi="Times New Roman"/>
                <w:b w:val="0"/>
                <w:i w:val="0"/>
                <w:sz w:val="17"/>
              </w:rPr>
              <w:t>—</w:t>
            </w:r>
          </w:p>
        </w:tc>
        <w:tc>
          <w:tcPr>
            <w:tcW w:type="dxa" w:w="1080"/>
            <w:shd w:val="clear" w:color="auto" w:fill="F7F8FA"/>
          </w:tcPr>
          <w:p>
            <w:pPr>
              <w:spacing w:before="40" w:after="40"/>
              <w:jc w:val="right"/>
            </w:pPr>
            <w:r/>
            <w:r>
              <w:rPr>
                <w:rFonts w:ascii="Times New Roman" w:hAnsi="Times New Roman"/>
                <w:b w:val="0"/>
                <w:i w:val="0"/>
                <w:sz w:val="17"/>
              </w:rPr>
              <w:t>440,000</w:t>
            </w:r>
          </w:p>
        </w:tc>
        <w:tc>
          <w:tcPr>
            <w:tcW w:type="dxa" w:w="1152"/>
            <w:shd w:val="clear" w:color="auto" w:fill="F7F8FA"/>
          </w:tcPr>
          <w:p>
            <w:pPr>
              <w:spacing w:before="40" w:after="40"/>
              <w:jc w:val="right"/>
            </w:pPr>
            <w:r/>
            <w:r>
              <w:rPr>
                <w:rFonts w:ascii="Times New Roman" w:hAnsi="Times New Roman"/>
                <w:b w:val="0"/>
                <w:i w:val="0"/>
                <w:sz w:val="17"/>
              </w:rPr>
              <w:t>458,750</w:t>
            </w:r>
          </w:p>
        </w:tc>
        <w:tc>
          <w:tcPr>
            <w:tcW w:type="dxa" w:w="1224"/>
            <w:shd w:val="clear" w:color="auto" w:fill="F7F8FA"/>
          </w:tcPr>
          <w:p>
            <w:pPr>
              <w:spacing w:before="40" w:after="40"/>
              <w:jc w:val="right"/>
            </w:pPr>
            <w:r/>
            <w:r>
              <w:rPr>
                <w:rFonts w:ascii="Times New Roman" w:hAnsi="Times New Roman"/>
                <w:b w:val="0"/>
                <w:i w:val="0"/>
                <w:sz w:val="17"/>
              </w:rPr>
              <w:t>7,153,750</w:t>
            </w:r>
          </w:p>
        </w:tc>
        <w:tc>
          <w:tcPr>
            <w:tcW w:type="dxa" w:w="1267"/>
            <w:shd w:val="clear" w:color="auto" w:fill="F7F8FA"/>
          </w:tcPr>
          <w:p>
            <w:pPr>
              <w:spacing w:before="40" w:after="40"/>
              <w:jc w:val="right"/>
            </w:pPr>
            <w:r/>
            <w:r>
              <w:rPr>
                <w:rFonts w:ascii="Times New Roman" w:hAnsi="Times New Roman"/>
                <w:b w:val="0"/>
                <w:i w:val="0"/>
                <w:sz w:val="17"/>
              </w:rPr>
              <w:t>27,575,000</w:t>
            </w:r>
          </w:p>
        </w:tc>
      </w:tr>
      <w:tr>
        <w:trPr>
          <w:cantSplit w:val="true"/>
        </w:trPr>
        <w:tc>
          <w:tcPr>
            <w:tcW w:type="dxa" w:w="648"/>
          </w:tcPr>
          <w:p>
            <w:pPr>
              <w:spacing w:before="40" w:after="40"/>
              <w:jc w:val="left"/>
            </w:pPr>
            <w:r/>
            <w:r>
              <w:rPr>
                <w:rFonts w:ascii="Times New Roman" w:hAnsi="Times New Roman"/>
                <w:b w:val="0"/>
                <w:i w:val="0"/>
                <w:sz w:val="17"/>
              </w:rPr>
              <w:t>5</w:t>
            </w:r>
          </w:p>
        </w:tc>
        <w:tc>
          <w:tcPr>
            <w:tcW w:type="dxa" w:w="2520"/>
          </w:tcPr>
          <w:p>
            <w:pPr>
              <w:spacing w:before="40" w:after="40"/>
              <w:jc w:val="left"/>
            </w:pPr>
            <w:r/>
            <w:r>
              <w:rPr>
                <w:rFonts w:ascii="Times New Roman" w:hAnsi="Times New Roman"/>
                <w:b w:val="0"/>
                <w:i w:val="0"/>
                <w:sz w:val="17"/>
              </w:rPr>
              <w:t>Building envelope complete</w:t>
            </w:r>
          </w:p>
        </w:tc>
        <w:tc>
          <w:tcPr>
            <w:tcW w:type="dxa" w:w="979"/>
          </w:tcPr>
          <w:p>
            <w:pPr>
              <w:spacing w:before="40" w:after="40"/>
              <w:jc w:val="right"/>
            </w:pPr>
            <w:r/>
            <w:r>
              <w:rPr>
                <w:rFonts w:ascii="Times New Roman" w:hAnsi="Times New Roman"/>
                <w:b w:val="0"/>
                <w:i w:val="0"/>
                <w:sz w:val="17"/>
              </w:rPr>
              <w:t>70%</w:t>
            </w:r>
          </w:p>
        </w:tc>
        <w:tc>
          <w:tcPr>
            <w:tcW w:type="dxa" w:w="1181"/>
          </w:tcPr>
          <w:p>
            <w:pPr>
              <w:spacing w:before="40" w:after="40"/>
              <w:jc w:val="left"/>
            </w:pPr>
            <w:r/>
            <w:r>
              <w:rPr>
                <w:rFonts w:ascii="Times New Roman" w:hAnsi="Times New Roman"/>
                <w:b w:val="0"/>
                <w:i w:val="0"/>
                <w:sz w:val="17"/>
              </w:rPr>
              <w:t>Aug. 2026</w:t>
            </w:r>
          </w:p>
        </w:tc>
        <w:tc>
          <w:tcPr>
            <w:tcW w:type="dxa" w:w="1224"/>
          </w:tcPr>
          <w:p>
            <w:pPr>
              <w:spacing w:before="40" w:after="40"/>
              <w:jc w:val="right"/>
            </w:pPr>
            <w:r/>
            <w:r>
              <w:rPr>
                <w:rFonts w:ascii="Times New Roman" w:hAnsi="Times New Roman"/>
                <w:b w:val="0"/>
                <w:i w:val="0"/>
                <w:sz w:val="17"/>
              </w:rPr>
              <w:t>5,212,500</w:t>
            </w:r>
          </w:p>
        </w:tc>
        <w:tc>
          <w:tcPr>
            <w:tcW w:type="dxa" w:w="1152"/>
          </w:tcPr>
          <w:p>
            <w:pPr>
              <w:spacing w:before="40" w:after="40"/>
              <w:jc w:val="right"/>
            </w:pPr>
            <w:r/>
            <w:r>
              <w:rPr>
                <w:rFonts w:ascii="Times New Roman" w:hAnsi="Times New Roman"/>
                <w:b w:val="0"/>
                <w:i w:val="0"/>
                <w:sz w:val="17"/>
              </w:rPr>
              <w:t>(521,250)</w:t>
            </w:r>
          </w:p>
        </w:tc>
        <w:tc>
          <w:tcPr>
            <w:tcW w:type="dxa" w:w="1152"/>
          </w:tcPr>
          <w:p>
            <w:pPr>
              <w:spacing w:before="40" w:after="40"/>
              <w:jc w:val="right"/>
            </w:pPr>
            <w:r/>
            <w:r>
              <w:rPr>
                <w:rFonts w:ascii="Times New Roman" w:hAnsi="Times New Roman"/>
                <w:b w:val="0"/>
                <w:i w:val="0"/>
                <w:sz w:val="17"/>
              </w:rPr>
              <w:t>—</w:t>
            </w:r>
          </w:p>
        </w:tc>
        <w:tc>
          <w:tcPr>
            <w:tcW w:type="dxa" w:w="1080"/>
          </w:tcPr>
          <w:p>
            <w:pPr>
              <w:spacing w:before="40" w:after="40"/>
              <w:jc w:val="right"/>
            </w:pPr>
            <w:r/>
            <w:r>
              <w:rPr>
                <w:rFonts w:ascii="Times New Roman" w:hAnsi="Times New Roman"/>
                <w:b w:val="0"/>
                <w:i w:val="0"/>
                <w:sz w:val="17"/>
              </w:rPr>
              <w:t>—</w:t>
            </w:r>
          </w:p>
        </w:tc>
        <w:tc>
          <w:tcPr>
            <w:tcW w:type="dxa" w:w="1152"/>
          </w:tcPr>
          <w:p>
            <w:pPr>
              <w:spacing w:before="40" w:after="40"/>
              <w:jc w:val="right"/>
            </w:pPr>
            <w:r/>
            <w:r>
              <w:rPr>
                <w:rFonts w:ascii="Times New Roman" w:hAnsi="Times New Roman"/>
                <w:b w:val="0"/>
                <w:i w:val="0"/>
                <w:sz w:val="17"/>
              </w:rPr>
              <w:t>—</w:t>
            </w:r>
          </w:p>
        </w:tc>
        <w:tc>
          <w:tcPr>
            <w:tcW w:type="dxa" w:w="1224"/>
          </w:tcPr>
          <w:p>
            <w:pPr>
              <w:spacing w:before="40" w:after="40"/>
              <w:jc w:val="right"/>
            </w:pPr>
            <w:r/>
            <w:r>
              <w:rPr>
                <w:rFonts w:ascii="Times New Roman" w:hAnsi="Times New Roman"/>
                <w:b w:val="0"/>
                <w:i w:val="0"/>
                <w:sz w:val="17"/>
              </w:rPr>
              <w:t>4,691,250</w:t>
            </w:r>
          </w:p>
        </w:tc>
        <w:tc>
          <w:tcPr>
            <w:tcW w:type="dxa" w:w="1267"/>
          </w:tcPr>
          <w:p>
            <w:pPr>
              <w:spacing w:before="40" w:after="40"/>
              <w:jc w:val="right"/>
            </w:pPr>
            <w:r/>
            <w:r>
              <w:rPr>
                <w:rFonts w:ascii="Times New Roman" w:hAnsi="Times New Roman"/>
                <w:b w:val="0"/>
                <w:i w:val="0"/>
                <w:sz w:val="17"/>
              </w:rPr>
              <w:t>32,266,250</w:t>
            </w:r>
          </w:p>
        </w:tc>
      </w:tr>
      <w:tr>
        <w:trPr>
          <w:cantSplit w:val="true"/>
        </w:trPr>
        <w:tc>
          <w:tcPr>
            <w:tcW w:type="dxa" w:w="648"/>
            <w:shd w:val="clear" w:color="auto" w:fill="F7F8FA"/>
          </w:tcPr>
          <w:p>
            <w:pPr>
              <w:spacing w:before="40" w:after="40"/>
              <w:jc w:val="left"/>
            </w:pPr>
            <w:r/>
            <w:r>
              <w:rPr>
                <w:rFonts w:ascii="Times New Roman" w:hAnsi="Times New Roman"/>
                <w:b w:val="0"/>
                <w:i w:val="0"/>
                <w:sz w:val="17"/>
              </w:rPr>
              <w:t>6</w:t>
            </w:r>
          </w:p>
        </w:tc>
        <w:tc>
          <w:tcPr>
            <w:tcW w:type="dxa" w:w="2520"/>
            <w:shd w:val="clear" w:color="auto" w:fill="F7F8FA"/>
          </w:tcPr>
          <w:p>
            <w:pPr>
              <w:spacing w:before="40" w:after="40"/>
              <w:jc w:val="left"/>
            </w:pPr>
            <w:r/>
            <w:r>
              <w:rPr>
                <w:rFonts w:ascii="Times New Roman" w:hAnsi="Times New Roman"/>
                <w:b w:val="0"/>
                <w:i w:val="0"/>
                <w:sz w:val="17"/>
              </w:rPr>
              <w:t>MEP rough-in complete</w:t>
            </w:r>
          </w:p>
        </w:tc>
        <w:tc>
          <w:tcPr>
            <w:tcW w:type="dxa" w:w="979"/>
            <w:shd w:val="clear" w:color="auto" w:fill="F7F8FA"/>
          </w:tcPr>
          <w:p>
            <w:pPr>
              <w:spacing w:before="40" w:after="40"/>
              <w:jc w:val="right"/>
            </w:pPr>
            <w:r/>
            <w:r>
              <w:rPr>
                <w:rFonts w:ascii="Times New Roman" w:hAnsi="Times New Roman"/>
                <w:b w:val="0"/>
                <w:i w:val="0"/>
                <w:sz w:val="17"/>
              </w:rPr>
              <w:t>80%</w:t>
            </w:r>
          </w:p>
        </w:tc>
        <w:tc>
          <w:tcPr>
            <w:tcW w:type="dxa" w:w="1181"/>
            <w:shd w:val="clear" w:color="auto" w:fill="F7F8FA"/>
          </w:tcPr>
          <w:p>
            <w:pPr>
              <w:spacing w:before="40" w:after="40"/>
              <w:jc w:val="left"/>
            </w:pPr>
            <w:r/>
            <w:r>
              <w:rPr>
                <w:rFonts w:ascii="Times New Roman" w:hAnsi="Times New Roman"/>
                <w:b w:val="0"/>
                <w:i w:val="0"/>
                <w:sz w:val="17"/>
              </w:rPr>
              <w:t>Nov. 2026</w:t>
            </w:r>
          </w:p>
        </w:tc>
        <w:tc>
          <w:tcPr>
            <w:tcW w:type="dxa" w:w="1224"/>
            <w:shd w:val="clear" w:color="auto" w:fill="F7F8FA"/>
          </w:tcPr>
          <w:p>
            <w:pPr>
              <w:spacing w:before="40" w:after="40"/>
              <w:jc w:val="right"/>
            </w:pPr>
            <w:r/>
            <w:r>
              <w:rPr>
                <w:rFonts w:ascii="Times New Roman" w:hAnsi="Times New Roman"/>
                <w:b w:val="0"/>
                <w:i w:val="0"/>
                <w:sz w:val="17"/>
              </w:rPr>
              <w:t>3,475,000</w:t>
            </w:r>
          </w:p>
        </w:tc>
        <w:tc>
          <w:tcPr>
            <w:tcW w:type="dxa" w:w="1152"/>
            <w:shd w:val="clear" w:color="auto" w:fill="F7F8FA"/>
          </w:tcPr>
          <w:p>
            <w:pPr>
              <w:spacing w:before="40" w:after="40"/>
              <w:jc w:val="right"/>
            </w:pPr>
            <w:r/>
            <w:r>
              <w:rPr>
                <w:rFonts w:ascii="Times New Roman" w:hAnsi="Times New Roman"/>
                <w:b w:val="0"/>
                <w:i w:val="0"/>
                <w:sz w:val="17"/>
              </w:rPr>
              <w:t>(347,500)</w:t>
            </w:r>
          </w:p>
        </w:tc>
        <w:tc>
          <w:tcPr>
            <w:tcW w:type="dxa" w:w="1152"/>
            <w:shd w:val="clear" w:color="auto" w:fill="F7F8FA"/>
          </w:tcPr>
          <w:p>
            <w:pPr>
              <w:spacing w:before="40" w:after="40"/>
              <w:jc w:val="right"/>
            </w:pPr>
            <w:r/>
            <w:r>
              <w:rPr>
                <w:rFonts w:ascii="Times New Roman" w:hAnsi="Times New Roman"/>
                <w:b w:val="0"/>
                <w:i w:val="0"/>
                <w:sz w:val="17"/>
              </w:rPr>
              <w:t>—</w:t>
            </w:r>
          </w:p>
        </w:tc>
        <w:tc>
          <w:tcPr>
            <w:tcW w:type="dxa" w:w="1080"/>
            <w:shd w:val="clear" w:color="auto" w:fill="F7F8FA"/>
          </w:tcPr>
          <w:p>
            <w:pPr>
              <w:spacing w:before="40" w:after="40"/>
              <w:jc w:val="right"/>
            </w:pPr>
            <w:r/>
            <w:r>
              <w:rPr>
                <w:rFonts w:ascii="Times New Roman" w:hAnsi="Times New Roman"/>
                <w:b w:val="0"/>
                <w:i w:val="0"/>
                <w:sz w:val="17"/>
              </w:rPr>
              <w:t>400,000</w:t>
            </w:r>
          </w:p>
        </w:tc>
        <w:tc>
          <w:tcPr>
            <w:tcW w:type="dxa" w:w="1152"/>
            <w:shd w:val="clear" w:color="auto" w:fill="F7F8FA"/>
          </w:tcPr>
          <w:p>
            <w:pPr>
              <w:spacing w:before="40" w:after="40"/>
              <w:jc w:val="right"/>
            </w:pPr>
            <w:r/>
            <w:r>
              <w:rPr>
                <w:rFonts w:ascii="Times New Roman" w:hAnsi="Times New Roman"/>
                <w:b w:val="0"/>
                <w:i w:val="0"/>
                <w:sz w:val="17"/>
              </w:rPr>
              <w:t>458,750</w:t>
            </w:r>
          </w:p>
        </w:tc>
        <w:tc>
          <w:tcPr>
            <w:tcW w:type="dxa" w:w="1224"/>
            <w:shd w:val="clear" w:color="auto" w:fill="F7F8FA"/>
          </w:tcPr>
          <w:p>
            <w:pPr>
              <w:spacing w:before="40" w:after="40"/>
              <w:jc w:val="right"/>
            </w:pPr>
            <w:r/>
            <w:r>
              <w:rPr>
                <w:rFonts w:ascii="Times New Roman" w:hAnsi="Times New Roman"/>
                <w:b w:val="0"/>
                <w:i w:val="0"/>
                <w:sz w:val="17"/>
              </w:rPr>
              <w:t>3,986,250</w:t>
            </w:r>
          </w:p>
        </w:tc>
        <w:tc>
          <w:tcPr>
            <w:tcW w:type="dxa" w:w="1267"/>
            <w:shd w:val="clear" w:color="auto" w:fill="F7F8FA"/>
          </w:tcPr>
          <w:p>
            <w:pPr>
              <w:spacing w:before="40" w:after="40"/>
              <w:jc w:val="right"/>
            </w:pPr>
            <w:r/>
            <w:r>
              <w:rPr>
                <w:rFonts w:ascii="Times New Roman" w:hAnsi="Times New Roman"/>
                <w:b w:val="0"/>
                <w:i w:val="0"/>
                <w:sz w:val="17"/>
              </w:rPr>
              <w:t>36,252,500</w:t>
            </w:r>
          </w:p>
        </w:tc>
      </w:tr>
      <w:tr>
        <w:trPr>
          <w:cantSplit w:val="true"/>
        </w:trPr>
        <w:tc>
          <w:tcPr>
            <w:tcW w:type="dxa" w:w="648"/>
          </w:tcPr>
          <w:p>
            <w:pPr>
              <w:spacing w:before="40" w:after="40"/>
              <w:jc w:val="left"/>
            </w:pPr>
            <w:r/>
            <w:r>
              <w:rPr>
                <w:rFonts w:ascii="Times New Roman" w:hAnsi="Times New Roman"/>
                <w:b w:val="0"/>
                <w:i w:val="0"/>
                <w:sz w:val="17"/>
              </w:rPr>
              <w:t>7</w:t>
            </w:r>
          </w:p>
        </w:tc>
        <w:tc>
          <w:tcPr>
            <w:tcW w:type="dxa" w:w="2520"/>
          </w:tcPr>
          <w:p>
            <w:pPr>
              <w:spacing w:before="40" w:after="40"/>
              <w:jc w:val="left"/>
            </w:pPr>
            <w:r/>
            <w:r>
              <w:rPr>
                <w:rFonts w:ascii="Times New Roman" w:hAnsi="Times New Roman"/>
                <w:b w:val="0"/>
                <w:i w:val="0"/>
                <w:sz w:val="17"/>
              </w:rPr>
              <w:t>Interior finish — 50% of units</w:t>
            </w:r>
          </w:p>
        </w:tc>
        <w:tc>
          <w:tcPr>
            <w:tcW w:type="dxa" w:w="979"/>
          </w:tcPr>
          <w:p>
            <w:pPr>
              <w:spacing w:before="40" w:after="40"/>
              <w:jc w:val="right"/>
            </w:pPr>
            <w:r/>
            <w:r>
              <w:rPr>
                <w:rFonts w:ascii="Times New Roman" w:hAnsi="Times New Roman"/>
                <w:b w:val="0"/>
                <w:i w:val="0"/>
                <w:sz w:val="17"/>
              </w:rPr>
              <w:t>90%</w:t>
            </w:r>
          </w:p>
        </w:tc>
        <w:tc>
          <w:tcPr>
            <w:tcW w:type="dxa" w:w="1181"/>
          </w:tcPr>
          <w:p>
            <w:pPr>
              <w:spacing w:before="40" w:after="40"/>
              <w:jc w:val="left"/>
            </w:pPr>
            <w:r/>
            <w:r>
              <w:rPr>
                <w:rFonts w:ascii="Times New Roman" w:hAnsi="Times New Roman"/>
                <w:b w:val="0"/>
                <w:i w:val="0"/>
                <w:sz w:val="17"/>
              </w:rPr>
              <w:t>Mar. 2027</w:t>
            </w:r>
          </w:p>
        </w:tc>
        <w:tc>
          <w:tcPr>
            <w:tcW w:type="dxa" w:w="1224"/>
          </w:tcPr>
          <w:p>
            <w:pPr>
              <w:spacing w:before="40" w:after="40"/>
              <w:jc w:val="right"/>
            </w:pPr>
            <w:r/>
            <w:r>
              <w:rPr>
                <w:rFonts w:ascii="Times New Roman" w:hAnsi="Times New Roman"/>
                <w:b w:val="0"/>
                <w:i w:val="0"/>
                <w:sz w:val="17"/>
              </w:rPr>
              <w:t>3,475,000</w:t>
            </w:r>
          </w:p>
        </w:tc>
        <w:tc>
          <w:tcPr>
            <w:tcW w:type="dxa" w:w="1152"/>
          </w:tcPr>
          <w:p>
            <w:pPr>
              <w:spacing w:before="40" w:after="40"/>
              <w:jc w:val="right"/>
            </w:pPr>
            <w:r/>
            <w:r>
              <w:rPr>
                <w:rFonts w:ascii="Times New Roman" w:hAnsi="Times New Roman"/>
                <w:b w:val="0"/>
                <w:i w:val="0"/>
                <w:sz w:val="17"/>
              </w:rPr>
              <w:t>(347,500)</w:t>
            </w:r>
          </w:p>
        </w:tc>
        <w:tc>
          <w:tcPr>
            <w:tcW w:type="dxa" w:w="1152"/>
          </w:tcPr>
          <w:p>
            <w:pPr>
              <w:spacing w:before="40" w:after="40"/>
              <w:jc w:val="right"/>
            </w:pPr>
            <w:r/>
            <w:r>
              <w:rPr>
                <w:rFonts w:ascii="Times New Roman" w:hAnsi="Times New Roman"/>
                <w:b w:val="0"/>
                <w:i w:val="0"/>
                <w:sz w:val="17"/>
              </w:rPr>
              <w:t>—</w:t>
            </w:r>
          </w:p>
        </w:tc>
        <w:tc>
          <w:tcPr>
            <w:tcW w:type="dxa" w:w="1080"/>
          </w:tcPr>
          <w:p>
            <w:pPr>
              <w:spacing w:before="40" w:after="40"/>
              <w:jc w:val="right"/>
            </w:pPr>
            <w:r/>
            <w:r>
              <w:rPr>
                <w:rFonts w:ascii="Times New Roman" w:hAnsi="Times New Roman"/>
                <w:b w:val="0"/>
                <w:i w:val="0"/>
                <w:sz w:val="17"/>
              </w:rPr>
              <w:t>—</w:t>
            </w:r>
          </w:p>
        </w:tc>
        <w:tc>
          <w:tcPr>
            <w:tcW w:type="dxa" w:w="1152"/>
          </w:tcPr>
          <w:p>
            <w:pPr>
              <w:spacing w:before="40" w:after="40"/>
              <w:jc w:val="right"/>
            </w:pPr>
            <w:r/>
            <w:r>
              <w:rPr>
                <w:rFonts w:ascii="Times New Roman" w:hAnsi="Times New Roman"/>
                <w:b w:val="0"/>
                <w:i w:val="0"/>
                <w:sz w:val="17"/>
              </w:rPr>
              <w:t>—</w:t>
            </w:r>
          </w:p>
        </w:tc>
        <w:tc>
          <w:tcPr>
            <w:tcW w:type="dxa" w:w="1224"/>
          </w:tcPr>
          <w:p>
            <w:pPr>
              <w:spacing w:before="40" w:after="40"/>
              <w:jc w:val="right"/>
            </w:pPr>
            <w:r/>
            <w:r>
              <w:rPr>
                <w:rFonts w:ascii="Times New Roman" w:hAnsi="Times New Roman"/>
                <w:b w:val="0"/>
                <w:i w:val="0"/>
                <w:sz w:val="17"/>
              </w:rPr>
              <w:t>3,127,500</w:t>
            </w:r>
          </w:p>
        </w:tc>
        <w:tc>
          <w:tcPr>
            <w:tcW w:type="dxa" w:w="1267"/>
          </w:tcPr>
          <w:p>
            <w:pPr>
              <w:spacing w:before="40" w:after="40"/>
              <w:jc w:val="right"/>
            </w:pPr>
            <w:r/>
            <w:r>
              <w:rPr>
                <w:rFonts w:ascii="Times New Roman" w:hAnsi="Times New Roman"/>
                <w:b w:val="0"/>
                <w:i w:val="0"/>
                <w:sz w:val="17"/>
              </w:rPr>
              <w:t>39,380,000</w:t>
            </w:r>
          </w:p>
        </w:tc>
      </w:tr>
      <w:tr>
        <w:trPr>
          <w:cantSplit w:val="true"/>
        </w:trPr>
        <w:tc>
          <w:tcPr>
            <w:tcW w:type="dxa" w:w="648"/>
            <w:shd w:val="clear" w:color="auto" w:fill="F7F8FA"/>
          </w:tcPr>
          <w:p>
            <w:pPr>
              <w:spacing w:before="40" w:after="40"/>
              <w:jc w:val="left"/>
            </w:pPr>
            <w:r/>
            <w:r>
              <w:rPr>
                <w:rFonts w:ascii="Times New Roman" w:hAnsi="Times New Roman"/>
                <w:b w:val="0"/>
                <w:i w:val="0"/>
                <w:sz w:val="17"/>
              </w:rPr>
              <w:t>8</w:t>
            </w:r>
          </w:p>
        </w:tc>
        <w:tc>
          <w:tcPr>
            <w:tcW w:type="dxa" w:w="2520"/>
            <w:shd w:val="clear" w:color="auto" w:fill="F7F8FA"/>
          </w:tcPr>
          <w:p>
            <w:pPr>
              <w:spacing w:before="40" w:after="40"/>
              <w:jc w:val="left"/>
            </w:pPr>
            <w:r/>
            <w:r>
              <w:rPr>
                <w:rFonts w:ascii="Times New Roman" w:hAnsi="Times New Roman"/>
                <w:b w:val="0"/>
                <w:i w:val="0"/>
                <w:sz w:val="17"/>
              </w:rPr>
              <w:t>Substantial Completion / TCO</w:t>
            </w:r>
          </w:p>
        </w:tc>
        <w:tc>
          <w:tcPr>
            <w:tcW w:type="dxa" w:w="979"/>
            <w:shd w:val="clear" w:color="auto" w:fill="F7F8FA"/>
          </w:tcPr>
          <w:p>
            <w:pPr>
              <w:spacing w:before="40" w:after="40"/>
              <w:jc w:val="right"/>
            </w:pPr>
            <w:r/>
            <w:r>
              <w:rPr>
                <w:rFonts w:ascii="Times New Roman" w:hAnsi="Times New Roman"/>
                <w:b w:val="0"/>
                <w:i w:val="0"/>
                <w:sz w:val="17"/>
              </w:rPr>
              <w:t>100%</w:t>
            </w:r>
          </w:p>
        </w:tc>
        <w:tc>
          <w:tcPr>
            <w:tcW w:type="dxa" w:w="1181"/>
            <w:shd w:val="clear" w:color="auto" w:fill="F7F8FA"/>
          </w:tcPr>
          <w:p>
            <w:pPr>
              <w:spacing w:before="40" w:after="40"/>
              <w:jc w:val="left"/>
            </w:pPr>
            <w:r/>
            <w:r>
              <w:rPr>
                <w:rFonts w:ascii="Times New Roman" w:hAnsi="Times New Roman"/>
                <w:b w:val="0"/>
                <w:i w:val="0"/>
                <w:sz w:val="17"/>
              </w:rPr>
              <w:t>Aug. 2027</w:t>
            </w:r>
          </w:p>
        </w:tc>
        <w:tc>
          <w:tcPr>
            <w:tcW w:type="dxa" w:w="1224"/>
            <w:shd w:val="clear" w:color="auto" w:fill="F7F8FA"/>
          </w:tcPr>
          <w:p>
            <w:pPr>
              <w:spacing w:before="40" w:after="40"/>
              <w:jc w:val="right"/>
            </w:pPr>
            <w:r/>
            <w:r>
              <w:rPr>
                <w:rFonts w:ascii="Times New Roman" w:hAnsi="Times New Roman"/>
                <w:b w:val="0"/>
                <w:i w:val="0"/>
                <w:sz w:val="17"/>
              </w:rPr>
              <w:t>3,475,000</w:t>
            </w:r>
          </w:p>
        </w:tc>
        <w:tc>
          <w:tcPr>
            <w:tcW w:type="dxa" w:w="1152"/>
            <w:shd w:val="clear" w:color="auto" w:fill="F7F8FA"/>
          </w:tcPr>
          <w:p>
            <w:pPr>
              <w:spacing w:before="40" w:after="40"/>
              <w:jc w:val="right"/>
            </w:pPr>
            <w:r/>
            <w:r>
              <w:rPr>
                <w:rFonts w:ascii="Times New Roman" w:hAnsi="Times New Roman"/>
                <w:b w:val="0"/>
                <w:i w:val="0"/>
                <w:sz w:val="17"/>
              </w:rPr>
              <w:t>(347,500)</w:t>
            </w:r>
          </w:p>
        </w:tc>
        <w:tc>
          <w:tcPr>
            <w:tcW w:type="dxa" w:w="1152"/>
            <w:shd w:val="clear" w:color="auto" w:fill="F7F8FA"/>
          </w:tcPr>
          <w:p>
            <w:pPr>
              <w:spacing w:before="40" w:after="40"/>
              <w:jc w:val="right"/>
            </w:pPr>
            <w:r/>
            <w:r>
              <w:rPr>
                <w:rFonts w:ascii="Times New Roman" w:hAnsi="Times New Roman"/>
                <w:b w:val="0"/>
                <w:i w:val="0"/>
                <w:sz w:val="17"/>
              </w:rPr>
              <w:t>—</w:t>
            </w:r>
          </w:p>
        </w:tc>
        <w:tc>
          <w:tcPr>
            <w:tcW w:type="dxa" w:w="1080"/>
            <w:shd w:val="clear" w:color="auto" w:fill="F7F8FA"/>
          </w:tcPr>
          <w:p>
            <w:pPr>
              <w:spacing w:before="40" w:after="40"/>
              <w:jc w:val="right"/>
            </w:pPr>
            <w:r/>
            <w:r>
              <w:rPr>
                <w:rFonts w:ascii="Times New Roman" w:hAnsi="Times New Roman"/>
                <w:b w:val="0"/>
                <w:i w:val="0"/>
                <w:sz w:val="17"/>
              </w:rPr>
              <w:t>600,000</w:t>
            </w:r>
          </w:p>
        </w:tc>
        <w:tc>
          <w:tcPr>
            <w:tcW w:type="dxa" w:w="1152"/>
            <w:shd w:val="clear" w:color="auto" w:fill="F7F8FA"/>
          </w:tcPr>
          <w:p>
            <w:pPr>
              <w:spacing w:before="40" w:after="40"/>
              <w:jc w:val="right"/>
            </w:pPr>
            <w:r/>
            <w:r>
              <w:rPr>
                <w:rFonts w:ascii="Times New Roman" w:hAnsi="Times New Roman"/>
                <w:b w:val="0"/>
                <w:i w:val="0"/>
                <w:sz w:val="17"/>
              </w:rPr>
              <w:t>458,750</w:t>
            </w:r>
          </w:p>
        </w:tc>
        <w:tc>
          <w:tcPr>
            <w:tcW w:type="dxa" w:w="1224"/>
            <w:shd w:val="clear" w:color="auto" w:fill="F7F8FA"/>
          </w:tcPr>
          <w:p>
            <w:pPr>
              <w:spacing w:before="40" w:after="40"/>
              <w:jc w:val="right"/>
            </w:pPr>
            <w:r/>
            <w:r>
              <w:rPr>
                <w:rFonts w:ascii="Times New Roman" w:hAnsi="Times New Roman"/>
                <w:b w:val="0"/>
                <w:i w:val="0"/>
                <w:sz w:val="17"/>
              </w:rPr>
              <w:t>4,186,250</w:t>
            </w:r>
          </w:p>
        </w:tc>
        <w:tc>
          <w:tcPr>
            <w:tcW w:type="dxa" w:w="1267"/>
            <w:shd w:val="clear" w:color="auto" w:fill="F7F8FA"/>
          </w:tcPr>
          <w:p>
            <w:pPr>
              <w:spacing w:before="40" w:after="40"/>
              <w:jc w:val="right"/>
            </w:pPr>
            <w:r/>
            <w:r>
              <w:rPr>
                <w:rFonts w:ascii="Times New Roman" w:hAnsi="Times New Roman"/>
                <w:b w:val="0"/>
                <w:i w:val="0"/>
                <w:sz w:val="17"/>
              </w:rPr>
              <w:t>43,566,250</w:t>
            </w:r>
          </w:p>
        </w:tc>
      </w:tr>
      <w:tr>
        <w:trPr>
          <w:cantSplit w:val="true"/>
        </w:trPr>
        <w:tc>
          <w:tcPr>
            <w:tcW w:type="dxa" w:w="648"/>
          </w:tcPr>
          <w:p>
            <w:pPr>
              <w:spacing w:before="40" w:after="40"/>
              <w:jc w:val="left"/>
            </w:pPr>
            <w:r/>
            <w:r>
              <w:rPr>
                <w:rFonts w:ascii="Times New Roman" w:hAnsi="Times New Roman"/>
                <w:b w:val="0"/>
                <w:i w:val="0"/>
                <w:sz w:val="17"/>
              </w:rPr>
              <w:t>9</w:t>
            </w:r>
          </w:p>
        </w:tc>
        <w:tc>
          <w:tcPr>
            <w:tcW w:type="dxa" w:w="2520"/>
          </w:tcPr>
          <w:p>
            <w:pPr>
              <w:spacing w:before="40" w:after="40"/>
              <w:jc w:val="left"/>
            </w:pPr>
            <w:r/>
            <w:r>
              <w:rPr>
                <w:rFonts w:ascii="Times New Roman" w:hAnsi="Times New Roman"/>
                <w:b w:val="0"/>
                <w:i w:val="0"/>
                <w:sz w:val="17"/>
              </w:rPr>
              <w:t>Retainage release and final Developer Fee</w:t>
            </w:r>
          </w:p>
        </w:tc>
        <w:tc>
          <w:tcPr>
            <w:tcW w:type="dxa" w:w="979"/>
          </w:tcPr>
          <w:p>
            <w:pPr>
              <w:spacing w:before="40" w:after="40"/>
              <w:jc w:val="right"/>
            </w:pPr>
            <w:r/>
            <w:r>
              <w:rPr>
                <w:rFonts w:ascii="Times New Roman" w:hAnsi="Times New Roman"/>
                <w:b w:val="0"/>
                <w:i w:val="0"/>
                <w:sz w:val="17"/>
              </w:rPr>
              <w:t>Post-CO</w:t>
            </w:r>
          </w:p>
        </w:tc>
        <w:tc>
          <w:tcPr>
            <w:tcW w:type="dxa" w:w="1181"/>
          </w:tcPr>
          <w:p>
            <w:pPr>
              <w:spacing w:before="40" w:after="40"/>
              <w:jc w:val="left"/>
            </w:pPr>
            <w:r/>
            <w:r>
              <w:rPr>
                <w:rFonts w:ascii="Times New Roman" w:hAnsi="Times New Roman"/>
                <w:b w:val="0"/>
                <w:i w:val="0"/>
                <w:sz w:val="17"/>
              </w:rPr>
              <w:t>Oct. 2027</w:t>
            </w:r>
          </w:p>
        </w:tc>
        <w:tc>
          <w:tcPr>
            <w:tcW w:type="dxa" w:w="1224"/>
          </w:tcPr>
          <w:p>
            <w:pPr>
              <w:spacing w:before="40" w:after="40"/>
              <w:jc w:val="right"/>
            </w:pPr>
            <w:r/>
            <w:r>
              <w:rPr>
                <w:rFonts w:ascii="Times New Roman" w:hAnsi="Times New Roman"/>
                <w:b w:val="0"/>
                <w:i w:val="0"/>
                <w:sz w:val="17"/>
              </w:rPr>
              <w:t>—</w:t>
            </w:r>
          </w:p>
        </w:tc>
        <w:tc>
          <w:tcPr>
            <w:tcW w:type="dxa" w:w="1152"/>
          </w:tcPr>
          <w:p>
            <w:pPr>
              <w:spacing w:before="40" w:after="40"/>
              <w:jc w:val="right"/>
            </w:pPr>
            <w:r/>
            <w:r>
              <w:rPr>
                <w:rFonts w:ascii="Times New Roman" w:hAnsi="Times New Roman"/>
                <w:b w:val="0"/>
                <w:i w:val="0"/>
                <w:sz w:val="17"/>
              </w:rPr>
              <w:t>3,475,000</w:t>
            </w:r>
          </w:p>
        </w:tc>
        <w:tc>
          <w:tcPr>
            <w:tcW w:type="dxa" w:w="1152"/>
          </w:tcPr>
          <w:p>
            <w:pPr>
              <w:spacing w:before="40" w:after="40"/>
              <w:jc w:val="right"/>
            </w:pPr>
            <w:r/>
            <w:r>
              <w:rPr>
                <w:rFonts w:ascii="Times New Roman" w:hAnsi="Times New Roman"/>
                <w:b w:val="0"/>
                <w:i w:val="0"/>
                <w:sz w:val="17"/>
              </w:rPr>
              <w:t>—</w:t>
            </w:r>
          </w:p>
        </w:tc>
        <w:tc>
          <w:tcPr>
            <w:tcW w:type="dxa" w:w="1080"/>
          </w:tcPr>
          <w:p>
            <w:pPr>
              <w:spacing w:before="40" w:after="40"/>
              <w:jc w:val="right"/>
            </w:pPr>
            <w:r/>
            <w:r>
              <w:rPr>
                <w:rFonts w:ascii="Times New Roman" w:hAnsi="Times New Roman"/>
                <w:b w:val="0"/>
                <w:i w:val="0"/>
                <w:sz w:val="17"/>
              </w:rPr>
              <w:t>—</w:t>
            </w:r>
          </w:p>
        </w:tc>
        <w:tc>
          <w:tcPr>
            <w:tcW w:type="dxa" w:w="1152"/>
          </w:tcPr>
          <w:p>
            <w:pPr>
              <w:spacing w:before="40" w:after="40"/>
              <w:jc w:val="right"/>
            </w:pPr>
            <w:r/>
            <w:r>
              <w:rPr>
                <w:rFonts w:ascii="Times New Roman" w:hAnsi="Times New Roman"/>
                <w:b w:val="0"/>
                <w:i w:val="0"/>
                <w:sz w:val="17"/>
              </w:rPr>
              <w:t>458,750</w:t>
            </w:r>
          </w:p>
        </w:tc>
        <w:tc>
          <w:tcPr>
            <w:tcW w:type="dxa" w:w="1224"/>
          </w:tcPr>
          <w:p>
            <w:pPr>
              <w:spacing w:before="40" w:after="40"/>
              <w:jc w:val="right"/>
            </w:pPr>
            <w:r/>
            <w:r>
              <w:rPr>
                <w:rFonts w:ascii="Times New Roman" w:hAnsi="Times New Roman"/>
                <w:b w:val="0"/>
                <w:i w:val="0"/>
                <w:sz w:val="17"/>
              </w:rPr>
              <w:t>3,933,750</w:t>
            </w:r>
          </w:p>
        </w:tc>
        <w:tc>
          <w:tcPr>
            <w:tcW w:type="dxa" w:w="1267"/>
          </w:tcPr>
          <w:p>
            <w:pPr>
              <w:spacing w:before="40" w:after="40"/>
              <w:jc w:val="right"/>
            </w:pPr>
            <w:r/>
            <w:r>
              <w:rPr>
                <w:rFonts w:ascii="Times New Roman" w:hAnsi="Times New Roman"/>
                <w:b w:val="0"/>
                <w:i w:val="0"/>
                <w:sz w:val="17"/>
              </w:rPr>
              <w:t>47,500,000</w:t>
            </w:r>
          </w:p>
        </w:tc>
      </w:tr>
      <w:tr>
        <w:trPr>
          <w:cantSplit w:val="true"/>
        </w:trPr>
        <w:tc>
          <w:tcPr>
            <w:tcW w:type="dxa" w:w="648"/>
            <w:shd w:val="clear" w:color="auto" w:fill="EDEFF3"/>
          </w:tcPr>
          <w:p>
            <w:pPr>
              <w:spacing w:before="40" w:after="40"/>
              <w:jc w:val="left"/>
            </w:pPr>
            <w:r/>
          </w:p>
        </w:tc>
        <w:tc>
          <w:tcPr>
            <w:tcW w:type="dxa" w:w="2520"/>
            <w:shd w:val="clear" w:color="auto" w:fill="EDEFF3"/>
          </w:tcPr>
          <w:p>
            <w:pPr>
              <w:spacing w:before="40" w:after="40"/>
              <w:jc w:val="left"/>
            </w:pPr>
            <w:r/>
            <w:r>
              <w:rPr>
                <w:rFonts w:ascii="Times New Roman" w:hAnsi="Times New Roman"/>
                <w:b/>
                <w:i w:val="0"/>
                <w:sz w:val="17"/>
              </w:rPr>
              <w:t>TOTAL</w:t>
            </w:r>
          </w:p>
        </w:tc>
        <w:tc>
          <w:tcPr>
            <w:tcW w:type="dxa" w:w="979"/>
            <w:shd w:val="clear" w:color="auto" w:fill="EDEFF3"/>
          </w:tcPr>
          <w:p>
            <w:pPr>
              <w:spacing w:before="40" w:after="40"/>
              <w:jc w:val="right"/>
            </w:pPr>
            <w:r/>
          </w:p>
        </w:tc>
        <w:tc>
          <w:tcPr>
            <w:tcW w:type="dxa" w:w="1181"/>
            <w:shd w:val="clear" w:color="auto" w:fill="EDEFF3"/>
          </w:tcPr>
          <w:p>
            <w:pPr>
              <w:spacing w:before="40" w:after="40"/>
              <w:jc w:val="left"/>
            </w:pPr>
            <w:r/>
          </w:p>
        </w:tc>
        <w:tc>
          <w:tcPr>
            <w:tcW w:type="dxa" w:w="1224"/>
            <w:shd w:val="clear" w:color="auto" w:fill="EDEFF3"/>
          </w:tcPr>
          <w:p>
            <w:pPr>
              <w:spacing w:before="40" w:after="40"/>
              <w:jc w:val="right"/>
            </w:pPr>
            <w:r/>
            <w:r>
              <w:rPr>
                <w:rFonts w:ascii="Times New Roman" w:hAnsi="Times New Roman"/>
                <w:b/>
                <w:i w:val="0"/>
                <w:sz w:val="17"/>
              </w:rPr>
              <w:t>34,750,000</w:t>
            </w:r>
          </w:p>
        </w:tc>
        <w:tc>
          <w:tcPr>
            <w:tcW w:type="dxa" w:w="1152"/>
            <w:shd w:val="clear" w:color="auto" w:fill="EDEFF3"/>
          </w:tcPr>
          <w:p>
            <w:pPr>
              <w:spacing w:before="40" w:after="40"/>
              <w:jc w:val="right"/>
            </w:pPr>
            <w:r/>
            <w:r>
              <w:rPr>
                <w:rFonts w:ascii="Times New Roman" w:hAnsi="Times New Roman"/>
                <w:b/>
                <w:i w:val="0"/>
                <w:sz w:val="17"/>
              </w:rPr>
              <w:t>0</w:t>
            </w:r>
          </w:p>
        </w:tc>
        <w:tc>
          <w:tcPr>
            <w:tcW w:type="dxa" w:w="1152"/>
            <w:shd w:val="clear" w:color="auto" w:fill="EDEFF3"/>
          </w:tcPr>
          <w:p>
            <w:pPr>
              <w:spacing w:before="40" w:after="40"/>
              <w:jc w:val="right"/>
            </w:pPr>
            <w:r/>
            <w:r>
              <w:rPr>
                <w:rFonts w:ascii="Times New Roman" w:hAnsi="Times New Roman"/>
                <w:b/>
                <w:i w:val="0"/>
                <w:sz w:val="17"/>
              </w:rPr>
              <w:t>4,150,000</w:t>
            </w:r>
          </w:p>
        </w:tc>
        <w:tc>
          <w:tcPr>
            <w:tcW w:type="dxa" w:w="1080"/>
            <w:shd w:val="clear" w:color="auto" w:fill="EDEFF3"/>
          </w:tcPr>
          <w:p>
            <w:pPr>
              <w:spacing w:before="40" w:after="40"/>
              <w:jc w:val="right"/>
            </w:pPr>
            <w:r/>
            <w:r>
              <w:rPr>
                <w:rFonts w:ascii="Times New Roman" w:hAnsi="Times New Roman"/>
                <w:b/>
                <w:i w:val="0"/>
                <w:sz w:val="17"/>
              </w:rPr>
              <w:t>1,440,000</w:t>
            </w:r>
          </w:p>
        </w:tc>
        <w:tc>
          <w:tcPr>
            <w:tcW w:type="dxa" w:w="1152"/>
            <w:shd w:val="clear" w:color="auto" w:fill="EDEFF3"/>
          </w:tcPr>
          <w:p>
            <w:pPr>
              <w:spacing w:before="40" w:after="40"/>
              <w:jc w:val="right"/>
            </w:pPr>
            <w:r/>
            <w:r>
              <w:rPr>
                <w:rFonts w:ascii="Times New Roman" w:hAnsi="Times New Roman"/>
                <w:b/>
                <w:i w:val="0"/>
                <w:sz w:val="17"/>
              </w:rPr>
              <w:t>1,835,000</w:t>
            </w:r>
          </w:p>
        </w:tc>
        <w:tc>
          <w:tcPr>
            <w:tcW w:type="dxa" w:w="1224"/>
            <w:shd w:val="clear" w:color="auto" w:fill="EDEFF3"/>
          </w:tcPr>
          <w:p>
            <w:pPr>
              <w:spacing w:before="40" w:after="40"/>
              <w:jc w:val="right"/>
            </w:pPr>
            <w:r/>
            <w:r>
              <w:rPr>
                <w:rFonts w:ascii="Times New Roman" w:hAnsi="Times New Roman"/>
                <w:b/>
                <w:i w:val="0"/>
                <w:sz w:val="17"/>
              </w:rPr>
              <w:t>47,500,000</w:t>
            </w:r>
          </w:p>
        </w:tc>
        <w:tc>
          <w:tcPr>
            <w:tcW w:type="dxa" w:w="1267"/>
            <w:shd w:val="clear" w:color="auto" w:fill="EDEFF3"/>
          </w:tcPr>
          <w:p>
            <w:pPr>
              <w:spacing w:before="40" w:after="40"/>
              <w:jc w:val="right"/>
            </w:pPr>
            <w:r/>
          </w:p>
        </w:tc>
      </w:tr>
    </w:tbl>
    <w:p>
      <w:pPr>
        <w:spacing w:after="40"/>
      </w:pPr>
    </w:p>
    <w:p>
      <w:pPr>
        <w:spacing w:before="80" w:after="60"/>
      </w:pPr>
      <w:r>
        <w:rPr>
          <w:rFonts w:ascii="Times New Roman" w:hAnsi="Times New Roman"/>
          <w:b/>
          <w:i w:val="0"/>
          <w:sz w:val="19"/>
        </w:rPr>
        <w:t>Notes to Schedule 1:</w:t>
      </w:r>
    </w:p>
    <w:p>
      <w:pPr>
        <w:spacing w:after="100"/>
        <w:ind w:left="576" w:hanging="288"/>
      </w:pPr>
      <w:r>
        <w:rPr>
          <w:rFonts w:ascii="Times New Roman" w:hAnsi="Times New Roman"/>
        </w:rPr>
        <w:t>•</w:t>
        <w:tab/>
      </w:r>
      <w:r>
        <w:rPr>
          <w:rFonts w:ascii="Times New Roman" w:hAnsi="Times New Roman"/>
          <w:b w:val="0"/>
          <w:i w:val="0"/>
          <w:sz w:val="18"/>
        </w:rPr>
        <w:t>Draw 1 is the Initial Advance and consists of soft costs of $4,150,000, the Interest Reserve of $4,850,000 and the Origination Fee of $475,000.</w:t>
      </w:r>
    </w:p>
    <w:p>
      <w:pPr>
        <w:spacing w:after="100"/>
        <w:ind w:left="576" w:hanging="288"/>
      </w:pPr>
      <w:r>
        <w:rPr>
          <w:rFonts w:ascii="Times New Roman" w:hAnsi="Times New Roman"/>
        </w:rPr>
        <w:t>•</w:t>
        <w:tab/>
      </w:r>
      <w:r>
        <w:rPr>
          <w:rFonts w:ascii="Times New Roman" w:hAnsi="Times New Roman"/>
          <w:b w:val="0"/>
          <w:i w:val="0"/>
          <w:sz w:val="18"/>
        </w:rPr>
        <w:t>Retainage of ten percent (10%) is withheld from each hard cost Advance, aggregating $3,475,000 (10% of the $34,750,000 GMP), and is released as Draw 9 upon satisfaction of Section 4.4.</w:t>
      </w:r>
    </w:p>
    <w:p>
      <w:pPr>
        <w:spacing w:after="100"/>
        <w:ind w:left="576" w:hanging="288"/>
      </w:pPr>
      <w:r>
        <w:rPr>
          <w:rFonts w:ascii="Times New Roman" w:hAnsi="Times New Roman"/>
        </w:rPr>
        <w:t>•</w:t>
        <w:tab/>
      </w:r>
      <w:r>
        <w:rPr>
          <w:rFonts w:ascii="Times New Roman" w:hAnsi="Times New Roman"/>
          <w:b w:val="0"/>
          <w:i w:val="0"/>
          <w:sz w:val="18"/>
        </w:rPr>
        <w:t>The Contingency ($1,440,000) is disbursed only upon Lender's approval of an approved change order or cost under Section 4.5, in the amounts shown and subject to the sub-limits of $1,140,000 (hard costs) and $300,000 (soft costs).</w:t>
      </w:r>
    </w:p>
    <w:p>
      <w:pPr>
        <w:spacing w:after="100"/>
        <w:ind w:left="576" w:hanging="288"/>
      </w:pPr>
      <w:r>
        <w:rPr>
          <w:rFonts w:ascii="Times New Roman" w:hAnsi="Times New Roman"/>
        </w:rPr>
        <w:t>•</w:t>
        <w:tab/>
      </w:r>
      <w:r>
        <w:rPr>
          <w:rFonts w:ascii="Times New Roman" w:hAnsi="Times New Roman"/>
          <w:b w:val="0"/>
          <w:i w:val="0"/>
          <w:sz w:val="18"/>
        </w:rPr>
        <w:t>The Developer Fee column reflects only the $1,835,000 portion funded from the Loan. The remaining $1,000,000 of the $2,835,000 Developer Fee is to be funded from sources other than the Loan, and no portion of the Developer Fee may be disbursed while a Default or Event of Default exists or before Substantial Completion (Section 8.7).</w:t>
      </w:r>
    </w:p>
    <w:p>
      <w:pPr>
        <w:spacing w:after="100"/>
        <w:ind w:left="576" w:hanging="288"/>
      </w:pPr>
      <w:r>
        <w:rPr>
          <w:rFonts w:ascii="Times New Roman" w:hAnsi="Times New Roman"/>
        </w:rPr>
        <w:t>•</w:t>
        <w:tab/>
      </w:r>
      <w:r>
        <w:rPr>
          <w:rFonts w:ascii="Times New Roman" w:hAnsi="Times New Roman"/>
          <w:b w:val="0"/>
          <w:i w:val="0"/>
          <w:sz w:val="18"/>
        </w:rPr>
        <w:t>The aggregate of all Advances shall not exceed $47,500,000. Amounts not drawn may not be reborrowed.</w:t>
      </w:r>
    </w:p>
    <w:p>
      <w:pPr>
        <w:spacing w:after="100"/>
        <w:ind w:left="576" w:hanging="288"/>
      </w:pPr>
      <w:r>
        <w:rPr>
          <w:rFonts w:ascii="Times New Roman" w:hAnsi="Times New Roman"/>
        </w:rPr>
        <w:t>•</w:t>
        <w:tab/>
      </w:r>
      <w:r>
        <w:rPr>
          <w:rFonts w:ascii="Times New Roman" w:hAnsi="Times New Roman"/>
          <w:b w:val="0"/>
          <w:i w:val="0"/>
          <w:sz w:val="18"/>
        </w:rPr>
        <w:t>Estimated dates are for reference only. Failure to achieve a milestone within sixty (60) days of the estimated date constitutes an Event of Default under Section 13.6.</w:t>
      </w:r>
    </w:p>
    <w:p>
      <w:pPr>
        <w:spacing w:before="80"/>
      </w:pPr>
      <w:r>
        <w:rPr>
          <w:rFonts w:ascii="Times New Roman" w:hAnsi="Times New Roman"/>
          <w:b w:val="0"/>
          <w:i/>
          <w:sz w:val="18"/>
        </w:rPr>
        <w:t>Reconciliation: $9,475,000 + $4,691,250 + $6,255,000 + $7,153,750 + $4,691,250 + $3,986,250 + $3,127,500 + $4,186,250 + $3,933,750 = $47,500,000.</w:t>
      </w:r>
    </w:p>
    <w:p>
      <w:r>
        <w:rPr>
          <w:rFonts w:ascii="Times New Roman" w:hAnsi="Times New Roman"/>
          <w:b w:val="0"/>
          <w:i w:val="0"/>
          <w:sz w:val="18"/>
        </w:rPr>
        <w:t>[Drafting Note: Section 9.2 of the Term Sheet and Section 7.1 of the Credit Memorandum present a nine-draw table totaling $47,500,000 in which Draws 2 through 8 aggregate $34,750,000 (100% of the GMP) without withholding Retainage, and in which Draw 9 of $3,275,000 is described as a retainage release although 10% of the GMP is $3,475,000. The $3,275,000 figure equals exactly the Contingency ($1,440,000) plus the Loan-funded Developer Fee ($1,835,000). The draw schedule delivered by Borrower on January 8, 2025 shows $3,475,000 for Draw 9 but its component columns total $48,500,000 against a stated total of $47,500,000, a $1,000,000 imbalance attributable to the $1,000,000 of Developer Fee said to be funded by the Mezzanine Loan. Schedule 1 conforms the schedule to the 10% retainage requirement of Section 9.1 of the Term Sheet and separately identifies the Contingency and Developer Fee. See Cover Memorandum Issue No. 5.]</w:t>
      </w:r>
    </w:p>
    <w:p>
      <w:pPr>
        <w:sectPr>
          <w:pgSz w:w="15840" w:h="12240" w:orient="landscape"/>
          <w:pgMar w:top="936" w:right="1080" w:bottom="936" w:left="1080" w:header="720" w:footer="720" w:gutter="0"/>
          <w:cols w:space="720"/>
          <w:titlePg/>
          <w:docGrid w:linePitch="360"/>
        </w:sectPr>
      </w:pPr>
    </w:p>
    <w:p>
      <w:pPr>
        <w:pStyle w:val="Heading1"/>
        <w:spacing w:before="360"/>
      </w:pPr>
      <w:r>
        <w:rPr>
          <w:rFonts w:ascii="Times New Roman" w:hAnsi="Times New Roman"/>
          <w:b/>
          <w:sz w:val="24"/>
        </w:rPr>
        <w:t>SCHEDULE 2 — PROJECT BUDGET AND SOURCES AND USES OF FUNDS</w:t>
      </w:r>
    </w:p>
    <w:p>
      <w:pPr>
        <w:pStyle w:val="Heading2"/>
      </w:pPr>
      <w:r>
        <w:rPr>
          <w:rFonts w:ascii="Times New Roman" w:hAnsi="Times New Roman"/>
          <w:b/>
          <w:sz w:val="22"/>
        </w:rPr>
        <w:t>Part A — Uses of Funds (Approved Project Budget)</w:t>
      </w:r>
    </w:p>
    <w:tbl>
      <w:tblPr>
        <w:tblStyle w:val="TableGrid"/>
        <w:tblW w:type="auto" w:w="0"/>
        <w:jc w:val="center"/>
        <w:tblLayout w:type="fixed"/>
        <w:tblLook w:firstColumn="1" w:firstRow="1" w:lastColumn="0" w:lastRow="0" w:noHBand="0" w:noVBand="1" w:val="04A0"/>
      </w:tblPr>
      <w:tblGrid>
        <w:gridCol w:w="4752"/>
        <w:gridCol w:w="1584"/>
        <w:gridCol w:w="1440"/>
        <w:gridCol w:w="1440"/>
      </w:tblGrid>
      <w:tr>
        <w:trPr>
          <w:tblHeader w:val="true"/>
        </w:trPr>
        <w:tc>
          <w:tcPr>
            <w:tcW w:type="dxa" w:w="4752"/>
            <w:shd w:val="clear" w:color="auto" w:fill="1F3355"/>
          </w:tcPr>
          <w:p>
            <w:pPr>
              <w:spacing w:before="60" w:after="60"/>
              <w:jc w:val="center"/>
            </w:pPr>
            <w:r/>
            <w:r>
              <w:rPr>
                <w:rFonts w:ascii="Times New Roman" w:hAnsi="Times New Roman"/>
                <w:b/>
                <w:color w:val="FFFFFF"/>
                <w:sz w:val="18"/>
              </w:rPr>
              <w:t>Use of Funds</w:t>
            </w:r>
          </w:p>
        </w:tc>
        <w:tc>
          <w:tcPr>
            <w:tcW w:type="dxa" w:w="1584"/>
            <w:shd w:val="clear" w:color="auto" w:fill="1F3355"/>
          </w:tcPr>
          <w:p>
            <w:pPr>
              <w:spacing w:before="60" w:after="60"/>
              <w:jc w:val="center"/>
            </w:pPr>
            <w:r/>
            <w:r>
              <w:rPr>
                <w:rFonts w:ascii="Times New Roman" w:hAnsi="Times New Roman"/>
                <w:b/>
                <w:color w:val="FFFFFF"/>
                <w:sz w:val="18"/>
              </w:rPr>
              <w:t>Loan</w:t>
            </w:r>
          </w:p>
        </w:tc>
        <w:tc>
          <w:tcPr>
            <w:tcW w:type="dxa" w:w="1440"/>
            <w:shd w:val="clear" w:color="auto" w:fill="1F3355"/>
          </w:tcPr>
          <w:p>
            <w:pPr>
              <w:spacing w:before="60" w:after="60"/>
              <w:jc w:val="center"/>
            </w:pPr>
            <w:r/>
            <w:r>
              <w:rPr>
                <w:rFonts w:ascii="Times New Roman" w:hAnsi="Times New Roman"/>
                <w:b/>
                <w:color w:val="FFFFFF"/>
                <w:sz w:val="18"/>
              </w:rPr>
              <w:t>Mezzanine</w:t>
            </w:r>
          </w:p>
        </w:tc>
        <w:tc>
          <w:tcPr>
            <w:tcW w:type="dxa" w:w="1440"/>
            <w:shd w:val="clear" w:color="auto" w:fill="1F3355"/>
          </w:tcPr>
          <w:p>
            <w:pPr>
              <w:spacing w:before="60" w:after="60"/>
              <w:jc w:val="center"/>
            </w:pPr>
            <w:r/>
            <w:r>
              <w:rPr>
                <w:rFonts w:ascii="Times New Roman" w:hAnsi="Times New Roman"/>
                <w:b/>
                <w:color w:val="FFFFFF"/>
                <w:sz w:val="18"/>
              </w:rPr>
              <w:t>% of Total</w:t>
            </w:r>
          </w:p>
        </w:tc>
      </w:tr>
      <w:tr>
        <w:trPr>
          <w:cantSplit w:val="true"/>
        </w:trPr>
        <w:tc>
          <w:tcPr>
            <w:tcW w:type="dxa" w:w="4752"/>
          </w:tcPr>
          <w:p>
            <w:pPr>
              <w:spacing w:before="40" w:after="40"/>
              <w:jc w:val="left"/>
            </w:pPr>
            <w:r/>
            <w:r>
              <w:rPr>
                <w:rFonts w:ascii="Times New Roman" w:hAnsi="Times New Roman"/>
                <w:b w:val="0"/>
                <w:i w:val="0"/>
                <w:sz w:val="18"/>
              </w:rPr>
              <w:t>Land acquisition (previously closed)</w:t>
            </w:r>
          </w:p>
        </w:tc>
        <w:tc>
          <w:tcPr>
            <w:tcW w:type="dxa" w:w="1584"/>
          </w:tcPr>
          <w:p>
            <w:pPr>
              <w:spacing w:before="40" w:after="40"/>
              <w:jc w:val="right"/>
            </w:pPr>
            <w:r/>
            <w:r>
              <w:rPr>
                <w:rFonts w:ascii="Times New Roman" w:hAnsi="Times New Roman"/>
                <w:b w:val="0"/>
                <w:i w:val="0"/>
                <w:sz w:val="18"/>
              </w:rPr>
              <w:t>8,200,000</w:t>
            </w:r>
          </w:p>
        </w:tc>
        <w:tc>
          <w:tcPr>
            <w:tcW w:type="dxa" w:w="1440"/>
          </w:tcPr>
          <w:p>
            <w:pPr>
              <w:spacing w:before="40" w:after="40"/>
              <w:jc w:val="right"/>
            </w:pPr>
            <w:r/>
            <w:r>
              <w:rPr>
                <w:rFonts w:ascii="Times New Roman" w:hAnsi="Times New Roman"/>
                <w:b w:val="0"/>
                <w:i w:val="0"/>
                <w:sz w:val="18"/>
              </w:rPr>
              <w:t>—</w:t>
            </w:r>
          </w:p>
        </w:tc>
        <w:tc>
          <w:tcPr>
            <w:tcW w:type="dxa" w:w="1440"/>
          </w:tcPr>
          <w:p>
            <w:pPr>
              <w:spacing w:before="40" w:after="40"/>
              <w:jc w:val="right"/>
            </w:pPr>
            <w:r/>
            <w:r>
              <w:rPr>
                <w:rFonts w:ascii="Times New Roman" w:hAnsi="Times New Roman"/>
                <w:b w:val="0"/>
                <w:i w:val="0"/>
                <w:sz w:val="18"/>
              </w:rPr>
              <w:t>14.46%</w:t>
            </w:r>
          </w:p>
        </w:tc>
      </w:tr>
      <w:tr>
        <w:trPr>
          <w:cantSplit w:val="true"/>
        </w:trPr>
        <w:tc>
          <w:tcPr>
            <w:tcW w:type="dxa" w:w="4752"/>
            <w:shd w:val="clear" w:color="auto" w:fill="F7F8FA"/>
          </w:tcPr>
          <w:p>
            <w:pPr>
              <w:spacing w:before="40" w:after="40"/>
              <w:jc w:val="left"/>
            </w:pPr>
            <w:r/>
            <w:r>
              <w:rPr>
                <w:rFonts w:ascii="Times New Roman" w:hAnsi="Times New Roman"/>
                <w:b w:val="0"/>
                <w:i w:val="0"/>
                <w:sz w:val="18"/>
              </w:rPr>
              <w:t>Hard construction costs (GMP — Graystone Construction Group Inc.)</w:t>
            </w:r>
          </w:p>
        </w:tc>
        <w:tc>
          <w:tcPr>
            <w:tcW w:type="dxa" w:w="1584"/>
            <w:shd w:val="clear" w:color="auto" w:fill="F7F8FA"/>
          </w:tcPr>
          <w:p>
            <w:pPr>
              <w:spacing w:before="40" w:after="40"/>
              <w:jc w:val="right"/>
            </w:pPr>
            <w:r/>
            <w:r>
              <w:rPr>
                <w:rFonts w:ascii="Times New Roman" w:hAnsi="Times New Roman"/>
                <w:b w:val="0"/>
                <w:i w:val="0"/>
                <w:sz w:val="18"/>
              </w:rPr>
              <w:t>34,750,000</w:t>
            </w:r>
          </w:p>
        </w:tc>
        <w:tc>
          <w:tcPr>
            <w:tcW w:type="dxa" w:w="1440"/>
            <w:shd w:val="clear" w:color="auto" w:fill="F7F8FA"/>
          </w:tcPr>
          <w:p>
            <w:pPr>
              <w:spacing w:before="40" w:after="40"/>
              <w:jc w:val="right"/>
            </w:pPr>
            <w:r/>
            <w:r>
              <w:rPr>
                <w:rFonts w:ascii="Times New Roman" w:hAnsi="Times New Roman"/>
                <w:b w:val="0"/>
                <w:i w:val="0"/>
                <w:sz w:val="18"/>
              </w:rPr>
              <w:t>—</w:t>
            </w:r>
          </w:p>
        </w:tc>
        <w:tc>
          <w:tcPr>
            <w:tcW w:type="dxa" w:w="1440"/>
            <w:shd w:val="clear" w:color="auto" w:fill="F7F8FA"/>
          </w:tcPr>
          <w:p>
            <w:pPr>
              <w:spacing w:before="40" w:after="40"/>
              <w:jc w:val="right"/>
            </w:pPr>
            <w:r/>
            <w:r>
              <w:rPr>
                <w:rFonts w:ascii="Times New Roman" w:hAnsi="Times New Roman"/>
                <w:b w:val="0"/>
                <w:i w:val="0"/>
                <w:sz w:val="18"/>
              </w:rPr>
              <w:t>61.29%</w:t>
            </w:r>
          </w:p>
        </w:tc>
      </w:tr>
      <w:tr>
        <w:trPr>
          <w:cantSplit w:val="true"/>
        </w:trPr>
        <w:tc>
          <w:tcPr>
            <w:tcW w:type="dxa" w:w="4752"/>
          </w:tcPr>
          <w:p>
            <w:pPr>
              <w:spacing w:before="40" w:after="40"/>
              <w:jc w:val="left"/>
            </w:pPr>
            <w:r/>
            <w:r>
              <w:rPr>
                <w:rFonts w:ascii="Times New Roman" w:hAnsi="Times New Roman"/>
                <w:b w:val="0"/>
                <w:i w:val="0"/>
                <w:sz w:val="18"/>
              </w:rPr>
              <w:t>Soft costs (architecture, engineering, permits, legal, accounting, inspection, insurance, marketing)</w:t>
            </w:r>
          </w:p>
        </w:tc>
        <w:tc>
          <w:tcPr>
            <w:tcW w:type="dxa" w:w="1584"/>
          </w:tcPr>
          <w:p>
            <w:pPr>
              <w:spacing w:before="40" w:after="40"/>
              <w:jc w:val="right"/>
            </w:pPr>
            <w:r/>
            <w:r>
              <w:rPr>
                <w:rFonts w:ascii="Times New Roman" w:hAnsi="Times New Roman"/>
                <w:b w:val="0"/>
                <w:i w:val="0"/>
                <w:sz w:val="18"/>
              </w:rPr>
              <w:t>4,150,000</w:t>
            </w:r>
          </w:p>
        </w:tc>
        <w:tc>
          <w:tcPr>
            <w:tcW w:type="dxa" w:w="1440"/>
          </w:tcPr>
          <w:p>
            <w:pPr>
              <w:spacing w:before="40" w:after="40"/>
              <w:jc w:val="right"/>
            </w:pPr>
            <w:r/>
            <w:r>
              <w:rPr>
                <w:rFonts w:ascii="Times New Roman" w:hAnsi="Times New Roman"/>
                <w:b w:val="0"/>
                <w:i w:val="0"/>
                <w:sz w:val="18"/>
              </w:rPr>
              <w:t>—</w:t>
            </w:r>
          </w:p>
        </w:tc>
        <w:tc>
          <w:tcPr>
            <w:tcW w:type="dxa" w:w="1440"/>
          </w:tcPr>
          <w:p>
            <w:pPr>
              <w:spacing w:before="40" w:after="40"/>
              <w:jc w:val="right"/>
            </w:pPr>
            <w:r/>
            <w:r>
              <w:rPr>
                <w:rFonts w:ascii="Times New Roman" w:hAnsi="Times New Roman"/>
                <w:b w:val="0"/>
                <w:i w:val="0"/>
                <w:sz w:val="18"/>
              </w:rPr>
              <w:t>7.32%</w:t>
            </w:r>
          </w:p>
        </w:tc>
      </w:tr>
      <w:tr>
        <w:trPr>
          <w:cantSplit w:val="true"/>
        </w:trPr>
        <w:tc>
          <w:tcPr>
            <w:tcW w:type="dxa" w:w="4752"/>
            <w:shd w:val="clear" w:color="auto" w:fill="F7F8FA"/>
          </w:tcPr>
          <w:p>
            <w:pPr>
              <w:spacing w:before="40" w:after="40"/>
              <w:jc w:val="left"/>
            </w:pPr>
            <w:r/>
            <w:r>
              <w:rPr>
                <w:rFonts w:ascii="Times New Roman" w:hAnsi="Times New Roman"/>
                <w:b w:val="0"/>
                <w:i w:val="0"/>
                <w:sz w:val="18"/>
              </w:rPr>
              <w:t>Interest Reserve</w:t>
            </w:r>
          </w:p>
        </w:tc>
        <w:tc>
          <w:tcPr>
            <w:tcW w:type="dxa" w:w="1584"/>
            <w:shd w:val="clear" w:color="auto" w:fill="F7F8FA"/>
          </w:tcPr>
          <w:p>
            <w:pPr>
              <w:spacing w:before="40" w:after="40"/>
              <w:jc w:val="right"/>
            </w:pPr>
            <w:r/>
            <w:r>
              <w:rPr>
                <w:rFonts w:ascii="Times New Roman" w:hAnsi="Times New Roman"/>
                <w:b w:val="0"/>
                <w:i w:val="0"/>
                <w:sz w:val="18"/>
              </w:rPr>
              <w:t>4,850,000</w:t>
            </w:r>
          </w:p>
        </w:tc>
        <w:tc>
          <w:tcPr>
            <w:tcW w:type="dxa" w:w="1440"/>
            <w:shd w:val="clear" w:color="auto" w:fill="F7F8FA"/>
          </w:tcPr>
          <w:p>
            <w:pPr>
              <w:spacing w:before="40" w:after="40"/>
              <w:jc w:val="right"/>
            </w:pPr>
            <w:r/>
            <w:r>
              <w:rPr>
                <w:rFonts w:ascii="Times New Roman" w:hAnsi="Times New Roman"/>
                <w:b w:val="0"/>
                <w:i w:val="0"/>
                <w:sz w:val="18"/>
              </w:rPr>
              <w:t>—</w:t>
            </w:r>
          </w:p>
        </w:tc>
        <w:tc>
          <w:tcPr>
            <w:tcW w:type="dxa" w:w="1440"/>
            <w:shd w:val="clear" w:color="auto" w:fill="F7F8FA"/>
          </w:tcPr>
          <w:p>
            <w:pPr>
              <w:spacing w:before="40" w:after="40"/>
              <w:jc w:val="right"/>
            </w:pPr>
            <w:r/>
            <w:r>
              <w:rPr>
                <w:rFonts w:ascii="Times New Roman" w:hAnsi="Times New Roman"/>
                <w:b w:val="0"/>
                <w:i w:val="0"/>
                <w:sz w:val="18"/>
              </w:rPr>
              <w:t>8.55%</w:t>
            </w:r>
          </w:p>
        </w:tc>
      </w:tr>
      <w:tr>
        <w:trPr>
          <w:cantSplit w:val="true"/>
        </w:trPr>
        <w:tc>
          <w:tcPr>
            <w:tcW w:type="dxa" w:w="4752"/>
          </w:tcPr>
          <w:p>
            <w:pPr>
              <w:spacing w:before="40" w:after="40"/>
              <w:jc w:val="left"/>
            </w:pPr>
            <w:r/>
            <w:r>
              <w:rPr>
                <w:rFonts w:ascii="Times New Roman" w:hAnsi="Times New Roman"/>
                <w:b w:val="0"/>
                <w:i w:val="0"/>
                <w:sz w:val="18"/>
              </w:rPr>
              <w:t>Origination Fee (1.00% of Loan Amount)</w:t>
            </w:r>
          </w:p>
        </w:tc>
        <w:tc>
          <w:tcPr>
            <w:tcW w:type="dxa" w:w="1584"/>
          </w:tcPr>
          <w:p>
            <w:pPr>
              <w:spacing w:before="40" w:after="40"/>
              <w:jc w:val="right"/>
            </w:pPr>
            <w:r/>
            <w:r>
              <w:rPr>
                <w:rFonts w:ascii="Times New Roman" w:hAnsi="Times New Roman"/>
                <w:b w:val="0"/>
                <w:i w:val="0"/>
                <w:sz w:val="18"/>
              </w:rPr>
              <w:t>475,000</w:t>
            </w:r>
          </w:p>
        </w:tc>
        <w:tc>
          <w:tcPr>
            <w:tcW w:type="dxa" w:w="1440"/>
          </w:tcPr>
          <w:p>
            <w:pPr>
              <w:spacing w:before="40" w:after="40"/>
              <w:jc w:val="right"/>
            </w:pPr>
            <w:r/>
            <w:r>
              <w:rPr>
                <w:rFonts w:ascii="Times New Roman" w:hAnsi="Times New Roman"/>
                <w:b w:val="0"/>
                <w:i w:val="0"/>
                <w:sz w:val="18"/>
              </w:rPr>
              <w:t>—</w:t>
            </w:r>
          </w:p>
        </w:tc>
        <w:tc>
          <w:tcPr>
            <w:tcW w:type="dxa" w:w="1440"/>
          </w:tcPr>
          <w:p>
            <w:pPr>
              <w:spacing w:before="40" w:after="40"/>
              <w:jc w:val="right"/>
            </w:pPr>
            <w:r/>
            <w:r>
              <w:rPr>
                <w:rFonts w:ascii="Times New Roman" w:hAnsi="Times New Roman"/>
                <w:b w:val="0"/>
                <w:i w:val="0"/>
                <w:sz w:val="18"/>
              </w:rPr>
              <w:t>0.84%</w:t>
            </w:r>
          </w:p>
        </w:tc>
      </w:tr>
      <w:tr>
        <w:trPr>
          <w:cantSplit w:val="true"/>
        </w:trPr>
        <w:tc>
          <w:tcPr>
            <w:tcW w:type="dxa" w:w="4752"/>
            <w:shd w:val="clear" w:color="auto" w:fill="F7F8FA"/>
          </w:tcPr>
          <w:p>
            <w:pPr>
              <w:spacing w:before="40" w:after="40"/>
              <w:jc w:val="left"/>
            </w:pPr>
            <w:r/>
            <w:r>
              <w:rPr>
                <w:rFonts w:ascii="Times New Roman" w:hAnsi="Times New Roman"/>
                <w:b w:val="0"/>
                <w:i w:val="0"/>
                <w:sz w:val="18"/>
              </w:rPr>
              <w:t>Developer Fee (5.00% of Total Project Costs)</w:t>
            </w:r>
          </w:p>
        </w:tc>
        <w:tc>
          <w:tcPr>
            <w:tcW w:type="dxa" w:w="1584"/>
            <w:shd w:val="clear" w:color="auto" w:fill="F7F8FA"/>
          </w:tcPr>
          <w:p>
            <w:pPr>
              <w:spacing w:before="40" w:after="40"/>
              <w:jc w:val="right"/>
            </w:pPr>
            <w:r/>
            <w:r>
              <w:rPr>
                <w:rFonts w:ascii="Times New Roman" w:hAnsi="Times New Roman"/>
                <w:b w:val="0"/>
                <w:i w:val="0"/>
                <w:sz w:val="18"/>
              </w:rPr>
              <w:t>1,835,000</w:t>
            </w:r>
          </w:p>
        </w:tc>
        <w:tc>
          <w:tcPr>
            <w:tcW w:type="dxa" w:w="1440"/>
            <w:shd w:val="clear" w:color="auto" w:fill="F7F8FA"/>
          </w:tcPr>
          <w:p>
            <w:pPr>
              <w:spacing w:before="40" w:after="40"/>
              <w:jc w:val="right"/>
            </w:pPr>
            <w:r/>
            <w:r>
              <w:rPr>
                <w:rFonts w:ascii="Times New Roman" w:hAnsi="Times New Roman"/>
                <w:b w:val="0"/>
                <w:i w:val="0"/>
                <w:sz w:val="18"/>
              </w:rPr>
              <w:t>1,000,000</w:t>
            </w:r>
          </w:p>
        </w:tc>
        <w:tc>
          <w:tcPr>
            <w:tcW w:type="dxa" w:w="1440"/>
            <w:shd w:val="clear" w:color="auto" w:fill="F7F8FA"/>
          </w:tcPr>
          <w:p>
            <w:pPr>
              <w:spacing w:before="40" w:after="40"/>
              <w:jc w:val="right"/>
            </w:pPr>
            <w:r/>
            <w:r>
              <w:rPr>
                <w:rFonts w:ascii="Times New Roman" w:hAnsi="Times New Roman"/>
                <w:b w:val="0"/>
                <w:i w:val="0"/>
                <w:sz w:val="18"/>
              </w:rPr>
              <w:t>5.00%</w:t>
            </w:r>
          </w:p>
        </w:tc>
      </w:tr>
      <w:tr>
        <w:trPr>
          <w:cantSplit w:val="true"/>
        </w:trPr>
        <w:tc>
          <w:tcPr>
            <w:tcW w:type="dxa" w:w="4752"/>
          </w:tcPr>
          <w:p>
            <w:pPr>
              <w:spacing w:before="40" w:after="40"/>
              <w:jc w:val="left"/>
            </w:pPr>
            <w:r/>
            <w:r>
              <w:rPr>
                <w:rFonts w:ascii="Times New Roman" w:hAnsi="Times New Roman"/>
                <w:b w:val="0"/>
                <w:i w:val="0"/>
                <w:sz w:val="18"/>
              </w:rPr>
              <w:t>Contingency (hard $1,140,000; soft $300,000)</w:t>
            </w:r>
          </w:p>
        </w:tc>
        <w:tc>
          <w:tcPr>
            <w:tcW w:type="dxa" w:w="1584"/>
          </w:tcPr>
          <w:p>
            <w:pPr>
              <w:spacing w:before="40" w:after="40"/>
              <w:jc w:val="right"/>
            </w:pPr>
            <w:r/>
            <w:r>
              <w:rPr>
                <w:rFonts w:ascii="Times New Roman" w:hAnsi="Times New Roman"/>
                <w:b w:val="0"/>
                <w:i w:val="0"/>
                <w:sz w:val="18"/>
              </w:rPr>
              <w:t>1,440,000</w:t>
            </w:r>
          </w:p>
        </w:tc>
        <w:tc>
          <w:tcPr>
            <w:tcW w:type="dxa" w:w="1440"/>
          </w:tcPr>
          <w:p>
            <w:pPr>
              <w:spacing w:before="40" w:after="40"/>
              <w:jc w:val="right"/>
            </w:pPr>
            <w:r/>
            <w:r>
              <w:rPr>
                <w:rFonts w:ascii="Times New Roman" w:hAnsi="Times New Roman"/>
                <w:b w:val="0"/>
                <w:i w:val="0"/>
                <w:sz w:val="18"/>
              </w:rPr>
              <w:t>—</w:t>
            </w:r>
          </w:p>
        </w:tc>
        <w:tc>
          <w:tcPr>
            <w:tcW w:type="dxa" w:w="1440"/>
          </w:tcPr>
          <w:p>
            <w:pPr>
              <w:spacing w:before="40" w:after="40"/>
              <w:jc w:val="right"/>
            </w:pPr>
            <w:r/>
            <w:r>
              <w:rPr>
                <w:rFonts w:ascii="Times New Roman" w:hAnsi="Times New Roman"/>
                <w:b w:val="0"/>
                <w:i w:val="0"/>
                <w:sz w:val="18"/>
              </w:rPr>
              <w:t>2.54%</w:t>
            </w:r>
          </w:p>
        </w:tc>
      </w:tr>
      <w:tr>
        <w:trPr>
          <w:cantSplit w:val="true"/>
        </w:trPr>
        <w:tc>
          <w:tcPr>
            <w:tcW w:type="dxa" w:w="4752"/>
            <w:shd w:val="clear" w:color="auto" w:fill="EDEFF3"/>
          </w:tcPr>
          <w:p>
            <w:pPr>
              <w:spacing w:before="40" w:after="40"/>
              <w:jc w:val="left"/>
            </w:pPr>
            <w:r/>
            <w:r>
              <w:rPr>
                <w:rFonts w:ascii="Times New Roman" w:hAnsi="Times New Roman"/>
                <w:b/>
                <w:i w:val="0"/>
                <w:sz w:val="18"/>
              </w:rPr>
              <w:t>TOTAL</w:t>
            </w:r>
          </w:p>
        </w:tc>
        <w:tc>
          <w:tcPr>
            <w:tcW w:type="dxa" w:w="1584"/>
            <w:shd w:val="clear" w:color="auto" w:fill="EDEFF3"/>
          </w:tcPr>
          <w:p>
            <w:pPr>
              <w:spacing w:before="40" w:after="40"/>
              <w:jc w:val="right"/>
            </w:pPr>
            <w:r/>
            <w:r>
              <w:rPr>
                <w:rFonts w:ascii="Times New Roman" w:hAnsi="Times New Roman"/>
                <w:b/>
                <w:i w:val="0"/>
                <w:sz w:val="18"/>
              </w:rPr>
              <w:t>47,500,000</w:t>
            </w:r>
          </w:p>
        </w:tc>
        <w:tc>
          <w:tcPr>
            <w:tcW w:type="dxa" w:w="1440"/>
            <w:shd w:val="clear" w:color="auto" w:fill="EDEFF3"/>
          </w:tcPr>
          <w:p>
            <w:pPr>
              <w:spacing w:before="40" w:after="40"/>
              <w:jc w:val="right"/>
            </w:pPr>
            <w:r/>
            <w:r>
              <w:rPr>
                <w:rFonts w:ascii="Times New Roman" w:hAnsi="Times New Roman"/>
                <w:b/>
                <w:i w:val="0"/>
                <w:sz w:val="18"/>
              </w:rPr>
              <w:t>9,200,000</w:t>
            </w:r>
          </w:p>
        </w:tc>
        <w:tc>
          <w:tcPr>
            <w:tcW w:type="dxa" w:w="1440"/>
            <w:shd w:val="clear" w:color="auto" w:fill="EDEFF3"/>
          </w:tcPr>
          <w:p>
            <w:pPr>
              <w:spacing w:before="40" w:after="40"/>
              <w:jc w:val="right"/>
            </w:pPr>
            <w:r/>
            <w:r>
              <w:rPr>
                <w:rFonts w:ascii="Times New Roman" w:hAnsi="Times New Roman"/>
                <w:b/>
                <w:i w:val="0"/>
                <w:sz w:val="18"/>
              </w:rPr>
              <w:t>100.00%</w:t>
            </w:r>
          </w:p>
        </w:tc>
      </w:tr>
    </w:tbl>
    <w:p>
      <w:pPr>
        <w:spacing w:after="40"/>
      </w:pPr>
    </w:p>
    <w:p>
      <w:r>
        <w:rPr>
          <w:rFonts w:ascii="Times New Roman" w:hAnsi="Times New Roman"/>
          <w:b w:val="0"/>
          <w:i/>
          <w:sz w:val="19"/>
        </w:rPr>
        <w:t>Total Uses: $56,700,000.</w:t>
      </w:r>
    </w:p>
    <w:p>
      <w:pPr>
        <w:pStyle w:val="Heading2"/>
      </w:pPr>
      <w:r>
        <w:rPr>
          <w:rFonts w:ascii="Times New Roman" w:hAnsi="Times New Roman"/>
          <w:b/>
          <w:sz w:val="22"/>
        </w:rPr>
        <w:t>Part B — Sources of Funds (to be conformed at Closing)</w:t>
      </w:r>
    </w:p>
    <w:tbl>
      <w:tblPr>
        <w:tblStyle w:val="TableGrid"/>
        <w:tblW w:type="auto" w:w="0"/>
        <w:jc w:val="center"/>
        <w:tblLayout w:type="fixed"/>
        <w:tblLook w:firstColumn="1" w:firstRow="1" w:lastColumn="0" w:lastRow="0" w:noHBand="0" w:noVBand="1" w:val="04A0"/>
      </w:tblPr>
      <w:tblGrid>
        <w:gridCol w:w="3384"/>
        <w:gridCol w:w="1440"/>
        <w:gridCol w:w="1080"/>
        <w:gridCol w:w="3312"/>
      </w:tblGrid>
      <w:tr>
        <w:trPr>
          <w:tblHeader w:val="true"/>
        </w:trPr>
        <w:tc>
          <w:tcPr>
            <w:tcW w:type="dxa" w:w="3384"/>
            <w:shd w:val="clear" w:color="auto" w:fill="1F3355"/>
          </w:tcPr>
          <w:p>
            <w:pPr>
              <w:spacing w:before="60" w:after="60"/>
              <w:jc w:val="center"/>
            </w:pPr>
            <w:r/>
            <w:r>
              <w:rPr>
                <w:rFonts w:ascii="Times New Roman" w:hAnsi="Times New Roman"/>
                <w:b/>
                <w:color w:val="FFFFFF"/>
                <w:sz w:val="18"/>
              </w:rPr>
              <w:t>Source of Funds</w:t>
            </w:r>
          </w:p>
        </w:tc>
        <w:tc>
          <w:tcPr>
            <w:tcW w:type="dxa" w:w="1440"/>
            <w:shd w:val="clear" w:color="auto" w:fill="1F3355"/>
          </w:tcPr>
          <w:p>
            <w:pPr>
              <w:spacing w:before="60" w:after="60"/>
              <w:jc w:val="center"/>
            </w:pPr>
            <w:r/>
            <w:r>
              <w:rPr>
                <w:rFonts w:ascii="Times New Roman" w:hAnsi="Times New Roman"/>
                <w:b/>
                <w:color w:val="FFFFFF"/>
                <w:sz w:val="18"/>
              </w:rPr>
              <w:t>Amount</w:t>
            </w:r>
          </w:p>
        </w:tc>
        <w:tc>
          <w:tcPr>
            <w:tcW w:type="dxa" w:w="1080"/>
            <w:shd w:val="clear" w:color="auto" w:fill="1F3355"/>
          </w:tcPr>
          <w:p>
            <w:pPr>
              <w:spacing w:before="60" w:after="60"/>
              <w:jc w:val="center"/>
            </w:pPr>
            <w:r/>
            <w:r>
              <w:rPr>
                <w:rFonts w:ascii="Times New Roman" w:hAnsi="Times New Roman"/>
                <w:b/>
                <w:color w:val="FFFFFF"/>
                <w:sz w:val="18"/>
              </w:rPr>
              <w:t>% of Total</w:t>
            </w:r>
          </w:p>
        </w:tc>
        <w:tc>
          <w:tcPr>
            <w:tcW w:type="dxa" w:w="3312"/>
            <w:shd w:val="clear" w:color="auto" w:fill="1F3355"/>
          </w:tcPr>
          <w:p>
            <w:pPr>
              <w:spacing w:before="60" w:after="60"/>
              <w:jc w:val="center"/>
            </w:pPr>
            <w:r/>
            <w:r>
              <w:rPr>
                <w:rFonts w:ascii="Times New Roman" w:hAnsi="Times New Roman"/>
                <w:b/>
                <w:color w:val="FFFFFF"/>
                <w:sz w:val="18"/>
              </w:rPr>
              <w:t>Notes</w:t>
            </w:r>
          </w:p>
        </w:tc>
      </w:tr>
      <w:tr>
        <w:trPr>
          <w:cantSplit w:val="true"/>
        </w:trPr>
        <w:tc>
          <w:tcPr>
            <w:tcW w:type="dxa" w:w="3384"/>
          </w:tcPr>
          <w:p>
            <w:pPr>
              <w:spacing w:before="40" w:after="40"/>
              <w:jc w:val="left"/>
            </w:pPr>
            <w:r/>
            <w:r>
              <w:rPr>
                <w:rFonts w:ascii="Times New Roman" w:hAnsi="Times New Roman"/>
                <w:b w:val="0"/>
                <w:i w:val="0"/>
                <w:sz w:val="18"/>
              </w:rPr>
              <w:t>Senior Construction Loan — Lender</w:t>
            </w:r>
          </w:p>
        </w:tc>
        <w:tc>
          <w:tcPr>
            <w:tcW w:type="dxa" w:w="1440"/>
          </w:tcPr>
          <w:p>
            <w:pPr>
              <w:spacing w:before="40" w:after="40"/>
              <w:jc w:val="right"/>
            </w:pPr>
            <w:r/>
            <w:r>
              <w:rPr>
                <w:rFonts w:ascii="Times New Roman" w:hAnsi="Times New Roman"/>
                <w:b w:val="0"/>
                <w:i w:val="0"/>
                <w:sz w:val="18"/>
              </w:rPr>
              <w:t>47,500,000</w:t>
            </w:r>
          </w:p>
        </w:tc>
        <w:tc>
          <w:tcPr>
            <w:tcW w:type="dxa" w:w="1080"/>
          </w:tcPr>
          <w:p>
            <w:pPr>
              <w:spacing w:before="40" w:after="40"/>
              <w:jc w:val="right"/>
            </w:pPr>
            <w:r/>
            <w:r>
              <w:rPr>
                <w:rFonts w:ascii="Times New Roman" w:hAnsi="Times New Roman"/>
                <w:b w:val="0"/>
                <w:i w:val="0"/>
                <w:sz w:val="18"/>
              </w:rPr>
              <w:t>78.15%</w:t>
            </w:r>
          </w:p>
        </w:tc>
        <w:tc>
          <w:tcPr>
            <w:tcW w:type="dxa" w:w="3312"/>
          </w:tcPr>
          <w:p>
            <w:pPr>
              <w:spacing w:before="40" w:after="40"/>
              <w:jc w:val="left"/>
            </w:pPr>
            <w:r/>
            <w:r>
              <w:rPr>
                <w:rFonts w:ascii="Times New Roman" w:hAnsi="Times New Roman"/>
                <w:b w:val="0"/>
                <w:i w:val="0"/>
                <w:sz w:val="18"/>
              </w:rPr>
              <w:t>Fixed commitment</w:t>
            </w:r>
          </w:p>
        </w:tc>
      </w:tr>
      <w:tr>
        <w:trPr>
          <w:cantSplit w:val="true"/>
        </w:trPr>
        <w:tc>
          <w:tcPr>
            <w:tcW w:type="dxa" w:w="3384"/>
            <w:shd w:val="clear" w:color="auto" w:fill="F7F8FA"/>
          </w:tcPr>
          <w:p>
            <w:pPr>
              <w:spacing w:before="40" w:after="40"/>
              <w:jc w:val="left"/>
            </w:pPr>
            <w:r/>
            <w:r>
              <w:rPr>
                <w:rFonts w:ascii="Times New Roman" w:hAnsi="Times New Roman"/>
                <w:b w:val="0"/>
                <w:i w:val="0"/>
                <w:sz w:val="18"/>
              </w:rPr>
              <w:t>Mezzanine Loan — Brightleaf Mezzanine Capital LLC</w:t>
            </w:r>
          </w:p>
        </w:tc>
        <w:tc>
          <w:tcPr>
            <w:tcW w:type="dxa" w:w="1440"/>
            <w:shd w:val="clear" w:color="auto" w:fill="F7F8FA"/>
          </w:tcPr>
          <w:p>
            <w:pPr>
              <w:spacing w:before="40" w:after="40"/>
              <w:jc w:val="right"/>
            </w:pPr>
            <w:r/>
            <w:r>
              <w:rPr>
                <w:rFonts w:ascii="Times New Roman" w:hAnsi="Times New Roman"/>
                <w:b w:val="0"/>
                <w:i w:val="0"/>
                <w:sz w:val="18"/>
              </w:rPr>
              <w:t>9,200,000</w:t>
            </w:r>
          </w:p>
        </w:tc>
        <w:tc>
          <w:tcPr>
            <w:tcW w:type="dxa" w:w="1080"/>
            <w:shd w:val="clear" w:color="auto" w:fill="F7F8FA"/>
          </w:tcPr>
          <w:p>
            <w:pPr>
              <w:spacing w:before="40" w:after="40"/>
              <w:jc w:val="right"/>
            </w:pPr>
            <w:r/>
            <w:r>
              <w:rPr>
                <w:rFonts w:ascii="Times New Roman" w:hAnsi="Times New Roman"/>
                <w:b w:val="0"/>
                <w:i w:val="0"/>
                <w:sz w:val="18"/>
              </w:rPr>
              <w:t>15.14%</w:t>
            </w:r>
          </w:p>
        </w:tc>
        <w:tc>
          <w:tcPr>
            <w:tcW w:type="dxa" w:w="3312"/>
            <w:shd w:val="clear" w:color="auto" w:fill="F7F8FA"/>
          </w:tcPr>
          <w:p>
            <w:pPr>
              <w:spacing w:before="40" w:after="40"/>
              <w:jc w:val="left"/>
            </w:pPr>
            <w:r/>
            <w:r>
              <w:rPr>
                <w:rFonts w:ascii="Times New Roman" w:hAnsi="Times New Roman"/>
                <w:b w:val="0"/>
                <w:i w:val="0"/>
                <w:sz w:val="18"/>
              </w:rPr>
              <w:t>12.50% fixed; PIK during Construction Period</w:t>
            </w:r>
          </w:p>
        </w:tc>
      </w:tr>
      <w:tr>
        <w:trPr>
          <w:cantSplit w:val="true"/>
        </w:trPr>
        <w:tc>
          <w:tcPr>
            <w:tcW w:type="dxa" w:w="3384"/>
          </w:tcPr>
          <w:p>
            <w:pPr>
              <w:spacing w:before="40" w:after="40"/>
              <w:jc w:val="left"/>
            </w:pPr>
            <w:r/>
            <w:r>
              <w:rPr>
                <w:rFonts w:ascii="Times New Roman" w:hAnsi="Times New Roman"/>
                <w:b w:val="0"/>
                <w:i w:val="0"/>
                <w:sz w:val="18"/>
              </w:rPr>
              <w:t>Equity Contribution (Equity Escrow Account)</w:t>
            </w:r>
          </w:p>
        </w:tc>
        <w:tc>
          <w:tcPr>
            <w:tcW w:type="dxa" w:w="1440"/>
          </w:tcPr>
          <w:p>
            <w:pPr>
              <w:spacing w:before="40" w:after="40"/>
              <w:jc w:val="right"/>
            </w:pPr>
            <w:r/>
            <w:r>
              <w:rPr>
                <w:rFonts w:ascii="Times New Roman" w:hAnsi="Times New Roman"/>
                <w:b w:val="0"/>
                <w:i w:val="0"/>
                <w:sz w:val="18"/>
              </w:rPr>
              <w:t>[4,080,000]</w:t>
            </w:r>
          </w:p>
        </w:tc>
        <w:tc>
          <w:tcPr>
            <w:tcW w:type="dxa" w:w="1080"/>
          </w:tcPr>
          <w:p>
            <w:pPr>
              <w:spacing w:before="40" w:after="40"/>
              <w:jc w:val="right"/>
            </w:pPr>
            <w:r/>
            <w:r>
              <w:rPr>
                <w:rFonts w:ascii="Times New Roman" w:hAnsi="Times New Roman"/>
                <w:b w:val="0"/>
                <w:i w:val="0"/>
                <w:sz w:val="18"/>
              </w:rPr>
              <w:t>[6.71%]</w:t>
            </w:r>
          </w:p>
        </w:tc>
        <w:tc>
          <w:tcPr>
            <w:tcW w:type="dxa" w:w="3312"/>
          </w:tcPr>
          <w:p>
            <w:pPr>
              <w:spacing w:before="40" w:after="40"/>
              <w:jc w:val="left"/>
            </w:pPr>
            <w:r/>
            <w:r>
              <w:rPr>
                <w:rFonts w:ascii="Times New Roman" w:hAnsi="Times New Roman"/>
                <w:b w:val="0"/>
                <w:i w:val="0"/>
                <w:sz w:val="18"/>
              </w:rPr>
              <w:t>Verified third-party source required by Section 3.7</w:t>
            </w:r>
          </w:p>
        </w:tc>
      </w:tr>
      <w:tr>
        <w:trPr>
          <w:cantSplit w:val="true"/>
        </w:trPr>
        <w:tc>
          <w:tcPr>
            <w:tcW w:type="dxa" w:w="3384"/>
            <w:shd w:val="clear" w:color="auto" w:fill="EDEFF3"/>
          </w:tcPr>
          <w:p>
            <w:pPr>
              <w:spacing w:before="40" w:after="40"/>
              <w:jc w:val="left"/>
            </w:pPr>
            <w:r/>
            <w:r>
              <w:rPr>
                <w:rFonts w:ascii="Times New Roman" w:hAnsi="Times New Roman"/>
                <w:b/>
                <w:i w:val="0"/>
                <w:sz w:val="18"/>
              </w:rPr>
              <w:t>TOTAL</w:t>
            </w:r>
          </w:p>
        </w:tc>
        <w:tc>
          <w:tcPr>
            <w:tcW w:type="dxa" w:w="1440"/>
            <w:shd w:val="clear" w:color="auto" w:fill="EDEFF3"/>
          </w:tcPr>
          <w:p>
            <w:pPr>
              <w:spacing w:before="40" w:after="40"/>
              <w:jc w:val="right"/>
            </w:pPr>
            <w:r/>
            <w:r>
              <w:rPr>
                <w:rFonts w:ascii="Times New Roman" w:hAnsi="Times New Roman"/>
                <w:b/>
                <w:i w:val="0"/>
                <w:sz w:val="18"/>
              </w:rPr>
              <w:t>[60,780,000]</w:t>
            </w:r>
          </w:p>
        </w:tc>
        <w:tc>
          <w:tcPr>
            <w:tcW w:type="dxa" w:w="1080"/>
            <w:shd w:val="clear" w:color="auto" w:fill="EDEFF3"/>
          </w:tcPr>
          <w:p>
            <w:pPr>
              <w:spacing w:before="40" w:after="40"/>
              <w:jc w:val="right"/>
            </w:pPr>
            <w:r/>
            <w:r>
              <w:rPr>
                <w:rFonts w:ascii="Times New Roman" w:hAnsi="Times New Roman"/>
                <w:b/>
                <w:i w:val="0"/>
                <w:sz w:val="18"/>
              </w:rPr>
              <w:t>100.00%</w:t>
            </w:r>
          </w:p>
        </w:tc>
        <w:tc>
          <w:tcPr>
            <w:tcW w:type="dxa" w:w="3312"/>
            <w:shd w:val="clear" w:color="auto" w:fill="EDEFF3"/>
          </w:tcPr>
          <w:p>
            <w:pPr>
              <w:spacing w:before="40" w:after="40"/>
              <w:jc w:val="left"/>
            </w:pPr>
            <w:r/>
          </w:p>
        </w:tc>
      </w:tr>
    </w:tbl>
    <w:p>
      <w:pPr>
        <w:spacing w:after="40"/>
      </w:pPr>
    </w:p>
    <w:p>
      <w:pPr>
        <w:spacing w:before="80" w:after="60"/>
      </w:pPr>
      <w:r>
        <w:rPr>
          <w:rFonts w:ascii="Times New Roman" w:hAnsi="Times New Roman"/>
          <w:b/>
          <w:i w:val="0"/>
          <w:sz w:val="19"/>
        </w:rPr>
        <w:t>Reconciliation to the corrected budget:</w:t>
      </w:r>
    </w:p>
    <w:p>
      <w:pPr>
        <w:spacing w:after="100"/>
        <w:ind w:left="576" w:hanging="288"/>
      </w:pPr>
      <w:r>
        <w:rPr>
          <w:rFonts w:ascii="Times New Roman" w:hAnsi="Times New Roman"/>
        </w:rPr>
        <w:t>•</w:t>
        <w:tab/>
      </w:r>
      <w:r>
        <w:rPr>
          <w:rFonts w:ascii="Times New Roman" w:hAnsi="Times New Roman"/>
          <w:b w:val="0"/>
          <w:i w:val="0"/>
          <w:sz w:val="18"/>
        </w:rPr>
        <w:t>Total Project Costs per the budget certified by Borrower and reviewed by the appraiser: $56,700,000.</w:t>
      </w:r>
    </w:p>
    <w:p>
      <w:pPr>
        <w:spacing w:after="100"/>
        <w:ind w:left="576" w:hanging="288"/>
      </w:pPr>
      <w:r>
        <w:rPr>
          <w:rFonts w:ascii="Times New Roman" w:hAnsi="Times New Roman"/>
        </w:rPr>
        <w:t>•</w:t>
        <w:tab/>
      </w:r>
      <w:r>
        <w:rPr>
          <w:rFonts w:ascii="Times New Roman" w:hAnsi="Times New Roman"/>
          <w:b w:val="0"/>
          <w:i w:val="0"/>
          <w:sz w:val="18"/>
        </w:rPr>
        <w:t>Add: payoff of the deed of trust recorded in Book 6215, Page 892, Durham County Registry (Triangle Commercial Bank; original principal $3,400,000; outstanding balance to be confirmed by payoff letter): up to $[3,400,000].</w:t>
      </w:r>
    </w:p>
    <w:p>
      <w:pPr>
        <w:spacing w:after="100"/>
        <w:ind w:left="576" w:hanging="288"/>
      </w:pPr>
      <w:r>
        <w:rPr>
          <w:rFonts w:ascii="Times New Roman" w:hAnsi="Times New Roman"/>
        </w:rPr>
        <w:t>•</w:t>
        <w:tab/>
      </w:r>
      <w:r>
        <w:rPr>
          <w:rFonts w:ascii="Times New Roman" w:hAnsi="Times New Roman"/>
          <w:b w:val="0"/>
          <w:i w:val="0"/>
          <w:sz w:val="18"/>
        </w:rPr>
        <w:t>Add: demolition and environmental remediation costs incurred before Closing (approximately $680,000 per the appraisal; remediation alone approximately $485,000 per the Phase I ESA), which are not line items of the $56,700,000 budget: $[680,000].</w:t>
      </w:r>
    </w:p>
    <w:p>
      <w:pPr>
        <w:spacing w:after="100"/>
        <w:ind w:left="576" w:hanging="288"/>
      </w:pPr>
      <w:r>
        <w:rPr>
          <w:rFonts w:ascii="Times New Roman" w:hAnsi="Times New Roman"/>
        </w:rPr>
        <w:t>•</w:t>
        <w:tab/>
      </w:r>
      <w:r>
        <w:rPr>
          <w:rFonts w:ascii="Times New Roman" w:hAnsi="Times New Roman"/>
          <w:b w:val="0"/>
          <w:i w:val="0"/>
          <w:sz w:val="18"/>
        </w:rPr>
        <w:t>Corrected Total Project Costs: $[60,780,000]. Less the Loan ($47,500,000) and the Mezzanine Loan ($9,200,000) = required Equity Contribution of $[4,080,000].</w:t>
      </w:r>
    </w:p>
    <w:p>
      <w:pPr>
        <w:spacing w:after="100"/>
        <w:ind w:left="576" w:hanging="288"/>
      </w:pPr>
      <w:r>
        <w:rPr>
          <w:rFonts w:ascii="Times New Roman" w:hAnsi="Times New Roman"/>
        </w:rPr>
        <w:t>•</w:t>
        <w:tab/>
      </w:r>
      <w:r>
        <w:rPr>
          <w:rFonts w:ascii="Times New Roman" w:hAnsi="Times New Roman"/>
          <w:b w:val="0"/>
          <w:i w:val="0"/>
          <w:sz w:val="18"/>
        </w:rPr>
        <w:t>Loan-to-Cost Ratio on the corrected budget: $47,500,000 ÷ $[60,780,000] = 78.15% (within the 80% maximum of Section 9.1). On the uncorrected budget the ratio is 83.77%, which exceeds the maximum by $2,140,000.</w:t>
      </w:r>
    </w:p>
    <w:p>
      <w:pPr>
        <w:spacing w:after="100"/>
        <w:ind w:left="576" w:hanging="288"/>
      </w:pPr>
      <w:r>
        <w:rPr>
          <w:rFonts w:ascii="Times New Roman" w:hAnsi="Times New Roman"/>
        </w:rPr>
        <w:t>•</w:t>
        <w:tab/>
      </w:r>
      <w:r>
        <w:rPr>
          <w:rFonts w:ascii="Times New Roman" w:hAnsi="Times New Roman"/>
          <w:b w:val="0"/>
          <w:i w:val="0"/>
          <w:sz w:val="18"/>
        </w:rPr>
        <w:t>If the payoff and pre-Closing costs are not added to Total Project Costs, the Equity Contribution of $2,140,000 required by the Credit Memorandum merely restores the 80% ratio on a budget that omits a required closing use; the payoff would then be unfunded.</w:t>
      </w:r>
    </w:p>
    <w:p>
      <w:r>
        <w:rPr>
          <w:rFonts w:ascii="Times New Roman" w:hAnsi="Times New Roman"/>
          <w:b w:val="0"/>
          <w:i w:val="0"/>
          <w:sz w:val="18"/>
        </w:rPr>
        <w:t>[Drafting Note: Schedule 2 Part B and the reconciliation above are presented in brackets because the record does not disclose (a) the outstanding balance of the Triangle Commercial Bank loan, (b) whether the $680,000 of pre-Closing site costs have been paid and by whom, or (c) the actual source of the $8,200,000 land cost. Line item 1.01 of Borrower's project budget states that the land was “Funded by Mezzanine Loan”; Sections 5.1 and 5.2 of the Term Sheet and Section 2.2 of the Credit Memorandum state that it was contributed as equity by the members; and Section 1.3 of the organizational materials states that it was contributed by Ms. Vasquez-Torres personally. Only the first description balances the sources and uses as presented. See Cover Memorandum Issues Nos. 1, 2 and 3.]</w:t>
      </w:r>
    </w:p>
    <w:p>
      <w:r>
        <w:br w:type="page"/>
      </w:r>
    </w:p>
    <w:p>
      <w:pPr>
        <w:pStyle w:val="Heading1"/>
        <w:spacing w:before="360"/>
      </w:pPr>
      <w:r>
        <w:rPr>
          <w:rFonts w:ascii="Times New Roman" w:hAnsi="Times New Roman"/>
          <w:b/>
          <w:sz w:val="24"/>
        </w:rPr>
        <w:t>SCHEDULE 3 — PERMITTED EXCEPTIONS</w:t>
      </w:r>
    </w:p>
    <w:p>
      <w:r>
        <w:rPr>
          <w:rFonts w:ascii="Times New Roman" w:hAnsi="Times New Roman"/>
          <w:b w:val="0"/>
          <w:i w:val="0"/>
          <w:sz w:val="20"/>
        </w:rPr>
        <w:t>The Title Policy may contain only the following exceptions, together with such other exceptions as Lender may approve in writing:</w:t>
      </w:r>
    </w:p>
    <w:tbl>
      <w:tblPr>
        <w:tblStyle w:val="TableGrid"/>
        <w:tblW w:type="auto" w:w="0"/>
        <w:jc w:val="center"/>
        <w:tblLayout w:type="fixed"/>
        <w:tblLook w:firstColumn="1" w:firstRow="1" w:lastColumn="0" w:lastRow="0" w:noHBand="0" w:noVBand="1" w:val="04A0"/>
      </w:tblPr>
      <w:tblGrid>
        <w:gridCol w:w="576"/>
        <w:gridCol w:w="5832"/>
        <w:gridCol w:w="2880"/>
      </w:tblGrid>
      <w:tr>
        <w:trPr>
          <w:tblHeader w:val="true"/>
        </w:trPr>
        <w:tc>
          <w:tcPr>
            <w:tcW w:type="dxa" w:w="576"/>
            <w:shd w:val="clear" w:color="auto" w:fill="1F3355"/>
          </w:tcPr>
          <w:p>
            <w:pPr>
              <w:spacing w:before="60" w:after="60"/>
              <w:jc w:val="center"/>
            </w:pPr>
            <w:r/>
            <w:r>
              <w:rPr>
                <w:rFonts w:ascii="Times New Roman" w:hAnsi="Times New Roman"/>
                <w:b/>
                <w:color w:val="FFFFFF"/>
                <w:sz w:val="18"/>
              </w:rPr>
              <w:t>No.</w:t>
            </w:r>
          </w:p>
        </w:tc>
        <w:tc>
          <w:tcPr>
            <w:tcW w:type="dxa" w:w="5832"/>
            <w:shd w:val="clear" w:color="auto" w:fill="1F3355"/>
          </w:tcPr>
          <w:p>
            <w:pPr>
              <w:spacing w:before="60" w:after="60"/>
              <w:jc w:val="center"/>
            </w:pPr>
            <w:r/>
            <w:r>
              <w:rPr>
                <w:rFonts w:ascii="Times New Roman" w:hAnsi="Times New Roman"/>
                <w:b/>
                <w:color w:val="FFFFFF"/>
                <w:sz w:val="18"/>
              </w:rPr>
              <w:t>Exception</w:t>
            </w:r>
          </w:p>
        </w:tc>
        <w:tc>
          <w:tcPr>
            <w:tcW w:type="dxa" w:w="2880"/>
            <w:shd w:val="clear" w:color="auto" w:fill="1F3355"/>
          </w:tcPr>
          <w:p>
            <w:pPr>
              <w:spacing w:before="60" w:after="60"/>
              <w:jc w:val="center"/>
            </w:pPr>
            <w:r/>
            <w:r>
              <w:rPr>
                <w:rFonts w:ascii="Times New Roman" w:hAnsi="Times New Roman"/>
                <w:b/>
                <w:color w:val="FFFFFF"/>
                <w:sz w:val="18"/>
              </w:rPr>
              <w:t>Status</w:t>
            </w:r>
          </w:p>
        </w:tc>
      </w:tr>
      <w:tr>
        <w:trPr>
          <w:cantSplit w:val="true"/>
        </w:trPr>
        <w:tc>
          <w:tcPr>
            <w:tcW w:type="dxa" w:w="576"/>
          </w:tcPr>
          <w:p>
            <w:pPr>
              <w:spacing w:before="40" w:after="40"/>
              <w:jc w:val="left"/>
            </w:pPr>
            <w:r/>
            <w:r>
              <w:rPr>
                <w:rFonts w:ascii="Times New Roman" w:hAnsi="Times New Roman"/>
                <w:b w:val="0"/>
                <w:i w:val="0"/>
                <w:sz w:val="18"/>
              </w:rPr>
              <w:t>1</w:t>
            </w:r>
          </w:p>
        </w:tc>
        <w:tc>
          <w:tcPr>
            <w:tcW w:type="dxa" w:w="5832"/>
          </w:tcPr>
          <w:p>
            <w:pPr>
              <w:spacing w:before="40" w:after="40"/>
              <w:jc w:val="left"/>
            </w:pPr>
            <w:r/>
            <w:r>
              <w:rPr>
                <w:rFonts w:ascii="Times New Roman" w:hAnsi="Times New Roman"/>
                <w:b w:val="0"/>
                <w:i w:val="0"/>
                <w:sz w:val="18"/>
              </w:rPr>
              <w:t>Standard printed exceptions (rights of parties in possession; facts disclosed by survey; easements or claims of easements not of record) — to be removed to the extent permitted by the Title Company upon delivery of the ALTA survey and an owner's affidavit of possession.</w:t>
            </w:r>
          </w:p>
        </w:tc>
        <w:tc>
          <w:tcPr>
            <w:tcW w:type="dxa" w:w="2880"/>
          </w:tcPr>
          <w:p>
            <w:pPr>
              <w:spacing w:before="40" w:after="40"/>
              <w:jc w:val="left"/>
            </w:pPr>
            <w:r/>
            <w:r>
              <w:rPr>
                <w:rFonts w:ascii="Times New Roman" w:hAnsi="Times New Roman"/>
                <w:b w:val="0"/>
                <w:i w:val="0"/>
                <w:sz w:val="18"/>
              </w:rPr>
              <w:t>Delete/modify as stated</w:t>
            </w:r>
          </w:p>
        </w:tc>
      </w:tr>
      <w:tr>
        <w:trPr>
          <w:cantSplit w:val="true"/>
        </w:trPr>
        <w:tc>
          <w:tcPr>
            <w:tcW w:type="dxa" w:w="576"/>
            <w:shd w:val="clear" w:color="auto" w:fill="F7F8FA"/>
          </w:tcPr>
          <w:p>
            <w:pPr>
              <w:spacing w:before="40" w:after="40"/>
              <w:jc w:val="left"/>
            </w:pPr>
            <w:r/>
            <w:r>
              <w:rPr>
                <w:rFonts w:ascii="Times New Roman" w:hAnsi="Times New Roman"/>
                <w:b w:val="0"/>
                <w:i w:val="0"/>
                <w:sz w:val="18"/>
              </w:rPr>
              <w:t>2</w:t>
            </w:r>
          </w:p>
        </w:tc>
        <w:tc>
          <w:tcPr>
            <w:tcW w:type="dxa" w:w="5832"/>
            <w:shd w:val="clear" w:color="auto" w:fill="F7F8FA"/>
          </w:tcPr>
          <w:p>
            <w:pPr>
              <w:spacing w:before="40" w:after="40"/>
              <w:jc w:val="left"/>
            </w:pPr>
            <w:r/>
            <w:r>
              <w:rPr>
                <w:rFonts w:ascii="Times New Roman" w:hAnsi="Times New Roman"/>
                <w:b w:val="0"/>
                <w:i w:val="0"/>
                <w:sz w:val="18"/>
              </w:rPr>
              <w:t>Ad valorem real property taxes for the fiscal year 2025 and subsequent years, not yet due and payable. (2024 taxes: Parcel 0821-04-72-3341 — $29,847.12; Parcel 0821-04-72-4102 — $19,218.44; both paid.)</w:t>
            </w:r>
          </w:p>
        </w:tc>
        <w:tc>
          <w:tcPr>
            <w:tcW w:type="dxa" w:w="2880"/>
            <w:shd w:val="clear" w:color="auto" w:fill="F7F8FA"/>
          </w:tcPr>
          <w:p>
            <w:pPr>
              <w:spacing w:before="40" w:after="40"/>
              <w:jc w:val="left"/>
            </w:pPr>
            <w:r/>
            <w:r>
              <w:rPr>
                <w:rFonts w:ascii="Times New Roman" w:hAnsi="Times New Roman"/>
                <w:b w:val="0"/>
                <w:i w:val="0"/>
                <w:sz w:val="18"/>
              </w:rPr>
              <w:t>Permitted</w:t>
            </w:r>
          </w:p>
        </w:tc>
      </w:tr>
      <w:tr>
        <w:trPr>
          <w:cantSplit w:val="true"/>
        </w:trPr>
        <w:tc>
          <w:tcPr>
            <w:tcW w:type="dxa" w:w="576"/>
          </w:tcPr>
          <w:p>
            <w:pPr>
              <w:spacing w:before="40" w:after="40"/>
              <w:jc w:val="left"/>
            </w:pPr>
            <w:r/>
            <w:r>
              <w:rPr>
                <w:rFonts w:ascii="Times New Roman" w:hAnsi="Times New Roman"/>
                <w:b w:val="0"/>
                <w:i w:val="0"/>
                <w:sz w:val="18"/>
              </w:rPr>
              <w:t>3</w:t>
            </w:r>
          </w:p>
        </w:tc>
        <w:tc>
          <w:tcPr>
            <w:tcW w:type="dxa" w:w="5832"/>
          </w:tcPr>
          <w:p>
            <w:pPr>
              <w:spacing w:before="40" w:after="40"/>
              <w:jc w:val="left"/>
            </w:pPr>
            <w:r/>
            <w:r>
              <w:rPr>
                <w:rFonts w:ascii="Times New Roman" w:hAnsi="Times New Roman"/>
                <w:b w:val="0"/>
                <w:i w:val="0"/>
                <w:sz w:val="18"/>
              </w:rPr>
              <w:t>Easement in favor of Duke Energy Carolinas, LLC, 20 feet in width along the western boundary of Parcel 0821-04-72-3341, recorded in Book 4387, Page 621, Durham County Registry (March 22, 1997).</w:t>
            </w:r>
          </w:p>
        </w:tc>
        <w:tc>
          <w:tcPr>
            <w:tcW w:type="dxa" w:w="2880"/>
          </w:tcPr>
          <w:p>
            <w:pPr>
              <w:spacing w:before="40" w:after="40"/>
              <w:jc w:val="left"/>
            </w:pPr>
            <w:r/>
            <w:r>
              <w:rPr>
                <w:rFonts w:ascii="Times New Roman" w:hAnsi="Times New Roman"/>
                <w:b w:val="0"/>
                <w:i w:val="0"/>
                <w:sz w:val="18"/>
              </w:rPr>
              <w:t>Permitted, subject to Lender's review of the instrument and the survey</w:t>
            </w:r>
          </w:p>
        </w:tc>
      </w:tr>
      <w:tr>
        <w:trPr>
          <w:cantSplit w:val="true"/>
        </w:trPr>
        <w:tc>
          <w:tcPr>
            <w:tcW w:type="dxa" w:w="576"/>
            <w:shd w:val="clear" w:color="auto" w:fill="F7F8FA"/>
          </w:tcPr>
          <w:p>
            <w:pPr>
              <w:spacing w:before="40" w:after="40"/>
              <w:jc w:val="left"/>
            </w:pPr>
            <w:r/>
            <w:r>
              <w:rPr>
                <w:rFonts w:ascii="Times New Roman" w:hAnsi="Times New Roman"/>
                <w:b w:val="0"/>
                <w:i w:val="0"/>
                <w:sz w:val="18"/>
              </w:rPr>
              <w:t>4</w:t>
            </w:r>
          </w:p>
        </w:tc>
        <w:tc>
          <w:tcPr>
            <w:tcW w:type="dxa" w:w="5832"/>
            <w:shd w:val="clear" w:color="auto" w:fill="F7F8FA"/>
          </w:tcPr>
          <w:p>
            <w:pPr>
              <w:spacing w:before="40" w:after="40"/>
              <w:jc w:val="left"/>
            </w:pPr>
            <w:r/>
            <w:r>
              <w:rPr>
                <w:rFonts w:ascii="Times New Roman" w:hAnsi="Times New Roman"/>
                <w:b w:val="0"/>
                <w:i w:val="0"/>
                <w:sz w:val="18"/>
              </w:rPr>
              <w:t>Stormwater management easement in favor of the City of Durham affecting approximately 0.22 acres in the southern portion of Parcel 0821-04-72-3341, recorded in Book 7421, Page 212, Durham County Registry (April 8, 2022); depicted on plat recorded in Plat Book 232, Page 91.</w:t>
            </w:r>
          </w:p>
        </w:tc>
        <w:tc>
          <w:tcPr>
            <w:tcW w:type="dxa" w:w="2880"/>
            <w:shd w:val="clear" w:color="auto" w:fill="F7F8FA"/>
          </w:tcPr>
          <w:p>
            <w:pPr>
              <w:spacing w:before="40" w:after="40"/>
              <w:jc w:val="left"/>
            </w:pPr>
            <w:r/>
            <w:r>
              <w:rPr>
                <w:rFonts w:ascii="Times New Roman" w:hAnsi="Times New Roman"/>
                <w:b w:val="0"/>
                <w:i w:val="0"/>
                <w:sz w:val="18"/>
              </w:rPr>
              <w:t>Permitted, subject to confirmation that no building footprint, parking or stormwater credit is impaired</w:t>
            </w:r>
          </w:p>
        </w:tc>
      </w:tr>
      <w:tr>
        <w:trPr>
          <w:cantSplit w:val="true"/>
        </w:trPr>
        <w:tc>
          <w:tcPr>
            <w:tcW w:type="dxa" w:w="576"/>
          </w:tcPr>
          <w:p>
            <w:pPr>
              <w:spacing w:before="40" w:after="40"/>
              <w:jc w:val="left"/>
            </w:pPr>
            <w:r/>
            <w:r>
              <w:rPr>
                <w:rFonts w:ascii="Times New Roman" w:hAnsi="Times New Roman"/>
                <w:b w:val="0"/>
                <w:i w:val="0"/>
                <w:sz w:val="18"/>
              </w:rPr>
              <w:t>5</w:t>
            </w:r>
          </w:p>
        </w:tc>
        <w:tc>
          <w:tcPr>
            <w:tcW w:type="dxa" w:w="5832"/>
          </w:tcPr>
          <w:p>
            <w:pPr>
              <w:spacing w:before="40" w:after="40"/>
              <w:jc w:val="left"/>
            </w:pPr>
            <w:r/>
            <w:r>
              <w:rPr>
                <w:rFonts w:ascii="Times New Roman" w:hAnsi="Times New Roman"/>
                <w:b w:val="0"/>
                <w:i w:val="0"/>
                <w:sz w:val="18"/>
              </w:rPr>
              <w:t>Declaration of Covenants, Conditions and Restrictions recorded by Brightleaf Historic District Association, Inc. in Book 6984, Page 1155, Durham County Registry (November 3, 2014), as amended by First Amendment recorded in Book 7102, Page 388 (June 19, 2017), including the architectural review, assessment ($0.12 per square foot of gross building area per annum) and use restriction provisions.</w:t>
            </w:r>
          </w:p>
        </w:tc>
        <w:tc>
          <w:tcPr>
            <w:tcW w:type="dxa" w:w="2880"/>
          </w:tcPr>
          <w:p>
            <w:pPr>
              <w:spacing w:before="40" w:after="40"/>
              <w:jc w:val="left"/>
            </w:pPr>
            <w:r/>
            <w:r>
              <w:rPr>
                <w:rFonts w:ascii="Times New Roman" w:hAnsi="Times New Roman"/>
                <w:b w:val="0"/>
                <w:i w:val="0"/>
                <w:sz w:val="18"/>
              </w:rPr>
              <w:t>Permitted, subject to Section 3.6</w:t>
            </w:r>
          </w:p>
        </w:tc>
      </w:tr>
      <w:tr>
        <w:trPr>
          <w:cantSplit w:val="true"/>
        </w:trPr>
        <w:tc>
          <w:tcPr>
            <w:tcW w:type="dxa" w:w="576"/>
            <w:shd w:val="clear" w:color="auto" w:fill="F7F8FA"/>
          </w:tcPr>
          <w:p>
            <w:pPr>
              <w:spacing w:before="40" w:after="40"/>
              <w:jc w:val="left"/>
            </w:pPr>
            <w:r/>
            <w:r>
              <w:rPr>
                <w:rFonts w:ascii="Times New Roman" w:hAnsi="Times New Roman"/>
                <w:b w:val="0"/>
                <w:i w:val="0"/>
                <w:sz w:val="18"/>
              </w:rPr>
              <w:t>6</w:t>
            </w:r>
          </w:p>
        </w:tc>
        <w:tc>
          <w:tcPr>
            <w:tcW w:type="dxa" w:w="5832"/>
            <w:shd w:val="clear" w:color="auto" w:fill="F7F8FA"/>
          </w:tcPr>
          <w:p>
            <w:pPr>
              <w:spacing w:before="40" w:after="40"/>
              <w:jc w:val="left"/>
            </w:pPr>
            <w:r/>
            <w:r>
              <w:rPr>
                <w:rFonts w:ascii="Times New Roman" w:hAnsi="Times New Roman"/>
                <w:b w:val="0"/>
                <w:i w:val="0"/>
                <w:sz w:val="18"/>
              </w:rPr>
              <w:t>Terms, conditions, easements and restrictions imposed by the City of Durham Unified Development Ordinance and the MU-D zoning district.</w:t>
            </w:r>
          </w:p>
        </w:tc>
        <w:tc>
          <w:tcPr>
            <w:tcW w:type="dxa" w:w="2880"/>
            <w:shd w:val="clear" w:color="auto" w:fill="F7F8FA"/>
          </w:tcPr>
          <w:p>
            <w:pPr>
              <w:spacing w:before="40" w:after="40"/>
              <w:jc w:val="left"/>
            </w:pPr>
            <w:r/>
            <w:r>
              <w:rPr>
                <w:rFonts w:ascii="Times New Roman" w:hAnsi="Times New Roman"/>
                <w:b w:val="0"/>
                <w:i w:val="0"/>
                <w:sz w:val="18"/>
              </w:rPr>
              <w:t>Permitted</w:t>
            </w:r>
          </w:p>
        </w:tc>
      </w:tr>
      <w:tr>
        <w:trPr>
          <w:cantSplit w:val="true"/>
        </w:trPr>
        <w:tc>
          <w:tcPr>
            <w:tcW w:type="dxa" w:w="576"/>
          </w:tcPr>
          <w:p>
            <w:pPr>
              <w:spacing w:before="40" w:after="40"/>
              <w:jc w:val="left"/>
            </w:pPr>
            <w:r/>
            <w:r>
              <w:rPr>
                <w:rFonts w:ascii="Times New Roman" w:hAnsi="Times New Roman"/>
                <w:b w:val="0"/>
                <w:i w:val="0"/>
                <w:sz w:val="18"/>
              </w:rPr>
              <w:t>7</w:t>
            </w:r>
          </w:p>
        </w:tc>
        <w:tc>
          <w:tcPr>
            <w:tcW w:type="dxa" w:w="5832"/>
          </w:tcPr>
          <w:p>
            <w:pPr>
              <w:spacing w:before="40" w:after="40"/>
              <w:jc w:val="left"/>
            </w:pPr>
            <w:r/>
            <w:r>
              <w:rPr>
                <w:rFonts w:ascii="Times New Roman" w:hAnsi="Times New Roman"/>
                <w:b w:val="0"/>
                <w:i w:val="0"/>
                <w:sz w:val="18"/>
              </w:rPr>
              <w:t>Deed notice and declaration of land use restriction to be recorded pursuant to Condition 4 of the NCDEQ No Further Action Letter dated September 30, 2024, with respect to the Affected Area (approximately 0.38 acres).</w:t>
            </w:r>
          </w:p>
        </w:tc>
        <w:tc>
          <w:tcPr>
            <w:tcW w:type="dxa" w:w="2880"/>
          </w:tcPr>
          <w:p>
            <w:pPr>
              <w:spacing w:before="40" w:after="40"/>
              <w:jc w:val="left"/>
            </w:pPr>
            <w:r/>
            <w:r>
              <w:rPr>
                <w:rFonts w:ascii="Times New Roman" w:hAnsi="Times New Roman"/>
                <w:b w:val="0"/>
                <w:i w:val="0"/>
                <w:sz w:val="18"/>
              </w:rPr>
              <w:t>Permitted only in the form approved by Lender and only upon recordation as required by Section 12.5</w:t>
            </w:r>
          </w:p>
        </w:tc>
      </w:tr>
    </w:tbl>
    <w:p>
      <w:pPr>
        <w:spacing w:after="40"/>
      </w:pPr>
    </w:p>
    <w:p>
      <w:pPr>
        <w:spacing w:before="80"/>
      </w:pPr>
      <w:r>
        <w:rPr>
          <w:rFonts w:ascii="Times New Roman" w:hAnsi="Times New Roman"/>
          <w:b/>
          <w:i w:val="0"/>
          <w:sz w:val="19"/>
        </w:rPr>
        <w:t>The following matters shown in Schedule B-II of Commitment No. NC-2024-88712 must be removed, released or satisfied of record at or before Closing and shall not be Permitted Exceptions:</w:t>
      </w:r>
    </w:p>
    <w:p>
      <w:pPr>
        <w:spacing w:after="100"/>
        <w:ind w:left="576" w:hanging="288"/>
      </w:pPr>
      <w:r>
        <w:rPr>
          <w:rFonts w:ascii="Times New Roman" w:hAnsi="Times New Roman"/>
        </w:rPr>
        <w:t>•</w:t>
        <w:tab/>
      </w:r>
      <w:r>
        <w:rPr>
          <w:rFonts w:ascii="Times New Roman" w:hAnsi="Times New Roman"/>
          <w:b w:val="0"/>
          <w:i w:val="0"/>
          <w:sz w:val="18"/>
        </w:rPr>
        <w:t>Deed of trust from Foster Street Properties LLC to the Trustee for the benefit of Triangle Commercial Bank, dated September 14, 2018, recorded in Book 6215, Page 892, Durham County Registry, securing an original principal amount of $3,400,000 (see Section 3.14).</w:t>
      </w:r>
    </w:p>
    <w:p>
      <w:pPr>
        <w:spacing w:after="100"/>
        <w:ind w:left="576" w:hanging="288"/>
      </w:pPr>
      <w:r>
        <w:rPr>
          <w:rFonts w:ascii="Times New Roman" w:hAnsi="Times New Roman"/>
        </w:rPr>
        <w:t>•</w:t>
        <w:tab/>
      </w:r>
      <w:r>
        <w:rPr>
          <w:rFonts w:ascii="Times New Roman" w:hAnsi="Times New Roman"/>
          <w:b w:val="0"/>
          <w:i w:val="0"/>
          <w:sz w:val="18"/>
        </w:rPr>
        <w:t>Any mechanics' or materialmen's lien, lis pendens, judgment, state or federal tax lien, or other monetary encumbrance of record.</w:t>
      </w:r>
    </w:p>
    <w:p>
      <w:pPr>
        <w:spacing w:after="100"/>
        <w:ind w:left="576" w:hanging="288"/>
      </w:pPr>
      <w:r>
        <w:rPr>
          <w:rFonts w:ascii="Times New Roman" w:hAnsi="Times New Roman"/>
        </w:rPr>
        <w:t>•</w:t>
        <w:tab/>
      </w:r>
      <w:r>
        <w:rPr>
          <w:rFonts w:ascii="Times New Roman" w:hAnsi="Times New Roman"/>
          <w:b w:val="0"/>
          <w:i w:val="0"/>
          <w:sz w:val="18"/>
        </w:rPr>
        <w:t>Any encroachment, boundary line dispute, or matter of survey that Lender's survey review does not approve.</w:t>
      </w:r>
    </w:p>
    <w:p>
      <w:r>
        <w:rPr>
          <w:rFonts w:ascii="Times New Roman" w:hAnsi="Times New Roman"/>
          <w:b w:val="0"/>
          <w:i w:val="0"/>
          <w:sz w:val="18"/>
        </w:rPr>
        <w:t>[Drafting Note: Section 18 of the Term Sheet identifies only four Permitted Exceptions (standard printed exceptions, the Duke Energy easement, the City stormwater easement and the CC&amp;Rs). It does not mention the tax exception, the UDO/zoning exception, the possession exception or the First Amendment to the CC&amp;Rs recorded in Book 7102, Page 388. Schedule 3 conforms the list to the Title Commitment. See Cover Memorandum Issue No. 20.]</w:t>
      </w:r>
    </w:p>
    <w:p>
      <w:r>
        <w:br w:type="page"/>
      </w:r>
    </w:p>
    <w:p>
      <w:pPr>
        <w:pStyle w:val="Heading1"/>
        <w:spacing w:before="360"/>
      </w:pPr>
      <w:r>
        <w:rPr>
          <w:rFonts w:ascii="Times New Roman" w:hAnsi="Times New Roman"/>
          <w:b/>
          <w:sz w:val="24"/>
        </w:rPr>
        <w:t>SCHEDULE 4 — NCDEQ NO FURTHER ACTION CONDITIONS AND ENVIRONMENTAL COMPLIANCE REQUIREMENTS</w:t>
      </w:r>
    </w:p>
    <w:p>
      <w:r>
        <w:rPr>
          <w:rFonts w:ascii="Times New Roman" w:hAnsi="Times New Roman"/>
          <w:b w:val="0"/>
          <w:i w:val="0"/>
          <w:sz w:val="20"/>
        </w:rPr>
        <w:t>The following requirements derive from the No Further Action determination letter issued by NCDEQ (Inactive Hazardous Sites Branch) dated September 30, 2024 for Site ID IHSB-24-1203 and Incident No. NONUST-24-0847, as summarized in the Phase I ESA. Each requirement is a continuing covenant of Borrower under Article XII and Section 7.8.</w:t>
      </w:r>
    </w:p>
    <w:tbl>
      <w:tblPr>
        <w:tblStyle w:val="TableGrid"/>
        <w:tblW w:type="auto" w:w="0"/>
        <w:jc w:val="center"/>
        <w:tblLayout w:type="fixed"/>
        <w:tblLook w:firstColumn="1" w:firstRow="1" w:lastColumn="0" w:lastRow="0" w:noHBand="0" w:noVBand="1" w:val="04A0"/>
      </w:tblPr>
      <w:tblGrid>
        <w:gridCol w:w="576"/>
        <w:gridCol w:w="5184"/>
        <w:gridCol w:w="3528"/>
      </w:tblGrid>
      <w:tr>
        <w:trPr>
          <w:tblHeader w:val="true"/>
        </w:trPr>
        <w:tc>
          <w:tcPr>
            <w:tcW w:type="dxa" w:w="576"/>
            <w:shd w:val="clear" w:color="auto" w:fill="1F3355"/>
          </w:tcPr>
          <w:p>
            <w:pPr>
              <w:spacing w:before="60" w:after="60"/>
              <w:jc w:val="center"/>
            </w:pPr>
            <w:r/>
            <w:r>
              <w:rPr>
                <w:rFonts w:ascii="Times New Roman" w:hAnsi="Times New Roman"/>
                <w:b/>
                <w:color w:val="FFFFFF"/>
                <w:sz w:val="17"/>
              </w:rPr>
              <w:t>No.</w:t>
            </w:r>
          </w:p>
        </w:tc>
        <w:tc>
          <w:tcPr>
            <w:tcW w:type="dxa" w:w="5184"/>
            <w:shd w:val="clear" w:color="auto" w:fill="1F3355"/>
          </w:tcPr>
          <w:p>
            <w:pPr>
              <w:spacing w:before="60" w:after="60"/>
              <w:jc w:val="center"/>
            </w:pPr>
            <w:r/>
            <w:r>
              <w:rPr>
                <w:rFonts w:ascii="Times New Roman" w:hAnsi="Times New Roman"/>
                <w:b/>
                <w:color w:val="FFFFFF"/>
                <w:sz w:val="17"/>
              </w:rPr>
              <w:t>Requirement</w:t>
            </w:r>
          </w:p>
        </w:tc>
        <w:tc>
          <w:tcPr>
            <w:tcW w:type="dxa" w:w="3528"/>
            <w:shd w:val="clear" w:color="auto" w:fill="1F3355"/>
          </w:tcPr>
          <w:p>
            <w:pPr>
              <w:spacing w:before="60" w:after="60"/>
              <w:jc w:val="center"/>
            </w:pPr>
            <w:r/>
            <w:r>
              <w:rPr>
                <w:rFonts w:ascii="Times New Roman" w:hAnsi="Times New Roman"/>
                <w:b/>
                <w:color w:val="FFFFFF"/>
                <w:sz w:val="17"/>
              </w:rPr>
              <w:t>Loan Document Timing and Covenant</w:t>
            </w:r>
          </w:p>
        </w:tc>
      </w:tr>
      <w:tr>
        <w:trPr>
          <w:cantSplit w:val="true"/>
        </w:trPr>
        <w:tc>
          <w:tcPr>
            <w:tcW w:type="dxa" w:w="576"/>
          </w:tcPr>
          <w:p>
            <w:pPr>
              <w:spacing w:before="40" w:after="40"/>
              <w:jc w:val="left"/>
            </w:pPr>
            <w:r/>
            <w:r>
              <w:rPr>
                <w:rFonts w:ascii="Times New Roman" w:hAnsi="Times New Roman"/>
                <w:b w:val="0"/>
                <w:i w:val="0"/>
                <w:sz w:val="17"/>
              </w:rPr>
              <w:t>1</w:t>
            </w:r>
          </w:p>
        </w:tc>
        <w:tc>
          <w:tcPr>
            <w:tcW w:type="dxa" w:w="5184"/>
          </w:tcPr>
          <w:p>
            <w:pPr>
              <w:spacing w:before="40" w:after="40"/>
              <w:jc w:val="left"/>
            </w:pPr>
            <w:r/>
            <w:r>
              <w:rPr>
                <w:rFonts w:ascii="Times New Roman" w:hAnsi="Times New Roman"/>
                <w:b w:val="0"/>
                <w:i w:val="0"/>
                <w:sz w:val="17"/>
              </w:rPr>
              <w:t>Soil vapor mitigation system beneath any enclosed structure constructed over the Affected Area: passive sub-slab depressurization with capability of conversion to active depressurization; designed by a North Carolina licensed professional engineer; as-built drawings and performance verification report submitted to NCDEQ within 90 days after completion of the building foundation in the Affected Area.</w:t>
            </w:r>
          </w:p>
        </w:tc>
        <w:tc>
          <w:tcPr>
            <w:tcW w:type="dxa" w:w="3528"/>
          </w:tcPr>
          <w:p>
            <w:pPr>
              <w:spacing w:before="40" w:after="40"/>
              <w:jc w:val="left"/>
            </w:pPr>
            <w:r/>
            <w:r>
              <w:rPr>
                <w:rFonts w:ascii="Times New Roman" w:hAnsi="Times New Roman"/>
                <w:b w:val="0"/>
                <w:i w:val="0"/>
                <w:sz w:val="17"/>
              </w:rPr>
              <w:t>Design at Closing; installation with the parking structure / podium; NCDEQ submittal within 90 days of foundation completion; maintenance throughout the Loan term and thereafter while the NFA Letter remains in effect.</w:t>
            </w:r>
          </w:p>
        </w:tc>
      </w:tr>
      <w:tr>
        <w:trPr>
          <w:cantSplit w:val="true"/>
        </w:trPr>
        <w:tc>
          <w:tcPr>
            <w:tcW w:type="dxa" w:w="576"/>
            <w:shd w:val="clear" w:color="auto" w:fill="F7F8FA"/>
          </w:tcPr>
          <w:p>
            <w:pPr>
              <w:spacing w:before="40" w:after="40"/>
              <w:jc w:val="left"/>
            </w:pPr>
            <w:r/>
            <w:r>
              <w:rPr>
                <w:rFonts w:ascii="Times New Roman" w:hAnsi="Times New Roman"/>
                <w:b w:val="0"/>
                <w:i w:val="0"/>
                <w:sz w:val="17"/>
              </w:rPr>
              <w:t>2</w:t>
            </w:r>
          </w:p>
        </w:tc>
        <w:tc>
          <w:tcPr>
            <w:tcW w:type="dxa" w:w="5184"/>
            <w:shd w:val="clear" w:color="auto" w:fill="F7F8FA"/>
          </w:tcPr>
          <w:p>
            <w:pPr>
              <w:spacing w:before="40" w:after="40"/>
              <w:jc w:val="left"/>
            </w:pPr>
            <w:r/>
            <w:r>
              <w:rPr>
                <w:rFonts w:ascii="Times New Roman" w:hAnsi="Times New Roman"/>
                <w:b w:val="0"/>
                <w:i w:val="0"/>
                <w:sz w:val="17"/>
              </w:rPr>
              <w:t>Land use restriction: the Affected Area (approximately 0.38 acres in the northeast corner of Parcel 0821-04-72-4102) is restricted to non-residential use. Any change to residential or other sensitive use requires additional investigation and a modification of the NFA determination.</w:t>
            </w:r>
          </w:p>
        </w:tc>
        <w:tc>
          <w:tcPr>
            <w:tcW w:type="dxa" w:w="3528"/>
            <w:shd w:val="clear" w:color="auto" w:fill="F7F8FA"/>
          </w:tcPr>
          <w:p>
            <w:pPr>
              <w:spacing w:before="40" w:after="40"/>
              <w:jc w:val="left"/>
            </w:pPr>
            <w:r/>
            <w:r>
              <w:rPr>
                <w:rFonts w:ascii="Times New Roman" w:hAnsi="Times New Roman"/>
                <w:b w:val="0"/>
                <w:i w:val="0"/>
                <w:sz w:val="17"/>
              </w:rPr>
              <w:t>No residential occupancy in the Affected Area; overlay plan and Architect certification at Closing; Lender consent and NCDEQ modification required before any change (Section 12.2).</w:t>
            </w:r>
          </w:p>
        </w:tc>
      </w:tr>
      <w:tr>
        <w:trPr>
          <w:cantSplit w:val="true"/>
        </w:trPr>
        <w:tc>
          <w:tcPr>
            <w:tcW w:type="dxa" w:w="576"/>
          </w:tcPr>
          <w:p>
            <w:pPr>
              <w:spacing w:before="40" w:after="40"/>
              <w:jc w:val="left"/>
            </w:pPr>
            <w:r/>
            <w:r>
              <w:rPr>
                <w:rFonts w:ascii="Times New Roman" w:hAnsi="Times New Roman"/>
                <w:b w:val="0"/>
                <w:i w:val="0"/>
                <w:sz w:val="17"/>
              </w:rPr>
              <w:t>3</w:t>
            </w:r>
          </w:p>
        </w:tc>
        <w:tc>
          <w:tcPr>
            <w:tcW w:type="dxa" w:w="5184"/>
          </w:tcPr>
          <w:p>
            <w:pPr>
              <w:spacing w:before="40" w:after="40"/>
              <w:jc w:val="left"/>
            </w:pPr>
            <w:r/>
            <w:r>
              <w:rPr>
                <w:rFonts w:ascii="Times New Roman" w:hAnsi="Times New Roman"/>
                <w:b w:val="0"/>
                <w:i w:val="0"/>
                <w:sz w:val="17"/>
              </w:rPr>
              <w:t>Soil management plan: NCDEQ-approved plan governing all excavation, grading and subsurface disturbance in the Affected Area, including screening, stockpiling, dust control, worker health and safety and disposal.</w:t>
            </w:r>
          </w:p>
        </w:tc>
        <w:tc>
          <w:tcPr>
            <w:tcW w:type="dxa" w:w="3528"/>
          </w:tcPr>
          <w:p>
            <w:pPr>
              <w:spacing w:before="40" w:after="40"/>
              <w:jc w:val="left"/>
            </w:pPr>
            <w:r/>
            <w:r>
              <w:rPr>
                <w:rFonts w:ascii="Times New Roman" w:hAnsi="Times New Roman"/>
                <w:b w:val="0"/>
                <w:i w:val="0"/>
                <w:sz w:val="17"/>
              </w:rPr>
              <w:t>NCDEQ approval before any subsurface disturbance (Section 3.5(c) and Section 12.4); compliance certification with each affected Draw Request.</w:t>
            </w:r>
          </w:p>
        </w:tc>
      </w:tr>
      <w:tr>
        <w:trPr>
          <w:cantSplit w:val="true"/>
        </w:trPr>
        <w:tc>
          <w:tcPr>
            <w:tcW w:type="dxa" w:w="576"/>
            <w:shd w:val="clear" w:color="auto" w:fill="F7F8FA"/>
          </w:tcPr>
          <w:p>
            <w:pPr>
              <w:spacing w:before="40" w:after="40"/>
              <w:jc w:val="left"/>
            </w:pPr>
            <w:r/>
            <w:r>
              <w:rPr>
                <w:rFonts w:ascii="Times New Roman" w:hAnsi="Times New Roman"/>
                <w:b w:val="0"/>
                <w:i w:val="0"/>
                <w:sz w:val="17"/>
              </w:rPr>
              <w:t>4</w:t>
            </w:r>
          </w:p>
        </w:tc>
        <w:tc>
          <w:tcPr>
            <w:tcW w:type="dxa" w:w="5184"/>
            <w:shd w:val="clear" w:color="auto" w:fill="F7F8FA"/>
          </w:tcPr>
          <w:p>
            <w:pPr>
              <w:spacing w:before="40" w:after="40"/>
              <w:jc w:val="left"/>
            </w:pPr>
            <w:r/>
            <w:r>
              <w:rPr>
                <w:rFonts w:ascii="Times New Roman" w:hAnsi="Times New Roman"/>
                <w:b w:val="0"/>
                <w:i w:val="0"/>
                <w:sz w:val="17"/>
              </w:rPr>
              <w:t>Deed notice: recorded notice in the Durham County Registry of Deeds within 60 days after September 30, 2024 (i.e., by November 29, 2024), describing the Affected Area, the residual contamination and the land use restriction.</w:t>
            </w:r>
          </w:p>
        </w:tc>
        <w:tc>
          <w:tcPr>
            <w:tcW w:type="dxa" w:w="3528"/>
            <w:shd w:val="clear" w:color="auto" w:fill="F7F8FA"/>
          </w:tcPr>
          <w:p>
            <w:pPr>
              <w:spacing w:before="40" w:after="40"/>
              <w:jc w:val="left"/>
            </w:pPr>
            <w:r/>
            <w:r>
              <w:rPr>
                <w:rFonts w:ascii="Times New Roman" w:hAnsi="Times New Roman"/>
                <w:b w:val="0"/>
                <w:i w:val="0"/>
                <w:sz w:val="17"/>
              </w:rPr>
              <w:t>Recordation before Closing with evidence of recording and a title date-down (Section 12.5); Permitted Exception in the Title Policy.</w:t>
            </w:r>
          </w:p>
        </w:tc>
      </w:tr>
      <w:tr>
        <w:trPr>
          <w:cantSplit w:val="true"/>
        </w:trPr>
        <w:tc>
          <w:tcPr>
            <w:tcW w:type="dxa" w:w="576"/>
          </w:tcPr>
          <w:p>
            <w:pPr>
              <w:spacing w:before="40" w:after="40"/>
              <w:jc w:val="left"/>
            </w:pPr>
            <w:r/>
            <w:r>
              <w:rPr>
                <w:rFonts w:ascii="Times New Roman" w:hAnsi="Times New Roman"/>
                <w:b w:val="0"/>
                <w:i w:val="0"/>
                <w:sz w:val="17"/>
              </w:rPr>
              <w:t>5</w:t>
            </w:r>
          </w:p>
        </w:tc>
        <w:tc>
          <w:tcPr>
            <w:tcW w:type="dxa" w:w="5184"/>
          </w:tcPr>
          <w:p>
            <w:pPr>
              <w:spacing w:before="40" w:after="40"/>
              <w:jc w:val="left"/>
            </w:pPr>
            <w:r/>
            <w:r>
              <w:rPr>
                <w:rFonts w:ascii="Times New Roman" w:hAnsi="Times New Roman"/>
                <w:b w:val="0"/>
                <w:i w:val="0"/>
                <w:sz w:val="17"/>
              </w:rPr>
              <w:t>Regulatory status: the NFA determination is conditional and does not constitute clean closure; residual soil contamination remains above residential Preliminary Soil Remediation Goals (TPH-DRO up to 847 mg/kg against a 100 mg/kg residential goal; benzene up to 0.42 mg/kg against 0.065 mg/kg); soil gas benzene up to 185 µg/m³ against a 31 µg/m³ screening level.</w:t>
            </w:r>
          </w:p>
        </w:tc>
        <w:tc>
          <w:tcPr>
            <w:tcW w:type="dxa" w:w="3528"/>
          </w:tcPr>
          <w:p>
            <w:pPr>
              <w:spacing w:before="40" w:after="40"/>
              <w:jc w:val="left"/>
            </w:pPr>
            <w:r/>
            <w:r>
              <w:rPr>
                <w:rFonts w:ascii="Times New Roman" w:hAnsi="Times New Roman"/>
                <w:b w:val="0"/>
                <w:i w:val="0"/>
                <w:sz w:val="17"/>
              </w:rPr>
              <w:t>No action that could cause reopening; reporting to Lender under Section 12.6; environmental indemnity and, if required, PLL insurance.</w:t>
            </w:r>
          </w:p>
        </w:tc>
      </w:tr>
    </w:tbl>
    <w:p>
      <w:pPr>
        <w:spacing w:after="40"/>
      </w:pPr>
    </w:p>
    <w:p>
      <w:r>
        <w:br w:type="page"/>
      </w:r>
    </w:p>
    <w:p>
      <w:pPr>
        <w:pStyle w:val="Heading1"/>
        <w:spacing w:before="360"/>
      </w:pPr>
      <w:r>
        <w:rPr>
          <w:rFonts w:ascii="Times New Roman" w:hAnsi="Times New Roman"/>
          <w:b/>
          <w:sz w:val="24"/>
        </w:rPr>
        <w:t>SCHEDULE 5 — REQUIRED INSURANCE</w:t>
      </w:r>
    </w:p>
    <w:tbl>
      <w:tblPr>
        <w:tblStyle w:val="TableGrid"/>
        <w:tblW w:type="auto" w:w="0"/>
        <w:jc w:val="center"/>
        <w:tblLayout w:type="fixed"/>
        <w:tblLook w:firstColumn="1" w:firstRow="1" w:lastColumn="0" w:lastRow="0" w:noHBand="0" w:noVBand="1" w:val="04A0"/>
      </w:tblPr>
      <w:tblGrid>
        <w:gridCol w:w="3456"/>
        <w:gridCol w:w="2448"/>
        <w:gridCol w:w="2016"/>
        <w:gridCol w:w="1368"/>
      </w:tblGrid>
      <w:tr>
        <w:trPr>
          <w:tblHeader w:val="true"/>
        </w:trPr>
        <w:tc>
          <w:tcPr>
            <w:tcW w:type="dxa" w:w="3456"/>
            <w:shd w:val="clear" w:color="auto" w:fill="1F3355"/>
          </w:tcPr>
          <w:p>
            <w:pPr>
              <w:spacing w:before="60" w:after="60"/>
              <w:jc w:val="center"/>
            </w:pPr>
            <w:r/>
            <w:r>
              <w:rPr>
                <w:rFonts w:ascii="Times New Roman" w:hAnsi="Times New Roman"/>
                <w:b/>
                <w:color w:val="FFFFFF"/>
                <w:sz w:val="17"/>
              </w:rPr>
              <w:t>Coverage</w:t>
            </w:r>
          </w:p>
        </w:tc>
        <w:tc>
          <w:tcPr>
            <w:tcW w:type="dxa" w:w="2448"/>
            <w:shd w:val="clear" w:color="auto" w:fill="1F3355"/>
          </w:tcPr>
          <w:p>
            <w:pPr>
              <w:spacing w:before="60" w:after="60"/>
              <w:jc w:val="center"/>
            </w:pPr>
            <w:r/>
            <w:r>
              <w:rPr>
                <w:rFonts w:ascii="Times New Roman" w:hAnsi="Times New Roman"/>
                <w:b/>
                <w:color w:val="FFFFFF"/>
                <w:sz w:val="17"/>
              </w:rPr>
              <w:t>Limit / Requirement</w:t>
            </w:r>
          </w:p>
        </w:tc>
        <w:tc>
          <w:tcPr>
            <w:tcW w:type="dxa" w:w="2016"/>
            <w:shd w:val="clear" w:color="auto" w:fill="1F3355"/>
          </w:tcPr>
          <w:p>
            <w:pPr>
              <w:spacing w:before="60" w:after="60"/>
              <w:jc w:val="center"/>
            </w:pPr>
            <w:r/>
            <w:r>
              <w:rPr>
                <w:rFonts w:ascii="Times New Roman" w:hAnsi="Times New Roman"/>
                <w:b/>
                <w:color w:val="FFFFFF"/>
                <w:sz w:val="17"/>
              </w:rPr>
              <w:t>Lender's Interest</w:t>
            </w:r>
          </w:p>
        </w:tc>
        <w:tc>
          <w:tcPr>
            <w:tcW w:type="dxa" w:w="1368"/>
            <w:shd w:val="clear" w:color="auto" w:fill="1F3355"/>
          </w:tcPr>
          <w:p>
            <w:pPr>
              <w:spacing w:before="60" w:after="60"/>
              <w:jc w:val="center"/>
            </w:pPr>
            <w:r/>
            <w:r>
              <w:rPr>
                <w:rFonts w:ascii="Times New Roman" w:hAnsi="Times New Roman"/>
                <w:b/>
                <w:color w:val="FFFFFF"/>
                <w:sz w:val="17"/>
              </w:rPr>
              <w:t>Period</w:t>
            </w:r>
          </w:p>
        </w:tc>
      </w:tr>
      <w:tr>
        <w:trPr>
          <w:cantSplit w:val="true"/>
        </w:trPr>
        <w:tc>
          <w:tcPr>
            <w:tcW w:type="dxa" w:w="3456"/>
          </w:tcPr>
          <w:p>
            <w:pPr>
              <w:spacing w:before="40" w:after="40"/>
              <w:jc w:val="left"/>
            </w:pPr>
            <w:r/>
            <w:r>
              <w:rPr>
                <w:rFonts w:ascii="Times New Roman" w:hAnsi="Times New Roman"/>
                <w:b w:val="0"/>
                <w:i w:val="0"/>
                <w:sz w:val="17"/>
              </w:rPr>
              <w:t>Builder's Risk (all-risk, replacement cost, including materials in transit and stored off-site)</w:t>
            </w:r>
          </w:p>
        </w:tc>
        <w:tc>
          <w:tcPr>
            <w:tcW w:type="dxa" w:w="2448"/>
          </w:tcPr>
          <w:p>
            <w:pPr>
              <w:spacing w:before="40" w:after="40"/>
              <w:jc w:val="left"/>
            </w:pPr>
            <w:r/>
            <w:r>
              <w:rPr>
                <w:rFonts w:ascii="Times New Roman" w:hAnsi="Times New Roman"/>
                <w:b w:val="0"/>
                <w:i w:val="0"/>
                <w:sz w:val="17"/>
              </w:rPr>
              <w:t>Not less than $34,750,000 (the GMP)</w:t>
            </w:r>
          </w:p>
        </w:tc>
        <w:tc>
          <w:tcPr>
            <w:tcW w:type="dxa" w:w="2016"/>
          </w:tcPr>
          <w:p>
            <w:pPr>
              <w:spacing w:before="40" w:after="40"/>
              <w:jc w:val="left"/>
            </w:pPr>
            <w:r/>
            <w:r>
              <w:rPr>
                <w:rFonts w:ascii="Times New Roman" w:hAnsi="Times New Roman"/>
                <w:b w:val="0"/>
                <w:i w:val="0"/>
                <w:sz w:val="17"/>
              </w:rPr>
              <w:t>Lender as mortgagee and loss payee</w:t>
            </w:r>
          </w:p>
        </w:tc>
        <w:tc>
          <w:tcPr>
            <w:tcW w:type="dxa" w:w="1368"/>
          </w:tcPr>
          <w:p>
            <w:pPr>
              <w:spacing w:before="40" w:after="40"/>
              <w:jc w:val="left"/>
            </w:pPr>
            <w:r/>
            <w:r>
              <w:rPr>
                <w:rFonts w:ascii="Times New Roman" w:hAnsi="Times New Roman"/>
                <w:b w:val="0"/>
                <w:i w:val="0"/>
                <w:sz w:val="17"/>
              </w:rPr>
              <w:t>Construction Period through final completion</w:t>
            </w:r>
          </w:p>
        </w:tc>
      </w:tr>
      <w:tr>
        <w:trPr>
          <w:cantSplit w:val="true"/>
        </w:trPr>
        <w:tc>
          <w:tcPr>
            <w:tcW w:type="dxa" w:w="3456"/>
            <w:shd w:val="clear" w:color="auto" w:fill="F7F8FA"/>
          </w:tcPr>
          <w:p>
            <w:pPr>
              <w:spacing w:before="40" w:after="40"/>
              <w:jc w:val="left"/>
            </w:pPr>
            <w:r/>
            <w:r>
              <w:rPr>
                <w:rFonts w:ascii="Times New Roman" w:hAnsi="Times New Roman"/>
                <w:b w:val="0"/>
                <w:i w:val="0"/>
                <w:sz w:val="17"/>
              </w:rPr>
              <w:t>Commercial General Liability (premises, products/completed operations, contractual, personal and advertising injury)</w:t>
            </w:r>
          </w:p>
        </w:tc>
        <w:tc>
          <w:tcPr>
            <w:tcW w:type="dxa" w:w="2448"/>
            <w:shd w:val="clear" w:color="auto" w:fill="F7F8FA"/>
          </w:tcPr>
          <w:p>
            <w:pPr>
              <w:spacing w:before="40" w:after="40"/>
              <w:jc w:val="left"/>
            </w:pPr>
            <w:r/>
            <w:r>
              <w:rPr>
                <w:rFonts w:ascii="Times New Roman" w:hAnsi="Times New Roman"/>
                <w:b w:val="0"/>
                <w:i w:val="0"/>
                <w:sz w:val="17"/>
              </w:rPr>
              <w:t>$5,000,000 per occurrence / $10,000,000 aggregate</w:t>
            </w:r>
          </w:p>
        </w:tc>
        <w:tc>
          <w:tcPr>
            <w:tcW w:type="dxa" w:w="2016"/>
            <w:shd w:val="clear" w:color="auto" w:fill="F7F8FA"/>
          </w:tcPr>
          <w:p>
            <w:pPr>
              <w:spacing w:before="40" w:after="40"/>
              <w:jc w:val="left"/>
            </w:pPr>
            <w:r/>
            <w:r>
              <w:rPr>
                <w:rFonts w:ascii="Times New Roman" w:hAnsi="Times New Roman"/>
                <w:b w:val="0"/>
                <w:i w:val="0"/>
                <w:sz w:val="17"/>
              </w:rPr>
              <w:t>Lender as additional insured</w:t>
            </w:r>
          </w:p>
        </w:tc>
        <w:tc>
          <w:tcPr>
            <w:tcW w:type="dxa" w:w="1368"/>
            <w:shd w:val="clear" w:color="auto" w:fill="F7F8FA"/>
          </w:tcPr>
          <w:p>
            <w:pPr>
              <w:spacing w:before="40" w:after="40"/>
              <w:jc w:val="left"/>
            </w:pPr>
            <w:r/>
            <w:r>
              <w:rPr>
                <w:rFonts w:ascii="Times New Roman" w:hAnsi="Times New Roman"/>
                <w:b w:val="0"/>
                <w:i w:val="0"/>
                <w:sz w:val="17"/>
              </w:rPr>
              <w:t>Throughout the Loan term</w:t>
            </w:r>
          </w:p>
        </w:tc>
      </w:tr>
      <w:tr>
        <w:trPr>
          <w:cantSplit w:val="true"/>
        </w:trPr>
        <w:tc>
          <w:tcPr>
            <w:tcW w:type="dxa" w:w="3456"/>
          </w:tcPr>
          <w:p>
            <w:pPr>
              <w:spacing w:before="40" w:after="40"/>
              <w:jc w:val="left"/>
            </w:pPr>
            <w:r/>
            <w:r>
              <w:rPr>
                <w:rFonts w:ascii="Times New Roman" w:hAnsi="Times New Roman"/>
                <w:b w:val="0"/>
                <w:i w:val="0"/>
                <w:sz w:val="17"/>
              </w:rPr>
              <w:t>Umbrella / Excess Liability</w:t>
            </w:r>
          </w:p>
        </w:tc>
        <w:tc>
          <w:tcPr>
            <w:tcW w:type="dxa" w:w="2448"/>
          </w:tcPr>
          <w:p>
            <w:pPr>
              <w:spacing w:before="40" w:after="40"/>
              <w:jc w:val="left"/>
            </w:pPr>
            <w:r/>
            <w:r>
              <w:rPr>
                <w:rFonts w:ascii="Times New Roman" w:hAnsi="Times New Roman"/>
                <w:b w:val="0"/>
                <w:i w:val="0"/>
                <w:sz w:val="17"/>
              </w:rPr>
              <w:t>$10,000,000 per occurrence and aggregate</w:t>
            </w:r>
          </w:p>
        </w:tc>
        <w:tc>
          <w:tcPr>
            <w:tcW w:type="dxa" w:w="2016"/>
          </w:tcPr>
          <w:p>
            <w:pPr>
              <w:spacing w:before="40" w:after="40"/>
              <w:jc w:val="left"/>
            </w:pPr>
            <w:r/>
            <w:r>
              <w:rPr>
                <w:rFonts w:ascii="Times New Roman" w:hAnsi="Times New Roman"/>
                <w:b w:val="0"/>
                <w:i w:val="0"/>
                <w:sz w:val="17"/>
              </w:rPr>
              <w:t>Lender as additional insured</w:t>
            </w:r>
          </w:p>
        </w:tc>
        <w:tc>
          <w:tcPr>
            <w:tcW w:type="dxa" w:w="1368"/>
          </w:tcPr>
          <w:p>
            <w:pPr>
              <w:spacing w:before="40" w:after="40"/>
              <w:jc w:val="left"/>
            </w:pPr>
            <w:r/>
            <w:r>
              <w:rPr>
                <w:rFonts w:ascii="Times New Roman" w:hAnsi="Times New Roman"/>
                <w:b w:val="0"/>
                <w:i w:val="0"/>
                <w:sz w:val="17"/>
              </w:rPr>
              <w:t>Throughout the Loan term</w:t>
            </w:r>
          </w:p>
        </w:tc>
      </w:tr>
      <w:tr>
        <w:trPr>
          <w:cantSplit w:val="true"/>
        </w:trPr>
        <w:tc>
          <w:tcPr>
            <w:tcW w:type="dxa" w:w="3456"/>
            <w:shd w:val="clear" w:color="auto" w:fill="F7F8FA"/>
          </w:tcPr>
          <w:p>
            <w:pPr>
              <w:spacing w:before="40" w:after="40"/>
              <w:jc w:val="left"/>
            </w:pPr>
            <w:r/>
            <w:r>
              <w:rPr>
                <w:rFonts w:ascii="Times New Roman" w:hAnsi="Times New Roman"/>
                <w:b w:val="0"/>
                <w:i w:val="0"/>
                <w:sz w:val="17"/>
              </w:rPr>
              <w:t>Workers' Compensation and Employer's Liability</w:t>
            </w:r>
          </w:p>
        </w:tc>
        <w:tc>
          <w:tcPr>
            <w:tcW w:type="dxa" w:w="2448"/>
            <w:shd w:val="clear" w:color="auto" w:fill="F7F8FA"/>
          </w:tcPr>
          <w:p>
            <w:pPr>
              <w:spacing w:before="40" w:after="40"/>
              <w:jc w:val="left"/>
            </w:pPr>
            <w:r/>
            <w:r>
              <w:rPr>
                <w:rFonts w:ascii="Times New Roman" w:hAnsi="Times New Roman"/>
                <w:b w:val="0"/>
                <w:i w:val="0"/>
                <w:sz w:val="17"/>
              </w:rPr>
              <w:t>Statutory (N.C.G.S. Chapter 97); employer's liability $1,000,000</w:t>
            </w:r>
          </w:p>
        </w:tc>
        <w:tc>
          <w:tcPr>
            <w:tcW w:type="dxa" w:w="2016"/>
            <w:shd w:val="clear" w:color="auto" w:fill="F7F8FA"/>
          </w:tcPr>
          <w:p>
            <w:pPr>
              <w:spacing w:before="40" w:after="40"/>
              <w:jc w:val="left"/>
            </w:pPr>
            <w:r/>
            <w:r>
              <w:rPr>
                <w:rFonts w:ascii="Times New Roman" w:hAnsi="Times New Roman"/>
                <w:b w:val="0"/>
                <w:i w:val="0"/>
                <w:sz w:val="17"/>
              </w:rPr>
              <w:t>Lender as waiver of subrogation</w:t>
            </w:r>
          </w:p>
        </w:tc>
        <w:tc>
          <w:tcPr>
            <w:tcW w:type="dxa" w:w="1368"/>
            <w:shd w:val="clear" w:color="auto" w:fill="F7F8FA"/>
          </w:tcPr>
          <w:p>
            <w:pPr>
              <w:spacing w:before="40" w:after="40"/>
              <w:jc w:val="left"/>
            </w:pPr>
            <w:r/>
            <w:r>
              <w:rPr>
                <w:rFonts w:ascii="Times New Roman" w:hAnsi="Times New Roman"/>
                <w:b w:val="0"/>
                <w:i w:val="0"/>
                <w:sz w:val="17"/>
              </w:rPr>
              <w:t>Throughout the Loan term</w:t>
            </w:r>
          </w:p>
        </w:tc>
      </w:tr>
      <w:tr>
        <w:trPr>
          <w:cantSplit w:val="true"/>
        </w:trPr>
        <w:tc>
          <w:tcPr>
            <w:tcW w:type="dxa" w:w="3456"/>
          </w:tcPr>
          <w:p>
            <w:pPr>
              <w:spacing w:before="40" w:after="40"/>
              <w:jc w:val="left"/>
            </w:pPr>
            <w:r/>
            <w:r>
              <w:rPr>
                <w:rFonts w:ascii="Times New Roman" w:hAnsi="Times New Roman"/>
                <w:b w:val="0"/>
                <w:i w:val="0"/>
                <w:sz w:val="17"/>
              </w:rPr>
              <w:t>Property insurance (special form, replacement cost, agreed amount)</w:t>
            </w:r>
          </w:p>
        </w:tc>
        <w:tc>
          <w:tcPr>
            <w:tcW w:type="dxa" w:w="2448"/>
          </w:tcPr>
          <w:p>
            <w:pPr>
              <w:spacing w:before="40" w:after="40"/>
              <w:jc w:val="left"/>
            </w:pPr>
            <w:r/>
            <w:r>
              <w:rPr>
                <w:rFonts w:ascii="Times New Roman" w:hAnsi="Times New Roman"/>
                <w:b w:val="0"/>
                <w:i w:val="0"/>
                <w:sz w:val="17"/>
              </w:rPr>
              <w:t>Full insurable replacement value of the completed Project</w:t>
            </w:r>
          </w:p>
        </w:tc>
        <w:tc>
          <w:tcPr>
            <w:tcW w:type="dxa" w:w="2016"/>
          </w:tcPr>
          <w:p>
            <w:pPr>
              <w:spacing w:before="40" w:after="40"/>
              <w:jc w:val="left"/>
            </w:pPr>
            <w:r/>
            <w:r>
              <w:rPr>
                <w:rFonts w:ascii="Times New Roman" w:hAnsi="Times New Roman"/>
                <w:b w:val="0"/>
                <w:i w:val="0"/>
                <w:sz w:val="17"/>
              </w:rPr>
              <w:t>Lender as mortgagee and loss payee</w:t>
            </w:r>
          </w:p>
        </w:tc>
        <w:tc>
          <w:tcPr>
            <w:tcW w:type="dxa" w:w="1368"/>
          </w:tcPr>
          <w:p>
            <w:pPr>
              <w:spacing w:before="40" w:after="40"/>
              <w:jc w:val="left"/>
            </w:pPr>
            <w:r/>
            <w:r>
              <w:rPr>
                <w:rFonts w:ascii="Times New Roman" w:hAnsi="Times New Roman"/>
                <w:b w:val="0"/>
                <w:i w:val="0"/>
                <w:sz w:val="17"/>
              </w:rPr>
              <w:t>From Substantial Completion through the Mini-Perm Period</w:t>
            </w:r>
          </w:p>
        </w:tc>
      </w:tr>
      <w:tr>
        <w:trPr>
          <w:cantSplit w:val="true"/>
        </w:trPr>
        <w:tc>
          <w:tcPr>
            <w:tcW w:type="dxa" w:w="3456"/>
            <w:shd w:val="clear" w:color="auto" w:fill="F7F8FA"/>
          </w:tcPr>
          <w:p>
            <w:pPr>
              <w:spacing w:before="40" w:after="40"/>
              <w:jc w:val="left"/>
            </w:pPr>
            <w:r/>
            <w:r>
              <w:rPr>
                <w:rFonts w:ascii="Times New Roman" w:hAnsi="Times New Roman"/>
                <w:b w:val="0"/>
                <w:i w:val="0"/>
                <w:sz w:val="17"/>
              </w:rPr>
              <w:t>Business income / rent loss</w:t>
            </w:r>
          </w:p>
        </w:tc>
        <w:tc>
          <w:tcPr>
            <w:tcW w:type="dxa" w:w="2448"/>
            <w:shd w:val="clear" w:color="auto" w:fill="F7F8FA"/>
          </w:tcPr>
          <w:p>
            <w:pPr>
              <w:spacing w:before="40" w:after="40"/>
              <w:jc w:val="left"/>
            </w:pPr>
            <w:r/>
            <w:r>
              <w:rPr>
                <w:rFonts w:ascii="Times New Roman" w:hAnsi="Times New Roman"/>
                <w:b w:val="0"/>
                <w:i w:val="0"/>
                <w:sz w:val="17"/>
              </w:rPr>
              <w:t>Not less than 12 months of gross rental income and continuing expenses, including debt service</w:t>
            </w:r>
          </w:p>
        </w:tc>
        <w:tc>
          <w:tcPr>
            <w:tcW w:type="dxa" w:w="2016"/>
            <w:shd w:val="clear" w:color="auto" w:fill="F7F8FA"/>
          </w:tcPr>
          <w:p>
            <w:pPr>
              <w:spacing w:before="40" w:after="40"/>
              <w:jc w:val="left"/>
            </w:pPr>
            <w:r/>
            <w:r>
              <w:rPr>
                <w:rFonts w:ascii="Times New Roman" w:hAnsi="Times New Roman"/>
                <w:b w:val="0"/>
                <w:i w:val="0"/>
                <w:sz w:val="17"/>
              </w:rPr>
              <w:t>Lender as loss payee</w:t>
            </w:r>
          </w:p>
        </w:tc>
        <w:tc>
          <w:tcPr>
            <w:tcW w:type="dxa" w:w="1368"/>
            <w:shd w:val="clear" w:color="auto" w:fill="F7F8FA"/>
          </w:tcPr>
          <w:p>
            <w:pPr>
              <w:spacing w:before="40" w:after="40"/>
              <w:jc w:val="left"/>
            </w:pPr>
            <w:r/>
            <w:r>
              <w:rPr>
                <w:rFonts w:ascii="Times New Roman" w:hAnsi="Times New Roman"/>
                <w:b w:val="0"/>
                <w:i w:val="0"/>
                <w:sz w:val="17"/>
              </w:rPr>
              <w:t>From Substantial Completion through the Mini-Perm Period</w:t>
            </w:r>
          </w:p>
        </w:tc>
      </w:tr>
      <w:tr>
        <w:trPr>
          <w:cantSplit w:val="true"/>
        </w:trPr>
        <w:tc>
          <w:tcPr>
            <w:tcW w:type="dxa" w:w="3456"/>
          </w:tcPr>
          <w:p>
            <w:pPr>
              <w:spacing w:before="40" w:after="40"/>
              <w:jc w:val="left"/>
            </w:pPr>
            <w:r/>
            <w:r>
              <w:rPr>
                <w:rFonts w:ascii="Times New Roman" w:hAnsi="Times New Roman"/>
                <w:b w:val="0"/>
                <w:i w:val="0"/>
                <w:sz w:val="17"/>
              </w:rPr>
              <w:t>Flood insurance</w:t>
            </w:r>
          </w:p>
        </w:tc>
        <w:tc>
          <w:tcPr>
            <w:tcW w:type="dxa" w:w="2448"/>
          </w:tcPr>
          <w:p>
            <w:pPr>
              <w:spacing w:before="40" w:after="40"/>
              <w:jc w:val="left"/>
            </w:pPr>
            <w:r/>
            <w:r>
              <w:rPr>
                <w:rFonts w:ascii="Times New Roman" w:hAnsi="Times New Roman"/>
                <w:b w:val="0"/>
                <w:i w:val="0"/>
                <w:sz w:val="17"/>
              </w:rPr>
              <w:t>As required by the National Flood Insurance Act if any portion of the Project is in a Special Flood Hazard Area</w:t>
            </w:r>
          </w:p>
        </w:tc>
        <w:tc>
          <w:tcPr>
            <w:tcW w:type="dxa" w:w="2016"/>
          </w:tcPr>
          <w:p>
            <w:pPr>
              <w:spacing w:before="40" w:after="40"/>
              <w:jc w:val="left"/>
            </w:pPr>
            <w:r/>
            <w:r>
              <w:rPr>
                <w:rFonts w:ascii="Times New Roman" w:hAnsi="Times New Roman"/>
                <w:b w:val="0"/>
                <w:i w:val="0"/>
                <w:sz w:val="17"/>
              </w:rPr>
              <w:t>Lender as mortgagee and loss payee</w:t>
            </w:r>
          </w:p>
        </w:tc>
        <w:tc>
          <w:tcPr>
            <w:tcW w:type="dxa" w:w="1368"/>
          </w:tcPr>
          <w:p>
            <w:pPr>
              <w:spacing w:before="40" w:after="40"/>
              <w:jc w:val="left"/>
            </w:pPr>
            <w:r/>
            <w:r>
              <w:rPr>
                <w:rFonts w:ascii="Times New Roman" w:hAnsi="Times New Roman"/>
                <w:b w:val="0"/>
                <w:i w:val="0"/>
                <w:sz w:val="17"/>
              </w:rPr>
              <w:t>Throughout the Loan term if applicable</w:t>
            </w:r>
          </w:p>
        </w:tc>
      </w:tr>
      <w:tr>
        <w:trPr>
          <w:cantSplit w:val="true"/>
        </w:trPr>
        <w:tc>
          <w:tcPr>
            <w:tcW w:type="dxa" w:w="3456"/>
            <w:shd w:val="clear" w:color="auto" w:fill="F7F8FA"/>
          </w:tcPr>
          <w:p>
            <w:pPr>
              <w:spacing w:before="40" w:after="40"/>
              <w:jc w:val="left"/>
            </w:pPr>
            <w:r/>
            <w:r>
              <w:rPr>
                <w:rFonts w:ascii="Times New Roman" w:hAnsi="Times New Roman"/>
                <w:b w:val="0"/>
                <w:i w:val="0"/>
                <w:sz w:val="17"/>
              </w:rPr>
              <w:t>Equipment breakdown / boiler and machinery</w:t>
            </w:r>
          </w:p>
        </w:tc>
        <w:tc>
          <w:tcPr>
            <w:tcW w:type="dxa" w:w="2448"/>
            <w:shd w:val="clear" w:color="auto" w:fill="F7F8FA"/>
          </w:tcPr>
          <w:p>
            <w:pPr>
              <w:spacing w:before="40" w:after="40"/>
              <w:jc w:val="left"/>
            </w:pPr>
            <w:r/>
            <w:r>
              <w:rPr>
                <w:rFonts w:ascii="Times New Roman" w:hAnsi="Times New Roman"/>
                <w:b w:val="0"/>
                <w:i w:val="0"/>
                <w:sz w:val="17"/>
              </w:rPr>
              <w:t>Replacement cost of covered equipment</w:t>
            </w:r>
          </w:p>
        </w:tc>
        <w:tc>
          <w:tcPr>
            <w:tcW w:type="dxa" w:w="2016"/>
            <w:shd w:val="clear" w:color="auto" w:fill="F7F8FA"/>
          </w:tcPr>
          <w:p>
            <w:pPr>
              <w:spacing w:before="40" w:after="40"/>
              <w:jc w:val="left"/>
            </w:pPr>
            <w:r/>
            <w:r>
              <w:rPr>
                <w:rFonts w:ascii="Times New Roman" w:hAnsi="Times New Roman"/>
                <w:b w:val="0"/>
                <w:i w:val="0"/>
                <w:sz w:val="17"/>
              </w:rPr>
              <w:t>Lender as loss payee</w:t>
            </w:r>
          </w:p>
        </w:tc>
        <w:tc>
          <w:tcPr>
            <w:tcW w:type="dxa" w:w="1368"/>
            <w:shd w:val="clear" w:color="auto" w:fill="F7F8FA"/>
          </w:tcPr>
          <w:p>
            <w:pPr>
              <w:spacing w:before="40" w:after="40"/>
              <w:jc w:val="left"/>
            </w:pPr>
            <w:r/>
            <w:r>
              <w:rPr>
                <w:rFonts w:ascii="Times New Roman" w:hAnsi="Times New Roman"/>
                <w:b w:val="0"/>
                <w:i w:val="0"/>
                <w:sz w:val="17"/>
              </w:rPr>
              <w:t>From Substantial Completion through the Mini-Perm Period</w:t>
            </w:r>
          </w:p>
        </w:tc>
      </w:tr>
      <w:tr>
        <w:trPr>
          <w:cantSplit w:val="true"/>
        </w:trPr>
        <w:tc>
          <w:tcPr>
            <w:tcW w:type="dxa" w:w="3456"/>
          </w:tcPr>
          <w:p>
            <w:pPr>
              <w:spacing w:before="40" w:after="40"/>
              <w:jc w:val="left"/>
            </w:pPr>
            <w:r/>
            <w:r>
              <w:rPr>
                <w:rFonts w:ascii="Times New Roman" w:hAnsi="Times New Roman"/>
                <w:b w:val="0"/>
                <w:i w:val="0"/>
                <w:sz w:val="17"/>
              </w:rPr>
              <w:t>Professional liability — Architect (Meridian Design Collective PC)</w:t>
            </w:r>
          </w:p>
        </w:tc>
        <w:tc>
          <w:tcPr>
            <w:tcW w:type="dxa" w:w="2448"/>
          </w:tcPr>
          <w:p>
            <w:pPr>
              <w:spacing w:before="40" w:after="40"/>
              <w:jc w:val="left"/>
            </w:pPr>
            <w:r/>
            <w:r>
              <w:rPr>
                <w:rFonts w:ascii="Times New Roman" w:hAnsi="Times New Roman"/>
                <w:b w:val="0"/>
                <w:i w:val="0"/>
                <w:sz w:val="17"/>
              </w:rPr>
              <w:t>$2,000,000 per claim</w:t>
            </w:r>
          </w:p>
        </w:tc>
        <w:tc>
          <w:tcPr>
            <w:tcW w:type="dxa" w:w="2016"/>
          </w:tcPr>
          <w:p>
            <w:pPr>
              <w:spacing w:before="40" w:after="40"/>
              <w:jc w:val="left"/>
            </w:pPr>
            <w:r/>
            <w:r>
              <w:rPr>
                <w:rFonts w:ascii="Times New Roman" w:hAnsi="Times New Roman"/>
                <w:b w:val="0"/>
                <w:i w:val="0"/>
                <w:sz w:val="17"/>
              </w:rPr>
              <w:t>Certificate to Lender</w:t>
            </w:r>
          </w:p>
        </w:tc>
        <w:tc>
          <w:tcPr>
            <w:tcW w:type="dxa" w:w="1368"/>
          </w:tcPr>
          <w:p>
            <w:pPr>
              <w:spacing w:before="40" w:after="40"/>
              <w:jc w:val="left"/>
            </w:pPr>
            <w:r/>
            <w:r>
              <w:rPr>
                <w:rFonts w:ascii="Times New Roman" w:hAnsi="Times New Roman"/>
                <w:b w:val="0"/>
                <w:i w:val="0"/>
                <w:sz w:val="17"/>
              </w:rPr>
              <w:t>Throughout construction and for the applicable statute of repose period</w:t>
            </w:r>
          </w:p>
        </w:tc>
      </w:tr>
      <w:tr>
        <w:trPr>
          <w:cantSplit w:val="true"/>
        </w:trPr>
        <w:tc>
          <w:tcPr>
            <w:tcW w:type="dxa" w:w="3456"/>
            <w:shd w:val="clear" w:color="auto" w:fill="F7F8FA"/>
          </w:tcPr>
          <w:p>
            <w:pPr>
              <w:spacing w:before="40" w:after="40"/>
              <w:jc w:val="left"/>
            </w:pPr>
            <w:r/>
            <w:r>
              <w:rPr>
                <w:rFonts w:ascii="Times New Roman" w:hAnsi="Times New Roman"/>
                <w:b w:val="0"/>
                <w:i w:val="0"/>
                <w:sz w:val="17"/>
              </w:rPr>
              <w:t>Pollution legal liability (if required by Lender under Section 12.8)</w:t>
            </w:r>
          </w:p>
        </w:tc>
        <w:tc>
          <w:tcPr>
            <w:tcW w:type="dxa" w:w="2448"/>
            <w:shd w:val="clear" w:color="auto" w:fill="F7F8FA"/>
          </w:tcPr>
          <w:p>
            <w:pPr>
              <w:spacing w:before="40" w:after="40"/>
              <w:jc w:val="left"/>
            </w:pPr>
            <w:r/>
            <w:r>
              <w:rPr>
                <w:rFonts w:ascii="Times New Roman" w:hAnsi="Times New Roman"/>
                <w:b w:val="0"/>
                <w:i w:val="0"/>
                <w:sz w:val="17"/>
              </w:rPr>
              <w:t>Amount to be determined by Lender</w:t>
            </w:r>
          </w:p>
        </w:tc>
        <w:tc>
          <w:tcPr>
            <w:tcW w:type="dxa" w:w="2016"/>
            <w:shd w:val="clear" w:color="auto" w:fill="F7F8FA"/>
          </w:tcPr>
          <w:p>
            <w:pPr>
              <w:spacing w:before="40" w:after="40"/>
              <w:jc w:val="left"/>
            </w:pPr>
            <w:r/>
            <w:r>
              <w:rPr>
                <w:rFonts w:ascii="Times New Roman" w:hAnsi="Times New Roman"/>
                <w:b w:val="0"/>
                <w:i w:val="0"/>
                <w:sz w:val="17"/>
              </w:rPr>
              <w:t>Lender as additional insured and loss payee</w:t>
            </w:r>
          </w:p>
        </w:tc>
        <w:tc>
          <w:tcPr>
            <w:tcW w:type="dxa" w:w="1368"/>
            <w:shd w:val="clear" w:color="auto" w:fill="F7F8FA"/>
          </w:tcPr>
          <w:p>
            <w:pPr>
              <w:spacing w:before="40" w:after="40"/>
              <w:jc w:val="left"/>
            </w:pPr>
            <w:r/>
            <w:r>
              <w:rPr>
                <w:rFonts w:ascii="Times New Roman" w:hAnsi="Times New Roman"/>
                <w:b w:val="0"/>
                <w:i w:val="0"/>
                <w:sz w:val="17"/>
              </w:rPr>
              <w:t>Loan term plus such period as Lender requires</w:t>
            </w:r>
          </w:p>
        </w:tc>
      </w:tr>
    </w:tbl>
    <w:p>
      <w:pPr>
        <w:spacing w:after="40"/>
      </w:pPr>
    </w:p>
    <w:p>
      <w:r>
        <w:rPr>
          <w:rFonts w:ascii="Times New Roman" w:hAnsi="Times New Roman"/>
          <w:b w:val="0"/>
          <w:i w:val="0"/>
          <w:sz w:val="19"/>
        </w:rPr>
        <w:t>All policies shall be with insurers rated A- or better by A.M. Best, shall provide not less than thirty (30) days' prior written notice of cancellation, non-renewal or material reduction in coverage (ten (10) days for non-payment of premium), shall waive subrogation against Lender, and shall be primary as to Lender's interests.</w:t>
      </w:r>
    </w:p>
    <w:p>
      <w:r>
        <w:br w:type="page"/>
      </w:r>
    </w:p>
    <w:p>
      <w:pPr>
        <w:pStyle w:val="Heading1"/>
        <w:spacing w:before="360"/>
      </w:pPr>
      <w:r>
        <w:rPr>
          <w:rFonts w:ascii="Times New Roman" w:hAnsi="Times New Roman"/>
          <w:b/>
          <w:sz w:val="24"/>
        </w:rPr>
        <w:t>SCHEDULE 6 — FINANCIAL COVENANTS AND COMPLIANCE CERTIFICATE</w:t>
      </w:r>
    </w:p>
    <w:p>
      <w:pPr>
        <w:pStyle w:val="Heading2"/>
      </w:pPr>
      <w:r>
        <w:rPr>
          <w:rFonts w:ascii="Times New Roman" w:hAnsi="Times New Roman"/>
          <w:b/>
          <w:sz w:val="22"/>
        </w:rPr>
        <w:t>Part A — Covenant Summary</w:t>
      </w:r>
    </w:p>
    <w:tbl>
      <w:tblPr>
        <w:tblStyle w:val="TableGrid"/>
        <w:tblW w:type="auto" w:w="0"/>
        <w:jc w:val="center"/>
        <w:tblLayout w:type="fixed"/>
        <w:tblLook w:firstColumn="1" w:firstRow="1" w:lastColumn="0" w:lastRow="0" w:noHBand="0" w:noVBand="1" w:val="04A0"/>
      </w:tblPr>
      <w:tblGrid>
        <w:gridCol w:w="1800"/>
        <w:gridCol w:w="1872"/>
        <w:gridCol w:w="2088"/>
        <w:gridCol w:w="1008"/>
        <w:gridCol w:w="2520"/>
      </w:tblGrid>
      <w:tr>
        <w:trPr>
          <w:tblHeader w:val="true"/>
        </w:trPr>
        <w:tc>
          <w:tcPr>
            <w:tcW w:type="dxa" w:w="1800"/>
            <w:shd w:val="clear" w:color="auto" w:fill="1F3355"/>
          </w:tcPr>
          <w:p>
            <w:pPr>
              <w:spacing w:before="60" w:after="60"/>
              <w:jc w:val="center"/>
            </w:pPr>
            <w:r/>
            <w:r>
              <w:rPr>
                <w:rFonts w:ascii="Times New Roman" w:hAnsi="Times New Roman"/>
                <w:b/>
                <w:color w:val="FFFFFF"/>
                <w:sz w:val="17"/>
              </w:rPr>
              <w:t>Covenant</w:t>
            </w:r>
          </w:p>
        </w:tc>
        <w:tc>
          <w:tcPr>
            <w:tcW w:type="dxa" w:w="1872"/>
            <w:shd w:val="clear" w:color="auto" w:fill="1F3355"/>
          </w:tcPr>
          <w:p>
            <w:pPr>
              <w:spacing w:before="60" w:after="60"/>
              <w:jc w:val="center"/>
            </w:pPr>
            <w:r/>
            <w:r>
              <w:rPr>
                <w:rFonts w:ascii="Times New Roman" w:hAnsi="Times New Roman"/>
                <w:b/>
                <w:color w:val="FFFFFF"/>
                <w:sz w:val="17"/>
              </w:rPr>
              <w:t>Required Level</w:t>
            </w:r>
          </w:p>
        </w:tc>
        <w:tc>
          <w:tcPr>
            <w:tcW w:type="dxa" w:w="2088"/>
            <w:shd w:val="clear" w:color="auto" w:fill="1F3355"/>
          </w:tcPr>
          <w:p>
            <w:pPr>
              <w:spacing w:before="60" w:after="60"/>
              <w:jc w:val="center"/>
            </w:pPr>
            <w:r/>
            <w:r>
              <w:rPr>
                <w:rFonts w:ascii="Times New Roman" w:hAnsi="Times New Roman"/>
                <w:b/>
                <w:color w:val="FFFFFF"/>
                <w:sz w:val="17"/>
              </w:rPr>
              <w:t>Testing</w:t>
            </w:r>
          </w:p>
        </w:tc>
        <w:tc>
          <w:tcPr>
            <w:tcW w:type="dxa" w:w="1008"/>
            <w:shd w:val="clear" w:color="auto" w:fill="1F3355"/>
          </w:tcPr>
          <w:p>
            <w:pPr>
              <w:spacing w:before="60" w:after="60"/>
              <w:jc w:val="center"/>
            </w:pPr>
            <w:r/>
            <w:r>
              <w:rPr>
                <w:rFonts w:ascii="Times New Roman" w:hAnsi="Times New Roman"/>
                <w:b/>
                <w:color w:val="FFFFFF"/>
                <w:sz w:val="17"/>
              </w:rPr>
              <w:t>Section</w:t>
            </w:r>
          </w:p>
        </w:tc>
        <w:tc>
          <w:tcPr>
            <w:tcW w:type="dxa" w:w="2520"/>
            <w:shd w:val="clear" w:color="auto" w:fill="1F3355"/>
          </w:tcPr>
          <w:p>
            <w:pPr>
              <w:spacing w:before="60" w:after="60"/>
              <w:jc w:val="center"/>
            </w:pPr>
            <w:r/>
            <w:r>
              <w:rPr>
                <w:rFonts w:ascii="Times New Roman" w:hAnsi="Times New Roman"/>
                <w:b/>
                <w:color w:val="FFFFFF"/>
                <w:sz w:val="17"/>
              </w:rPr>
              <w:t>Position at Closing</w:t>
            </w:r>
          </w:p>
        </w:tc>
      </w:tr>
      <w:tr>
        <w:trPr>
          <w:cantSplit w:val="true"/>
        </w:trPr>
        <w:tc>
          <w:tcPr>
            <w:tcW w:type="dxa" w:w="1800"/>
          </w:tcPr>
          <w:p>
            <w:pPr>
              <w:spacing w:before="40" w:after="40"/>
              <w:jc w:val="left"/>
            </w:pPr>
            <w:r/>
            <w:r>
              <w:rPr>
                <w:rFonts w:ascii="Times New Roman" w:hAnsi="Times New Roman"/>
                <w:b w:val="0"/>
                <w:i w:val="0"/>
                <w:sz w:val="17"/>
              </w:rPr>
              <w:t>Loan-to-Cost Ratio</w:t>
            </w:r>
          </w:p>
        </w:tc>
        <w:tc>
          <w:tcPr>
            <w:tcW w:type="dxa" w:w="1872"/>
          </w:tcPr>
          <w:p>
            <w:pPr>
              <w:spacing w:before="40" w:after="40"/>
              <w:jc w:val="left"/>
            </w:pPr>
            <w:r/>
            <w:r>
              <w:rPr>
                <w:rFonts w:ascii="Times New Roman" w:hAnsi="Times New Roman"/>
                <w:b w:val="0"/>
                <w:i w:val="0"/>
                <w:sz w:val="17"/>
              </w:rPr>
              <w:t>Not greater than 80%</w:t>
            </w:r>
          </w:p>
        </w:tc>
        <w:tc>
          <w:tcPr>
            <w:tcW w:type="dxa" w:w="2088"/>
          </w:tcPr>
          <w:p>
            <w:pPr>
              <w:spacing w:before="40" w:after="40"/>
              <w:jc w:val="left"/>
            </w:pPr>
            <w:r/>
            <w:r>
              <w:rPr>
                <w:rFonts w:ascii="Times New Roman" w:hAnsi="Times New Roman"/>
                <w:b w:val="0"/>
                <w:i w:val="0"/>
                <w:sz w:val="17"/>
              </w:rPr>
              <w:t>Each Draw Request and at Closing</w:t>
            </w:r>
          </w:p>
        </w:tc>
        <w:tc>
          <w:tcPr>
            <w:tcW w:type="dxa" w:w="1008"/>
          </w:tcPr>
          <w:p>
            <w:pPr>
              <w:spacing w:before="40" w:after="40"/>
              <w:jc w:val="left"/>
            </w:pPr>
            <w:r/>
            <w:r>
              <w:rPr>
                <w:rFonts w:ascii="Times New Roman" w:hAnsi="Times New Roman"/>
                <w:b w:val="0"/>
                <w:i w:val="0"/>
                <w:sz w:val="17"/>
              </w:rPr>
              <w:t>Section 9.1</w:t>
            </w:r>
          </w:p>
        </w:tc>
        <w:tc>
          <w:tcPr>
            <w:tcW w:type="dxa" w:w="2520"/>
          </w:tcPr>
          <w:p>
            <w:pPr>
              <w:spacing w:before="40" w:after="40"/>
              <w:jc w:val="left"/>
            </w:pPr>
            <w:r/>
            <w:r>
              <w:rPr>
                <w:rFonts w:ascii="Times New Roman" w:hAnsi="Times New Roman"/>
                <w:b w:val="0"/>
                <w:i w:val="0"/>
                <w:sz w:val="17"/>
              </w:rPr>
              <w:t>83.77% at Closing on the uncorrected budget; 78.15% on the corrected budget</w:t>
            </w:r>
          </w:p>
        </w:tc>
      </w:tr>
      <w:tr>
        <w:trPr>
          <w:cantSplit w:val="true"/>
        </w:trPr>
        <w:tc>
          <w:tcPr>
            <w:tcW w:type="dxa" w:w="1800"/>
            <w:shd w:val="clear" w:color="auto" w:fill="F7F8FA"/>
          </w:tcPr>
          <w:p>
            <w:pPr>
              <w:spacing w:before="40" w:after="40"/>
              <w:jc w:val="left"/>
            </w:pPr>
            <w:r/>
            <w:r>
              <w:rPr>
                <w:rFonts w:ascii="Times New Roman" w:hAnsi="Times New Roman"/>
                <w:b w:val="0"/>
                <w:i w:val="0"/>
                <w:sz w:val="17"/>
              </w:rPr>
              <w:t>Loan-to-Value (as-completed)</w:t>
            </w:r>
          </w:p>
        </w:tc>
        <w:tc>
          <w:tcPr>
            <w:tcW w:type="dxa" w:w="1872"/>
            <w:shd w:val="clear" w:color="auto" w:fill="F7F8FA"/>
          </w:tcPr>
          <w:p>
            <w:pPr>
              <w:spacing w:before="40" w:after="40"/>
              <w:jc w:val="left"/>
            </w:pPr>
            <w:r/>
            <w:r>
              <w:rPr>
                <w:rFonts w:ascii="Times New Roman" w:hAnsi="Times New Roman"/>
                <w:b w:val="0"/>
                <w:i w:val="0"/>
                <w:sz w:val="17"/>
              </w:rPr>
              <w:t>Not greater than 65%</w:t>
            </w:r>
          </w:p>
        </w:tc>
        <w:tc>
          <w:tcPr>
            <w:tcW w:type="dxa" w:w="2088"/>
            <w:shd w:val="clear" w:color="auto" w:fill="F7F8FA"/>
          </w:tcPr>
          <w:p>
            <w:pPr>
              <w:spacing w:before="40" w:after="40"/>
              <w:jc w:val="left"/>
            </w:pPr>
            <w:r/>
            <w:r>
              <w:rPr>
                <w:rFonts w:ascii="Times New Roman" w:hAnsi="Times New Roman"/>
                <w:b w:val="0"/>
                <w:i w:val="0"/>
                <w:sz w:val="17"/>
              </w:rPr>
              <w:t>At Closing; on reappraisal</w:t>
            </w:r>
          </w:p>
        </w:tc>
        <w:tc>
          <w:tcPr>
            <w:tcW w:type="dxa" w:w="1008"/>
            <w:shd w:val="clear" w:color="auto" w:fill="F7F8FA"/>
          </w:tcPr>
          <w:p>
            <w:pPr>
              <w:spacing w:before="40" w:after="40"/>
              <w:jc w:val="left"/>
            </w:pPr>
            <w:r/>
            <w:r>
              <w:rPr>
                <w:rFonts w:ascii="Times New Roman" w:hAnsi="Times New Roman"/>
                <w:b w:val="0"/>
                <w:i w:val="0"/>
                <w:sz w:val="17"/>
              </w:rPr>
              <w:t>Section 9.2</w:t>
            </w:r>
          </w:p>
        </w:tc>
        <w:tc>
          <w:tcPr>
            <w:tcW w:type="dxa" w:w="2520"/>
            <w:shd w:val="clear" w:color="auto" w:fill="F7F8FA"/>
          </w:tcPr>
          <w:p>
            <w:pPr>
              <w:spacing w:before="40" w:after="40"/>
              <w:jc w:val="left"/>
            </w:pPr>
            <w:r/>
            <w:r>
              <w:rPr>
                <w:rFonts w:ascii="Times New Roman" w:hAnsi="Times New Roman"/>
                <w:b w:val="0"/>
                <w:i w:val="0"/>
                <w:sz w:val="17"/>
              </w:rPr>
              <w:t>65.25% at Closing ($47.5M ÷ $72.8M)</w:t>
            </w:r>
          </w:p>
        </w:tc>
      </w:tr>
      <w:tr>
        <w:trPr>
          <w:cantSplit w:val="true"/>
        </w:trPr>
        <w:tc>
          <w:tcPr>
            <w:tcW w:type="dxa" w:w="1800"/>
          </w:tcPr>
          <w:p>
            <w:pPr>
              <w:spacing w:before="40" w:after="40"/>
              <w:jc w:val="left"/>
            </w:pPr>
            <w:r/>
            <w:r>
              <w:rPr>
                <w:rFonts w:ascii="Times New Roman" w:hAnsi="Times New Roman"/>
                <w:b w:val="0"/>
                <w:i w:val="0"/>
                <w:sz w:val="17"/>
              </w:rPr>
              <w:t>Loan-to-Value (as-stabilized)</w:t>
            </w:r>
          </w:p>
        </w:tc>
        <w:tc>
          <w:tcPr>
            <w:tcW w:type="dxa" w:w="1872"/>
          </w:tcPr>
          <w:p>
            <w:pPr>
              <w:spacing w:before="40" w:after="40"/>
              <w:jc w:val="left"/>
            </w:pPr>
            <w:r/>
            <w:r>
              <w:rPr>
                <w:rFonts w:ascii="Times New Roman" w:hAnsi="Times New Roman"/>
                <w:b w:val="0"/>
                <w:i w:val="0"/>
                <w:sz w:val="17"/>
              </w:rPr>
              <w:t>Not greater than 65%</w:t>
            </w:r>
          </w:p>
        </w:tc>
        <w:tc>
          <w:tcPr>
            <w:tcW w:type="dxa" w:w="2088"/>
          </w:tcPr>
          <w:p>
            <w:pPr>
              <w:spacing w:before="40" w:after="40"/>
              <w:jc w:val="left"/>
            </w:pPr>
            <w:r/>
            <w:r>
              <w:rPr>
                <w:rFonts w:ascii="Times New Roman" w:hAnsi="Times New Roman"/>
                <w:b w:val="0"/>
                <w:i w:val="0"/>
                <w:sz w:val="17"/>
              </w:rPr>
              <w:t>On reappraisal; at extension</w:t>
            </w:r>
          </w:p>
        </w:tc>
        <w:tc>
          <w:tcPr>
            <w:tcW w:type="dxa" w:w="1008"/>
          </w:tcPr>
          <w:p>
            <w:pPr>
              <w:spacing w:before="40" w:after="40"/>
              <w:jc w:val="left"/>
            </w:pPr>
            <w:r/>
            <w:r>
              <w:rPr>
                <w:rFonts w:ascii="Times New Roman" w:hAnsi="Times New Roman"/>
                <w:b w:val="0"/>
                <w:i w:val="0"/>
                <w:sz w:val="17"/>
              </w:rPr>
              <w:t>Section 9.2</w:t>
            </w:r>
          </w:p>
        </w:tc>
        <w:tc>
          <w:tcPr>
            <w:tcW w:type="dxa" w:w="2520"/>
          </w:tcPr>
          <w:p>
            <w:pPr>
              <w:spacing w:before="40" w:after="40"/>
              <w:jc w:val="left"/>
            </w:pPr>
            <w:r/>
            <w:r>
              <w:rPr>
                <w:rFonts w:ascii="Times New Roman" w:hAnsi="Times New Roman"/>
                <w:b w:val="0"/>
                <w:i w:val="0"/>
                <w:sz w:val="17"/>
              </w:rPr>
              <w:t>62.34% at Closing ($47.5M ÷ $76.2M)</w:t>
            </w:r>
          </w:p>
        </w:tc>
      </w:tr>
      <w:tr>
        <w:trPr>
          <w:cantSplit w:val="true"/>
        </w:trPr>
        <w:tc>
          <w:tcPr>
            <w:tcW w:type="dxa" w:w="1800"/>
            <w:shd w:val="clear" w:color="auto" w:fill="F7F8FA"/>
          </w:tcPr>
          <w:p>
            <w:pPr>
              <w:spacing w:before="40" w:after="40"/>
              <w:jc w:val="left"/>
            </w:pPr>
            <w:r/>
            <w:r>
              <w:rPr>
                <w:rFonts w:ascii="Times New Roman" w:hAnsi="Times New Roman"/>
                <w:b w:val="0"/>
                <w:i w:val="0"/>
                <w:sz w:val="17"/>
              </w:rPr>
              <w:t>Debt Service Coverage Ratio</w:t>
            </w:r>
          </w:p>
        </w:tc>
        <w:tc>
          <w:tcPr>
            <w:tcW w:type="dxa" w:w="1872"/>
            <w:shd w:val="clear" w:color="auto" w:fill="F7F8FA"/>
          </w:tcPr>
          <w:p>
            <w:pPr>
              <w:spacing w:before="40" w:after="40"/>
              <w:jc w:val="left"/>
            </w:pPr>
            <w:r/>
            <w:r>
              <w:rPr>
                <w:rFonts w:ascii="Times New Roman" w:hAnsi="Times New Roman"/>
                <w:b w:val="0"/>
                <w:i w:val="0"/>
                <w:sz w:val="17"/>
              </w:rPr>
              <w:t>Not less than 1.25x</w:t>
            </w:r>
          </w:p>
        </w:tc>
        <w:tc>
          <w:tcPr>
            <w:tcW w:type="dxa" w:w="2088"/>
            <w:shd w:val="clear" w:color="auto" w:fill="F7F8FA"/>
          </w:tcPr>
          <w:p>
            <w:pPr>
              <w:spacing w:before="40" w:after="40"/>
              <w:jc w:val="left"/>
            </w:pPr>
            <w:r/>
            <w:r>
              <w:rPr>
                <w:rFonts w:ascii="Times New Roman" w:hAnsi="Times New Roman"/>
                <w:b w:val="0"/>
                <w:i w:val="0"/>
                <w:sz w:val="17"/>
              </w:rPr>
              <w:t>Commencement of Mini-Perm Period and quarterly thereafter</w:t>
            </w:r>
          </w:p>
        </w:tc>
        <w:tc>
          <w:tcPr>
            <w:tcW w:type="dxa" w:w="1008"/>
            <w:shd w:val="clear" w:color="auto" w:fill="F7F8FA"/>
          </w:tcPr>
          <w:p>
            <w:pPr>
              <w:spacing w:before="40" w:after="40"/>
              <w:jc w:val="left"/>
            </w:pPr>
            <w:r/>
            <w:r>
              <w:rPr>
                <w:rFonts w:ascii="Times New Roman" w:hAnsi="Times New Roman"/>
                <w:b w:val="0"/>
                <w:i w:val="0"/>
                <w:sz w:val="17"/>
              </w:rPr>
              <w:t>Section 9.3</w:t>
            </w:r>
          </w:p>
        </w:tc>
        <w:tc>
          <w:tcPr>
            <w:tcW w:type="dxa" w:w="2520"/>
            <w:shd w:val="clear" w:color="auto" w:fill="F7F8FA"/>
          </w:tcPr>
          <w:p>
            <w:pPr>
              <w:spacing w:before="40" w:after="40"/>
              <w:jc w:val="left"/>
            </w:pPr>
            <w:r/>
            <w:r>
              <w:rPr>
                <w:rFonts w:ascii="Times New Roman" w:hAnsi="Times New Roman"/>
                <w:b w:val="0"/>
                <w:i w:val="0"/>
                <w:sz w:val="17"/>
              </w:rPr>
              <w:t>1.31x at 7.85% interest-only; 1.04x at +200 bps</w:t>
            </w:r>
          </w:p>
        </w:tc>
      </w:tr>
      <w:tr>
        <w:trPr>
          <w:cantSplit w:val="true"/>
        </w:trPr>
        <w:tc>
          <w:tcPr>
            <w:tcW w:type="dxa" w:w="1800"/>
          </w:tcPr>
          <w:p>
            <w:pPr>
              <w:spacing w:before="40" w:after="40"/>
              <w:jc w:val="left"/>
            </w:pPr>
            <w:r/>
            <w:r>
              <w:rPr>
                <w:rFonts w:ascii="Times New Roman" w:hAnsi="Times New Roman"/>
                <w:b w:val="0"/>
                <w:i w:val="0"/>
                <w:sz w:val="17"/>
              </w:rPr>
              <w:t>Borrower Net Worth</w:t>
            </w:r>
          </w:p>
        </w:tc>
        <w:tc>
          <w:tcPr>
            <w:tcW w:type="dxa" w:w="1872"/>
          </w:tcPr>
          <w:p>
            <w:pPr>
              <w:spacing w:before="40" w:after="40"/>
              <w:jc w:val="left"/>
            </w:pPr>
            <w:r/>
            <w:r>
              <w:rPr>
                <w:rFonts w:ascii="Times New Roman" w:hAnsi="Times New Roman"/>
                <w:b w:val="0"/>
                <w:i w:val="0"/>
                <w:sz w:val="17"/>
              </w:rPr>
              <w:t>Not less than $12,000,000</w:t>
            </w:r>
          </w:p>
        </w:tc>
        <w:tc>
          <w:tcPr>
            <w:tcW w:type="dxa" w:w="2088"/>
          </w:tcPr>
          <w:p>
            <w:pPr>
              <w:spacing w:before="40" w:after="40"/>
              <w:jc w:val="left"/>
            </w:pPr>
            <w:r/>
            <w:r>
              <w:rPr>
                <w:rFonts w:ascii="Times New Roman" w:hAnsi="Times New Roman"/>
                <w:b w:val="0"/>
                <w:i w:val="0"/>
                <w:sz w:val="17"/>
              </w:rPr>
              <w:t>At Closing and annually</w:t>
            </w:r>
          </w:p>
        </w:tc>
        <w:tc>
          <w:tcPr>
            <w:tcW w:type="dxa" w:w="1008"/>
          </w:tcPr>
          <w:p>
            <w:pPr>
              <w:spacing w:before="40" w:after="40"/>
              <w:jc w:val="left"/>
            </w:pPr>
            <w:r/>
            <w:r>
              <w:rPr>
                <w:rFonts w:ascii="Times New Roman" w:hAnsi="Times New Roman"/>
                <w:b w:val="0"/>
                <w:i w:val="0"/>
                <w:sz w:val="17"/>
              </w:rPr>
              <w:t>Section 9.4</w:t>
            </w:r>
          </w:p>
        </w:tc>
        <w:tc>
          <w:tcPr>
            <w:tcW w:type="dxa" w:w="2520"/>
          </w:tcPr>
          <w:p>
            <w:pPr>
              <w:spacing w:before="40" w:after="40"/>
              <w:jc w:val="left"/>
            </w:pPr>
            <w:r/>
            <w:r>
              <w:rPr>
                <w:rFonts w:ascii="Times New Roman" w:hAnsi="Times New Roman"/>
                <w:b w:val="0"/>
                <w:i w:val="0"/>
                <w:sz w:val="17"/>
              </w:rPr>
              <w:t>$14,200,000 represented</w:t>
            </w:r>
          </w:p>
        </w:tc>
      </w:tr>
      <w:tr>
        <w:trPr>
          <w:cantSplit w:val="true"/>
        </w:trPr>
        <w:tc>
          <w:tcPr>
            <w:tcW w:type="dxa" w:w="1800"/>
            <w:shd w:val="clear" w:color="auto" w:fill="F7F8FA"/>
          </w:tcPr>
          <w:p>
            <w:pPr>
              <w:spacing w:before="40" w:after="40"/>
              <w:jc w:val="left"/>
            </w:pPr>
            <w:r/>
            <w:r>
              <w:rPr>
                <w:rFonts w:ascii="Times New Roman" w:hAnsi="Times New Roman"/>
                <w:b w:val="0"/>
                <w:i w:val="0"/>
                <w:sz w:val="17"/>
              </w:rPr>
              <w:t>Guarantor combined Liquidity</w:t>
            </w:r>
          </w:p>
        </w:tc>
        <w:tc>
          <w:tcPr>
            <w:tcW w:type="dxa" w:w="1872"/>
            <w:shd w:val="clear" w:color="auto" w:fill="F7F8FA"/>
          </w:tcPr>
          <w:p>
            <w:pPr>
              <w:spacing w:before="40" w:after="40"/>
              <w:jc w:val="left"/>
            </w:pPr>
            <w:r/>
            <w:r>
              <w:rPr>
                <w:rFonts w:ascii="Times New Roman" w:hAnsi="Times New Roman"/>
                <w:b w:val="0"/>
                <w:i w:val="0"/>
                <w:sz w:val="17"/>
              </w:rPr>
              <w:t>Not less than $5,000,000</w:t>
            </w:r>
          </w:p>
        </w:tc>
        <w:tc>
          <w:tcPr>
            <w:tcW w:type="dxa" w:w="2088"/>
            <w:shd w:val="clear" w:color="auto" w:fill="F7F8FA"/>
          </w:tcPr>
          <w:p>
            <w:pPr>
              <w:spacing w:before="40" w:after="40"/>
              <w:jc w:val="left"/>
            </w:pPr>
            <w:r/>
            <w:r>
              <w:rPr>
                <w:rFonts w:ascii="Times New Roman" w:hAnsi="Times New Roman"/>
                <w:b w:val="0"/>
                <w:i w:val="0"/>
                <w:sz w:val="17"/>
              </w:rPr>
              <w:t>Quarterly</w:t>
            </w:r>
          </w:p>
        </w:tc>
        <w:tc>
          <w:tcPr>
            <w:tcW w:type="dxa" w:w="1008"/>
            <w:shd w:val="clear" w:color="auto" w:fill="F7F8FA"/>
          </w:tcPr>
          <w:p>
            <w:pPr>
              <w:spacing w:before="40" w:after="40"/>
              <w:jc w:val="left"/>
            </w:pPr>
            <w:r/>
            <w:r>
              <w:rPr>
                <w:rFonts w:ascii="Times New Roman" w:hAnsi="Times New Roman"/>
                <w:b w:val="0"/>
                <w:i w:val="0"/>
                <w:sz w:val="17"/>
              </w:rPr>
              <w:t>Section 9.5</w:t>
            </w:r>
          </w:p>
        </w:tc>
        <w:tc>
          <w:tcPr>
            <w:tcW w:type="dxa" w:w="2520"/>
            <w:shd w:val="clear" w:color="auto" w:fill="F7F8FA"/>
          </w:tcPr>
          <w:p>
            <w:pPr>
              <w:spacing w:before="40" w:after="40"/>
              <w:jc w:val="left"/>
            </w:pPr>
            <w:r/>
            <w:r>
              <w:rPr>
                <w:rFonts w:ascii="Times New Roman" w:hAnsi="Times New Roman"/>
                <w:b w:val="0"/>
                <w:i w:val="0"/>
                <w:sz w:val="17"/>
              </w:rPr>
              <w:t>$9,300,000 represented</w:t>
            </w:r>
          </w:p>
        </w:tc>
      </w:tr>
      <w:tr>
        <w:trPr>
          <w:cantSplit w:val="true"/>
        </w:trPr>
        <w:tc>
          <w:tcPr>
            <w:tcW w:type="dxa" w:w="1800"/>
          </w:tcPr>
          <w:p>
            <w:pPr>
              <w:spacing w:before="40" w:after="40"/>
              <w:jc w:val="left"/>
            </w:pPr>
            <w:r/>
            <w:r>
              <w:rPr>
                <w:rFonts w:ascii="Times New Roman" w:hAnsi="Times New Roman"/>
                <w:b w:val="0"/>
                <w:i w:val="0"/>
                <w:sz w:val="17"/>
              </w:rPr>
              <w:t>Interest Reserve adequacy</w:t>
            </w:r>
          </w:p>
        </w:tc>
        <w:tc>
          <w:tcPr>
            <w:tcW w:type="dxa" w:w="1872"/>
          </w:tcPr>
          <w:p>
            <w:pPr>
              <w:spacing w:before="40" w:after="40"/>
              <w:jc w:val="left"/>
            </w:pPr>
            <w:r/>
            <w:r>
              <w:rPr>
                <w:rFonts w:ascii="Times New Roman" w:hAnsi="Times New Roman"/>
                <w:b w:val="0"/>
                <w:i w:val="0"/>
                <w:sz w:val="17"/>
              </w:rPr>
              <w:t>Sufficient to pay interest through the Construction Maturity Date</w:t>
            </w:r>
          </w:p>
        </w:tc>
        <w:tc>
          <w:tcPr>
            <w:tcW w:type="dxa" w:w="2088"/>
          </w:tcPr>
          <w:p>
            <w:pPr>
              <w:spacing w:before="40" w:after="40"/>
              <w:jc w:val="left"/>
            </w:pPr>
            <w:r/>
            <w:r>
              <w:rPr>
                <w:rFonts w:ascii="Times New Roman" w:hAnsi="Times New Roman"/>
                <w:b w:val="0"/>
                <w:i w:val="0"/>
                <w:sz w:val="17"/>
              </w:rPr>
              <w:t>Each Draw Request and quarterly</w:t>
            </w:r>
          </w:p>
        </w:tc>
        <w:tc>
          <w:tcPr>
            <w:tcW w:type="dxa" w:w="1008"/>
          </w:tcPr>
          <w:p>
            <w:pPr>
              <w:spacing w:before="40" w:after="40"/>
              <w:jc w:val="left"/>
            </w:pPr>
            <w:r/>
            <w:r>
              <w:rPr>
                <w:rFonts w:ascii="Times New Roman" w:hAnsi="Times New Roman"/>
                <w:b w:val="0"/>
                <w:i w:val="0"/>
                <w:sz w:val="17"/>
              </w:rPr>
              <w:t>Section 5.4</w:t>
            </w:r>
          </w:p>
        </w:tc>
        <w:tc>
          <w:tcPr>
            <w:tcW w:type="dxa" w:w="2520"/>
          </w:tcPr>
          <w:p>
            <w:pPr>
              <w:spacing w:before="40" w:after="40"/>
              <w:jc w:val="left"/>
            </w:pPr>
            <w:r/>
            <w:r>
              <w:rPr>
                <w:rFonts w:ascii="Times New Roman" w:hAnsi="Times New Roman"/>
                <w:b w:val="0"/>
                <w:i w:val="0"/>
                <w:sz w:val="17"/>
              </w:rPr>
              <w:t>$4,850,000; adequate only if SOFR averages 3.82% or less</w:t>
            </w:r>
          </w:p>
        </w:tc>
      </w:tr>
      <w:tr>
        <w:trPr>
          <w:cantSplit w:val="true"/>
        </w:trPr>
        <w:tc>
          <w:tcPr>
            <w:tcW w:type="dxa" w:w="1800"/>
            <w:shd w:val="clear" w:color="auto" w:fill="F7F8FA"/>
          </w:tcPr>
          <w:p>
            <w:pPr>
              <w:spacing w:before="40" w:after="40"/>
              <w:jc w:val="left"/>
            </w:pPr>
            <w:r/>
            <w:r>
              <w:rPr>
                <w:rFonts w:ascii="Times New Roman" w:hAnsi="Times New Roman"/>
                <w:b w:val="0"/>
                <w:i w:val="0"/>
                <w:sz w:val="17"/>
              </w:rPr>
              <w:t>Combined leverage (information only)</w:t>
            </w:r>
          </w:p>
        </w:tc>
        <w:tc>
          <w:tcPr>
            <w:tcW w:type="dxa" w:w="1872"/>
            <w:shd w:val="clear" w:color="auto" w:fill="F7F8FA"/>
          </w:tcPr>
          <w:p>
            <w:pPr>
              <w:spacing w:before="40" w:after="40"/>
              <w:jc w:val="left"/>
            </w:pPr>
            <w:r/>
            <w:r>
              <w:rPr>
                <w:rFonts w:ascii="Times New Roman" w:hAnsi="Times New Roman"/>
                <w:b w:val="0"/>
                <w:i w:val="0"/>
                <w:sz w:val="17"/>
              </w:rPr>
              <w:t>Not a covenant</w:t>
            </w:r>
          </w:p>
        </w:tc>
        <w:tc>
          <w:tcPr>
            <w:tcW w:type="dxa" w:w="2088"/>
            <w:shd w:val="clear" w:color="auto" w:fill="F7F8FA"/>
          </w:tcPr>
          <w:p>
            <w:pPr>
              <w:spacing w:before="40" w:after="40"/>
              <w:jc w:val="left"/>
            </w:pPr>
            <w:r/>
            <w:r>
              <w:rPr>
                <w:rFonts w:ascii="Times New Roman" w:hAnsi="Times New Roman"/>
                <w:b w:val="0"/>
                <w:i w:val="0"/>
                <w:sz w:val="17"/>
              </w:rPr>
              <w:t>—</w:t>
            </w:r>
          </w:p>
        </w:tc>
        <w:tc>
          <w:tcPr>
            <w:tcW w:type="dxa" w:w="1008"/>
            <w:shd w:val="clear" w:color="auto" w:fill="F7F8FA"/>
          </w:tcPr>
          <w:p>
            <w:pPr>
              <w:spacing w:before="40" w:after="40"/>
              <w:jc w:val="left"/>
            </w:pPr>
            <w:r/>
            <w:r>
              <w:rPr>
                <w:rFonts w:ascii="Times New Roman" w:hAnsi="Times New Roman"/>
                <w:b w:val="0"/>
                <w:i w:val="0"/>
                <w:sz w:val="17"/>
              </w:rPr>
              <w:t>—</w:t>
            </w:r>
          </w:p>
        </w:tc>
        <w:tc>
          <w:tcPr>
            <w:tcW w:type="dxa" w:w="2520"/>
            <w:shd w:val="clear" w:color="auto" w:fill="F7F8FA"/>
          </w:tcPr>
          <w:p>
            <w:pPr>
              <w:spacing w:before="40" w:after="40"/>
              <w:jc w:val="left"/>
            </w:pPr>
            <w:r/>
            <w:r>
              <w:rPr>
                <w:rFonts w:ascii="Times New Roman" w:hAnsi="Times New Roman"/>
                <w:b w:val="0"/>
                <w:i w:val="0"/>
                <w:sz w:val="17"/>
              </w:rPr>
              <w:t>100% of Total Project Costs at Closing ($47.5M + $9.2M ÷ $56.7M)</w:t>
            </w:r>
          </w:p>
        </w:tc>
      </w:tr>
    </w:tbl>
    <w:p>
      <w:pPr>
        <w:spacing w:after="40"/>
      </w:pPr>
    </w:p>
    <w:p>
      <w:pPr>
        <w:pStyle w:val="Heading2"/>
      </w:pPr>
      <w:r>
        <w:rPr>
          <w:rFonts w:ascii="Times New Roman" w:hAnsi="Times New Roman"/>
          <w:b/>
          <w:sz w:val="22"/>
        </w:rPr>
        <w:t>Section 6.19 of the Agreement — Members and Membership Interests</w:t>
      </w:r>
    </w:p>
    <w:tbl>
      <w:tblPr>
        <w:tblStyle w:val="TableGrid"/>
        <w:tblW w:type="auto" w:w="0"/>
        <w:jc w:val="center"/>
        <w:tblLayout w:type="fixed"/>
        <w:tblLook w:firstColumn="1" w:firstRow="1" w:lastColumn="0" w:lastRow="0" w:noHBand="0" w:noVBand="1" w:val="04A0"/>
      </w:tblPr>
      <w:tblGrid>
        <w:gridCol w:w="3456"/>
        <w:gridCol w:w="1944"/>
        <w:gridCol w:w="1008"/>
        <w:gridCol w:w="2880"/>
      </w:tblGrid>
      <w:tr>
        <w:trPr>
          <w:tblHeader w:val="true"/>
        </w:trPr>
        <w:tc>
          <w:tcPr>
            <w:tcW w:type="dxa" w:w="3456"/>
            <w:shd w:val="clear" w:color="auto" w:fill="1F3355"/>
          </w:tcPr>
          <w:p>
            <w:pPr>
              <w:spacing w:before="60" w:after="60"/>
              <w:jc w:val="center"/>
            </w:pPr>
            <w:r/>
            <w:r>
              <w:rPr>
                <w:rFonts w:ascii="Times New Roman" w:hAnsi="Times New Roman"/>
                <w:b/>
                <w:color w:val="FFFFFF"/>
                <w:sz w:val="18"/>
              </w:rPr>
              <w:t>Member</w:t>
            </w:r>
          </w:p>
        </w:tc>
        <w:tc>
          <w:tcPr>
            <w:tcW w:type="dxa" w:w="1944"/>
            <w:shd w:val="clear" w:color="auto" w:fill="1F3355"/>
          </w:tcPr>
          <w:p>
            <w:pPr>
              <w:spacing w:before="60" w:after="60"/>
              <w:jc w:val="center"/>
            </w:pPr>
            <w:r/>
            <w:r>
              <w:rPr>
                <w:rFonts w:ascii="Times New Roman" w:hAnsi="Times New Roman"/>
                <w:b/>
                <w:color w:val="FFFFFF"/>
                <w:sz w:val="18"/>
              </w:rPr>
              <w:t>Type</w:t>
            </w:r>
          </w:p>
        </w:tc>
        <w:tc>
          <w:tcPr>
            <w:tcW w:type="dxa" w:w="1008"/>
            <w:shd w:val="clear" w:color="auto" w:fill="1F3355"/>
          </w:tcPr>
          <w:p>
            <w:pPr>
              <w:spacing w:before="60" w:after="60"/>
              <w:jc w:val="center"/>
            </w:pPr>
            <w:r/>
            <w:r>
              <w:rPr>
                <w:rFonts w:ascii="Times New Roman" w:hAnsi="Times New Roman"/>
                <w:b/>
                <w:color w:val="FFFFFF"/>
                <w:sz w:val="18"/>
              </w:rPr>
              <w:t>Interest</w:t>
            </w:r>
          </w:p>
        </w:tc>
        <w:tc>
          <w:tcPr>
            <w:tcW w:type="dxa" w:w="2880"/>
            <w:shd w:val="clear" w:color="auto" w:fill="1F3355"/>
          </w:tcPr>
          <w:p>
            <w:pPr>
              <w:spacing w:before="60" w:after="60"/>
              <w:jc w:val="center"/>
            </w:pPr>
            <w:r/>
            <w:r>
              <w:rPr>
                <w:rFonts w:ascii="Times New Roman" w:hAnsi="Times New Roman"/>
                <w:b/>
                <w:color w:val="FFFFFF"/>
                <w:sz w:val="18"/>
              </w:rPr>
              <w:t>Role</w:t>
            </w:r>
          </w:p>
        </w:tc>
      </w:tr>
      <w:tr>
        <w:trPr>
          <w:cantSplit w:val="true"/>
        </w:trPr>
        <w:tc>
          <w:tcPr>
            <w:tcW w:type="dxa" w:w="3456"/>
          </w:tcPr>
          <w:p>
            <w:pPr>
              <w:spacing w:before="40" w:after="40"/>
              <w:jc w:val="left"/>
            </w:pPr>
            <w:r/>
            <w:r>
              <w:rPr>
                <w:rFonts w:ascii="Times New Roman" w:hAnsi="Times New Roman"/>
                <w:b w:val="0"/>
                <w:i w:val="0"/>
                <w:sz w:val="18"/>
              </w:rPr>
              <w:t>Elena Vasquez-Torres</w:t>
            </w:r>
          </w:p>
        </w:tc>
        <w:tc>
          <w:tcPr>
            <w:tcW w:type="dxa" w:w="1944"/>
          </w:tcPr>
          <w:p>
            <w:pPr>
              <w:spacing w:before="40" w:after="40"/>
              <w:jc w:val="left"/>
            </w:pPr>
            <w:r/>
            <w:r>
              <w:rPr>
                <w:rFonts w:ascii="Times New Roman" w:hAnsi="Times New Roman"/>
                <w:b w:val="0"/>
                <w:i w:val="0"/>
                <w:sz w:val="18"/>
              </w:rPr>
              <w:t>Individual</w:t>
            </w:r>
          </w:p>
        </w:tc>
        <w:tc>
          <w:tcPr>
            <w:tcW w:type="dxa" w:w="1008"/>
          </w:tcPr>
          <w:p>
            <w:pPr>
              <w:spacing w:before="40" w:after="40"/>
              <w:jc w:val="right"/>
            </w:pPr>
            <w:r/>
            <w:r>
              <w:rPr>
                <w:rFonts w:ascii="Times New Roman" w:hAnsi="Times New Roman"/>
                <w:b w:val="0"/>
                <w:i w:val="0"/>
                <w:sz w:val="18"/>
              </w:rPr>
              <w:t>62%</w:t>
            </w:r>
          </w:p>
        </w:tc>
        <w:tc>
          <w:tcPr>
            <w:tcW w:type="dxa" w:w="2880"/>
          </w:tcPr>
          <w:p>
            <w:pPr>
              <w:spacing w:before="40" w:after="40"/>
              <w:jc w:val="left"/>
            </w:pPr>
            <w:r/>
            <w:r>
              <w:rPr>
                <w:rFonts w:ascii="Times New Roman" w:hAnsi="Times New Roman"/>
                <w:b w:val="0"/>
                <w:i w:val="0"/>
                <w:sz w:val="18"/>
              </w:rPr>
              <w:t>Managing Member; Guarantor; pledgor</w:t>
            </w:r>
          </w:p>
        </w:tc>
      </w:tr>
      <w:tr>
        <w:trPr>
          <w:cantSplit w:val="true"/>
        </w:trPr>
        <w:tc>
          <w:tcPr>
            <w:tcW w:type="dxa" w:w="3456"/>
            <w:shd w:val="clear" w:color="auto" w:fill="F7F8FA"/>
          </w:tcPr>
          <w:p>
            <w:pPr>
              <w:spacing w:before="40" w:after="40"/>
              <w:jc w:val="left"/>
            </w:pPr>
            <w:r/>
            <w:r>
              <w:rPr>
                <w:rFonts w:ascii="Times New Roman" w:hAnsi="Times New Roman"/>
                <w:b w:val="0"/>
                <w:i w:val="0"/>
                <w:sz w:val="18"/>
              </w:rPr>
              <w:t>Brightleaf Investors Group LLC (NC SOS No. 2045612)</w:t>
            </w:r>
          </w:p>
        </w:tc>
        <w:tc>
          <w:tcPr>
            <w:tcW w:type="dxa" w:w="1944"/>
            <w:shd w:val="clear" w:color="auto" w:fill="F7F8FA"/>
          </w:tcPr>
          <w:p>
            <w:pPr>
              <w:spacing w:before="40" w:after="40"/>
              <w:jc w:val="left"/>
            </w:pPr>
            <w:r/>
            <w:r>
              <w:rPr>
                <w:rFonts w:ascii="Times New Roman" w:hAnsi="Times New Roman"/>
                <w:b w:val="0"/>
                <w:i w:val="0"/>
                <w:sz w:val="18"/>
              </w:rPr>
              <w:t>North Carolina LLC</w:t>
            </w:r>
          </w:p>
        </w:tc>
        <w:tc>
          <w:tcPr>
            <w:tcW w:type="dxa" w:w="1008"/>
            <w:shd w:val="clear" w:color="auto" w:fill="F7F8FA"/>
          </w:tcPr>
          <w:p>
            <w:pPr>
              <w:spacing w:before="40" w:after="40"/>
              <w:jc w:val="right"/>
            </w:pPr>
            <w:r/>
            <w:r>
              <w:rPr>
                <w:rFonts w:ascii="Times New Roman" w:hAnsi="Times New Roman"/>
                <w:b w:val="0"/>
                <w:i w:val="0"/>
                <w:sz w:val="18"/>
              </w:rPr>
              <w:t>28%</w:t>
            </w:r>
          </w:p>
        </w:tc>
        <w:tc>
          <w:tcPr>
            <w:tcW w:type="dxa" w:w="2880"/>
            <w:shd w:val="clear" w:color="auto" w:fill="F7F8FA"/>
          </w:tcPr>
          <w:p>
            <w:pPr>
              <w:spacing w:before="40" w:after="40"/>
              <w:jc w:val="left"/>
            </w:pPr>
            <w:r/>
            <w:r>
              <w:rPr>
                <w:rFonts w:ascii="Times New Roman" w:hAnsi="Times New Roman"/>
                <w:b w:val="0"/>
                <w:i w:val="0"/>
                <w:sz w:val="18"/>
              </w:rPr>
              <w:t>Member; Affiliate of Mezzanine Lender; pledgor</w:t>
            </w:r>
          </w:p>
        </w:tc>
      </w:tr>
      <w:tr>
        <w:trPr>
          <w:cantSplit w:val="true"/>
        </w:trPr>
        <w:tc>
          <w:tcPr>
            <w:tcW w:type="dxa" w:w="3456"/>
          </w:tcPr>
          <w:p>
            <w:pPr>
              <w:spacing w:before="40" w:after="40"/>
              <w:jc w:val="left"/>
            </w:pPr>
            <w:r/>
            <w:r>
              <w:rPr>
                <w:rFonts w:ascii="Times New Roman" w:hAnsi="Times New Roman"/>
                <w:b w:val="0"/>
                <w:i w:val="0"/>
                <w:sz w:val="18"/>
              </w:rPr>
              <w:t>Reginald K. Osei</w:t>
            </w:r>
          </w:p>
        </w:tc>
        <w:tc>
          <w:tcPr>
            <w:tcW w:type="dxa" w:w="1944"/>
          </w:tcPr>
          <w:p>
            <w:pPr>
              <w:spacing w:before="40" w:after="40"/>
              <w:jc w:val="left"/>
            </w:pPr>
            <w:r/>
            <w:r>
              <w:rPr>
                <w:rFonts w:ascii="Times New Roman" w:hAnsi="Times New Roman"/>
                <w:b w:val="0"/>
                <w:i w:val="0"/>
                <w:sz w:val="18"/>
              </w:rPr>
              <w:t>Individual</w:t>
            </w:r>
          </w:p>
        </w:tc>
        <w:tc>
          <w:tcPr>
            <w:tcW w:type="dxa" w:w="1008"/>
          </w:tcPr>
          <w:p>
            <w:pPr>
              <w:spacing w:before="40" w:after="40"/>
              <w:jc w:val="right"/>
            </w:pPr>
            <w:r/>
            <w:r>
              <w:rPr>
                <w:rFonts w:ascii="Times New Roman" w:hAnsi="Times New Roman"/>
                <w:b w:val="0"/>
                <w:i w:val="0"/>
                <w:sz w:val="18"/>
              </w:rPr>
              <w:t>10%</w:t>
            </w:r>
          </w:p>
        </w:tc>
        <w:tc>
          <w:tcPr>
            <w:tcW w:type="dxa" w:w="2880"/>
          </w:tcPr>
          <w:p>
            <w:pPr>
              <w:spacing w:before="40" w:after="40"/>
              <w:jc w:val="left"/>
            </w:pPr>
            <w:r/>
            <w:r>
              <w:rPr>
                <w:rFonts w:ascii="Times New Roman" w:hAnsi="Times New Roman"/>
                <w:b w:val="0"/>
                <w:i w:val="0"/>
                <w:sz w:val="18"/>
              </w:rPr>
              <w:t>Member; Guarantor; pledgor</w:t>
            </w:r>
          </w:p>
        </w:tc>
      </w:tr>
      <w:tr>
        <w:trPr>
          <w:cantSplit w:val="true"/>
        </w:trPr>
        <w:tc>
          <w:tcPr>
            <w:tcW w:type="dxa" w:w="3456"/>
            <w:shd w:val="clear" w:color="auto" w:fill="EDEFF3"/>
          </w:tcPr>
          <w:p>
            <w:pPr>
              <w:spacing w:before="40" w:after="40"/>
              <w:jc w:val="left"/>
            </w:pPr>
            <w:r/>
            <w:r>
              <w:rPr>
                <w:rFonts w:ascii="Times New Roman" w:hAnsi="Times New Roman"/>
                <w:b/>
                <w:i w:val="0"/>
                <w:sz w:val="18"/>
              </w:rPr>
              <w:t>TOTAL</w:t>
            </w:r>
          </w:p>
        </w:tc>
        <w:tc>
          <w:tcPr>
            <w:tcW w:type="dxa" w:w="1944"/>
            <w:shd w:val="clear" w:color="auto" w:fill="EDEFF3"/>
          </w:tcPr>
          <w:p>
            <w:pPr>
              <w:spacing w:before="40" w:after="40"/>
              <w:jc w:val="left"/>
            </w:pPr>
            <w:r/>
          </w:p>
        </w:tc>
        <w:tc>
          <w:tcPr>
            <w:tcW w:type="dxa" w:w="1008"/>
            <w:shd w:val="clear" w:color="auto" w:fill="EDEFF3"/>
          </w:tcPr>
          <w:p>
            <w:pPr>
              <w:spacing w:before="40" w:after="40"/>
              <w:jc w:val="right"/>
            </w:pPr>
            <w:r/>
            <w:r>
              <w:rPr>
                <w:rFonts w:ascii="Times New Roman" w:hAnsi="Times New Roman"/>
                <w:b/>
                <w:i w:val="0"/>
                <w:sz w:val="18"/>
              </w:rPr>
              <w:t>100%</w:t>
            </w:r>
          </w:p>
        </w:tc>
        <w:tc>
          <w:tcPr>
            <w:tcW w:type="dxa" w:w="2880"/>
            <w:shd w:val="clear" w:color="auto" w:fill="EDEFF3"/>
          </w:tcPr>
          <w:p>
            <w:pPr>
              <w:spacing w:before="40" w:after="40"/>
              <w:jc w:val="left"/>
            </w:pPr>
            <w:r/>
          </w:p>
        </w:tc>
      </w:tr>
    </w:tbl>
    <w:p>
      <w:pPr>
        <w:spacing w:after="40"/>
      </w:pPr>
    </w:p>
    <w:p>
      <w:r>
        <w:br w:type="page"/>
      </w:r>
    </w:p>
    <w:p>
      <w:pPr>
        <w:pStyle w:val="Heading1"/>
        <w:spacing w:before="360"/>
      </w:pPr>
      <w:r>
        <w:rPr>
          <w:rFonts w:ascii="Times New Roman" w:hAnsi="Times New Roman"/>
          <w:b/>
          <w:sz w:val="24"/>
        </w:rPr>
        <w:t>SCHEDULE 7 — NOTICE ADDRESSES</w:t>
      </w:r>
    </w:p>
    <w:p>
      <w:pPr>
        <w:pStyle w:val="Heading2"/>
      </w:pPr>
      <w:r>
        <w:rPr>
          <w:rFonts w:ascii="Times New Roman" w:hAnsi="Times New Roman"/>
          <w:b/>
          <w:sz w:val="22"/>
        </w:rPr>
        <w:t>Lender</w:t>
      </w:r>
    </w:p>
    <w:p>
      <w:r>
        <w:rPr>
          <w:rFonts w:ascii="Times New Roman" w:hAnsi="Times New Roman"/>
          <w:b w:val="0"/>
          <w:i w:val="0"/>
          <w:sz w:val="20"/>
        </w:rPr>
        <w:t>Pinnacle Savings Bank, N.A.</w:t>
        <w:br/>
        <w:t>Commercial Real Estate Lending Division</w:t>
        <w:br/>
        <w:t>215 South Tryon Street, 18th Floor</w:t>
        <w:br/>
        <w:t>Charlotte, North Carolina 28202</w:t>
        <w:br/>
        <w:t>Attention: David Forsythe, Senior Vice President</w:t>
        <w:br/>
        <w:t>Email: dforsythe@pinnaclebank.example</w:t>
      </w:r>
    </w:p>
    <w:p>
      <w:pPr>
        <w:spacing w:before="120"/>
      </w:pPr>
      <w:r>
        <w:rPr>
          <w:rFonts w:ascii="Times New Roman" w:hAnsi="Times New Roman"/>
          <w:b w:val="0"/>
          <w:i/>
          <w:sz w:val="20"/>
        </w:rPr>
        <w:t>With a copy to (which shall not constitute notice):</w:t>
      </w:r>
    </w:p>
    <w:p>
      <w:r>
        <w:rPr>
          <w:rFonts w:ascii="Times New Roman" w:hAnsi="Times New Roman"/>
          <w:b w:val="0"/>
          <w:i w:val="0"/>
          <w:sz w:val="20"/>
        </w:rPr>
        <w:t>Ashford, Cromdale Consulting &amp; Laine LLP</w:t>
        <w:br/>
        <w:t>411 South Tryon Street, Suite 2800</w:t>
        <w:br/>
        <w:t>Charlotte, North Carolina 28202</w:t>
        <w:br/>
        <w:t>Attention: Katharine Drummond; Marcus Webb</w:t>
      </w:r>
    </w:p>
    <w:p>
      <w:pPr>
        <w:pStyle w:val="Heading2"/>
      </w:pPr>
      <w:r>
        <w:rPr>
          <w:rFonts w:ascii="Times New Roman" w:hAnsi="Times New Roman"/>
          <w:b/>
          <w:sz w:val="22"/>
        </w:rPr>
        <w:t>Borrower</w:t>
      </w:r>
    </w:p>
    <w:p>
      <w:r>
        <w:rPr>
          <w:rFonts w:ascii="Times New Roman" w:hAnsi="Times New Roman"/>
          <w:b w:val="0"/>
          <w:i w:val="0"/>
          <w:sz w:val="20"/>
        </w:rPr>
        <w:t>Harborview Capital Partners LLC</w:t>
        <w:br/>
        <w:t>400 West Main Street, Suite 310</w:t>
        <w:br/>
        <w:t>Durham, North Carolina 27701</w:t>
        <w:br/>
        <w:t>Attention: Elena Vasquez-Torres, Managing Member</w:t>
      </w:r>
    </w:p>
    <w:p>
      <w:pPr>
        <w:spacing w:before="120"/>
      </w:pPr>
      <w:r>
        <w:rPr>
          <w:rFonts w:ascii="Times New Roman" w:hAnsi="Times New Roman"/>
          <w:b w:val="0"/>
          <w:i/>
          <w:sz w:val="20"/>
        </w:rPr>
        <w:t>With a copy to (which shall not constitute notice):</w:t>
      </w:r>
    </w:p>
    <w:p>
      <w:r>
        <w:rPr>
          <w:rFonts w:ascii="Times New Roman" w:hAnsi="Times New Roman"/>
          <w:b w:val="0"/>
          <w:i w:val="0"/>
          <w:sz w:val="20"/>
        </w:rPr>
        <w:t>Calloway &amp; Strauss PLLC</w:t>
        <w:br/>
        <w:t>324 Blackwell Street, Suite 200</w:t>
        <w:br/>
        <w:t>Durham, North Carolina 27701</w:t>
        <w:br/>
        <w:t>Attention: Jonathan F. Ngo</w:t>
      </w:r>
    </w:p>
    <w:p>
      <w:pPr>
        <w:pStyle w:val="Heading2"/>
      </w:pPr>
      <w:r>
        <w:rPr>
          <w:rFonts w:ascii="Times New Roman" w:hAnsi="Times New Roman"/>
          <w:b/>
          <w:sz w:val="22"/>
        </w:rPr>
        <w:t>Guarantors</w:t>
      </w:r>
    </w:p>
    <w:p>
      <w:r>
        <w:rPr>
          <w:rFonts w:ascii="Times New Roman" w:hAnsi="Times New Roman"/>
          <w:b w:val="0"/>
          <w:i w:val="0"/>
          <w:sz w:val="20"/>
        </w:rPr>
        <w:t>Elena Vasquez-Torres</w:t>
        <w:br/>
        <w:t>[Address to be confirmed — Durham, North Carolina]</w:t>
        <w:br/>
        <w:t>Reginald K. Osei</w:t>
        <w:br/>
        <w:t>[Address to be confirmed — Chapel Hill, North Carolina]</w:t>
      </w:r>
    </w:p>
    <w:p>
      <w:pPr>
        <w:pStyle w:val="Heading2"/>
      </w:pPr>
      <w:r>
        <w:rPr>
          <w:rFonts w:ascii="Times New Roman" w:hAnsi="Times New Roman"/>
          <w:b/>
          <w:sz w:val="22"/>
        </w:rPr>
        <w:t>Title Company</w:t>
      </w:r>
    </w:p>
    <w:p>
      <w:r>
        <w:rPr>
          <w:rFonts w:ascii="Times New Roman" w:hAnsi="Times New Roman"/>
          <w:b w:val="0"/>
          <w:i w:val="0"/>
          <w:sz w:val="20"/>
        </w:rPr>
        <w:t>Aldersgate Title &amp; Escrow Inc.</w:t>
        <w:br/>
        <w:t>307 West Chapel Hill Street, Suite 400</w:t>
        <w:br/>
        <w:t>Durham, North Carolina 27701</w:t>
        <w:br/>
        <w:t>Attention: Patricia Langley, Escrow Officer</w:t>
      </w:r>
    </w:p>
    <w:p>
      <w:r>
        <w:br w:type="page"/>
      </w:r>
    </w:p>
    <w:p>
      <w:pPr>
        <w:pStyle w:val="Heading1"/>
        <w:spacing w:before="360"/>
      </w:pPr>
      <w:r>
        <w:rPr>
          <w:rFonts w:ascii="Times New Roman" w:hAnsi="Times New Roman"/>
          <w:b/>
          <w:sz w:val="24"/>
        </w:rPr>
        <w:t>EXHIBIT A — LEGAL DESCRIPTION</w:t>
      </w:r>
    </w:p>
    <w:p>
      <w:r>
        <w:rPr>
          <w:rFonts w:ascii="Times New Roman" w:hAnsi="Times New Roman"/>
          <w:b w:val="0"/>
          <w:i w:val="0"/>
        </w:rPr>
        <w:t>The Land is described as follows, as confirmed by the ALTA/NSPS survey to be delivered under Section 3.4:</w:t>
      </w:r>
    </w:p>
    <w:p>
      <w:r>
        <w:rPr>
          <w:rFonts w:ascii="Times New Roman" w:hAnsi="Times New Roman"/>
          <w:b w:val="0"/>
          <w:i w:val="0"/>
          <w:sz w:val="20"/>
        </w:rPr>
        <w:t>Parcel 1 (Durham County PIN 0821-04-72-3341 — 601 Foster Street): being all of that certain lot, tract or parcel situated in the City of Durham, Durham County, North Carolina, BEGINNING at an existing iron pipe in the eastern right-of-way margin of Foster Street (60-foot public right-of-way), South 02°14'33” West, 312.47 feet from the intersection of the eastern right-of-way margin of Foster Street with the southern right-of-way margin of West Corporation Street; thence South 02°14'33” West 298.62 feet; thence South 87°45'27” East 305.41 feet; thence North 02°14'33” East 298.62 feet; thence North 87°45'27” West 305.41 feet to the point of BEGINNING, containing approximately 2.09 acres, as shown on the plat recorded in Plat Book 218, Page 47, Durham County Registry, and being the same property conveyed to Harborview Capital Partners LLC by Special Warranty Deed recorded in Book 7598, Page 443.</w:t>
      </w:r>
    </w:p>
    <w:p>
      <w:r>
        <w:rPr>
          <w:rFonts w:ascii="Times New Roman" w:hAnsi="Times New Roman"/>
          <w:b w:val="0"/>
          <w:i w:val="0"/>
          <w:sz w:val="20"/>
        </w:rPr>
        <w:t>Parcel 2 (Durham County PIN 0821-04-72-4102 — 615 Foster Street): BEGINNING at an existing iron pipe in the eastern right-of-way margin of Foster Street, being the southwestern corner of Parcel 1; thence South 02°14'33” West 201.88 feet; thence South 87°45'27” East 297.63 feet; thence North 02°14'33” East 201.88 feet; thence along the southern boundary of Parcel 1, North 87°45'27” West 297.63 feet to the point of BEGINNING, containing approximately 1.38 acres, as shown on the plat recorded in Plat Book 218, Page 48, Durham County Registry, and being the same property conveyed to Harborview Capital Partners LLC by Special Warranty Deed recorded in Book 7598, Page 445.</w:t>
      </w:r>
    </w:p>
    <w:p>
      <w:r>
        <w:rPr>
          <w:rFonts w:ascii="Times New Roman" w:hAnsi="Times New Roman"/>
          <w:b w:val="0"/>
          <w:i/>
          <w:sz w:val="20"/>
        </w:rPr>
        <w:t>Total combined land area: approximately 3.47 acres (151,288 square feet per the metes and bounds).</w:t>
      </w:r>
    </w:p>
    <w:p>
      <w:r>
        <w:rPr>
          <w:rFonts w:ascii="Times New Roman" w:hAnsi="Times New Roman"/>
          <w:b w:val="0"/>
          <w:i w:val="0"/>
          <w:sz w:val="18"/>
        </w:rPr>
        <w:t>[Drafting Note: The descriptions above are transcribed from Schedule A of Commitment No. NC-2024-88712 and are subject to confirmation by the ALTA survey. The acreages reconcile to the metes and bounds (2.094 and 1.379 acres; 3.473 acres combined), which indicates that the parcel acreages stated in the Phase I ESA (1.89 and 1.58 acres) are incorrect. The Phase I ESA also describes Parcel 0821-04-72-3341 as the western parcel and Parcel 0821-04-72-4102 as the eastern parcel with frontage on Foster Street to the north, which is inconsistent with the legal descriptions (north and south parcels, Foster Street along the western boundary) and with the appraisal (approximately 420 feet of frontage along Foster Street on the western boundary, against 500.50 feet per the metes and bounds). The location of the 0.38-acre Affected Area must be fixed by survey before the non-residential use restriction can be reconciled to the building plans. See Cover Memorandum Issue No. 7.]</w:t>
      </w:r>
    </w:p>
    <w:p>
      <w:r>
        <w:br w:type="page"/>
      </w:r>
    </w:p>
    <w:p>
      <w:pPr>
        <w:pStyle w:val="Heading1"/>
        <w:spacing w:before="360"/>
      </w:pPr>
      <w:r>
        <w:rPr>
          <w:rFonts w:ascii="Times New Roman" w:hAnsi="Times New Roman"/>
          <w:b/>
          <w:sz w:val="24"/>
        </w:rPr>
        <w:t>EXHIBIT B — FORM OF DRAW REQUEST AND BORROWER'S CERTIFICATE</w:t>
      </w:r>
    </w:p>
    <w:p>
      <w:r>
        <w:rPr>
          <w:rFonts w:ascii="Times New Roman" w:hAnsi="Times New Roman"/>
          <w:b w:val="0"/>
          <w:i w:val="0"/>
        </w:rPr>
        <w:t>Draw Request No. ____  Dated: ____________  Requested Advance Date: ____________  Amount Requested: $__________</w:t>
      </w:r>
    </w:p>
    <w:p>
      <w:r>
        <w:rPr>
          <w:rFonts w:ascii="Times New Roman" w:hAnsi="Times New Roman"/>
          <w:b w:val="0"/>
          <w:i w:val="0"/>
          <w:sz w:val="20"/>
        </w:rPr>
        <w:t>To: Pinnacle Savings Bank, N.A., Commercial Real Estate Lending Division, 215 South Tryon Street, 18th Floor, Charlotte, North Carolina 28202.</w:t>
      </w:r>
    </w:p>
    <w:p>
      <w:pPr>
        <w:spacing w:before="160"/>
      </w:pPr>
      <w:r>
        <w:rPr>
          <w:rFonts w:ascii="Times New Roman" w:hAnsi="Times New Roman"/>
          <w:b w:val="0"/>
          <w:i w:val="0"/>
          <w:sz w:val="20"/>
        </w:rPr>
        <w:t>The undersigned, on behalf of Harborview Capital Partners LLC, certifies to Pinnacle Savings Bank, N.A. as follows:</w:t>
      </w:r>
    </w:p>
    <w:p>
      <w:pPr>
        <w:tabs>
          <w:tab w:pos="576" w:val="left"/>
        </w:tabs>
        <w:spacing w:after="140"/>
        <w:ind w:left="576" w:hanging="360"/>
      </w:pPr>
      <w:r>
        <w:rPr>
          <w:rFonts w:ascii="Times New Roman" w:hAnsi="Times New Roman"/>
          <w:b w:val="0"/>
          <w:sz w:val="20"/>
        </w:rPr>
        <w:t>(1)</w:t>
        <w:tab/>
      </w:r>
      <w:r>
        <w:rPr>
          <w:rFonts w:ascii="Times New Roman" w:hAnsi="Times New Roman"/>
          <w:b w:val="0"/>
          <w:i w:val="0"/>
          <w:sz w:val="20"/>
        </w:rPr>
        <w:t>The milestone described as Draw No. ____ in Schedule 1 has been achieved as of ____________, and the work has been performed in accordance with the Approved Plans and Specifications.</w:t>
      </w:r>
    </w:p>
    <w:p>
      <w:pPr>
        <w:tabs>
          <w:tab w:pos="576" w:val="left"/>
        </w:tabs>
        <w:spacing w:after="140"/>
        <w:ind w:left="576" w:hanging="360"/>
      </w:pPr>
      <w:r>
        <w:rPr>
          <w:rFonts w:ascii="Times New Roman" w:hAnsi="Times New Roman"/>
          <w:b w:val="0"/>
          <w:sz w:val="20"/>
        </w:rPr>
        <w:t>(2)</w:t>
        <w:tab/>
      </w:r>
      <w:r>
        <w:rPr>
          <w:rFonts w:ascii="Times New Roman" w:hAnsi="Times New Roman"/>
          <w:b w:val="0"/>
          <w:i w:val="0"/>
          <w:sz w:val="20"/>
        </w:rPr>
        <w:t>The aggregate amount requested does not exceed the applicable line item of the Approved Project Budget, and the undisbursed Loan proceeds, the Contingency and Borrower's equity are sufficient to complete the Project, as confirmed by the Construction Inspector and the attached budget reconciliation.</w:t>
      </w:r>
    </w:p>
    <w:p>
      <w:pPr>
        <w:tabs>
          <w:tab w:pos="576" w:val="left"/>
        </w:tabs>
        <w:spacing w:after="140"/>
        <w:ind w:left="576" w:hanging="360"/>
      </w:pPr>
      <w:r>
        <w:rPr>
          <w:rFonts w:ascii="Times New Roman" w:hAnsi="Times New Roman"/>
          <w:b w:val="0"/>
          <w:sz w:val="20"/>
        </w:rPr>
        <w:t>(3)</w:t>
        <w:tab/>
      </w:r>
      <w:r>
        <w:rPr>
          <w:rFonts w:ascii="Times New Roman" w:hAnsi="Times New Roman"/>
          <w:b w:val="0"/>
          <w:i w:val="0"/>
          <w:sz w:val="20"/>
        </w:rPr>
        <w:t>Attached are the AIA G702 and G703 applications certified by the Architect and the general contractor, conditional partial lien waivers from the general contractor and all subcontractors and suppliers, the Construction Inspector's report, the title date-down endorsement, evidence of insurance, and the interest reserve adequacy certification required by Section 5.4.</w:t>
      </w:r>
    </w:p>
    <w:p>
      <w:pPr>
        <w:tabs>
          <w:tab w:pos="576" w:val="left"/>
        </w:tabs>
        <w:spacing w:after="140"/>
        <w:ind w:left="576" w:hanging="360"/>
      </w:pPr>
      <w:r>
        <w:rPr>
          <w:rFonts w:ascii="Times New Roman" w:hAnsi="Times New Roman"/>
          <w:b w:val="0"/>
          <w:sz w:val="20"/>
        </w:rPr>
        <w:t>(4)</w:t>
        <w:tab/>
      </w:r>
      <w:r>
        <w:rPr>
          <w:rFonts w:ascii="Times New Roman" w:hAnsi="Times New Roman"/>
          <w:b w:val="0"/>
          <w:i w:val="0"/>
          <w:sz w:val="20"/>
        </w:rPr>
        <w:t>No Default or Event of Default exists, and each representation and warranty in Article VI is true and correct in all material respects as of the date hereof.</w:t>
      </w:r>
    </w:p>
    <w:p>
      <w:pPr>
        <w:tabs>
          <w:tab w:pos="576" w:val="left"/>
        </w:tabs>
        <w:spacing w:after="140"/>
        <w:ind w:left="576" w:hanging="360"/>
      </w:pPr>
      <w:r>
        <w:rPr>
          <w:rFonts w:ascii="Times New Roman" w:hAnsi="Times New Roman"/>
          <w:b w:val="0"/>
          <w:sz w:val="20"/>
        </w:rPr>
        <w:t>(5)</w:t>
        <w:tab/>
      </w:r>
      <w:r>
        <w:rPr>
          <w:rFonts w:ascii="Times New Roman" w:hAnsi="Times New Roman"/>
          <w:b w:val="0"/>
          <w:i w:val="0"/>
          <w:sz w:val="20"/>
        </w:rPr>
        <w:t>The work covered by this Draw Request does not include any work in or over the Affected Area, or, if it does, the requirements of Section 12.7 have been satisfied and attached hereto.</w:t>
      </w:r>
    </w:p>
    <w:p>
      <w:pPr>
        <w:tabs>
          <w:tab w:pos="576" w:val="left"/>
        </w:tabs>
        <w:spacing w:after="140"/>
        <w:ind w:left="576" w:hanging="360"/>
      </w:pPr>
      <w:r>
        <w:rPr>
          <w:rFonts w:ascii="Times New Roman" w:hAnsi="Times New Roman"/>
          <w:b w:val="0"/>
          <w:sz w:val="20"/>
        </w:rPr>
        <w:t>(6)</w:t>
        <w:tab/>
      </w:r>
      <w:r>
        <w:rPr>
          <w:rFonts w:ascii="Times New Roman" w:hAnsi="Times New Roman"/>
          <w:b w:val="0"/>
          <w:i w:val="0"/>
          <w:sz w:val="20"/>
        </w:rPr>
        <w:t>Borrower's equity has been fully disbursed and applied to Project costs, other than with respect to Draw No. 1.</w:t>
      </w:r>
    </w:p>
    <w:p>
      <w:pPr>
        <w:spacing w:before="280"/>
      </w:pPr>
      <w:r>
        <w:rPr>
          <w:rFonts w:ascii="Times New Roman" w:hAnsi="Times New Roman"/>
          <w:b/>
          <w:i w:val="0"/>
          <w:sz w:val="20"/>
        </w:rPr>
        <w:t>HARBORVIEW CAPITAL PARTNERS LLC</w:t>
      </w:r>
    </w:p>
    <w:p>
      <w:r>
        <w:rPr>
          <w:rFonts w:ascii="Times New Roman" w:hAnsi="Times New Roman"/>
          <w:b w:val="0"/>
          <w:i w:val="0"/>
          <w:sz w:val="20"/>
        </w:rPr>
        <w:t>By: ______________________________     Name: Elena Vasquez-Torres     Title: Managing Member</w:t>
      </w:r>
    </w:p>
    <w:p>
      <w:pPr>
        <w:spacing w:before="200"/>
      </w:pPr>
      <w:r>
        <w:rPr>
          <w:rFonts w:ascii="Times New Roman" w:hAnsi="Times New Roman"/>
          <w:b w:val="0"/>
          <w:i w:val="0"/>
          <w:sz w:val="20"/>
        </w:rPr>
        <w:t>Certified by: __________________________ (Construction Inspector)     Date: ______________</w:t>
      </w:r>
    </w:p>
    <w:p>
      <w:r>
        <w:br w:type="page"/>
      </w:r>
    </w:p>
    <w:p>
      <w:pPr>
        <w:pStyle w:val="Heading1"/>
        <w:spacing w:before="360"/>
      </w:pPr>
      <w:r>
        <w:rPr>
          <w:rFonts w:ascii="Times New Roman" w:hAnsi="Times New Roman"/>
          <w:b/>
          <w:sz w:val="24"/>
        </w:rPr>
        <w:t>EXHIBIT C — FORM OF COMPLIANCE CERTIFICATE</w:t>
      </w:r>
    </w:p>
    <w:p>
      <w:r>
        <w:rPr>
          <w:rFonts w:ascii="Times New Roman" w:hAnsi="Times New Roman"/>
          <w:b w:val="0"/>
          <w:i w:val="0"/>
          <w:sz w:val="20"/>
        </w:rPr>
        <w:t>The undersigned, the Managing Member of Harborview Capital Partners LLC, certifies to Pinnacle Savings Bank, N.A. that, as of ____________ (the “Test Date”), the following calculations are true and correct and were derived from the books and records of Borrower:</w:t>
      </w:r>
    </w:p>
    <w:tbl>
      <w:tblPr>
        <w:tblStyle w:val="TableGrid"/>
        <w:tblW w:type="auto" w:w="0"/>
        <w:jc w:val="center"/>
        <w:tblLayout w:type="fixed"/>
        <w:tblLook w:firstColumn="1" w:firstRow="1" w:lastColumn="0" w:lastRow="0" w:noHBand="0" w:noVBand="1" w:val="04A0"/>
      </w:tblPr>
      <w:tblGrid>
        <w:gridCol w:w="5256"/>
        <w:gridCol w:w="2016"/>
        <w:gridCol w:w="2016"/>
      </w:tblGrid>
      <w:tr>
        <w:trPr>
          <w:tblHeader w:val="true"/>
        </w:trPr>
        <w:tc>
          <w:tcPr>
            <w:tcW w:type="dxa" w:w="5256"/>
            <w:shd w:val="clear" w:color="auto" w:fill="1F3355"/>
          </w:tcPr>
          <w:p>
            <w:pPr>
              <w:spacing w:before="60" w:after="60"/>
              <w:jc w:val="center"/>
            </w:pPr>
            <w:r/>
            <w:r>
              <w:rPr>
                <w:rFonts w:ascii="Times New Roman" w:hAnsi="Times New Roman"/>
                <w:b/>
                <w:color w:val="FFFFFF"/>
                <w:sz w:val="18"/>
              </w:rPr>
              <w:t>Covenant</w:t>
            </w:r>
          </w:p>
        </w:tc>
        <w:tc>
          <w:tcPr>
            <w:tcW w:type="dxa" w:w="2016"/>
            <w:shd w:val="clear" w:color="auto" w:fill="1F3355"/>
          </w:tcPr>
          <w:p>
            <w:pPr>
              <w:spacing w:before="60" w:after="60"/>
              <w:jc w:val="center"/>
            </w:pPr>
            <w:r/>
            <w:r>
              <w:rPr>
                <w:rFonts w:ascii="Times New Roman" w:hAnsi="Times New Roman"/>
                <w:b/>
                <w:color w:val="FFFFFF"/>
                <w:sz w:val="18"/>
              </w:rPr>
              <w:t>Amount</w:t>
            </w:r>
          </w:p>
        </w:tc>
        <w:tc>
          <w:tcPr>
            <w:tcW w:type="dxa" w:w="2016"/>
            <w:shd w:val="clear" w:color="auto" w:fill="1F3355"/>
          </w:tcPr>
          <w:p>
            <w:pPr>
              <w:spacing w:before="60" w:after="60"/>
              <w:jc w:val="center"/>
            </w:pPr>
            <w:r/>
            <w:r>
              <w:rPr>
                <w:rFonts w:ascii="Times New Roman" w:hAnsi="Times New Roman"/>
                <w:b/>
                <w:color w:val="FFFFFF"/>
                <w:sz w:val="18"/>
              </w:rPr>
              <w:t>Ratio</w:t>
            </w:r>
          </w:p>
        </w:tc>
      </w:tr>
      <w:tr>
        <w:trPr>
          <w:cantSplit w:val="true"/>
        </w:trPr>
        <w:tc>
          <w:tcPr>
            <w:tcW w:type="dxa" w:w="5256"/>
          </w:tcPr>
          <w:p>
            <w:pPr>
              <w:spacing w:before="40" w:after="40"/>
              <w:jc w:val="left"/>
            </w:pPr>
            <w:r/>
            <w:r>
              <w:rPr>
                <w:rFonts w:ascii="Times New Roman" w:hAnsi="Times New Roman"/>
                <w:b w:val="0"/>
                <w:i w:val="0"/>
                <w:sz w:val="18"/>
              </w:rPr>
              <w:t>Total Project Costs (Section 9.1(b) and (c))</w:t>
            </w:r>
          </w:p>
        </w:tc>
        <w:tc>
          <w:tcPr>
            <w:tcW w:type="dxa" w:w="2016"/>
          </w:tcPr>
          <w:p>
            <w:pPr>
              <w:spacing w:before="40" w:after="40"/>
              <w:jc w:val="left"/>
            </w:pPr>
            <w:r/>
            <w:r>
              <w:rPr>
                <w:rFonts w:ascii="Times New Roman" w:hAnsi="Times New Roman"/>
                <w:b w:val="0"/>
                <w:i w:val="0"/>
                <w:sz w:val="18"/>
              </w:rPr>
              <w:t>$</w:t>
            </w:r>
          </w:p>
        </w:tc>
        <w:tc>
          <w:tcPr>
            <w:tcW w:type="dxa" w:w="2016"/>
          </w:tcPr>
          <w:p>
            <w:pPr>
              <w:spacing w:before="40" w:after="40"/>
              <w:jc w:val="left"/>
            </w:pPr>
            <w:r/>
          </w:p>
        </w:tc>
      </w:tr>
      <w:tr>
        <w:trPr>
          <w:cantSplit w:val="true"/>
        </w:trPr>
        <w:tc>
          <w:tcPr>
            <w:tcW w:type="dxa" w:w="5256"/>
            <w:shd w:val="clear" w:color="auto" w:fill="F7F8FA"/>
          </w:tcPr>
          <w:p>
            <w:pPr>
              <w:spacing w:before="40" w:after="40"/>
              <w:jc w:val="left"/>
            </w:pPr>
            <w:r/>
            <w:r>
              <w:rPr>
                <w:rFonts w:ascii="Times New Roman" w:hAnsi="Times New Roman"/>
                <w:b w:val="0"/>
                <w:i w:val="0"/>
                <w:sz w:val="18"/>
              </w:rPr>
              <w:t>Outstanding principal balance of the Loan</w:t>
            </w:r>
          </w:p>
        </w:tc>
        <w:tc>
          <w:tcPr>
            <w:tcW w:type="dxa" w:w="2016"/>
            <w:shd w:val="clear" w:color="auto" w:fill="F7F8FA"/>
          </w:tcPr>
          <w:p>
            <w:pPr>
              <w:spacing w:before="40" w:after="40"/>
              <w:jc w:val="left"/>
            </w:pPr>
            <w:r/>
            <w:r>
              <w:rPr>
                <w:rFonts w:ascii="Times New Roman" w:hAnsi="Times New Roman"/>
                <w:b w:val="0"/>
                <w:i w:val="0"/>
                <w:sz w:val="18"/>
              </w:rPr>
              <w:t>$</w:t>
            </w:r>
          </w:p>
        </w:tc>
        <w:tc>
          <w:tcPr>
            <w:tcW w:type="dxa" w:w="2016"/>
            <w:shd w:val="clear" w:color="auto" w:fill="F7F8FA"/>
          </w:tcPr>
          <w:p>
            <w:pPr>
              <w:spacing w:before="40" w:after="40"/>
              <w:jc w:val="left"/>
            </w:pPr>
            <w:r/>
          </w:p>
        </w:tc>
      </w:tr>
      <w:tr>
        <w:trPr>
          <w:cantSplit w:val="true"/>
        </w:trPr>
        <w:tc>
          <w:tcPr>
            <w:tcW w:type="dxa" w:w="5256"/>
          </w:tcPr>
          <w:p>
            <w:pPr>
              <w:spacing w:before="40" w:after="40"/>
              <w:jc w:val="left"/>
            </w:pPr>
            <w:r/>
            <w:r>
              <w:rPr>
                <w:rFonts w:ascii="Times New Roman" w:hAnsi="Times New Roman"/>
                <w:b w:val="0"/>
                <w:i w:val="0"/>
                <w:sz w:val="18"/>
              </w:rPr>
              <w:t>Loan-to-Cost Ratio (maximum 80%)</w:t>
            </w:r>
          </w:p>
        </w:tc>
        <w:tc>
          <w:tcPr>
            <w:tcW w:type="dxa" w:w="2016"/>
          </w:tcPr>
          <w:p>
            <w:pPr>
              <w:spacing w:before="40" w:after="40"/>
              <w:jc w:val="left"/>
            </w:pPr>
            <w:r/>
          </w:p>
        </w:tc>
        <w:tc>
          <w:tcPr>
            <w:tcW w:type="dxa" w:w="2016"/>
          </w:tcPr>
          <w:p>
            <w:pPr>
              <w:spacing w:before="40" w:after="40"/>
              <w:jc w:val="left"/>
            </w:pPr>
            <w:r/>
            <w:r>
              <w:rPr>
                <w:rFonts w:ascii="Times New Roman" w:hAnsi="Times New Roman"/>
                <w:b w:val="0"/>
                <w:i w:val="0"/>
                <w:sz w:val="18"/>
              </w:rPr>
              <w:t>%</w:t>
            </w:r>
          </w:p>
        </w:tc>
      </w:tr>
      <w:tr>
        <w:trPr>
          <w:cantSplit w:val="true"/>
        </w:trPr>
        <w:tc>
          <w:tcPr>
            <w:tcW w:type="dxa" w:w="5256"/>
            <w:shd w:val="clear" w:color="auto" w:fill="F7F8FA"/>
          </w:tcPr>
          <w:p>
            <w:pPr>
              <w:spacing w:before="40" w:after="40"/>
              <w:jc w:val="left"/>
            </w:pPr>
            <w:r/>
            <w:r>
              <w:rPr>
                <w:rFonts w:ascii="Times New Roman" w:hAnsi="Times New Roman"/>
                <w:b w:val="0"/>
                <w:i w:val="0"/>
                <w:sz w:val="18"/>
              </w:rPr>
              <w:t>As-completed appraised value / Loan-to-Value (maximum 65%)</w:t>
            </w:r>
          </w:p>
        </w:tc>
        <w:tc>
          <w:tcPr>
            <w:tcW w:type="dxa" w:w="2016"/>
            <w:shd w:val="clear" w:color="auto" w:fill="F7F8FA"/>
          </w:tcPr>
          <w:p>
            <w:pPr>
              <w:spacing w:before="40" w:after="40"/>
              <w:jc w:val="left"/>
            </w:pPr>
            <w:r/>
            <w:r>
              <w:rPr>
                <w:rFonts w:ascii="Times New Roman" w:hAnsi="Times New Roman"/>
                <w:b w:val="0"/>
                <w:i w:val="0"/>
                <w:sz w:val="18"/>
              </w:rPr>
              <w:t>$</w:t>
            </w:r>
          </w:p>
        </w:tc>
        <w:tc>
          <w:tcPr>
            <w:tcW w:type="dxa" w:w="2016"/>
            <w:shd w:val="clear" w:color="auto" w:fill="F7F8FA"/>
          </w:tcPr>
          <w:p>
            <w:pPr>
              <w:spacing w:before="40" w:after="40"/>
              <w:jc w:val="left"/>
            </w:pPr>
            <w:r/>
            <w:r>
              <w:rPr>
                <w:rFonts w:ascii="Times New Roman" w:hAnsi="Times New Roman"/>
                <w:b w:val="0"/>
                <w:i w:val="0"/>
                <w:sz w:val="18"/>
              </w:rPr>
              <w:t>%</w:t>
            </w:r>
          </w:p>
        </w:tc>
      </w:tr>
      <w:tr>
        <w:trPr>
          <w:cantSplit w:val="true"/>
        </w:trPr>
        <w:tc>
          <w:tcPr>
            <w:tcW w:type="dxa" w:w="5256"/>
          </w:tcPr>
          <w:p>
            <w:pPr>
              <w:spacing w:before="40" w:after="40"/>
              <w:jc w:val="left"/>
            </w:pPr>
            <w:r/>
            <w:r>
              <w:rPr>
                <w:rFonts w:ascii="Times New Roman" w:hAnsi="Times New Roman"/>
                <w:b w:val="0"/>
                <w:i w:val="0"/>
                <w:sz w:val="18"/>
              </w:rPr>
              <w:t>As-stabilized appraised value / Loan-to-Value (maximum 65%)</w:t>
            </w:r>
          </w:p>
        </w:tc>
        <w:tc>
          <w:tcPr>
            <w:tcW w:type="dxa" w:w="2016"/>
          </w:tcPr>
          <w:p>
            <w:pPr>
              <w:spacing w:before="40" w:after="40"/>
              <w:jc w:val="left"/>
            </w:pPr>
            <w:r/>
            <w:r>
              <w:rPr>
                <w:rFonts w:ascii="Times New Roman" w:hAnsi="Times New Roman"/>
                <w:b w:val="0"/>
                <w:i w:val="0"/>
                <w:sz w:val="18"/>
              </w:rPr>
              <w:t>$</w:t>
            </w:r>
          </w:p>
        </w:tc>
        <w:tc>
          <w:tcPr>
            <w:tcW w:type="dxa" w:w="2016"/>
          </w:tcPr>
          <w:p>
            <w:pPr>
              <w:spacing w:before="40" w:after="40"/>
              <w:jc w:val="left"/>
            </w:pPr>
            <w:r/>
            <w:r>
              <w:rPr>
                <w:rFonts w:ascii="Times New Roman" w:hAnsi="Times New Roman"/>
                <w:b w:val="0"/>
                <w:i w:val="0"/>
                <w:sz w:val="18"/>
              </w:rPr>
              <w:t>%</w:t>
            </w:r>
          </w:p>
        </w:tc>
      </w:tr>
      <w:tr>
        <w:trPr>
          <w:cantSplit w:val="true"/>
        </w:trPr>
        <w:tc>
          <w:tcPr>
            <w:tcW w:type="dxa" w:w="5256"/>
            <w:shd w:val="clear" w:color="auto" w:fill="F7F8FA"/>
          </w:tcPr>
          <w:p>
            <w:pPr>
              <w:spacing w:before="40" w:after="40"/>
              <w:jc w:val="left"/>
            </w:pPr>
            <w:r/>
            <w:r>
              <w:rPr>
                <w:rFonts w:ascii="Times New Roman" w:hAnsi="Times New Roman"/>
                <w:b w:val="0"/>
                <w:i w:val="0"/>
                <w:sz w:val="18"/>
              </w:rPr>
              <w:t>Net operating income (trailing twelve months, annualized)</w:t>
            </w:r>
          </w:p>
        </w:tc>
        <w:tc>
          <w:tcPr>
            <w:tcW w:type="dxa" w:w="2016"/>
            <w:shd w:val="clear" w:color="auto" w:fill="F7F8FA"/>
          </w:tcPr>
          <w:p>
            <w:pPr>
              <w:spacing w:before="40" w:after="40"/>
              <w:jc w:val="left"/>
            </w:pPr>
            <w:r/>
            <w:r>
              <w:rPr>
                <w:rFonts w:ascii="Times New Roman" w:hAnsi="Times New Roman"/>
                <w:b w:val="0"/>
                <w:i w:val="0"/>
                <w:sz w:val="18"/>
              </w:rPr>
              <w:t>$</w:t>
            </w:r>
          </w:p>
        </w:tc>
        <w:tc>
          <w:tcPr>
            <w:tcW w:type="dxa" w:w="2016"/>
            <w:shd w:val="clear" w:color="auto" w:fill="F7F8FA"/>
          </w:tcPr>
          <w:p>
            <w:pPr>
              <w:spacing w:before="40" w:after="40"/>
              <w:jc w:val="left"/>
            </w:pPr>
            <w:r/>
          </w:p>
        </w:tc>
      </w:tr>
      <w:tr>
        <w:trPr>
          <w:cantSplit w:val="true"/>
        </w:trPr>
        <w:tc>
          <w:tcPr>
            <w:tcW w:type="dxa" w:w="5256"/>
          </w:tcPr>
          <w:p>
            <w:pPr>
              <w:spacing w:before="40" w:after="40"/>
              <w:jc w:val="left"/>
            </w:pPr>
            <w:r/>
            <w:r>
              <w:rPr>
                <w:rFonts w:ascii="Times New Roman" w:hAnsi="Times New Roman"/>
                <w:b w:val="0"/>
                <w:i w:val="0"/>
                <w:sz w:val="18"/>
              </w:rPr>
              <w:t>Annual debt service at the then-current Interest Rate</w:t>
            </w:r>
          </w:p>
        </w:tc>
        <w:tc>
          <w:tcPr>
            <w:tcW w:type="dxa" w:w="2016"/>
          </w:tcPr>
          <w:p>
            <w:pPr>
              <w:spacing w:before="40" w:after="40"/>
              <w:jc w:val="left"/>
            </w:pPr>
            <w:r/>
            <w:r>
              <w:rPr>
                <w:rFonts w:ascii="Times New Roman" w:hAnsi="Times New Roman"/>
                <w:b w:val="0"/>
                <w:i w:val="0"/>
                <w:sz w:val="18"/>
              </w:rPr>
              <w:t>$</w:t>
            </w:r>
          </w:p>
        </w:tc>
        <w:tc>
          <w:tcPr>
            <w:tcW w:type="dxa" w:w="2016"/>
          </w:tcPr>
          <w:p>
            <w:pPr>
              <w:spacing w:before="40" w:after="40"/>
              <w:jc w:val="left"/>
            </w:pPr>
            <w:r/>
          </w:p>
        </w:tc>
      </w:tr>
      <w:tr>
        <w:trPr>
          <w:cantSplit w:val="true"/>
        </w:trPr>
        <w:tc>
          <w:tcPr>
            <w:tcW w:type="dxa" w:w="5256"/>
            <w:shd w:val="clear" w:color="auto" w:fill="F7F8FA"/>
          </w:tcPr>
          <w:p>
            <w:pPr>
              <w:spacing w:before="40" w:after="40"/>
              <w:jc w:val="left"/>
            </w:pPr>
            <w:r/>
            <w:r>
              <w:rPr>
                <w:rFonts w:ascii="Times New Roman" w:hAnsi="Times New Roman"/>
                <w:b w:val="0"/>
                <w:i w:val="0"/>
                <w:sz w:val="18"/>
              </w:rPr>
              <w:t>Debt Service Coverage Ratio (minimum 1.25x)</w:t>
            </w:r>
          </w:p>
        </w:tc>
        <w:tc>
          <w:tcPr>
            <w:tcW w:type="dxa" w:w="2016"/>
            <w:shd w:val="clear" w:color="auto" w:fill="F7F8FA"/>
          </w:tcPr>
          <w:p>
            <w:pPr>
              <w:spacing w:before="40" w:after="40"/>
              <w:jc w:val="left"/>
            </w:pPr>
            <w:r/>
          </w:p>
        </w:tc>
        <w:tc>
          <w:tcPr>
            <w:tcW w:type="dxa" w:w="2016"/>
            <w:shd w:val="clear" w:color="auto" w:fill="F7F8FA"/>
          </w:tcPr>
          <w:p>
            <w:pPr>
              <w:spacing w:before="40" w:after="40"/>
              <w:jc w:val="left"/>
            </w:pPr>
            <w:r/>
            <w:r>
              <w:rPr>
                <w:rFonts w:ascii="Times New Roman" w:hAnsi="Times New Roman"/>
                <w:b w:val="0"/>
                <w:i w:val="0"/>
                <w:sz w:val="18"/>
              </w:rPr>
              <w:t>x</w:t>
            </w:r>
          </w:p>
        </w:tc>
      </w:tr>
      <w:tr>
        <w:trPr>
          <w:cantSplit w:val="true"/>
        </w:trPr>
        <w:tc>
          <w:tcPr>
            <w:tcW w:type="dxa" w:w="5256"/>
          </w:tcPr>
          <w:p>
            <w:pPr>
              <w:spacing w:before="40" w:after="40"/>
              <w:jc w:val="left"/>
            </w:pPr>
            <w:r/>
            <w:r>
              <w:rPr>
                <w:rFonts w:ascii="Times New Roman" w:hAnsi="Times New Roman"/>
                <w:b w:val="0"/>
                <w:i w:val="0"/>
                <w:sz w:val="18"/>
              </w:rPr>
              <w:t>Borrower's Net Worth (Section 9.4(c)) (minimum $12,000,000)</w:t>
            </w:r>
          </w:p>
        </w:tc>
        <w:tc>
          <w:tcPr>
            <w:tcW w:type="dxa" w:w="2016"/>
          </w:tcPr>
          <w:p>
            <w:pPr>
              <w:spacing w:before="40" w:after="40"/>
              <w:jc w:val="left"/>
            </w:pPr>
            <w:r/>
            <w:r>
              <w:rPr>
                <w:rFonts w:ascii="Times New Roman" w:hAnsi="Times New Roman"/>
                <w:b w:val="0"/>
                <w:i w:val="0"/>
                <w:sz w:val="18"/>
              </w:rPr>
              <w:t>$</w:t>
            </w:r>
          </w:p>
        </w:tc>
        <w:tc>
          <w:tcPr>
            <w:tcW w:type="dxa" w:w="2016"/>
          </w:tcPr>
          <w:p>
            <w:pPr>
              <w:spacing w:before="40" w:after="40"/>
              <w:jc w:val="left"/>
            </w:pPr>
            <w:r/>
          </w:p>
        </w:tc>
      </w:tr>
      <w:tr>
        <w:trPr>
          <w:cantSplit w:val="true"/>
        </w:trPr>
        <w:tc>
          <w:tcPr>
            <w:tcW w:type="dxa" w:w="5256"/>
            <w:shd w:val="clear" w:color="auto" w:fill="F7F8FA"/>
          </w:tcPr>
          <w:p>
            <w:pPr>
              <w:spacing w:before="40" w:after="40"/>
              <w:jc w:val="left"/>
            </w:pPr>
            <w:r/>
            <w:r>
              <w:rPr>
                <w:rFonts w:ascii="Times New Roman" w:hAnsi="Times New Roman"/>
                <w:b w:val="0"/>
                <w:i w:val="0"/>
                <w:sz w:val="18"/>
              </w:rPr>
              <w:t>Guarantors' combined Liquidity (minimum $5,000,000)</w:t>
            </w:r>
          </w:p>
        </w:tc>
        <w:tc>
          <w:tcPr>
            <w:tcW w:type="dxa" w:w="2016"/>
            <w:shd w:val="clear" w:color="auto" w:fill="F7F8FA"/>
          </w:tcPr>
          <w:p>
            <w:pPr>
              <w:spacing w:before="40" w:after="40"/>
              <w:jc w:val="left"/>
            </w:pPr>
            <w:r/>
            <w:r>
              <w:rPr>
                <w:rFonts w:ascii="Times New Roman" w:hAnsi="Times New Roman"/>
                <w:b w:val="0"/>
                <w:i w:val="0"/>
                <w:sz w:val="18"/>
              </w:rPr>
              <w:t>$</w:t>
            </w:r>
          </w:p>
        </w:tc>
        <w:tc>
          <w:tcPr>
            <w:tcW w:type="dxa" w:w="2016"/>
            <w:shd w:val="clear" w:color="auto" w:fill="F7F8FA"/>
          </w:tcPr>
          <w:p>
            <w:pPr>
              <w:spacing w:before="40" w:after="40"/>
              <w:jc w:val="left"/>
            </w:pPr>
            <w:r/>
          </w:p>
        </w:tc>
      </w:tr>
      <w:tr>
        <w:trPr>
          <w:cantSplit w:val="true"/>
        </w:trPr>
        <w:tc>
          <w:tcPr>
            <w:tcW w:type="dxa" w:w="5256"/>
          </w:tcPr>
          <w:p>
            <w:pPr>
              <w:spacing w:before="40" w:after="40"/>
              <w:jc w:val="left"/>
            </w:pPr>
            <w:r/>
            <w:r>
              <w:rPr>
                <w:rFonts w:ascii="Times New Roman" w:hAnsi="Times New Roman"/>
                <w:b w:val="0"/>
                <w:i w:val="0"/>
                <w:sz w:val="18"/>
              </w:rPr>
              <w:t>Interest Reserve balance / projected interest to Construction Maturity</w:t>
            </w:r>
          </w:p>
        </w:tc>
        <w:tc>
          <w:tcPr>
            <w:tcW w:type="dxa" w:w="2016"/>
          </w:tcPr>
          <w:p>
            <w:pPr>
              <w:spacing w:before="40" w:after="40"/>
              <w:jc w:val="left"/>
            </w:pPr>
            <w:r/>
            <w:r>
              <w:rPr>
                <w:rFonts w:ascii="Times New Roman" w:hAnsi="Times New Roman"/>
                <w:b w:val="0"/>
                <w:i w:val="0"/>
                <w:sz w:val="18"/>
              </w:rPr>
              <w:t>$</w:t>
            </w:r>
          </w:p>
        </w:tc>
        <w:tc>
          <w:tcPr>
            <w:tcW w:type="dxa" w:w="2016"/>
          </w:tcPr>
          <w:p>
            <w:pPr>
              <w:spacing w:before="40" w:after="40"/>
              <w:jc w:val="left"/>
            </w:pPr>
            <w:r/>
          </w:p>
        </w:tc>
      </w:tr>
    </w:tbl>
    <w:p>
      <w:pPr>
        <w:spacing w:after="40"/>
      </w:pPr>
    </w:p>
    <w:p>
      <w:r>
        <w:rPr>
          <w:rFonts w:ascii="Times New Roman" w:hAnsi="Times New Roman"/>
          <w:b w:val="0"/>
          <w:i w:val="0"/>
          <w:sz w:val="20"/>
        </w:rPr>
        <w:t>The undersigned further certifies that no Default or Event of Default exists, that no condition exists that with notice or lapse of time would constitute a Default or Event of Default, that all representations and warranties remain true and correct in all material respects, and that Borrower is in compliance with the SPE Covenants, the NFA Letter conditions and the Intercreditor Agreement.</w:t>
      </w:r>
    </w:p>
    <w:p>
      <w:pPr>
        <w:spacing w:before="280"/>
      </w:pPr>
      <w:r>
        <w:rPr>
          <w:rFonts w:ascii="Times New Roman" w:hAnsi="Times New Roman"/>
          <w:b/>
          <w:i w:val="0"/>
          <w:sz w:val="20"/>
        </w:rPr>
        <w:t>HARBORVIEW CAPITAL PARTNERS LLC</w:t>
      </w:r>
    </w:p>
    <w:p>
      <w:r>
        <w:rPr>
          <w:rFonts w:ascii="Times New Roman" w:hAnsi="Times New Roman"/>
          <w:b w:val="0"/>
          <w:i w:val="0"/>
          <w:sz w:val="20"/>
        </w:rPr>
        <w:t>By: ______________________________     Name: Elena Vasquez-Torres     Title: Managing Member     Date: ____________</w:t>
      </w: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444444"/>
        <w:sz w:val="17"/>
      </w:rPr>
      <w:t xml:space="preserve">DRAFT — January 31, 2025 — Privileged &amp; Confidential — Attorney Work Product    |    Page </w:t>
    </w:r>
    <w:r>
      <w:rPr>
        <w:rFonts w:ascii="Times New Roman" w:hAnsi="Times New Roman"/>
        <w:b w:val="0"/>
        <w:sz w:val="17"/>
      </w:rPr>
      <w:fldChar w:fldCharType="begin"/>
    </w:r>
    <w:r>
      <w:rPr>
        <w:rFonts w:ascii="Times New Roman" w:hAnsi="Times New Roman"/>
        <w:b w:val="0"/>
        <w:sz w:val="17"/>
      </w:rPr>
      <w:instrText xml:space="preserve"> PAGE </w:instrText>
    </w:r>
    <w:r>
      <w:rPr>
        <w:rFonts w:ascii="Times New Roman" w:hAnsi="Times New Roman"/>
        <w:b w:val="0"/>
        <w:sz w:val="17"/>
      </w:rPr>
      <w:fldChar w:fldCharType="separate"/>
    </w:r>
    <w:r>
      <w:rPr>
        <w:rFonts w:ascii="Times New Roman" w:hAnsi="Times New Roman"/>
        <w:b w:val="0"/>
        <w:sz w:val="17"/>
      </w:rPr>
      <w:t>1</w:t>
    </w:r>
    <w:r>
      <w:rPr>
        <w:rFonts w:ascii="Times New Roman" w:hAnsi="Times New Roman"/>
        <w:b w:val="0"/>
        <w:sz w:val="17"/>
      </w:rPr>
      <w:fldChar w:fldCharType="end"/>
    </w:r>
    <w:r>
      <w:rPr>
        <w:rFonts w:ascii="Times New Roman" w:hAnsi="Times New Roman"/>
        <w:color w:val="444444"/>
        <w:sz w:val="17"/>
      </w:rPr>
      <w:t xml:space="preserve"> of </w:t>
    </w:r>
    <w:r>
      <w:rPr>
        <w:rFonts w:ascii="Times New Roman" w:hAnsi="Times New Roman"/>
        <w:b w:val="0"/>
        <w:sz w:val="17"/>
      </w:rPr>
      <w:fldChar w:fldCharType="begin"/>
    </w:r>
    <w:r>
      <w:rPr>
        <w:rFonts w:ascii="Times New Roman" w:hAnsi="Times New Roman"/>
        <w:b w:val="0"/>
        <w:sz w:val="17"/>
      </w:rPr>
      <w:instrText xml:space="preserve"> NUMPAGES </w:instrText>
    </w:r>
    <w:r>
      <w:rPr>
        <w:rFonts w:ascii="Times New Roman" w:hAnsi="Times New Roman"/>
        <w:b w:val="0"/>
        <w:sz w:val="17"/>
      </w:rPr>
      <w:fldChar w:fldCharType="separate"/>
    </w:r>
    <w:r>
      <w:rPr>
        <w:rFonts w:ascii="Times New Roman" w:hAnsi="Times New Roman"/>
        <w:b w:val="0"/>
        <w:sz w:val="17"/>
      </w:rPr>
      <w:t>1</w:t>
    </w:r>
    <w:r>
      <w:rPr>
        <w:rFonts w:ascii="Times New Roman" w:hAnsi="Times New Roman"/>
        <w:b w:val="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999999"/>
      </w:pBdr>
    </w:pPr>
    <w:r/>
    <w:r>
      <w:rPr>
        <w:rFonts w:ascii="Times New Roman" w:hAnsi="Times New Roman"/>
        <w:color w:val="444444"/>
        <w:sz w:val="16"/>
      </w:rPr>
      <w:t>Loan Agreement  —  Pinnacle Savings Bank, N.A. / Harborview Capital Partners LLC  —  CRE-2025-0342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59" w:lineRule="auto"/>
      <w:jc w:val="left"/>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jc w:val="left"/>
      <w:outlineLvl w:val="0"/>
    </w:pPr>
    <w:rPr>
      <w:rFonts w:asciiTheme="majorHAnsi" w:eastAsiaTheme="majorEastAsia" w:hAnsiTheme="majorHAnsi" w:cstheme="majorBidi" w:ascii="Times New Roman" w:hAnsi="Times New Roman" w:cs="Times New Roman" w:eastAsia="Times New Roman"/>
      <w:b/>
      <w:bCs/>
      <w:i w:val="0"/>
      <w:caps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jc w:val="left"/>
      <w:outlineLvl w:val="1"/>
    </w:pPr>
    <w:rPr>
      <w:rFonts w:asciiTheme="majorHAnsi" w:eastAsiaTheme="majorEastAsia" w:hAnsiTheme="majorHAnsi" w:cstheme="majorBidi" w:ascii="Times New Roman" w:hAnsi="Times New Roman" w:cs="Times New Roman" w:eastAsia="Times New Roman"/>
      <w:b/>
      <w:bCs/>
      <w:i w:val="0"/>
      <w:caps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80" w:line="252" w:lineRule="auto"/>
      <w:jc w:val="left"/>
      <w:outlineLvl w:val="2"/>
    </w:pPr>
    <w:rPr>
      <w:rFonts w:asciiTheme="majorHAnsi" w:eastAsiaTheme="majorEastAsia" w:hAnsiTheme="majorHAnsi" w:cstheme="majorBidi" w:ascii="Times New Roman" w:hAnsi="Times New Roman" w:cs="Times New Roman" w:eastAsia="Times New Roman"/>
      <w:b/>
      <w:bCs/>
      <w:i w:val="0"/>
      <w:caps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