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ind w:left="0"/>
        <w:jc w:val="center"/>
      </w:pPr>
      <w:r>
        <w:rPr>
          <w:rFonts w:ascii="Times New Roman" w:hAnsi="Times New Roman" w:eastAsia="Times New Roman"/>
          <w:b w:val="0"/>
          <w:i w:val="0"/>
          <w:sz w:val="16"/>
        </w:rPr>
        <w:t>FIELDING, ASHWORTH &amp; COLE LLP</w:t>
      </w:r>
    </w:p>
    <w:p>
      <w:pPr>
        <w:keepNext w:val="0"/>
        <w:spacing w:before="0" w:after="40" w:line="240" w:lineRule="auto"/>
        <w:ind w:left="0"/>
        <w:jc w:val="center"/>
      </w:pPr>
      <w:r>
        <w:rPr>
          <w:rFonts w:ascii="Times New Roman" w:hAnsi="Times New Roman" w:eastAsia="Times New Roman"/>
          <w:b w:val="0"/>
          <w:i w:val="0"/>
          <w:sz w:val="17"/>
        </w:rPr>
        <w:t>Attorneys at Law  •  Charleston, South Carolina  |  Savannah, Georgia</w:t>
      </w:r>
    </w:p>
    <w:p>
      <w:pPr>
        <w:spacing w:before="40" w:after="200"/>
        <w:pBdr>
          <w:bottom w:val="single" w:sz="6" w:space="1" w:color="808080"/>
        </w:pBdr>
      </w:pPr>
    </w:p>
    <w:p>
      <w:pPr>
        <w:keepNext w:val="0"/>
        <w:spacing w:before="0" w:after="280" w:line="240" w:lineRule="auto"/>
        <w:ind w:left="0"/>
        <w:jc w:val="center"/>
      </w:pPr>
      <w:r>
        <w:rPr>
          <w:rFonts w:ascii="Times New Roman" w:hAnsi="Times New Roman" w:eastAsia="Times New Roman"/>
          <w:b/>
          <w:i w:val="0"/>
          <w:sz w:val="17"/>
        </w:rPr>
        <w:t>PRIVILEGED AND CONFIDENTIAL — ATTORNEY WORK PRODUCT — PREPARED AT THE DIRECTION OF COUNSEL</w:t>
      </w:r>
    </w:p>
    <w:p>
      <w:pPr>
        <w:keepNext w:val="0"/>
        <w:spacing w:before="0" w:after="40" w:line="240" w:lineRule="auto"/>
        <w:ind w:left="0"/>
        <w:jc w:val="center"/>
      </w:pPr>
      <w:r>
        <w:rPr>
          <w:rFonts w:ascii="Times New Roman" w:hAnsi="Times New Roman" w:eastAsia="Times New Roman"/>
          <w:b/>
          <w:i w:val="0"/>
          <w:sz w:val="30"/>
        </w:rPr>
        <w:t>MEMORANDUM</w:t>
      </w:r>
    </w:p>
    <w:p>
      <w:pPr>
        <w:keepNext w:val="0"/>
        <w:spacing w:before="0" w:after="280" w:line="240" w:lineRule="auto"/>
        <w:ind w:left="0"/>
        <w:jc w:val="center"/>
      </w:pPr>
      <w:r>
        <w:rPr>
          <w:rFonts w:ascii="Times New Roman" w:hAnsi="Times New Roman" w:eastAsia="Times New Roman"/>
          <w:b w:val="0"/>
          <w:i/>
          <w:sz w:val="22"/>
        </w:rPr>
        <w:t>Drafting Issues, Source Reconciliation and Open Items</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4680"/>
        <w:gridCol w:w="4680"/>
      </w:tblGrid>
      <w:tr>
        <w:trPr>
          <w:cantSplit w:val="true"/>
        </w:trPr>
        <w:tc>
          <w:tcPr>
            <w:tcW w:type="dxa" w:w="1512"/>
          </w:tcPr>
          <w:p>
            <w:pPr>
              <w:spacing w:before="40" w:after="40" w:line="240" w:lineRule="auto"/>
              <w:jc w:val="left"/>
            </w:pPr>
            <w:r/>
            <w:r>
              <w:rPr>
                <w:rFonts w:ascii="Times New Roman" w:hAnsi="Times New Roman" w:eastAsia="Times New Roman"/>
                <w:b/>
                <w:sz w:val="19"/>
              </w:rPr>
              <w:t>TO:</w:t>
            </w:r>
          </w:p>
        </w:tc>
        <w:tc>
          <w:tcPr>
            <w:tcW w:type="dxa" w:w="7848"/>
          </w:tcPr>
          <w:p>
            <w:pPr>
              <w:spacing w:before="40" w:after="40" w:line="240" w:lineRule="auto"/>
              <w:jc w:val="left"/>
            </w:pPr>
            <w:r/>
            <w:r>
              <w:rPr>
                <w:rFonts w:ascii="Times New Roman" w:hAnsi="Times New Roman" w:eastAsia="Times New Roman"/>
                <w:b w:val="0"/>
                <w:sz w:val="19"/>
              </w:rPr>
              <w:t>Marcus Prideaux, Senior Vice President — Commercial Real Estate Lending, Calverley Heritage Bank</w:t>
            </w:r>
          </w:p>
        </w:tc>
      </w:tr>
      <w:tr>
        <w:trPr>
          <w:cantSplit w:val="true"/>
        </w:trPr>
        <w:tc>
          <w:tcPr>
            <w:tcW w:type="dxa" w:w="1512"/>
          </w:tcPr>
          <w:p>
            <w:pPr>
              <w:spacing w:before="40" w:after="40" w:line="240" w:lineRule="auto"/>
              <w:jc w:val="left"/>
            </w:pPr>
            <w:r/>
            <w:r>
              <w:rPr>
                <w:rFonts w:ascii="Times New Roman" w:hAnsi="Times New Roman" w:eastAsia="Times New Roman"/>
                <w:b/>
                <w:sz w:val="19"/>
              </w:rPr>
              <w:t>FROM:</w:t>
            </w:r>
          </w:p>
        </w:tc>
        <w:tc>
          <w:tcPr>
            <w:tcW w:type="dxa" w:w="7848"/>
          </w:tcPr>
          <w:p>
            <w:pPr>
              <w:spacing w:before="40" w:after="40" w:line="240" w:lineRule="auto"/>
              <w:jc w:val="left"/>
            </w:pPr>
            <w:r/>
            <w:r>
              <w:rPr>
                <w:rFonts w:ascii="Times New Roman" w:hAnsi="Times New Roman" w:eastAsia="Times New Roman"/>
                <w:b w:val="0"/>
                <w:sz w:val="19"/>
              </w:rPr>
              <w:t>Jordan Vickers, Associate; reviewed by Catherine “Kit” Ashworth, Partner, Real Estate Practice Group</w:t>
            </w:r>
          </w:p>
        </w:tc>
      </w:tr>
      <w:tr>
        <w:trPr>
          <w:cantSplit w:val="true"/>
        </w:trPr>
        <w:tc>
          <w:tcPr>
            <w:tcW w:type="dxa" w:w="1512"/>
          </w:tcPr>
          <w:p>
            <w:pPr>
              <w:spacing w:before="40" w:after="40" w:line="240" w:lineRule="auto"/>
              <w:jc w:val="left"/>
            </w:pPr>
            <w:r/>
            <w:r>
              <w:rPr>
                <w:rFonts w:ascii="Times New Roman" w:hAnsi="Times New Roman" w:eastAsia="Times New Roman"/>
                <w:b/>
                <w:sz w:val="19"/>
              </w:rPr>
              <w:t>DATE:</w:t>
            </w:r>
          </w:p>
        </w:tc>
        <w:tc>
          <w:tcPr>
            <w:tcW w:type="dxa" w:w="7848"/>
          </w:tcPr>
          <w:p>
            <w:pPr>
              <w:spacing w:before="40" w:after="40" w:line="240" w:lineRule="auto"/>
              <w:jc w:val="left"/>
            </w:pPr>
            <w:r/>
            <w:r>
              <w:rPr>
                <w:rFonts w:ascii="Times New Roman" w:hAnsi="Times New Roman" w:eastAsia="Times New Roman"/>
                <w:b w:val="0"/>
                <w:sz w:val="19"/>
              </w:rPr>
              <w:t>April 2, 2025</w:t>
            </w:r>
          </w:p>
        </w:tc>
      </w:tr>
      <w:tr>
        <w:trPr>
          <w:cantSplit w:val="true"/>
        </w:trPr>
        <w:tc>
          <w:tcPr>
            <w:tcW w:type="dxa" w:w="1512"/>
          </w:tcPr>
          <w:p>
            <w:pPr>
              <w:spacing w:before="40" w:after="40" w:line="240" w:lineRule="auto"/>
              <w:jc w:val="left"/>
            </w:pPr>
            <w:r/>
            <w:r>
              <w:rPr>
                <w:rFonts w:ascii="Times New Roman" w:hAnsi="Times New Roman" w:eastAsia="Times New Roman"/>
                <w:b/>
                <w:sz w:val="19"/>
              </w:rPr>
              <w:t>RE:</w:t>
            </w:r>
          </w:p>
        </w:tc>
        <w:tc>
          <w:tcPr>
            <w:tcW w:type="dxa" w:w="7848"/>
          </w:tcPr>
          <w:p>
            <w:pPr>
              <w:spacing w:before="40" w:after="40" w:line="240" w:lineRule="auto"/>
              <w:jc w:val="left"/>
            </w:pPr>
            <w:r/>
            <w:r>
              <w:rPr>
                <w:rFonts w:ascii="Times New Roman" w:hAnsi="Times New Roman" w:eastAsia="Times New Roman"/>
                <w:b w:val="0"/>
                <w:sz w:val="19"/>
              </w:rPr>
              <w:t>Draft Mortgage and Security Agreement — CHB CRE Loan No. 2025-CHS-0047 — Palmetto Gateway Partners LLC — 520–534 King Street, Charleston, South Carolina 29403</w:t>
            </w:r>
          </w:p>
        </w:tc>
      </w:tr>
      <w:tr>
        <w:trPr>
          <w:cantSplit w:val="true"/>
        </w:trPr>
        <w:tc>
          <w:tcPr>
            <w:tcW w:type="dxa" w:w="1512"/>
          </w:tcPr>
          <w:p>
            <w:pPr>
              <w:spacing w:before="40" w:after="40" w:line="240" w:lineRule="auto"/>
              <w:jc w:val="left"/>
            </w:pPr>
            <w:r/>
            <w:r>
              <w:rPr>
                <w:rFonts w:ascii="Times New Roman" w:hAnsi="Times New Roman" w:eastAsia="Times New Roman"/>
                <w:b/>
                <w:sz w:val="19"/>
              </w:rPr>
              <w:t>LOAN:</w:t>
            </w:r>
          </w:p>
        </w:tc>
        <w:tc>
          <w:tcPr>
            <w:tcW w:type="dxa" w:w="7848"/>
          </w:tcPr>
          <w:p>
            <w:pPr>
              <w:spacing w:before="40" w:after="40" w:line="240" w:lineRule="auto"/>
              <w:jc w:val="left"/>
            </w:pPr>
            <w:r/>
            <w:r>
              <w:rPr>
                <w:rFonts w:ascii="Times New Roman" w:hAnsi="Times New Roman" w:eastAsia="Times New Roman"/>
                <w:b w:val="0"/>
                <w:sz w:val="19"/>
              </w:rPr>
              <w:t>$14,750,000.00, of which $12,500,000.00 Initial Advance and $2,250,000.00 Renovation Holdback</w:t>
            </w:r>
          </w:p>
        </w:tc>
      </w:tr>
      <w:tr>
        <w:trPr>
          <w:cantSplit w:val="true"/>
        </w:trPr>
        <w:tc>
          <w:tcPr>
            <w:tcW w:type="dxa" w:w="1512"/>
          </w:tcPr>
          <w:p>
            <w:pPr>
              <w:spacing w:before="40" w:after="40" w:line="240" w:lineRule="auto"/>
              <w:jc w:val="left"/>
            </w:pPr>
            <w:r/>
            <w:r>
              <w:rPr>
                <w:rFonts w:ascii="Times New Roman" w:hAnsi="Times New Roman" w:eastAsia="Times New Roman"/>
                <w:b/>
                <w:sz w:val="19"/>
              </w:rPr>
              <w:t>ENCLOSURE:</w:t>
            </w:r>
          </w:p>
        </w:tc>
        <w:tc>
          <w:tcPr>
            <w:tcW w:type="dxa" w:w="7848"/>
          </w:tcPr>
          <w:p>
            <w:pPr>
              <w:spacing w:before="40" w:after="40" w:line="240" w:lineRule="auto"/>
              <w:jc w:val="left"/>
            </w:pPr>
            <w:r/>
            <w:r>
              <w:rPr>
                <w:rFonts w:ascii="Times New Roman" w:hAnsi="Times New Roman" w:eastAsia="Times New Roman"/>
                <w:b w:val="0"/>
                <w:sz w:val="19"/>
              </w:rPr>
              <w:t>Mortgage and Security Agreement (with Absolute Assignment of Leases, Rents and Profits; Security Agreement; and Fixture Filing), with Exhibits A–F</w:t>
            </w:r>
          </w:p>
        </w:tc>
      </w:tr>
    </w:tbl>
    <w:p>
      <w:pPr>
        <w:spacing w:before="200" w:after="200"/>
        <w:pBdr>
          <w:bottom w:val="single" w:sz="6" w:space="1" w:color="808080"/>
        </w:pBdr>
      </w:pPr>
    </w:p>
    <w:p>
      <w:pPr>
        <w:pStyle w:val="Heading1"/>
        <w:keepNext/>
        <w:spacing w:before="320" w:after="120"/>
        <w:ind w:firstLine="0"/>
      </w:pPr>
      <w:r>
        <w:rPr>
          <w:rFonts w:ascii="Times New Roman" w:hAnsi="Times New Roman" w:eastAsia="Times New Roman"/>
          <w:b/>
          <w:color w:val="000000"/>
          <w:sz w:val="23"/>
        </w:rPr>
        <w:t>1.  Purpose, Deliverable and Summary of Conclusions</w:t>
      </w:r>
    </w:p>
    <w:p>
      <w:pPr>
        <w:keepNext w:val="0"/>
        <w:spacing w:before="0" w:after="120" w:line="240" w:lineRule="auto"/>
        <w:ind w:left="0"/>
        <w:jc w:val="both"/>
      </w:pPr>
      <w:r>
        <w:rPr>
          <w:rFonts w:ascii="Times New Roman" w:hAnsi="Times New Roman" w:eastAsia="Times New Roman"/>
          <w:b w:val="0"/>
          <w:i w:val="0"/>
          <w:sz w:val="22"/>
        </w:rPr>
        <w:t>This memorandum accompanies and supports the enclosed draft Mortgage and Security Agreement (the “Mortgage”) for the above loan, and records (a) the pre-drafting issue review required before circulation, (b) the independent recomputation of every figure used in the draft, (c) the drafting treatments adopted and the reconciliations made between the executed Term Sheet dated April 1, 2025, the Title Commitment (No. PT-2025-04-1178), the appraisal, the Phase I Environmental Site Assessment, the rent roll and lease abstracts, the renovation budget and draw schedule, and the borrower’s operating agreement, and (d) the matters on which we require the Bank’s instruction before the draft can be finalized for closing.</w:t>
      </w:r>
    </w:p>
    <w:p>
      <w:pPr>
        <w:keepNext w:val="0"/>
        <w:spacing w:before="0" w:after="120" w:line="240" w:lineRule="auto"/>
        <w:ind w:left="0"/>
        <w:jc w:val="both"/>
      </w:pPr>
      <w:r>
        <w:rPr>
          <w:rFonts w:ascii="Times New Roman" w:hAnsi="Times New Roman" w:eastAsia="Times New Roman"/>
          <w:b w:val="0"/>
          <w:i w:val="0"/>
          <w:sz w:val="22"/>
        </w:rPr>
        <w:t>The Mortgage is substantially complete and internally consistent: it contains thirteen Articles and ninety-eight Sections, six Exhibits, an executed-form signature page with two subscribing witnesses and a South Carolina notarial acknowledgment, a guarantor joinder for limited purposes, and an express statement that South Carolina is a judicial foreclosure jurisdiction and that no power of sale is granted. Two structural points drive the document: first, the loan is non-recourse and therefore depends entirely on the single-purpose entity and bankruptcy-remoteness covenants in Articles 7 and 8; second, the Property carries a recorded SCDHEC land use restriction that cannot be removed, which required bespoke covenants and a dedicated Event of Default.</w:t>
      </w:r>
    </w:p>
    <w:p>
      <w:pPr>
        <w:keepNext/>
        <w:spacing w:before="200" w:after="80"/>
        <w:ind w:firstLine="0"/>
      </w:pPr>
      <w:r>
        <w:rPr>
          <w:rFonts w:ascii="Times New Roman" w:hAnsi="Times New Roman" w:eastAsia="Times New Roman"/>
          <w:b/>
          <w:sz w:val="21"/>
        </w:rPr>
        <w:t>1.1  The four conclusions that require action before closing</w:t>
      </w:r>
    </w:p>
    <w:p>
      <w:pPr>
        <w:keepNext w:val="0"/>
        <w:spacing w:before="0" w:after="120" w:line="240" w:lineRule="auto"/>
        <w:ind w:left="0"/>
        <w:jc w:val="both"/>
      </w:pPr>
      <w:r>
        <w:rPr>
          <w:rFonts w:ascii="Times New Roman" w:hAnsi="Times New Roman" w:eastAsia="Times New Roman"/>
          <w:b w:val="0"/>
          <w:i w:val="0"/>
          <w:sz w:val="22"/>
        </w:rPr>
        <w:t>Read with Section 3 below, the review produced four conclusions that go beyond ordinary drafting customisation:</w:t>
      </w:r>
    </w:p>
    <w:p>
      <w:pPr>
        <w:keepNext w:val="0"/>
        <w:spacing w:before="0" w:after="100" w:line="240" w:lineRule="auto"/>
        <w:ind w:left="504" w:hanging="504"/>
        <w:jc w:val="both"/>
      </w:pPr>
      <w:r>
        <w:rPr>
          <w:rFonts w:ascii="Times New Roman" w:hAnsi="Times New Roman" w:eastAsia="Times New Roman"/>
          <w:b w:val="0"/>
          <w:i w:val="0"/>
          <w:sz w:val="22"/>
        </w:rPr>
        <w:t xml:space="preserve">(a) </w:t>
      </w:r>
      <w:r>
        <w:rPr>
          <w:rFonts w:ascii="Times New Roman" w:hAnsi="Times New Roman" w:eastAsia="Times New Roman"/>
          <w:b w:val="0"/>
          <w:i w:val="0"/>
          <w:sz w:val="22"/>
        </w:rPr>
        <w:t>The Loan, as priced and structured, cannot satisfy its own financial covenant. On the Bank’s own rent roll projections, the best-case stabilised DSCR is 0.554x and the realistic DSCR at the first test date is 0.280x, against a required 1.25x. This is a structural credit issue, not a documentation issue, and it will produce an Event of Default at the first or second test date (Issues 1 and 2).</w:t>
      </w:r>
    </w:p>
    <w:p>
      <w:pPr>
        <w:keepNext w:val="0"/>
        <w:spacing w:before="0" w:after="100" w:line="240" w:lineRule="auto"/>
        <w:ind w:left="504" w:hanging="504"/>
        <w:jc w:val="both"/>
      </w:pPr>
      <w:r>
        <w:rPr>
          <w:rFonts w:ascii="Times New Roman" w:hAnsi="Times New Roman" w:eastAsia="Times New Roman"/>
          <w:b w:val="0"/>
          <w:i w:val="0"/>
          <w:sz w:val="22"/>
        </w:rPr>
        <w:t xml:space="preserve">(b) </w:t>
      </w:r>
      <w:r>
        <w:rPr>
          <w:rFonts w:ascii="Times New Roman" w:hAnsi="Times New Roman" w:eastAsia="Times New Roman"/>
          <w:b w:val="0"/>
          <w:i w:val="0"/>
          <w:sz w:val="22"/>
        </w:rPr>
        <w:t>The appraised values are not supported by the income approach stated in the appraisal. The NOI figures and capitalisation rates printed in the appraisal produce values of roughly $5.3 million to $10.1 million, not $18.2 million and $23.5 million. The as-is LTV of 81.04%, and therefore the Bank’s principal collateral metric, rests on the sales-comparison approach alone (Issue 3).</w:t>
      </w:r>
    </w:p>
    <w:p>
      <w:pPr>
        <w:keepNext w:val="0"/>
        <w:spacing w:before="0" w:after="100" w:line="240" w:lineRule="auto"/>
        <w:ind w:left="504" w:hanging="504"/>
        <w:jc w:val="both"/>
      </w:pPr>
      <w:r>
        <w:rPr>
          <w:rFonts w:ascii="Times New Roman" w:hAnsi="Times New Roman" w:eastAsia="Times New Roman"/>
          <w:b w:val="0"/>
          <w:i w:val="0"/>
          <w:sz w:val="22"/>
        </w:rPr>
        <w:t xml:space="preserve">(c) </w:t>
      </w:r>
      <w:r>
        <w:rPr>
          <w:rFonts w:ascii="Times New Roman" w:hAnsi="Times New Roman" w:eastAsia="Times New Roman"/>
          <w:b w:val="0"/>
          <w:i w:val="0"/>
          <w:sz w:val="22"/>
        </w:rPr>
        <w:t>Occupancy is 56.13%, not the 68% recited in the Term Sheet and the appraisal. The Term Sheet is internally contradictory on this point (it states 68% occupancy and, three lines later, 43.9% vacancy), and the appraisal’s own figures cannot be reconciled to a 31,000 square foot building (Issue 4). The draft represents the correct figure.</w:t>
      </w:r>
    </w:p>
    <w:p>
      <w:pPr>
        <w:keepNext w:val="0"/>
        <w:spacing w:before="0" w:after="100" w:line="240" w:lineRule="auto"/>
        <w:ind w:left="504" w:hanging="504"/>
        <w:jc w:val="both"/>
      </w:pPr>
      <w:r>
        <w:rPr>
          <w:rFonts w:ascii="Times New Roman" w:hAnsi="Times New Roman" w:eastAsia="Times New Roman"/>
          <w:b w:val="0"/>
          <w:i w:val="0"/>
          <w:sz w:val="22"/>
        </w:rPr>
        <w:t xml:space="preserve">(d) </w:t>
      </w:r>
      <w:r>
        <w:rPr>
          <w:rFonts w:ascii="Times New Roman" w:hAnsi="Times New Roman" w:eastAsia="Times New Roman"/>
          <w:b w:val="0"/>
          <w:i w:val="0"/>
          <w:sz w:val="22"/>
        </w:rPr>
        <w:t>The borrower’s operating agreement does not support a non-recourse loan. It contains no independent manager, no separateness covenants, no single-purpose restriction and no lender consent to dissolution or amendment, and the 75% approval threshold for Major Decisions means the 72% managing member cannot act alone. An executed amendment signed by all three members is a condition to closing (Issue 6).</w:t>
      </w:r>
    </w:p>
    <w:p>
      <w:pPr>
        <w:keepNext w:val="0"/>
        <w:spacing w:before="0" w:after="120" w:line="240" w:lineRule="auto"/>
        <w:ind w:left="0"/>
        <w:jc w:val="both"/>
      </w:pPr>
      <w:r>
        <w:rPr>
          <w:rFonts w:ascii="Times New Roman" w:hAnsi="Times New Roman" w:eastAsia="Times New Roman"/>
          <w:b w:val="0"/>
          <w:i w:val="0"/>
          <w:sz w:val="22"/>
        </w:rPr>
        <w:t>Thirty issues are logged at Section 4. The twenty-four most consequential are ranked in the register at Section 3. Three are rated critical: the DSCR covenant (Issue 1), the appraisal’s income support (Issue 3) and the entity structure (Issue 6). Eleven are rated high: the absence of any DSCR cure mechanism (Issue 2), the Anson Lane quitclaim parcel (Issue 5), the SCDHEC land use restriction (Issue 7), the yield maintenance formula (Issue 8), the guaranty architecture and its fourteen-month window (Issue 9), the conflict between the transfer restrictions and the operating agreement (Issue 10), the sources-and-uses gap for closing costs (Issue 11), tenant estoppel and SNDA exposure on the Lowcountry Provisions lease (Issue 12), the allocation of the net worth and liquidity covenant (Issue 13) and the absence of any interest rate cap on a five-year floating-rate loan (Issue 14). The remaining issues are operational, mechanical or confirmatory, and several of them — the draw schedule reconciliation at Issue 15 and the statutory confirmations at Issue 30 — still need to be closed before execution.</w:t>
      </w:r>
    </w:p>
    <w:p>
      <w:pPr>
        <w:pStyle w:val="Heading1"/>
        <w:keepNext/>
        <w:spacing w:before="320" w:after="120"/>
        <w:ind w:firstLine="0"/>
      </w:pPr>
      <w:r>
        <w:rPr>
          <w:rFonts w:ascii="Times New Roman" w:hAnsi="Times New Roman" w:eastAsia="Times New Roman"/>
          <w:b/>
          <w:color w:val="000000"/>
          <w:sz w:val="23"/>
        </w:rPr>
        <w:t>2.  Scope, Sources and Method</w:t>
      </w:r>
    </w:p>
    <w:p>
      <w:pPr>
        <w:keepNext/>
        <w:spacing w:before="200" w:after="80"/>
        <w:ind w:firstLine="0"/>
      </w:pPr>
      <w:r>
        <w:rPr>
          <w:rFonts w:ascii="Times New Roman" w:hAnsi="Times New Roman" w:eastAsia="Times New Roman"/>
          <w:b/>
          <w:sz w:val="21"/>
        </w:rPr>
        <w:t>2.1  Deliverable</w:t>
      </w:r>
    </w:p>
    <w:p>
      <w:pPr>
        <w:keepNext w:val="0"/>
        <w:spacing w:before="0" w:after="120" w:line="240" w:lineRule="auto"/>
        <w:ind w:left="0"/>
        <w:jc w:val="both"/>
      </w:pPr>
      <w:r>
        <w:rPr>
          <w:rFonts w:ascii="Times New Roman" w:hAnsi="Times New Roman" w:eastAsia="Times New Roman"/>
          <w:b w:val="0"/>
          <w:i w:val="0"/>
          <w:sz w:val="22"/>
        </w:rPr>
        <w:t>Lender’s form Mortgage and Security Agreement, drafted to the executed Term Sheet, suitable for recording in the RCM Office for Charleston County, with the absolute assignment of leases and rents incorporated into the body of the Mortgage (rather than documented as a separate instrument) in accordance with the instruction at paragraph 1 and paragraph 3 of your markup notes of March 18, 2025.</w:t>
      </w:r>
    </w:p>
    <w:p>
      <w:pPr>
        <w:keepNext/>
        <w:spacing w:before="200" w:after="80"/>
        <w:ind w:firstLine="0"/>
      </w:pPr>
      <w:r>
        <w:rPr>
          <w:rFonts w:ascii="Times New Roman" w:hAnsi="Times New Roman" w:eastAsia="Times New Roman"/>
          <w:b/>
          <w:sz w:val="21"/>
        </w:rPr>
        <w:t>2.2  Sources examined in full</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2340"/>
        <w:gridCol w:w="2340"/>
        <w:gridCol w:w="2340"/>
        <w:gridCol w:w="2340"/>
      </w:tblGrid>
      <w:tr>
        <w:trPr>
          <w:cantSplit w:val="true"/>
          <w:tblHeader w:val="true"/>
        </w:trPr>
        <w:tc>
          <w:tcPr>
            <w:tcW w:type="dxa" w:w="2664"/>
            <w:shd w:val="clear" w:color="auto" w:fill="DCE3EA"/>
          </w:tcPr>
          <w:p>
            <w:pPr>
              <w:spacing w:before="40" w:after="40" w:line="240" w:lineRule="auto"/>
              <w:jc w:val="left"/>
            </w:pPr>
            <w:r/>
            <w:r>
              <w:rPr>
                <w:rFonts w:ascii="Times New Roman" w:hAnsi="Times New Roman" w:eastAsia="Times New Roman"/>
                <w:b/>
                <w:sz w:val="16"/>
              </w:rPr>
              <w:t>Document</w:t>
            </w:r>
          </w:p>
        </w:tc>
        <w:tc>
          <w:tcPr>
            <w:tcW w:type="dxa" w:w="1872"/>
            <w:shd w:val="clear" w:color="auto" w:fill="DCE3EA"/>
          </w:tcPr>
          <w:p>
            <w:pPr>
              <w:spacing w:before="40" w:after="40" w:line="240" w:lineRule="auto"/>
              <w:jc w:val="left"/>
            </w:pPr>
            <w:r/>
            <w:r>
              <w:rPr>
                <w:rFonts w:ascii="Times New Roman" w:hAnsi="Times New Roman" w:eastAsia="Times New Roman"/>
                <w:b/>
                <w:sz w:val="16"/>
              </w:rPr>
              <w:t>Date / Reference</w:t>
            </w:r>
          </w:p>
        </w:tc>
        <w:tc>
          <w:tcPr>
            <w:tcW w:type="dxa" w:w="2232"/>
            <w:shd w:val="clear" w:color="auto" w:fill="DCE3EA"/>
          </w:tcPr>
          <w:p>
            <w:pPr>
              <w:spacing w:before="40" w:after="40" w:line="240" w:lineRule="auto"/>
              <w:jc w:val="left"/>
            </w:pPr>
            <w:r/>
            <w:r>
              <w:rPr>
                <w:rFonts w:ascii="Times New Roman" w:hAnsi="Times New Roman" w:eastAsia="Times New Roman"/>
                <w:b/>
                <w:sz w:val="16"/>
              </w:rPr>
              <w:t>Originator</w:t>
            </w:r>
          </w:p>
        </w:tc>
        <w:tc>
          <w:tcPr>
            <w:tcW w:type="dxa" w:w="2592"/>
            <w:shd w:val="clear" w:color="auto" w:fill="DCE3EA"/>
          </w:tcPr>
          <w:p>
            <w:pPr>
              <w:spacing w:before="40" w:after="40" w:line="240" w:lineRule="auto"/>
              <w:jc w:val="left"/>
            </w:pPr>
            <w:r/>
            <w:r>
              <w:rPr>
                <w:rFonts w:ascii="Times New Roman" w:hAnsi="Times New Roman" w:eastAsia="Times New Roman"/>
                <w:b/>
                <w:sz w:val="16"/>
              </w:rPr>
              <w:t>Use in the draft</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Executed Term Sheet (binding commitment)</w:t>
            </w:r>
          </w:p>
        </w:tc>
        <w:tc>
          <w:tcPr>
            <w:tcW w:type="dxa" w:w="1872"/>
          </w:tcPr>
          <w:p>
            <w:pPr>
              <w:spacing w:before="40" w:after="40" w:line="240" w:lineRule="auto"/>
              <w:jc w:val="left"/>
            </w:pPr>
            <w:r/>
            <w:r>
              <w:rPr>
                <w:rFonts w:ascii="Times New Roman" w:hAnsi="Times New Roman" w:eastAsia="Times New Roman"/>
                <w:b w:val="0"/>
                <w:sz w:val="16"/>
              </w:rPr>
              <w:t>April 1, 2025</w:t>
            </w:r>
          </w:p>
        </w:tc>
        <w:tc>
          <w:tcPr>
            <w:tcW w:type="dxa" w:w="2232"/>
          </w:tcPr>
          <w:p>
            <w:pPr>
              <w:spacing w:before="40" w:after="40" w:line="240" w:lineRule="auto"/>
              <w:jc w:val="left"/>
            </w:pPr>
            <w:r/>
            <w:r>
              <w:rPr>
                <w:rFonts w:ascii="Times New Roman" w:hAnsi="Times New Roman" w:eastAsia="Times New Roman"/>
                <w:b w:val="0"/>
                <w:sz w:val="16"/>
              </w:rPr>
              <w:t>Bank / Borrower</w:t>
            </w:r>
          </w:p>
        </w:tc>
        <w:tc>
          <w:tcPr>
            <w:tcW w:type="dxa" w:w="2592"/>
          </w:tcPr>
          <w:p>
            <w:pPr>
              <w:spacing w:before="40" w:after="40" w:line="240" w:lineRule="auto"/>
              <w:jc w:val="left"/>
            </w:pPr>
            <w:r/>
            <w:r>
              <w:rPr>
                <w:rFonts w:ascii="Times New Roman" w:hAnsi="Times New Roman" w:eastAsia="Times New Roman"/>
                <w:b w:val="0"/>
                <w:sz w:val="16"/>
              </w:rPr>
              <w:t>Controlling commercial terms; every Article traced at Section 8</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Commitment for Title Insurance PT-2025-04-1178</w:t>
            </w:r>
          </w:p>
        </w:tc>
        <w:tc>
          <w:tcPr>
            <w:tcW w:type="dxa" w:w="1872"/>
          </w:tcPr>
          <w:p>
            <w:pPr>
              <w:spacing w:before="40" w:after="40" w:line="240" w:lineRule="auto"/>
              <w:jc w:val="left"/>
            </w:pPr>
            <w:r/>
            <w:r>
              <w:rPr>
                <w:rFonts w:ascii="Times New Roman" w:hAnsi="Times New Roman" w:eastAsia="Times New Roman"/>
                <w:b w:val="0"/>
                <w:sz w:val="16"/>
              </w:rPr>
              <w:t>Eff. February 28, 2025; expires August 28, 2025</w:t>
            </w:r>
          </w:p>
        </w:tc>
        <w:tc>
          <w:tcPr>
            <w:tcW w:type="dxa" w:w="2232"/>
          </w:tcPr>
          <w:p>
            <w:pPr>
              <w:spacing w:before="40" w:after="40" w:line="240" w:lineRule="auto"/>
              <w:jc w:val="left"/>
            </w:pPr>
            <w:r/>
            <w:r>
              <w:rPr>
                <w:rFonts w:ascii="Times New Roman" w:hAnsi="Times New Roman" w:eastAsia="Times New Roman"/>
                <w:b w:val="0"/>
                <w:sz w:val="16"/>
              </w:rPr>
              <w:t>Prestige Title &amp; Settlement Services LLC / Commonwealth National Title Underwriters Inc.</w:t>
            </w:r>
          </w:p>
        </w:tc>
        <w:tc>
          <w:tcPr>
            <w:tcW w:type="dxa" w:w="2592"/>
          </w:tcPr>
          <w:p>
            <w:pPr>
              <w:spacing w:before="40" w:after="40" w:line="240" w:lineRule="auto"/>
              <w:jc w:val="left"/>
            </w:pPr>
            <w:r/>
            <w:r>
              <w:rPr>
                <w:rFonts w:ascii="Times New Roman" w:hAnsi="Times New Roman" w:eastAsia="Times New Roman"/>
                <w:b w:val="0"/>
                <w:sz w:val="16"/>
              </w:rPr>
              <w:t>Legal description (Exhibit A), Permitted Exceptions (Exhibit C), Schedule B-I requirements, instructions to closer</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Summary Appraisal Report PVS-2025-0214-CHS</w:t>
            </w:r>
          </w:p>
        </w:tc>
        <w:tc>
          <w:tcPr>
            <w:tcW w:type="dxa" w:w="1872"/>
          </w:tcPr>
          <w:p>
            <w:pPr>
              <w:spacing w:before="40" w:after="40" w:line="240" w:lineRule="auto"/>
              <w:jc w:val="left"/>
            </w:pPr>
            <w:r/>
            <w:r>
              <w:rPr>
                <w:rFonts w:ascii="Times New Roman" w:hAnsi="Times New Roman" w:eastAsia="Times New Roman"/>
                <w:b w:val="0"/>
                <w:sz w:val="16"/>
              </w:rPr>
              <w:t>Effective February 14, 2025</w:t>
            </w:r>
          </w:p>
        </w:tc>
        <w:tc>
          <w:tcPr>
            <w:tcW w:type="dxa" w:w="2232"/>
          </w:tcPr>
          <w:p>
            <w:pPr>
              <w:spacing w:before="40" w:after="40" w:line="240" w:lineRule="auto"/>
              <w:jc w:val="left"/>
            </w:pPr>
            <w:r/>
            <w:r>
              <w:rPr>
                <w:rFonts w:ascii="Times New Roman" w:hAnsi="Times New Roman" w:eastAsia="Times New Roman"/>
                <w:b w:val="0"/>
                <w:sz w:val="16"/>
              </w:rPr>
              <w:t>Pinnacle Valuation Services LLC</w:t>
            </w:r>
          </w:p>
        </w:tc>
        <w:tc>
          <w:tcPr>
            <w:tcW w:type="dxa" w:w="2592"/>
          </w:tcPr>
          <w:p>
            <w:pPr>
              <w:spacing w:before="40" w:after="40" w:line="240" w:lineRule="auto"/>
              <w:jc w:val="left"/>
            </w:pPr>
            <w:r/>
            <w:r>
              <w:rPr>
                <w:rFonts w:ascii="Times New Roman" w:hAnsi="Times New Roman" w:eastAsia="Times New Roman"/>
                <w:b w:val="0"/>
                <w:sz w:val="16"/>
              </w:rPr>
              <w:t>Values, occupancy, lease analysis, environmental treatment</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Phase I ESA, Report CLR-2025-0119 (Executive Summary)</w:t>
            </w:r>
          </w:p>
        </w:tc>
        <w:tc>
          <w:tcPr>
            <w:tcW w:type="dxa" w:w="1872"/>
          </w:tcPr>
          <w:p>
            <w:pPr>
              <w:spacing w:before="40" w:after="40" w:line="240" w:lineRule="auto"/>
              <w:jc w:val="left"/>
            </w:pPr>
            <w:r/>
            <w:r>
              <w:rPr>
                <w:rFonts w:ascii="Times New Roman" w:hAnsi="Times New Roman" w:eastAsia="Times New Roman"/>
                <w:b w:val="0"/>
                <w:sz w:val="16"/>
              </w:rPr>
              <w:t>January 28, 2025</w:t>
            </w:r>
          </w:p>
        </w:tc>
        <w:tc>
          <w:tcPr>
            <w:tcW w:type="dxa" w:w="2232"/>
          </w:tcPr>
          <w:p>
            <w:pPr>
              <w:spacing w:before="40" w:after="40" w:line="240" w:lineRule="auto"/>
              <w:jc w:val="left"/>
            </w:pPr>
            <w:r/>
            <w:r>
              <w:rPr>
                <w:rFonts w:ascii="Times New Roman" w:hAnsi="Times New Roman" w:eastAsia="Times New Roman"/>
                <w:b w:val="0"/>
                <w:sz w:val="16"/>
              </w:rPr>
              <w:t>Clearfield Environmental Consulting LLC</w:t>
            </w:r>
          </w:p>
        </w:tc>
        <w:tc>
          <w:tcPr>
            <w:tcW w:type="dxa" w:w="2592"/>
          </w:tcPr>
          <w:p>
            <w:pPr>
              <w:spacing w:before="40" w:after="40" w:line="240" w:lineRule="auto"/>
              <w:jc w:val="left"/>
            </w:pPr>
            <w:r/>
            <w:r>
              <w:rPr>
                <w:rFonts w:ascii="Times New Roman" w:hAnsi="Times New Roman" w:eastAsia="Times New Roman"/>
                <w:b w:val="0"/>
                <w:sz w:val="16"/>
              </w:rPr>
              <w:t>CREC, LUR obligations, vapor barrier protocol (Exhibit E)</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Rent roll and lease abstracts (three worksheets)</w:t>
            </w:r>
          </w:p>
        </w:tc>
        <w:tc>
          <w:tcPr>
            <w:tcW w:type="dxa" w:w="1872"/>
          </w:tcPr>
          <w:p>
            <w:pPr>
              <w:spacing w:before="40" w:after="40" w:line="240" w:lineRule="auto"/>
              <w:jc w:val="left"/>
            </w:pPr>
            <w:r/>
            <w:r>
              <w:rPr>
                <w:rFonts w:ascii="Times New Roman" w:hAnsi="Times New Roman" w:eastAsia="Times New Roman"/>
                <w:b w:val="0"/>
                <w:sz w:val="16"/>
              </w:rPr>
              <w:t>As delivered</w:t>
            </w:r>
          </w:p>
        </w:tc>
        <w:tc>
          <w:tcPr>
            <w:tcW w:type="dxa" w:w="2232"/>
          </w:tcPr>
          <w:p>
            <w:pPr>
              <w:spacing w:before="40" w:after="40" w:line="240" w:lineRule="auto"/>
              <w:jc w:val="left"/>
            </w:pPr>
            <w:r/>
            <w:r>
              <w:rPr>
                <w:rFonts w:ascii="Times New Roman" w:hAnsi="Times New Roman" w:eastAsia="Times New Roman"/>
                <w:b w:val="0"/>
                <w:sz w:val="16"/>
              </w:rPr>
              <w:t>Borrower</w:t>
            </w:r>
          </w:p>
        </w:tc>
        <w:tc>
          <w:tcPr>
            <w:tcW w:type="dxa" w:w="2592"/>
          </w:tcPr>
          <w:p>
            <w:pPr>
              <w:spacing w:before="40" w:after="40" w:line="240" w:lineRule="auto"/>
              <w:jc w:val="left"/>
            </w:pPr>
            <w:r/>
            <w:r>
              <w:rPr>
                <w:rFonts w:ascii="Times New Roman" w:hAnsi="Times New Roman" w:eastAsia="Times New Roman"/>
                <w:b w:val="0"/>
                <w:sz w:val="16"/>
              </w:rPr>
              <w:t>Exhibit D, lease representations, occupancy reconciliation, DSCR projections</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Renovation budget and draw schedule (two worksheets)</w:t>
            </w:r>
          </w:p>
        </w:tc>
        <w:tc>
          <w:tcPr>
            <w:tcW w:type="dxa" w:w="1872"/>
          </w:tcPr>
          <w:p>
            <w:pPr>
              <w:spacing w:before="40" w:after="40" w:line="240" w:lineRule="auto"/>
              <w:jc w:val="left"/>
            </w:pPr>
            <w:r/>
            <w:r>
              <w:rPr>
                <w:rFonts w:ascii="Times New Roman" w:hAnsi="Times New Roman" w:eastAsia="Times New Roman"/>
                <w:b w:val="0"/>
                <w:sz w:val="16"/>
              </w:rPr>
              <w:t>As delivered</w:t>
            </w:r>
          </w:p>
        </w:tc>
        <w:tc>
          <w:tcPr>
            <w:tcW w:type="dxa" w:w="2232"/>
          </w:tcPr>
          <w:p>
            <w:pPr>
              <w:spacing w:before="40" w:after="40" w:line="240" w:lineRule="auto"/>
              <w:jc w:val="left"/>
            </w:pPr>
            <w:r/>
            <w:r>
              <w:rPr>
                <w:rFonts w:ascii="Times New Roman" w:hAnsi="Times New Roman" w:eastAsia="Times New Roman"/>
                <w:b w:val="0"/>
                <w:sz w:val="16"/>
              </w:rPr>
              <w:t>Borrower</w:t>
            </w:r>
          </w:p>
        </w:tc>
        <w:tc>
          <w:tcPr>
            <w:tcW w:type="dxa" w:w="2592"/>
          </w:tcPr>
          <w:p>
            <w:pPr>
              <w:spacing w:before="40" w:after="40" w:line="240" w:lineRule="auto"/>
              <w:jc w:val="left"/>
            </w:pPr>
            <w:r/>
            <w:r>
              <w:rPr>
                <w:rFonts w:ascii="Times New Roman" w:hAnsi="Times New Roman" w:eastAsia="Times New Roman"/>
                <w:b w:val="0"/>
                <w:sz w:val="16"/>
              </w:rPr>
              <w:t>Exhibit B, disbursement conditions, retainage</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Redacted summary of Amended and Restated Operating Agreement</w:t>
            </w:r>
          </w:p>
        </w:tc>
        <w:tc>
          <w:tcPr>
            <w:tcW w:type="dxa" w:w="1872"/>
          </w:tcPr>
          <w:p>
            <w:pPr>
              <w:spacing w:before="40" w:after="40" w:line="240" w:lineRule="auto"/>
              <w:jc w:val="left"/>
            </w:pPr>
            <w:r/>
            <w:r>
              <w:rPr>
                <w:rFonts w:ascii="Times New Roman" w:hAnsi="Times New Roman" w:eastAsia="Times New Roman"/>
                <w:b w:val="0"/>
                <w:sz w:val="16"/>
              </w:rPr>
              <w:t>Effective January 12, 2024; amended March 1, 2025</w:t>
            </w:r>
          </w:p>
        </w:tc>
        <w:tc>
          <w:tcPr>
            <w:tcW w:type="dxa" w:w="2232"/>
          </w:tcPr>
          <w:p>
            <w:pPr>
              <w:spacing w:before="40" w:after="40" w:line="240" w:lineRule="auto"/>
              <w:jc w:val="left"/>
            </w:pPr>
            <w:r/>
            <w:r>
              <w:rPr>
                <w:rFonts w:ascii="Times New Roman" w:hAnsi="Times New Roman" w:eastAsia="Times New Roman"/>
                <w:b w:val="0"/>
                <w:sz w:val="16"/>
              </w:rPr>
              <w:t>Cartwright &amp; Lyons LLP (borrower’s counsel)</w:t>
            </w:r>
          </w:p>
        </w:tc>
        <w:tc>
          <w:tcPr>
            <w:tcW w:type="dxa" w:w="2592"/>
          </w:tcPr>
          <w:p>
            <w:pPr>
              <w:spacing w:before="40" w:after="40" w:line="240" w:lineRule="auto"/>
              <w:jc w:val="left"/>
            </w:pPr>
            <w:r/>
            <w:r>
              <w:rPr>
                <w:rFonts w:ascii="Times New Roman" w:hAnsi="Times New Roman" w:eastAsia="Times New Roman"/>
                <w:b w:val="0"/>
                <w:sz w:val="16"/>
              </w:rPr>
              <w:t>Authority representations, SPE and transfer analysis</w:t>
            </w:r>
          </w:p>
        </w:tc>
      </w:tr>
      <w:tr>
        <w:trPr>
          <w:cantSplit w:val="true"/>
        </w:trPr>
        <w:tc>
          <w:tcPr>
            <w:tcW w:type="dxa" w:w="2664"/>
          </w:tcPr>
          <w:p>
            <w:pPr>
              <w:spacing w:before="40" w:after="40" w:line="240" w:lineRule="auto"/>
              <w:jc w:val="left"/>
            </w:pPr>
            <w:r/>
            <w:r>
              <w:rPr>
                <w:rFonts w:ascii="Times New Roman" w:hAnsi="Times New Roman" w:eastAsia="Times New Roman"/>
                <w:b w:val="0"/>
                <w:sz w:val="16"/>
              </w:rPr>
              <w:t>Partner markup notes (internal)</w:t>
            </w:r>
          </w:p>
        </w:tc>
        <w:tc>
          <w:tcPr>
            <w:tcW w:type="dxa" w:w="1872"/>
          </w:tcPr>
          <w:p>
            <w:pPr>
              <w:spacing w:before="40" w:after="40" w:line="240" w:lineRule="auto"/>
              <w:jc w:val="left"/>
            </w:pPr>
            <w:r/>
            <w:r>
              <w:rPr>
                <w:rFonts w:ascii="Times New Roman" w:hAnsi="Times New Roman" w:eastAsia="Times New Roman"/>
                <w:b w:val="0"/>
                <w:sz w:val="16"/>
              </w:rPr>
              <w:t>March 18, 2025</w:t>
            </w:r>
          </w:p>
        </w:tc>
        <w:tc>
          <w:tcPr>
            <w:tcW w:type="dxa" w:w="2232"/>
          </w:tcPr>
          <w:p>
            <w:pPr>
              <w:spacing w:before="40" w:after="40" w:line="240" w:lineRule="auto"/>
              <w:jc w:val="left"/>
            </w:pPr>
            <w:r/>
            <w:r>
              <w:rPr>
                <w:rFonts w:ascii="Times New Roman" w:hAnsi="Times New Roman" w:eastAsia="Times New Roman"/>
                <w:b w:val="0"/>
                <w:sz w:val="16"/>
              </w:rPr>
              <w:t>C. Ashworth (this firm)</w:t>
            </w:r>
          </w:p>
        </w:tc>
        <w:tc>
          <w:tcPr>
            <w:tcW w:type="dxa" w:w="2592"/>
          </w:tcPr>
          <w:p>
            <w:pPr>
              <w:spacing w:before="40" w:after="40" w:line="240" w:lineRule="auto"/>
              <w:jc w:val="left"/>
            </w:pPr>
            <w:r/>
            <w:r>
              <w:rPr>
                <w:rFonts w:ascii="Times New Roman" w:hAnsi="Times New Roman" w:eastAsia="Times New Roman"/>
                <w:b w:val="0"/>
                <w:sz w:val="16"/>
              </w:rPr>
              <w:t>Drafting instructions and flagged issues</w:t>
            </w:r>
          </w:p>
        </w:tc>
      </w:tr>
    </w:tbl>
    <w:p>
      <w:pPr>
        <w:keepNext/>
        <w:spacing w:before="200" w:after="80"/>
        <w:ind w:firstLine="0"/>
      </w:pPr>
      <w:r>
        <w:rPr>
          <w:rFonts w:ascii="Times New Roman" w:hAnsi="Times New Roman" w:eastAsia="Times New Roman"/>
          <w:b/>
          <w:sz w:val="21"/>
        </w:rPr>
        <w:t>2.3  Method and limitations</w:t>
      </w:r>
    </w:p>
    <w:p>
      <w:pPr>
        <w:keepNext w:val="0"/>
        <w:spacing w:before="0" w:after="120" w:line="240" w:lineRule="auto"/>
        <w:ind w:left="0"/>
        <w:jc w:val="both"/>
      </w:pPr>
      <w:r>
        <w:rPr>
          <w:rFonts w:ascii="Times New Roman" w:hAnsi="Times New Roman" w:eastAsia="Times New Roman"/>
          <w:b w:val="0"/>
          <w:i w:val="0"/>
          <w:sz w:val="22"/>
        </w:rPr>
        <w:t>Each source was read in full rather than in summary. Every amount, percentage, ratio, date interval and cross-reference in the Term Sheet and the ancillary materials was recomputed independently (Section 5); where a recomputation departs from a stated figure, the departure is recorded rather than silently corrected. Recitals of fact are separated from legal characterisations and from recommendations: Section 4 states findings, then the treatment adopted in the draft, then the action required. Where a source is silent, the gap is identified as such rather than filled by assumption.</w:t>
      </w:r>
    </w:p>
    <w:p>
      <w:pPr>
        <w:keepNext w:val="0"/>
        <w:spacing w:before="0" w:after="120" w:line="240" w:lineRule="auto"/>
        <w:ind w:left="0"/>
        <w:jc w:val="both"/>
      </w:pPr>
      <w:r>
        <w:rPr>
          <w:rFonts w:ascii="Times New Roman" w:hAnsi="Times New Roman" w:eastAsia="Times New Roman"/>
          <w:b w:val="0"/>
          <w:i w:val="0"/>
          <w:sz w:val="22"/>
        </w:rPr>
        <w:t>Three express limitations apply. First, the redacted operating agreement summary is not the operating agreement; the SPE amendment required by Issue 6 cannot be conformed until the full unredacted document, including all exhibits and the March 1, 2025 amendment, is produced. Second, the metes and bounds description for Exhibit A is not in the record — the record description and the survey reference are used, with the surveyor’s description to be inserted at closing. Third, we have not reviewed the full Phase I ESA report or its appendices, the construction contract, the Leases themselves (only the borrower-prepared abstracts), or the survey; each is identified in Section 6 as an outstanding diligence item.</w:t>
      </w:r>
    </w:p>
    <w:p>
      <w:pPr>
        <w:pStyle w:val="Heading1"/>
        <w:keepNext/>
        <w:spacing w:before="320" w:after="120"/>
        <w:ind w:firstLine="0"/>
      </w:pPr>
      <w:r>
        <w:rPr>
          <w:rFonts w:ascii="Times New Roman" w:hAnsi="Times New Roman" w:eastAsia="Times New Roman"/>
          <w:b/>
          <w:color w:val="000000"/>
          <w:sz w:val="23"/>
        </w:rPr>
        <w:t>3.  Top-Risk Register</w:t>
      </w:r>
    </w:p>
    <w:p>
      <w:pPr>
        <w:keepNext w:val="0"/>
        <w:spacing w:before="0" w:after="120" w:line="240" w:lineRule="auto"/>
        <w:ind w:left="0"/>
        <w:jc w:val="both"/>
      </w:pPr>
      <w:r>
        <w:rPr>
          <w:rFonts w:ascii="Times New Roman" w:hAnsi="Times New Roman" w:eastAsia="Times New Roman"/>
          <w:b w:val="0"/>
          <w:i w:val="0"/>
          <w:sz w:val="22"/>
        </w:rPr>
        <w:t>Risks are ordered by consequence to the Bank, not by order of appearance in the documents. “C” denotes a risk that can prevent closing or defeat the intended structure; “H” a risk that can produce a material loss of protection or a foreseeable default.</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1560"/>
        <w:gridCol w:w="1560"/>
        <w:gridCol w:w="1560"/>
        <w:gridCol w:w="1560"/>
        <w:gridCol w:w="1560"/>
        <w:gridCol w:w="1560"/>
      </w:tblGrid>
      <w:tr>
        <w:trPr>
          <w:cantSplit w:val="true"/>
          <w:tblHeader w:val="true"/>
        </w:trPr>
        <w:tc>
          <w:tcPr>
            <w:tcW w:type="dxa" w:w="432"/>
            <w:shd w:val="clear" w:color="auto" w:fill="DCE3EA"/>
          </w:tcPr>
          <w:p>
            <w:pPr>
              <w:spacing w:before="40" w:after="40" w:line="240" w:lineRule="auto"/>
              <w:jc w:val="left"/>
            </w:pPr>
            <w:r/>
            <w:r>
              <w:rPr>
                <w:rFonts w:ascii="Times New Roman" w:hAnsi="Times New Roman" w:eastAsia="Times New Roman"/>
                <w:b/>
                <w:sz w:val="15"/>
              </w:rPr>
              <w:t>ID</w:t>
            </w:r>
          </w:p>
        </w:tc>
        <w:tc>
          <w:tcPr>
            <w:tcW w:type="dxa" w:w="2520"/>
            <w:shd w:val="clear" w:color="auto" w:fill="DCE3EA"/>
          </w:tcPr>
          <w:p>
            <w:pPr>
              <w:spacing w:before="40" w:after="40" w:line="240" w:lineRule="auto"/>
              <w:jc w:val="left"/>
            </w:pPr>
            <w:r/>
            <w:r>
              <w:rPr>
                <w:rFonts w:ascii="Times New Roman" w:hAnsi="Times New Roman" w:eastAsia="Times New Roman"/>
                <w:b/>
                <w:sz w:val="15"/>
              </w:rPr>
              <w:t>Risk</w:t>
            </w:r>
          </w:p>
        </w:tc>
        <w:tc>
          <w:tcPr>
            <w:tcW w:type="dxa" w:w="504"/>
            <w:shd w:val="clear" w:color="auto" w:fill="DCE3EA"/>
          </w:tcPr>
          <w:p>
            <w:pPr>
              <w:spacing w:before="40" w:after="40" w:line="240" w:lineRule="auto"/>
              <w:jc w:val="left"/>
            </w:pPr>
            <w:r/>
            <w:r>
              <w:rPr>
                <w:rFonts w:ascii="Times New Roman" w:hAnsi="Times New Roman" w:eastAsia="Times New Roman"/>
                <w:b/>
                <w:sz w:val="15"/>
              </w:rPr>
              <w:t>Sev.</w:t>
            </w:r>
          </w:p>
        </w:tc>
        <w:tc>
          <w:tcPr>
            <w:tcW w:type="dxa" w:w="1944"/>
            <w:shd w:val="clear" w:color="auto" w:fill="DCE3EA"/>
          </w:tcPr>
          <w:p>
            <w:pPr>
              <w:spacing w:before="40" w:after="40" w:line="240" w:lineRule="auto"/>
              <w:jc w:val="left"/>
            </w:pPr>
            <w:r/>
            <w:r>
              <w:rPr>
                <w:rFonts w:ascii="Times New Roman" w:hAnsi="Times New Roman" w:eastAsia="Times New Roman"/>
                <w:b/>
                <w:sz w:val="15"/>
              </w:rPr>
              <w:t>Primary source</w:t>
            </w:r>
          </w:p>
        </w:tc>
        <w:tc>
          <w:tcPr>
            <w:tcW w:type="dxa" w:w="2160"/>
            <w:shd w:val="clear" w:color="auto" w:fill="DCE3EA"/>
          </w:tcPr>
          <w:p>
            <w:pPr>
              <w:spacing w:before="40" w:after="40" w:line="240" w:lineRule="auto"/>
              <w:jc w:val="left"/>
            </w:pPr>
            <w:r/>
            <w:r>
              <w:rPr>
                <w:rFonts w:ascii="Times New Roman" w:hAnsi="Times New Roman" w:eastAsia="Times New Roman"/>
                <w:b/>
                <w:sz w:val="15"/>
              </w:rPr>
              <w:t>Consequence if unresolved</w:t>
            </w:r>
          </w:p>
        </w:tc>
        <w:tc>
          <w:tcPr>
            <w:tcW w:type="dxa" w:w="1800"/>
            <w:shd w:val="clear" w:color="auto" w:fill="DCE3EA"/>
          </w:tcPr>
          <w:p>
            <w:pPr>
              <w:spacing w:before="40" w:after="40" w:line="240" w:lineRule="auto"/>
              <w:jc w:val="left"/>
            </w:pPr>
            <w:r/>
            <w:r>
              <w:rPr>
                <w:rFonts w:ascii="Times New Roman" w:hAnsi="Times New Roman" w:eastAsia="Times New Roman"/>
                <w:b/>
                <w:sz w:val="15"/>
              </w:rPr>
              <w:t>Action</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w:t>
            </w:r>
          </w:p>
        </w:tc>
        <w:tc>
          <w:tcPr>
            <w:tcW w:type="dxa" w:w="2520"/>
          </w:tcPr>
          <w:p>
            <w:pPr>
              <w:spacing w:before="40" w:after="40" w:line="240" w:lineRule="auto"/>
              <w:jc w:val="left"/>
            </w:pPr>
            <w:r/>
            <w:r>
              <w:rPr>
                <w:rFonts w:ascii="Times New Roman" w:hAnsi="Times New Roman" w:eastAsia="Times New Roman"/>
                <w:b w:val="0"/>
                <w:sz w:val="15"/>
              </w:rPr>
              <w:t>DSCR covenant unattainable: best-case 0.554x, realistic 0.280x, against 1.25x required</w:t>
            </w:r>
          </w:p>
        </w:tc>
        <w:tc>
          <w:tcPr>
            <w:tcW w:type="dxa" w:w="504"/>
          </w:tcPr>
          <w:p>
            <w:pPr>
              <w:spacing w:before="40" w:after="40" w:line="240" w:lineRule="auto"/>
              <w:jc w:val="left"/>
            </w:pPr>
            <w:r/>
            <w:r>
              <w:rPr>
                <w:rFonts w:ascii="Times New Roman" w:hAnsi="Times New Roman" w:eastAsia="Times New Roman"/>
                <w:b w:val="0"/>
                <w:sz w:val="15"/>
              </w:rPr>
              <w:t>C</w:t>
            </w:r>
          </w:p>
        </w:tc>
        <w:tc>
          <w:tcPr>
            <w:tcW w:type="dxa" w:w="1944"/>
          </w:tcPr>
          <w:p>
            <w:pPr>
              <w:spacing w:before="40" w:after="40" w:line="240" w:lineRule="auto"/>
              <w:jc w:val="left"/>
            </w:pPr>
            <w:r/>
            <w:r>
              <w:rPr>
                <w:rFonts w:ascii="Times New Roman" w:hAnsi="Times New Roman" w:eastAsia="Times New Roman"/>
                <w:b w:val="0"/>
                <w:sz w:val="15"/>
              </w:rPr>
              <w:t>Term Sheet §7.1; rent roll, Vacancy Schedule</w:t>
            </w:r>
          </w:p>
        </w:tc>
        <w:tc>
          <w:tcPr>
            <w:tcW w:type="dxa" w:w="2160"/>
          </w:tcPr>
          <w:p>
            <w:pPr>
              <w:spacing w:before="40" w:after="40" w:line="240" w:lineRule="auto"/>
              <w:jc w:val="left"/>
            </w:pPr>
            <w:r/>
            <w:r>
              <w:rPr>
                <w:rFonts w:ascii="Times New Roman" w:hAnsi="Times New Roman" w:eastAsia="Times New Roman"/>
                <w:b w:val="0"/>
                <w:sz w:val="15"/>
              </w:rPr>
              <w:t>Automatic Event of Default at the first or second quarterly test; enforcement against a performing asset; guarantor exposure</w:t>
            </w:r>
          </w:p>
        </w:tc>
        <w:tc>
          <w:tcPr>
            <w:tcW w:type="dxa" w:w="1800"/>
          </w:tcPr>
          <w:p>
            <w:pPr>
              <w:spacing w:before="40" w:after="40" w:line="240" w:lineRule="auto"/>
              <w:jc w:val="left"/>
            </w:pPr>
            <w:r/>
            <w:r>
              <w:rPr>
                <w:rFonts w:ascii="Times New Roman" w:hAnsi="Times New Roman" w:eastAsia="Times New Roman"/>
                <w:b w:val="0"/>
                <w:sz w:val="15"/>
              </w:rPr>
              <w:t>Reset covenant, extend interest-only, add DSCR cure deposit and cash management (Issue 1)</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2</w:t>
            </w:r>
          </w:p>
        </w:tc>
        <w:tc>
          <w:tcPr>
            <w:tcW w:type="dxa" w:w="2520"/>
          </w:tcPr>
          <w:p>
            <w:pPr>
              <w:spacing w:before="40" w:after="40" w:line="240" w:lineRule="auto"/>
              <w:jc w:val="left"/>
            </w:pPr>
            <w:r/>
            <w:r>
              <w:rPr>
                <w:rFonts w:ascii="Times New Roman" w:hAnsi="Times New Roman" w:eastAsia="Times New Roman"/>
                <w:b w:val="0"/>
                <w:sz w:val="15"/>
              </w:rPr>
              <w:t>No mechanic to cure or waive a DSCR failure; “without cure” default</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§§11.1(i), 11.2</w:t>
            </w:r>
          </w:p>
        </w:tc>
        <w:tc>
          <w:tcPr>
            <w:tcW w:type="dxa" w:w="2160"/>
          </w:tcPr>
          <w:p>
            <w:pPr>
              <w:spacing w:before="40" w:after="40" w:line="240" w:lineRule="auto"/>
              <w:jc w:val="left"/>
            </w:pPr>
            <w:r/>
            <w:r>
              <w:rPr>
                <w:rFonts w:ascii="Times New Roman" w:hAnsi="Times New Roman" w:eastAsia="Times New Roman"/>
                <w:b w:val="0"/>
                <w:sz w:val="15"/>
              </w:rPr>
              <w:t>First test failure is immediately actionable</w:t>
            </w:r>
          </w:p>
        </w:tc>
        <w:tc>
          <w:tcPr>
            <w:tcW w:type="dxa" w:w="1800"/>
          </w:tcPr>
          <w:p>
            <w:pPr>
              <w:spacing w:before="40" w:after="40" w:line="240" w:lineRule="auto"/>
              <w:jc w:val="left"/>
            </w:pPr>
            <w:r/>
            <w:r>
              <w:rPr>
                <w:rFonts w:ascii="Times New Roman" w:hAnsi="Times New Roman" w:eastAsia="Times New Roman"/>
                <w:b w:val="0"/>
                <w:sz w:val="15"/>
              </w:rPr>
              <w:t>Draft cure and equity-cure election (Issue 2)</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3</w:t>
            </w:r>
          </w:p>
        </w:tc>
        <w:tc>
          <w:tcPr>
            <w:tcW w:type="dxa" w:w="2520"/>
          </w:tcPr>
          <w:p>
            <w:pPr>
              <w:spacing w:before="40" w:after="40" w:line="240" w:lineRule="auto"/>
              <w:jc w:val="left"/>
            </w:pPr>
            <w:r/>
            <w:r>
              <w:rPr>
                <w:rFonts w:ascii="Times New Roman" w:hAnsi="Times New Roman" w:eastAsia="Times New Roman"/>
                <w:b w:val="0"/>
                <w:sz w:val="15"/>
              </w:rPr>
              <w:t>Appraisal income approach does not support the concluded values</w:t>
            </w:r>
          </w:p>
        </w:tc>
        <w:tc>
          <w:tcPr>
            <w:tcW w:type="dxa" w:w="504"/>
          </w:tcPr>
          <w:p>
            <w:pPr>
              <w:spacing w:before="40" w:after="40" w:line="240" w:lineRule="auto"/>
              <w:jc w:val="left"/>
            </w:pPr>
            <w:r/>
            <w:r>
              <w:rPr>
                <w:rFonts w:ascii="Times New Roman" w:hAnsi="Times New Roman" w:eastAsia="Times New Roman"/>
                <w:b w:val="0"/>
                <w:sz w:val="15"/>
              </w:rPr>
              <w:t>C</w:t>
            </w:r>
          </w:p>
        </w:tc>
        <w:tc>
          <w:tcPr>
            <w:tcW w:type="dxa" w:w="1944"/>
          </w:tcPr>
          <w:p>
            <w:pPr>
              <w:spacing w:before="40" w:after="40" w:line="240" w:lineRule="auto"/>
              <w:jc w:val="left"/>
            </w:pPr>
            <w:r/>
            <w:r>
              <w:rPr>
                <w:rFonts w:ascii="Times New Roman" w:hAnsi="Times New Roman" w:eastAsia="Times New Roman"/>
                <w:b w:val="0"/>
                <w:sz w:val="15"/>
              </w:rPr>
              <w:t>Appraisal §§6.2, 6.3, 7</w:t>
            </w:r>
          </w:p>
        </w:tc>
        <w:tc>
          <w:tcPr>
            <w:tcW w:type="dxa" w:w="2160"/>
          </w:tcPr>
          <w:p>
            <w:pPr>
              <w:spacing w:before="40" w:after="40" w:line="240" w:lineRule="auto"/>
              <w:jc w:val="left"/>
            </w:pPr>
            <w:r/>
            <w:r>
              <w:rPr>
                <w:rFonts w:ascii="Times New Roman" w:hAnsi="Times New Roman" w:eastAsia="Times New Roman"/>
                <w:b w:val="0"/>
                <w:sz w:val="15"/>
              </w:rPr>
              <w:t>As-is LTV 81.04% (already above customary 75–80%) rests on sales comparison alone</w:t>
            </w:r>
          </w:p>
        </w:tc>
        <w:tc>
          <w:tcPr>
            <w:tcW w:type="dxa" w:w="1800"/>
          </w:tcPr>
          <w:p>
            <w:pPr>
              <w:spacing w:before="40" w:after="40" w:line="240" w:lineRule="auto"/>
              <w:jc w:val="left"/>
            </w:pPr>
            <w:r/>
            <w:r>
              <w:rPr>
                <w:rFonts w:ascii="Times New Roman" w:hAnsi="Times New Roman" w:eastAsia="Times New Roman"/>
                <w:b w:val="0"/>
                <w:sz w:val="15"/>
              </w:rPr>
              <w:t>Obtain appraisal review and reconciliation from Pinnacle (Issue 3)</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4</w:t>
            </w:r>
          </w:p>
        </w:tc>
        <w:tc>
          <w:tcPr>
            <w:tcW w:type="dxa" w:w="2520"/>
          </w:tcPr>
          <w:p>
            <w:pPr>
              <w:spacing w:before="40" w:after="40" w:line="240" w:lineRule="auto"/>
              <w:jc w:val="left"/>
            </w:pPr>
            <w:r/>
            <w:r>
              <w:rPr>
                <w:rFonts w:ascii="Times New Roman" w:hAnsi="Times New Roman" w:eastAsia="Times New Roman"/>
                <w:b w:val="0"/>
                <w:sz w:val="15"/>
              </w:rPr>
              <w:t>Occupancy misstated at 68%; actual 56.13%</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§2.3; appraisal §§1, 3.1</w:t>
            </w:r>
          </w:p>
        </w:tc>
        <w:tc>
          <w:tcPr>
            <w:tcW w:type="dxa" w:w="2160"/>
          </w:tcPr>
          <w:p>
            <w:pPr>
              <w:spacing w:before="40" w:after="40" w:line="240" w:lineRule="auto"/>
              <w:jc w:val="left"/>
            </w:pPr>
            <w:r/>
            <w:r>
              <w:rPr>
                <w:rFonts w:ascii="Times New Roman" w:hAnsi="Times New Roman" w:eastAsia="Times New Roman"/>
                <w:b w:val="0"/>
                <w:sz w:val="15"/>
              </w:rPr>
              <w:t>False representation in a recorded instrument; skewed leasing and NOI assumptions</w:t>
            </w:r>
          </w:p>
        </w:tc>
        <w:tc>
          <w:tcPr>
            <w:tcW w:type="dxa" w:w="1800"/>
          </w:tcPr>
          <w:p>
            <w:pPr>
              <w:spacing w:before="40" w:after="40" w:line="240" w:lineRule="auto"/>
              <w:jc w:val="left"/>
            </w:pPr>
            <w:r/>
            <w:r>
              <w:rPr>
                <w:rFonts w:ascii="Times New Roman" w:hAnsi="Times New Roman" w:eastAsia="Times New Roman"/>
                <w:b w:val="0"/>
                <w:sz w:val="15"/>
              </w:rPr>
              <w:t>Draft represents 56.13% (Issue 4)</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5</w:t>
            </w:r>
          </w:p>
        </w:tc>
        <w:tc>
          <w:tcPr>
            <w:tcW w:type="dxa" w:w="2520"/>
          </w:tcPr>
          <w:p>
            <w:pPr>
              <w:spacing w:before="40" w:after="40" w:line="240" w:lineRule="auto"/>
              <w:jc w:val="left"/>
            </w:pPr>
            <w:r/>
            <w:r>
              <w:rPr>
                <w:rFonts w:ascii="Times New Roman" w:hAnsi="Times New Roman" w:eastAsia="Times New Roman"/>
                <w:b w:val="0"/>
                <w:sz w:val="15"/>
              </w:rPr>
              <w:t>Anson Lane strip held by quitclaim only; insurer reserves on coverage</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Title Commitment Sch. A §§3–4 and notes to closer ¶3</w:t>
            </w:r>
          </w:p>
        </w:tc>
        <w:tc>
          <w:tcPr>
            <w:tcW w:type="dxa" w:w="2160"/>
          </w:tcPr>
          <w:p>
            <w:pPr>
              <w:spacing w:before="40" w:after="40" w:line="240" w:lineRule="auto"/>
              <w:jc w:val="left"/>
            </w:pPr>
            <w:r/>
            <w:r>
              <w:rPr>
                <w:rFonts w:ascii="Times New Roman" w:hAnsi="Times New Roman" w:eastAsia="Times New Roman"/>
                <w:b w:val="0"/>
                <w:sz w:val="15"/>
              </w:rPr>
              <w:t>Collateral gap and impairment of rear access, loading and parking relied on by the Leases</w:t>
            </w:r>
          </w:p>
        </w:tc>
        <w:tc>
          <w:tcPr>
            <w:tcW w:type="dxa" w:w="1800"/>
          </w:tcPr>
          <w:p>
            <w:pPr>
              <w:spacing w:before="40" w:after="40" w:line="240" w:lineRule="auto"/>
              <w:jc w:val="left"/>
            </w:pPr>
            <w:r/>
            <w:r>
              <w:rPr>
                <w:rFonts w:ascii="Times New Roman" w:hAnsi="Times New Roman" w:eastAsia="Times New Roman"/>
                <w:b w:val="0"/>
                <w:sz w:val="15"/>
              </w:rPr>
              <w:t>Affirmative coverage, ALTA 34/19/17, title counsel sign-off (Issue 5)</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6</w:t>
            </w:r>
          </w:p>
        </w:tc>
        <w:tc>
          <w:tcPr>
            <w:tcW w:type="dxa" w:w="2520"/>
          </w:tcPr>
          <w:p>
            <w:pPr>
              <w:spacing w:before="40" w:after="40" w:line="240" w:lineRule="auto"/>
              <w:jc w:val="left"/>
            </w:pPr>
            <w:r/>
            <w:r>
              <w:rPr>
                <w:rFonts w:ascii="Times New Roman" w:hAnsi="Times New Roman" w:eastAsia="Times New Roman"/>
                <w:b w:val="0"/>
                <w:sz w:val="15"/>
              </w:rPr>
              <w:t>Operating agreement non-compliant with SPE and bankruptcy remoteness</w:t>
            </w:r>
          </w:p>
        </w:tc>
        <w:tc>
          <w:tcPr>
            <w:tcW w:type="dxa" w:w="504"/>
          </w:tcPr>
          <w:p>
            <w:pPr>
              <w:spacing w:before="40" w:after="40" w:line="240" w:lineRule="auto"/>
              <w:jc w:val="left"/>
            </w:pPr>
            <w:r/>
            <w:r>
              <w:rPr>
                <w:rFonts w:ascii="Times New Roman" w:hAnsi="Times New Roman" w:eastAsia="Times New Roman"/>
                <w:b w:val="0"/>
                <w:sz w:val="15"/>
              </w:rPr>
              <w:t>C</w:t>
            </w:r>
          </w:p>
        </w:tc>
        <w:tc>
          <w:tcPr>
            <w:tcW w:type="dxa" w:w="1944"/>
          </w:tcPr>
          <w:p>
            <w:pPr>
              <w:spacing w:before="40" w:after="40" w:line="240" w:lineRule="auto"/>
              <w:jc w:val="left"/>
            </w:pPr>
            <w:r/>
            <w:r>
              <w:rPr>
                <w:rFonts w:ascii="Times New Roman" w:hAnsi="Times New Roman" w:eastAsia="Times New Roman"/>
                <w:b w:val="0"/>
                <w:sz w:val="15"/>
              </w:rPr>
              <w:t>Operating agreement summary §§1.4, 3.1, 3.2, 8.1, 9.1</w:t>
            </w:r>
          </w:p>
        </w:tc>
        <w:tc>
          <w:tcPr>
            <w:tcW w:type="dxa" w:w="2160"/>
          </w:tcPr>
          <w:p>
            <w:pPr>
              <w:spacing w:before="40" w:after="40" w:line="240" w:lineRule="auto"/>
              <w:jc w:val="left"/>
            </w:pPr>
            <w:r/>
            <w:r>
              <w:rPr>
                <w:rFonts w:ascii="Times New Roman" w:hAnsi="Times New Roman" w:eastAsia="Times New Roman"/>
                <w:b w:val="0"/>
                <w:sz w:val="15"/>
              </w:rPr>
              <w:t>Non-recourse structure defeated; unconstrained voluntary bankruptcy</w:t>
            </w:r>
          </w:p>
        </w:tc>
        <w:tc>
          <w:tcPr>
            <w:tcW w:type="dxa" w:w="1800"/>
          </w:tcPr>
          <w:p>
            <w:pPr>
              <w:spacing w:before="40" w:after="40" w:line="240" w:lineRule="auto"/>
              <w:jc w:val="left"/>
            </w:pPr>
            <w:r/>
            <w:r>
              <w:rPr>
                <w:rFonts w:ascii="Times New Roman" w:hAnsi="Times New Roman" w:eastAsia="Times New Roman"/>
                <w:b w:val="0"/>
                <w:sz w:val="15"/>
              </w:rPr>
              <w:t>Executed amendment by all three members as a condition to closing (Issue 6)</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7</w:t>
            </w:r>
          </w:p>
        </w:tc>
        <w:tc>
          <w:tcPr>
            <w:tcW w:type="dxa" w:w="2520"/>
          </w:tcPr>
          <w:p>
            <w:pPr>
              <w:spacing w:before="40" w:after="40" w:line="240" w:lineRule="auto"/>
              <w:jc w:val="left"/>
            </w:pPr>
            <w:r/>
            <w:r>
              <w:rPr>
                <w:rFonts w:ascii="Times New Roman" w:hAnsi="Times New Roman" w:eastAsia="Times New Roman"/>
                <w:b w:val="0"/>
                <w:sz w:val="15"/>
              </w:rPr>
              <w:t>SCDHEC land use restriction (vapor barrier) treated as “standard” environmental risk</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Title Commitment Req. 6 and notes to closer ¶1; Phase I §§5.3, 6(d)</w:t>
            </w:r>
          </w:p>
        </w:tc>
        <w:tc>
          <w:tcPr>
            <w:tcW w:type="dxa" w:w="2160"/>
          </w:tcPr>
          <w:p>
            <w:pPr>
              <w:spacing w:before="40" w:after="40" w:line="240" w:lineRule="auto"/>
              <w:jc w:val="left"/>
            </w:pPr>
            <w:r/>
            <w:r>
              <w:rPr>
                <w:rFonts w:ascii="Times New Roman" w:hAnsi="Times New Roman" w:eastAsia="Times New Roman"/>
                <w:b w:val="0"/>
                <w:sz w:val="15"/>
              </w:rPr>
              <w:t>Loss of NFA status; reopening of site file; lender liability</w:t>
            </w:r>
          </w:p>
        </w:tc>
        <w:tc>
          <w:tcPr>
            <w:tcW w:type="dxa" w:w="1800"/>
          </w:tcPr>
          <w:p>
            <w:pPr>
              <w:spacing w:before="40" w:after="40" w:line="240" w:lineRule="auto"/>
              <w:jc w:val="left"/>
            </w:pPr>
            <w:r/>
            <w:r>
              <w:rPr>
                <w:rFonts w:ascii="Times New Roman" w:hAnsi="Times New Roman" w:eastAsia="Times New Roman"/>
                <w:b w:val="0"/>
                <w:sz w:val="15"/>
              </w:rPr>
              <w:t>Dedicated covenants, inspections and Event of Default (Issue 7)</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8</w:t>
            </w:r>
          </w:p>
        </w:tc>
        <w:tc>
          <w:tcPr>
            <w:tcW w:type="dxa" w:w="2520"/>
          </w:tcPr>
          <w:p>
            <w:pPr>
              <w:spacing w:before="40" w:after="40" w:line="240" w:lineRule="auto"/>
              <w:jc w:val="left"/>
            </w:pPr>
            <w:r/>
            <w:r>
              <w:rPr>
                <w:rFonts w:ascii="Times New Roman" w:hAnsi="Times New Roman" w:eastAsia="Times New Roman"/>
                <w:b w:val="0"/>
                <w:sz w:val="15"/>
              </w:rPr>
              <w:t>Yield maintenance: undefined index; 1% floor omitted by the markup; lockout internally inconsistent</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§§4.1–4.3; markup notes §5</w:t>
            </w:r>
          </w:p>
        </w:tc>
        <w:tc>
          <w:tcPr>
            <w:tcW w:type="dxa" w:w="2160"/>
          </w:tcPr>
          <w:p>
            <w:pPr>
              <w:spacing w:before="40" w:after="40" w:line="240" w:lineRule="auto"/>
              <w:jc w:val="left"/>
            </w:pPr>
            <w:r/>
            <w:r>
              <w:rPr>
                <w:rFonts w:ascii="Times New Roman" w:hAnsi="Times New Roman" w:eastAsia="Times New Roman"/>
                <w:b w:val="0"/>
                <w:sz w:val="15"/>
              </w:rPr>
              <w:t>Premium unenforceable as a penalty or indefinite; yield loss</w:t>
            </w:r>
          </w:p>
        </w:tc>
        <w:tc>
          <w:tcPr>
            <w:tcW w:type="dxa" w:w="1800"/>
          </w:tcPr>
          <w:p>
            <w:pPr>
              <w:spacing w:before="40" w:after="40" w:line="240" w:lineRule="auto"/>
              <w:jc w:val="left"/>
            </w:pPr>
            <w:r/>
            <w:r>
              <w:rPr>
                <w:rFonts w:ascii="Times New Roman" w:hAnsi="Times New Roman" w:eastAsia="Times New Roman"/>
                <w:b w:val="0"/>
                <w:sz w:val="15"/>
              </w:rPr>
              <w:t>Draft to Term Sheet with defined index; confirm commercial interpretation (Issue 8)</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9</w:t>
            </w:r>
          </w:p>
        </w:tc>
        <w:tc>
          <w:tcPr>
            <w:tcW w:type="dxa" w:w="2520"/>
          </w:tcPr>
          <w:p>
            <w:pPr>
              <w:spacing w:before="40" w:after="40" w:line="240" w:lineRule="auto"/>
              <w:jc w:val="left"/>
            </w:pPr>
            <w:r/>
            <w:r>
              <w:rPr>
                <w:rFonts w:ascii="Times New Roman" w:hAnsi="Times New Roman" w:eastAsia="Times New Roman"/>
                <w:b w:val="0"/>
                <w:sz w:val="15"/>
              </w:rPr>
              <w:t>Interest shortfall guaranty expires at month 14, before the DSCR test at month 24</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§5.5(c) vs §7.1</w:t>
            </w:r>
          </w:p>
        </w:tc>
        <w:tc>
          <w:tcPr>
            <w:tcW w:type="dxa" w:w="2160"/>
          </w:tcPr>
          <w:p>
            <w:pPr>
              <w:spacing w:before="40" w:after="40" w:line="240" w:lineRule="auto"/>
              <w:jc w:val="left"/>
            </w:pPr>
            <w:r/>
            <w:r>
              <w:rPr>
                <w:rFonts w:ascii="Times New Roman" w:hAnsi="Times New Roman" w:eastAsia="Times New Roman"/>
                <w:b w:val="0"/>
                <w:sz w:val="15"/>
              </w:rPr>
              <w:t>Guarantor relief ends exactly where the credit risk peaks</w:t>
            </w:r>
          </w:p>
        </w:tc>
        <w:tc>
          <w:tcPr>
            <w:tcW w:type="dxa" w:w="1800"/>
          </w:tcPr>
          <w:p>
            <w:pPr>
              <w:spacing w:before="40" w:after="40" w:line="240" w:lineRule="auto"/>
              <w:jc w:val="left"/>
            </w:pPr>
            <w:r/>
            <w:r>
              <w:rPr>
                <w:rFonts w:ascii="Times New Roman" w:hAnsi="Times New Roman" w:eastAsia="Times New Roman"/>
                <w:b w:val="0"/>
                <w:sz w:val="15"/>
              </w:rPr>
              <w:t>Extend coverage to the DSCR test date or add a DSCR guaranty (Issue 9)</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10</w:t>
            </w:r>
          </w:p>
        </w:tc>
        <w:tc>
          <w:tcPr>
            <w:tcW w:type="dxa" w:w="2520"/>
          </w:tcPr>
          <w:p>
            <w:pPr>
              <w:spacing w:before="40" w:after="40" w:line="240" w:lineRule="auto"/>
              <w:jc w:val="left"/>
            </w:pPr>
            <w:r/>
            <w:r>
              <w:rPr>
                <w:rFonts w:ascii="Times New Roman" w:hAnsi="Times New Roman" w:eastAsia="Times New Roman"/>
                <w:b w:val="0"/>
                <w:sz w:val="15"/>
              </w:rPr>
              <w:t>Transfer restrictions conflict with the operating agreement; no indirect or upstream control test</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§10.3; operating agreement §§4.1, 4.2(c), 4.5</w:t>
            </w:r>
          </w:p>
        </w:tc>
        <w:tc>
          <w:tcPr>
            <w:tcW w:type="dxa" w:w="2160"/>
          </w:tcPr>
          <w:p>
            <w:pPr>
              <w:spacing w:before="40" w:after="40" w:line="240" w:lineRule="auto"/>
              <w:jc w:val="left"/>
            </w:pPr>
            <w:r/>
            <w:r>
              <w:rPr>
                <w:rFonts w:ascii="Times New Roman" w:hAnsi="Times New Roman" w:eastAsia="Times New Roman"/>
                <w:b w:val="0"/>
                <w:sz w:val="15"/>
              </w:rPr>
              <w:t>18% interest may transfer to a “successor fund” without consent; a sale of the managing member is unrestricted</w:t>
            </w:r>
          </w:p>
        </w:tc>
        <w:tc>
          <w:tcPr>
            <w:tcW w:type="dxa" w:w="1800"/>
          </w:tcPr>
          <w:p>
            <w:pPr>
              <w:spacing w:before="40" w:after="40" w:line="240" w:lineRule="auto"/>
              <w:jc w:val="left"/>
            </w:pPr>
            <w:r/>
            <w:r>
              <w:rPr>
                <w:rFonts w:ascii="Times New Roman" w:hAnsi="Times New Roman" w:eastAsia="Times New Roman"/>
                <w:b w:val="0"/>
                <w:sz w:val="15"/>
              </w:rPr>
              <w:t>Draft overrides with change-of-control covenant; confirm borrower acceptance (Issue 10)</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11</w:t>
            </w:r>
          </w:p>
        </w:tc>
        <w:tc>
          <w:tcPr>
            <w:tcW w:type="dxa" w:w="2520"/>
          </w:tcPr>
          <w:p>
            <w:pPr>
              <w:spacing w:before="40" w:after="40" w:line="240" w:lineRule="auto"/>
              <w:jc w:val="left"/>
            </w:pPr>
            <w:r/>
            <w:r>
              <w:rPr>
                <w:rFonts w:ascii="Times New Roman" w:hAnsi="Times New Roman" w:eastAsia="Times New Roman"/>
                <w:b w:val="0"/>
                <w:sz w:val="15"/>
              </w:rPr>
              <w:t>Sources and uses do not fund closing costs</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§§3.3, 3.4; Exhibit B</w:t>
            </w:r>
          </w:p>
        </w:tc>
        <w:tc>
          <w:tcPr>
            <w:tcW w:type="dxa" w:w="2160"/>
          </w:tcPr>
          <w:p>
            <w:pPr>
              <w:spacing w:before="40" w:after="40" w:line="240" w:lineRule="auto"/>
              <w:jc w:val="left"/>
            </w:pPr>
            <w:r/>
            <w:r>
              <w:rPr>
                <w:rFonts w:ascii="Times New Roman" w:hAnsi="Times New Roman" w:eastAsia="Times New Roman"/>
                <w:b w:val="0"/>
                <w:sz w:val="15"/>
              </w:rPr>
              <w:t>Funding shortfall of roughly $200,000–$400,000 plus reserves</w:t>
            </w:r>
          </w:p>
        </w:tc>
        <w:tc>
          <w:tcPr>
            <w:tcW w:type="dxa" w:w="1800"/>
          </w:tcPr>
          <w:p>
            <w:pPr>
              <w:spacing w:before="40" w:after="40" w:line="240" w:lineRule="auto"/>
              <w:jc w:val="left"/>
            </w:pPr>
            <w:r/>
            <w:r>
              <w:rPr>
                <w:rFonts w:ascii="Times New Roman" w:hAnsi="Times New Roman" w:eastAsia="Times New Roman"/>
                <w:b w:val="0"/>
                <w:sz w:val="15"/>
              </w:rPr>
              <w:t>Obtain certified sources and uses; increase equity or reduce fees (Issue 11)</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12</w:t>
            </w:r>
          </w:p>
        </w:tc>
        <w:tc>
          <w:tcPr>
            <w:tcW w:type="dxa" w:w="2520"/>
          </w:tcPr>
          <w:p>
            <w:pPr>
              <w:spacing w:before="40" w:after="40" w:line="240" w:lineRule="auto"/>
              <w:jc w:val="left"/>
            </w:pPr>
            <w:r/>
            <w:r>
              <w:rPr>
                <w:rFonts w:ascii="Times New Roman" w:hAnsi="Times New Roman" w:eastAsia="Times New Roman"/>
                <w:b w:val="0"/>
                <w:sz w:val="15"/>
              </w:rPr>
              <w:t>Lowcountry lease has no estoppel, SNDA or assignment clause, yet estoppels and SNDAs are conditions to closing and to policy issuance</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§12.1(j)–(k); Title Commitment Req. 11 and Exception 6; lease abstracts</w:t>
            </w:r>
          </w:p>
        </w:tc>
        <w:tc>
          <w:tcPr>
            <w:tcW w:type="dxa" w:w="2160"/>
          </w:tcPr>
          <w:p>
            <w:pPr>
              <w:spacing w:before="40" w:after="40" w:line="240" w:lineRule="auto"/>
              <w:jc w:val="left"/>
            </w:pPr>
            <w:r/>
            <w:r>
              <w:rPr>
                <w:rFonts w:ascii="Times New Roman" w:hAnsi="Times New Roman" w:eastAsia="Times New Roman"/>
                <w:b w:val="0"/>
                <w:sz w:val="15"/>
              </w:rPr>
              <w:t>Closing and policy issuance exposed to a tenant the borrower cannot compel</w:t>
            </w:r>
          </w:p>
        </w:tc>
        <w:tc>
          <w:tcPr>
            <w:tcW w:type="dxa" w:w="1800"/>
          </w:tcPr>
          <w:p>
            <w:pPr>
              <w:spacing w:before="40" w:after="40" w:line="240" w:lineRule="auto"/>
              <w:jc w:val="left"/>
            </w:pPr>
            <w:r/>
            <w:r>
              <w:rPr>
                <w:rFonts w:ascii="Times New Roman" w:hAnsi="Times New Roman" w:eastAsia="Times New Roman"/>
                <w:b w:val="0"/>
                <w:sz w:val="15"/>
              </w:rPr>
              <w:t>Obtain estoppel early; do not waive without compensating conditions (Issue 12)</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13</w:t>
            </w:r>
          </w:p>
        </w:tc>
        <w:tc>
          <w:tcPr>
            <w:tcW w:type="dxa" w:w="2520"/>
          </w:tcPr>
          <w:p>
            <w:pPr>
              <w:spacing w:before="40" w:after="40" w:line="240" w:lineRule="auto"/>
              <w:jc w:val="left"/>
            </w:pPr>
            <w:r/>
            <w:r>
              <w:rPr>
                <w:rFonts w:ascii="Times New Roman" w:hAnsi="Times New Roman" w:eastAsia="Times New Roman"/>
                <w:b w:val="0"/>
                <w:sz w:val="15"/>
              </w:rPr>
              <w:t>Net worth and liquidity covenant allocated to the Borrower, not the Guarantor</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§7.2 vs markup notes ¶6</w:t>
            </w:r>
          </w:p>
        </w:tc>
        <w:tc>
          <w:tcPr>
            <w:tcW w:type="dxa" w:w="2160"/>
          </w:tcPr>
          <w:p>
            <w:pPr>
              <w:spacing w:before="40" w:after="40" w:line="240" w:lineRule="auto"/>
              <w:jc w:val="left"/>
            </w:pPr>
            <w:r/>
            <w:r>
              <w:rPr>
                <w:rFonts w:ascii="Times New Roman" w:hAnsi="Times New Roman" w:eastAsia="Times New Roman"/>
                <w:b w:val="0"/>
                <w:sz w:val="15"/>
              </w:rPr>
              <w:t>Covenant meaningless or unenforceable as drafted; guarantor untested</w:t>
            </w:r>
          </w:p>
        </w:tc>
        <w:tc>
          <w:tcPr>
            <w:tcW w:type="dxa" w:w="1800"/>
          </w:tcPr>
          <w:p>
            <w:pPr>
              <w:spacing w:before="40" w:after="40" w:line="240" w:lineRule="auto"/>
              <w:jc w:val="left"/>
            </w:pPr>
            <w:r/>
            <w:r>
              <w:rPr>
                <w:rFonts w:ascii="Times New Roman" w:hAnsi="Times New Roman" w:eastAsia="Times New Roman"/>
                <w:b w:val="0"/>
                <w:sz w:val="15"/>
              </w:rPr>
              <w:t>Confirm intended obligor with credit (Issue 13)</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14</w:t>
            </w:r>
          </w:p>
        </w:tc>
        <w:tc>
          <w:tcPr>
            <w:tcW w:type="dxa" w:w="2520"/>
          </w:tcPr>
          <w:p>
            <w:pPr>
              <w:spacing w:before="40" w:after="40" w:line="240" w:lineRule="auto"/>
              <w:jc w:val="left"/>
            </w:pPr>
            <w:r/>
            <w:r>
              <w:rPr>
                <w:rFonts w:ascii="Times New Roman" w:hAnsi="Times New Roman" w:eastAsia="Times New Roman"/>
                <w:b w:val="0"/>
                <w:sz w:val="15"/>
              </w:rPr>
              <w:t>Floating-rate loan with no interest rate cap requirement</w:t>
            </w:r>
          </w:p>
        </w:tc>
        <w:tc>
          <w:tcPr>
            <w:tcW w:type="dxa" w:w="504"/>
          </w:tcPr>
          <w:p>
            <w:pPr>
              <w:spacing w:before="40" w:after="40" w:line="240" w:lineRule="auto"/>
              <w:jc w:val="left"/>
            </w:pPr>
            <w:r/>
            <w:r>
              <w:rPr>
                <w:rFonts w:ascii="Times New Roman" w:hAnsi="Times New Roman" w:eastAsia="Times New Roman"/>
                <w:b w:val="0"/>
                <w:sz w:val="15"/>
              </w:rPr>
              <w:t>H</w:t>
            </w:r>
          </w:p>
        </w:tc>
        <w:tc>
          <w:tcPr>
            <w:tcW w:type="dxa" w:w="1944"/>
          </w:tcPr>
          <w:p>
            <w:pPr>
              <w:spacing w:before="40" w:after="40" w:line="240" w:lineRule="auto"/>
              <w:jc w:val="left"/>
            </w:pPr>
            <w:r/>
            <w:r>
              <w:rPr>
                <w:rFonts w:ascii="Times New Roman" w:hAnsi="Times New Roman" w:eastAsia="Times New Roman"/>
                <w:b w:val="0"/>
                <w:sz w:val="15"/>
              </w:rPr>
              <w:t>Term Sheet (silent)</w:t>
            </w:r>
          </w:p>
        </w:tc>
        <w:tc>
          <w:tcPr>
            <w:tcW w:type="dxa" w:w="2160"/>
          </w:tcPr>
          <w:p>
            <w:pPr>
              <w:spacing w:before="40" w:after="40" w:line="240" w:lineRule="auto"/>
              <w:jc w:val="left"/>
            </w:pPr>
            <w:r/>
            <w:r>
              <w:rPr>
                <w:rFonts w:ascii="Times New Roman" w:hAnsi="Times New Roman" w:eastAsia="Times New Roman"/>
                <w:b w:val="0"/>
                <w:sz w:val="15"/>
              </w:rPr>
              <w:t>A 200 bps move adds roughly $295,000 of annual interest and further depresses DSCR</w:t>
            </w:r>
          </w:p>
        </w:tc>
        <w:tc>
          <w:tcPr>
            <w:tcW w:type="dxa" w:w="1800"/>
          </w:tcPr>
          <w:p>
            <w:pPr>
              <w:spacing w:before="40" w:after="40" w:line="240" w:lineRule="auto"/>
              <w:jc w:val="left"/>
            </w:pPr>
            <w:r/>
            <w:r>
              <w:rPr>
                <w:rFonts w:ascii="Times New Roman" w:hAnsi="Times New Roman" w:eastAsia="Times New Roman"/>
                <w:b w:val="0"/>
                <w:sz w:val="15"/>
              </w:rPr>
              <w:t>Require a cap through the DSCR test date (Issue 14)</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15</w:t>
            </w:r>
          </w:p>
        </w:tc>
        <w:tc>
          <w:tcPr>
            <w:tcW w:type="dxa" w:w="2520"/>
          </w:tcPr>
          <w:p>
            <w:pPr>
              <w:spacing w:before="40" w:after="40" w:line="240" w:lineRule="auto"/>
              <w:jc w:val="left"/>
            </w:pPr>
            <w:r/>
            <w:r>
              <w:rPr>
                <w:rFonts w:ascii="Times New Roman" w:hAnsi="Times New Roman" w:eastAsia="Times New Roman"/>
                <w:b w:val="0"/>
                <w:sz w:val="15"/>
              </w:rPr>
              <w:t>Financial reporting: audited statements required, operating agreement provides only reviewed</w:t>
            </w:r>
          </w:p>
        </w:tc>
        <w:tc>
          <w:tcPr>
            <w:tcW w:type="dxa" w:w="504"/>
          </w:tcPr>
          <w:p>
            <w:pPr>
              <w:spacing w:before="40" w:after="40" w:line="240" w:lineRule="auto"/>
              <w:jc w:val="left"/>
            </w:pPr>
            <w:r/>
            <w:r>
              <w:rPr>
                <w:rFonts w:ascii="Times New Roman" w:hAnsi="Times New Roman" w:eastAsia="Times New Roman"/>
                <w:b w:val="0"/>
                <w:sz w:val="15"/>
              </w:rPr>
              <w:t>M</w:t>
            </w:r>
          </w:p>
        </w:tc>
        <w:tc>
          <w:tcPr>
            <w:tcW w:type="dxa" w:w="1944"/>
          </w:tcPr>
          <w:p>
            <w:pPr>
              <w:spacing w:before="40" w:after="40" w:line="240" w:lineRule="auto"/>
              <w:jc w:val="left"/>
            </w:pPr>
            <w:r/>
            <w:r>
              <w:rPr>
                <w:rFonts w:ascii="Times New Roman" w:hAnsi="Times New Roman" w:eastAsia="Times New Roman"/>
                <w:b w:val="0"/>
                <w:sz w:val="15"/>
              </w:rPr>
              <w:t>Term Sheet §7.3(a); operating agreement §6.2</w:t>
            </w:r>
          </w:p>
        </w:tc>
        <w:tc>
          <w:tcPr>
            <w:tcW w:type="dxa" w:w="2160"/>
          </w:tcPr>
          <w:p>
            <w:pPr>
              <w:spacing w:before="40" w:after="40" w:line="240" w:lineRule="auto"/>
              <w:jc w:val="left"/>
            </w:pPr>
            <w:r/>
            <w:r>
              <w:rPr>
                <w:rFonts w:ascii="Times New Roman" w:hAnsi="Times New Roman" w:eastAsia="Times New Roman"/>
                <w:b w:val="0"/>
                <w:sz w:val="15"/>
              </w:rPr>
              <w:t>Immediate technical default on first delivery</w:t>
            </w:r>
          </w:p>
        </w:tc>
        <w:tc>
          <w:tcPr>
            <w:tcW w:type="dxa" w:w="1800"/>
          </w:tcPr>
          <w:p>
            <w:pPr>
              <w:spacing w:before="40" w:after="40" w:line="240" w:lineRule="auto"/>
              <w:jc w:val="left"/>
            </w:pPr>
            <w:r/>
            <w:r>
              <w:rPr>
                <w:rFonts w:ascii="Times New Roman" w:hAnsi="Times New Roman" w:eastAsia="Times New Roman"/>
                <w:b w:val="0"/>
                <w:sz w:val="15"/>
              </w:rPr>
              <w:t>Conform or obtain member approval (Issue 15)</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16</w:t>
            </w:r>
          </w:p>
        </w:tc>
        <w:tc>
          <w:tcPr>
            <w:tcW w:type="dxa" w:w="2520"/>
          </w:tcPr>
          <w:p>
            <w:pPr>
              <w:spacing w:before="40" w:after="40" w:line="240" w:lineRule="auto"/>
              <w:jc w:val="left"/>
            </w:pPr>
            <w:r/>
            <w:r>
              <w:rPr>
                <w:rFonts w:ascii="Times New Roman" w:hAnsi="Times New Roman" w:eastAsia="Times New Roman"/>
                <w:b w:val="0"/>
                <w:sz w:val="15"/>
              </w:rPr>
              <w:t>Renovation draw schedule does not reconcile to the budget and ignores retainage</w:t>
            </w:r>
          </w:p>
        </w:tc>
        <w:tc>
          <w:tcPr>
            <w:tcW w:type="dxa" w:w="504"/>
          </w:tcPr>
          <w:p>
            <w:pPr>
              <w:spacing w:before="40" w:after="40" w:line="240" w:lineRule="auto"/>
              <w:jc w:val="left"/>
            </w:pPr>
            <w:r/>
            <w:r>
              <w:rPr>
                <w:rFonts w:ascii="Times New Roman" w:hAnsi="Times New Roman" w:eastAsia="Times New Roman"/>
                <w:b w:val="0"/>
                <w:sz w:val="15"/>
              </w:rPr>
              <w:t>M</w:t>
            </w:r>
          </w:p>
        </w:tc>
        <w:tc>
          <w:tcPr>
            <w:tcW w:type="dxa" w:w="1944"/>
          </w:tcPr>
          <w:p>
            <w:pPr>
              <w:spacing w:before="40" w:after="40" w:line="240" w:lineRule="auto"/>
              <w:jc w:val="left"/>
            </w:pPr>
            <w:r/>
            <w:r>
              <w:rPr>
                <w:rFonts w:ascii="Times New Roman" w:hAnsi="Times New Roman" w:eastAsia="Times New Roman"/>
                <w:b w:val="0"/>
                <w:sz w:val="15"/>
              </w:rPr>
              <w:t>Draw schedule; budget detail</w:t>
            </w:r>
          </w:p>
        </w:tc>
        <w:tc>
          <w:tcPr>
            <w:tcW w:type="dxa" w:w="2160"/>
          </w:tcPr>
          <w:p>
            <w:pPr>
              <w:spacing w:before="40" w:after="40" w:line="240" w:lineRule="auto"/>
              <w:jc w:val="left"/>
            </w:pPr>
            <w:r/>
            <w:r>
              <w:rPr>
                <w:rFonts w:ascii="Times New Roman" w:hAnsi="Times New Roman" w:eastAsia="Times New Roman"/>
                <w:b w:val="0"/>
                <w:sz w:val="15"/>
              </w:rPr>
              <w:t>Overstated equity and holdback balances; disbursement disputes</w:t>
            </w:r>
          </w:p>
        </w:tc>
        <w:tc>
          <w:tcPr>
            <w:tcW w:type="dxa" w:w="1800"/>
          </w:tcPr>
          <w:p>
            <w:pPr>
              <w:spacing w:before="40" w:after="40" w:line="240" w:lineRule="auto"/>
              <w:jc w:val="left"/>
            </w:pPr>
            <w:r/>
            <w:r>
              <w:rPr>
                <w:rFonts w:ascii="Times New Roman" w:hAnsi="Times New Roman" w:eastAsia="Times New Roman"/>
                <w:b w:val="0"/>
                <w:sz w:val="15"/>
              </w:rPr>
              <w:t>Correct schedule before closing instructions (Issue 16)</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17</w:t>
            </w:r>
          </w:p>
        </w:tc>
        <w:tc>
          <w:tcPr>
            <w:tcW w:type="dxa" w:w="2520"/>
          </w:tcPr>
          <w:p>
            <w:pPr>
              <w:spacing w:before="40" w:after="40" w:line="240" w:lineRule="auto"/>
              <w:jc w:val="left"/>
            </w:pPr>
            <w:r/>
            <w:r>
              <w:rPr>
                <w:rFonts w:ascii="Times New Roman" w:hAnsi="Times New Roman" w:eastAsia="Times New Roman"/>
                <w:b w:val="0"/>
                <w:sz w:val="15"/>
              </w:rPr>
              <w:t>Hard-coded dates assume an April 15, 2025 closing</w:t>
            </w:r>
          </w:p>
        </w:tc>
        <w:tc>
          <w:tcPr>
            <w:tcW w:type="dxa" w:w="504"/>
          </w:tcPr>
          <w:p>
            <w:pPr>
              <w:spacing w:before="40" w:after="40" w:line="240" w:lineRule="auto"/>
              <w:jc w:val="left"/>
            </w:pPr>
            <w:r/>
            <w:r>
              <w:rPr>
                <w:rFonts w:ascii="Times New Roman" w:hAnsi="Times New Roman" w:eastAsia="Times New Roman"/>
                <w:b w:val="0"/>
                <w:sz w:val="15"/>
              </w:rPr>
              <w:t>M</w:t>
            </w:r>
          </w:p>
        </w:tc>
        <w:tc>
          <w:tcPr>
            <w:tcW w:type="dxa" w:w="1944"/>
          </w:tcPr>
          <w:p>
            <w:pPr>
              <w:spacing w:before="40" w:after="40" w:line="240" w:lineRule="auto"/>
              <w:jc w:val="left"/>
            </w:pPr>
            <w:r/>
            <w:r>
              <w:rPr>
                <w:rFonts w:ascii="Times New Roman" w:hAnsi="Times New Roman" w:eastAsia="Times New Roman"/>
                <w:b w:val="0"/>
                <w:sz w:val="15"/>
              </w:rPr>
              <w:t>Term Sheet §§3.8, 8.3, 14.5</w:t>
            </w:r>
          </w:p>
        </w:tc>
        <w:tc>
          <w:tcPr>
            <w:tcW w:type="dxa" w:w="2160"/>
          </w:tcPr>
          <w:p>
            <w:pPr>
              <w:spacing w:before="40" w:after="40" w:line="240" w:lineRule="auto"/>
              <w:jc w:val="left"/>
            </w:pPr>
            <w:r/>
            <w:r>
              <w:rPr>
                <w:rFonts w:ascii="Times New Roman" w:hAnsi="Times New Roman" w:eastAsia="Times New Roman"/>
                <w:b w:val="0"/>
                <w:sz w:val="15"/>
              </w:rPr>
              <w:t>Maturity and completion deadlines inconsistent if closing occurs as late as May 15, 2025</w:t>
            </w:r>
          </w:p>
        </w:tc>
        <w:tc>
          <w:tcPr>
            <w:tcW w:type="dxa" w:w="1800"/>
          </w:tcPr>
          <w:p>
            <w:pPr>
              <w:spacing w:before="40" w:after="40" w:line="240" w:lineRule="auto"/>
              <w:jc w:val="left"/>
            </w:pPr>
            <w:r/>
            <w:r>
              <w:rPr>
                <w:rFonts w:ascii="Times New Roman" w:hAnsi="Times New Roman" w:eastAsia="Times New Roman"/>
                <w:b w:val="0"/>
                <w:sz w:val="15"/>
              </w:rPr>
              <w:t>Conform definitions at closing (Issue 17)</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18</w:t>
            </w:r>
          </w:p>
        </w:tc>
        <w:tc>
          <w:tcPr>
            <w:tcW w:type="dxa" w:w="2520"/>
          </w:tcPr>
          <w:p>
            <w:pPr>
              <w:spacing w:before="40" w:after="40" w:line="240" w:lineRule="auto"/>
              <w:jc w:val="left"/>
            </w:pPr>
            <w:r/>
            <w:r>
              <w:rPr>
                <w:rFonts w:ascii="Times New Roman" w:hAnsi="Times New Roman" w:eastAsia="Times New Roman"/>
                <w:b w:val="0"/>
                <w:sz w:val="15"/>
              </w:rPr>
              <w:t>DSCR first test date stated three different ways</w:t>
            </w:r>
          </w:p>
        </w:tc>
        <w:tc>
          <w:tcPr>
            <w:tcW w:type="dxa" w:w="504"/>
          </w:tcPr>
          <w:p>
            <w:pPr>
              <w:spacing w:before="40" w:after="40" w:line="240" w:lineRule="auto"/>
              <w:jc w:val="left"/>
            </w:pPr>
            <w:r/>
            <w:r>
              <w:rPr>
                <w:rFonts w:ascii="Times New Roman" w:hAnsi="Times New Roman" w:eastAsia="Times New Roman"/>
                <w:b w:val="0"/>
                <w:sz w:val="15"/>
              </w:rPr>
              <w:t>L</w:t>
            </w:r>
          </w:p>
        </w:tc>
        <w:tc>
          <w:tcPr>
            <w:tcW w:type="dxa" w:w="1944"/>
          </w:tcPr>
          <w:p>
            <w:pPr>
              <w:spacing w:before="40" w:after="40" w:line="240" w:lineRule="auto"/>
              <w:jc w:val="left"/>
            </w:pPr>
            <w:r/>
            <w:r>
              <w:rPr>
                <w:rFonts w:ascii="Times New Roman" w:hAnsi="Times New Roman" w:eastAsia="Times New Roman"/>
                <w:b w:val="0"/>
                <w:sz w:val="15"/>
              </w:rPr>
              <w:t>Term Sheet §7.1; markup notes ¶6; rent roll</w:t>
            </w:r>
          </w:p>
        </w:tc>
        <w:tc>
          <w:tcPr>
            <w:tcW w:type="dxa" w:w="2160"/>
          </w:tcPr>
          <w:p>
            <w:pPr>
              <w:spacing w:before="40" w:after="40" w:line="240" w:lineRule="auto"/>
              <w:jc w:val="left"/>
            </w:pPr>
            <w:r/>
            <w:r>
              <w:rPr>
                <w:rFonts w:ascii="Times New Roman" w:hAnsi="Times New Roman" w:eastAsia="Times New Roman"/>
                <w:b w:val="0"/>
                <w:sz w:val="15"/>
              </w:rPr>
              <w:t>One-quarter difference in the first default window</w:t>
            </w:r>
          </w:p>
        </w:tc>
        <w:tc>
          <w:tcPr>
            <w:tcW w:type="dxa" w:w="1800"/>
          </w:tcPr>
          <w:p>
            <w:pPr>
              <w:spacing w:before="40" w:after="40" w:line="240" w:lineRule="auto"/>
              <w:jc w:val="left"/>
            </w:pPr>
            <w:r/>
            <w:r>
              <w:rPr>
                <w:rFonts w:ascii="Times New Roman" w:hAnsi="Times New Roman" w:eastAsia="Times New Roman"/>
                <w:b w:val="0"/>
                <w:sz w:val="15"/>
              </w:rPr>
              <w:t>Confirm; conform Section 7.8(a) (Issue 18)</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19</w:t>
            </w:r>
          </w:p>
        </w:tc>
        <w:tc>
          <w:tcPr>
            <w:tcW w:type="dxa" w:w="2520"/>
          </w:tcPr>
          <w:p>
            <w:pPr>
              <w:spacing w:before="40" w:after="40" w:line="240" w:lineRule="auto"/>
              <w:jc w:val="left"/>
            </w:pPr>
            <w:r/>
            <w:r>
              <w:rPr>
                <w:rFonts w:ascii="Times New Roman" w:hAnsi="Times New Roman" w:eastAsia="Times New Roman"/>
                <w:b w:val="0"/>
                <w:sz w:val="15"/>
              </w:rPr>
              <w:t>Balcony encroachment without evidence of a current licence</w:t>
            </w:r>
          </w:p>
        </w:tc>
        <w:tc>
          <w:tcPr>
            <w:tcW w:type="dxa" w:w="504"/>
          </w:tcPr>
          <w:p>
            <w:pPr>
              <w:spacing w:before="40" w:after="40" w:line="240" w:lineRule="auto"/>
              <w:jc w:val="left"/>
            </w:pPr>
            <w:r/>
            <w:r>
              <w:rPr>
                <w:rFonts w:ascii="Times New Roman" w:hAnsi="Times New Roman" w:eastAsia="Times New Roman"/>
                <w:b w:val="0"/>
                <w:sz w:val="15"/>
              </w:rPr>
              <w:t>M</w:t>
            </w:r>
          </w:p>
        </w:tc>
        <w:tc>
          <w:tcPr>
            <w:tcW w:type="dxa" w:w="1944"/>
          </w:tcPr>
          <w:p>
            <w:pPr>
              <w:spacing w:before="40" w:after="40" w:line="240" w:lineRule="auto"/>
              <w:jc w:val="left"/>
            </w:pPr>
            <w:r/>
            <w:r>
              <w:rPr>
                <w:rFonts w:ascii="Times New Roman" w:hAnsi="Times New Roman" w:eastAsia="Times New Roman"/>
                <w:b w:val="0"/>
                <w:sz w:val="15"/>
              </w:rPr>
              <w:t>Title Commitment Exception 5 and notes to closer ¶2; appraisal §2.1</w:t>
            </w:r>
          </w:p>
        </w:tc>
        <w:tc>
          <w:tcPr>
            <w:tcW w:type="dxa" w:w="2160"/>
          </w:tcPr>
          <w:p>
            <w:pPr>
              <w:spacing w:before="40" w:after="40" w:line="240" w:lineRule="auto"/>
              <w:jc w:val="left"/>
            </w:pPr>
            <w:r/>
            <w:r>
              <w:rPr>
                <w:rFonts w:ascii="Times New Roman" w:hAnsi="Times New Roman" w:eastAsia="Times New Roman"/>
                <w:b w:val="0"/>
                <w:sz w:val="15"/>
              </w:rPr>
              <w:t>City-mandated removal is an uninsured, unbudgeted cost</w:t>
            </w:r>
          </w:p>
        </w:tc>
        <w:tc>
          <w:tcPr>
            <w:tcW w:type="dxa" w:w="1800"/>
          </w:tcPr>
          <w:p>
            <w:pPr>
              <w:spacing w:before="40" w:after="40" w:line="240" w:lineRule="auto"/>
              <w:jc w:val="left"/>
            </w:pPr>
            <w:r/>
            <w:r>
              <w:rPr>
                <w:rFonts w:ascii="Times New Roman" w:hAnsi="Times New Roman" w:eastAsia="Times New Roman"/>
                <w:b w:val="0"/>
                <w:sz w:val="15"/>
              </w:rPr>
              <w:t>Obtain licence or ALTA 28.1 with affirmative coverage (Issue 19)</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20</w:t>
            </w:r>
          </w:p>
        </w:tc>
        <w:tc>
          <w:tcPr>
            <w:tcW w:type="dxa" w:w="2520"/>
          </w:tcPr>
          <w:p>
            <w:pPr>
              <w:spacing w:before="40" w:after="40" w:line="240" w:lineRule="auto"/>
              <w:jc w:val="left"/>
            </w:pPr>
            <w:r/>
            <w:r>
              <w:rPr>
                <w:rFonts w:ascii="Times New Roman" w:hAnsi="Times New Roman" w:eastAsia="Times New Roman"/>
                <w:b w:val="0"/>
                <w:sz w:val="15"/>
              </w:rPr>
              <w:t>Survey dated January 15, 2025 reaches the 90-day limit on the assumed closing date</w:t>
            </w:r>
          </w:p>
        </w:tc>
        <w:tc>
          <w:tcPr>
            <w:tcW w:type="dxa" w:w="504"/>
          </w:tcPr>
          <w:p>
            <w:pPr>
              <w:spacing w:before="40" w:after="40" w:line="240" w:lineRule="auto"/>
              <w:jc w:val="left"/>
            </w:pPr>
            <w:r/>
            <w:r>
              <w:rPr>
                <w:rFonts w:ascii="Times New Roman" w:hAnsi="Times New Roman" w:eastAsia="Times New Roman"/>
                <w:b w:val="0"/>
                <w:sz w:val="15"/>
              </w:rPr>
              <w:t>L</w:t>
            </w:r>
          </w:p>
        </w:tc>
        <w:tc>
          <w:tcPr>
            <w:tcW w:type="dxa" w:w="1944"/>
          </w:tcPr>
          <w:p>
            <w:pPr>
              <w:spacing w:before="40" w:after="40" w:line="240" w:lineRule="auto"/>
              <w:jc w:val="left"/>
            </w:pPr>
            <w:r/>
            <w:r>
              <w:rPr>
                <w:rFonts w:ascii="Times New Roman" w:hAnsi="Times New Roman" w:eastAsia="Times New Roman"/>
                <w:b w:val="0"/>
                <w:sz w:val="15"/>
              </w:rPr>
              <w:t>Title Commitment Req. 9</w:t>
            </w:r>
          </w:p>
        </w:tc>
        <w:tc>
          <w:tcPr>
            <w:tcW w:type="dxa" w:w="2160"/>
          </w:tcPr>
          <w:p>
            <w:pPr>
              <w:spacing w:before="40" w:after="40" w:line="240" w:lineRule="auto"/>
              <w:jc w:val="left"/>
            </w:pPr>
            <w:r/>
            <w:r>
              <w:rPr>
                <w:rFonts w:ascii="Times New Roman" w:hAnsi="Times New Roman" w:eastAsia="Times New Roman"/>
                <w:b w:val="0"/>
                <w:sz w:val="15"/>
              </w:rPr>
              <w:t>Re-certification required if closing slips</w:t>
            </w:r>
          </w:p>
        </w:tc>
        <w:tc>
          <w:tcPr>
            <w:tcW w:type="dxa" w:w="1800"/>
          </w:tcPr>
          <w:p>
            <w:pPr>
              <w:spacing w:before="40" w:after="40" w:line="240" w:lineRule="auto"/>
              <w:jc w:val="left"/>
            </w:pPr>
            <w:r/>
            <w:r>
              <w:rPr>
                <w:rFonts w:ascii="Times New Roman" w:hAnsi="Times New Roman" w:eastAsia="Times New Roman"/>
                <w:b w:val="0"/>
                <w:sz w:val="15"/>
              </w:rPr>
              <w:t>Order re-certification now (Issue 20)</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21</w:t>
            </w:r>
          </w:p>
        </w:tc>
        <w:tc>
          <w:tcPr>
            <w:tcW w:type="dxa" w:w="2520"/>
          </w:tcPr>
          <w:p>
            <w:pPr>
              <w:spacing w:before="40" w:after="40" w:line="240" w:lineRule="auto"/>
              <w:jc w:val="left"/>
            </w:pPr>
            <w:r/>
            <w:r>
              <w:rPr>
                <w:rFonts w:ascii="Times New Roman" w:hAnsi="Times New Roman" w:eastAsia="Times New Roman"/>
                <w:b w:val="0"/>
                <w:sz w:val="15"/>
              </w:rPr>
              <w:t>SOFR mechanics: one-day rate with daily accrual, no compounding convention stated</w:t>
            </w:r>
          </w:p>
        </w:tc>
        <w:tc>
          <w:tcPr>
            <w:tcW w:type="dxa" w:w="504"/>
          </w:tcPr>
          <w:p>
            <w:pPr>
              <w:spacing w:before="40" w:after="40" w:line="240" w:lineRule="auto"/>
              <w:jc w:val="left"/>
            </w:pPr>
            <w:r/>
            <w:r>
              <w:rPr>
                <w:rFonts w:ascii="Times New Roman" w:hAnsi="Times New Roman" w:eastAsia="Times New Roman"/>
                <w:b w:val="0"/>
                <w:sz w:val="15"/>
              </w:rPr>
              <w:t>M</w:t>
            </w:r>
          </w:p>
        </w:tc>
        <w:tc>
          <w:tcPr>
            <w:tcW w:type="dxa" w:w="1944"/>
          </w:tcPr>
          <w:p>
            <w:pPr>
              <w:spacing w:before="40" w:after="40" w:line="240" w:lineRule="auto"/>
              <w:jc w:val="left"/>
            </w:pPr>
            <w:r/>
            <w:r>
              <w:rPr>
                <w:rFonts w:ascii="Times New Roman" w:hAnsi="Times New Roman" w:eastAsia="Times New Roman"/>
                <w:b w:val="0"/>
                <w:sz w:val="15"/>
              </w:rPr>
              <w:t>Term Sheet §3.6</w:t>
            </w:r>
          </w:p>
        </w:tc>
        <w:tc>
          <w:tcPr>
            <w:tcW w:type="dxa" w:w="2160"/>
          </w:tcPr>
          <w:p>
            <w:pPr>
              <w:spacing w:before="40" w:after="40" w:line="240" w:lineRule="auto"/>
              <w:jc w:val="left"/>
            </w:pPr>
            <w:r/>
            <w:r>
              <w:rPr>
                <w:rFonts w:ascii="Times New Roman" w:hAnsi="Times New Roman" w:eastAsia="Times New Roman"/>
                <w:b w:val="0"/>
                <w:sz w:val="15"/>
              </w:rPr>
              <w:t>Interest and yield maintenance computed differently from market convention; confirmation risk</w:t>
            </w:r>
          </w:p>
        </w:tc>
        <w:tc>
          <w:tcPr>
            <w:tcW w:type="dxa" w:w="1800"/>
          </w:tcPr>
          <w:p>
            <w:pPr>
              <w:spacing w:before="40" w:after="40" w:line="240" w:lineRule="auto"/>
              <w:jc w:val="left"/>
            </w:pPr>
            <w:r/>
            <w:r>
              <w:rPr>
                <w:rFonts w:ascii="Times New Roman" w:hAnsi="Times New Roman" w:eastAsia="Times New Roman"/>
                <w:b w:val="0"/>
                <w:sz w:val="15"/>
              </w:rPr>
              <w:t>Confirm index convention with loan operations (Issue 21)</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22</w:t>
            </w:r>
          </w:p>
        </w:tc>
        <w:tc>
          <w:tcPr>
            <w:tcW w:type="dxa" w:w="2520"/>
          </w:tcPr>
          <w:p>
            <w:pPr>
              <w:spacing w:before="40" w:after="40" w:line="240" w:lineRule="auto"/>
              <w:jc w:val="left"/>
            </w:pPr>
            <w:r/>
            <w:r>
              <w:rPr>
                <w:rFonts w:ascii="Times New Roman" w:hAnsi="Times New Roman" w:eastAsia="Times New Roman"/>
                <w:b w:val="0"/>
                <w:sz w:val="15"/>
              </w:rPr>
              <w:t>No evidence of Guarantor’s $28,000,000 net worth; no personal financial statement in the file</w:t>
            </w:r>
          </w:p>
        </w:tc>
        <w:tc>
          <w:tcPr>
            <w:tcW w:type="dxa" w:w="504"/>
          </w:tcPr>
          <w:p>
            <w:pPr>
              <w:spacing w:before="40" w:after="40" w:line="240" w:lineRule="auto"/>
              <w:jc w:val="left"/>
            </w:pPr>
            <w:r/>
            <w:r>
              <w:rPr>
                <w:rFonts w:ascii="Times New Roman" w:hAnsi="Times New Roman" w:eastAsia="Times New Roman"/>
                <w:b w:val="0"/>
                <w:sz w:val="15"/>
              </w:rPr>
              <w:t>M</w:t>
            </w:r>
          </w:p>
        </w:tc>
        <w:tc>
          <w:tcPr>
            <w:tcW w:type="dxa" w:w="1944"/>
          </w:tcPr>
          <w:p>
            <w:pPr>
              <w:spacing w:before="40" w:after="40" w:line="240" w:lineRule="auto"/>
              <w:jc w:val="left"/>
            </w:pPr>
            <w:r/>
            <w:r>
              <w:rPr>
                <w:rFonts w:ascii="Times New Roman" w:hAnsi="Times New Roman" w:eastAsia="Times New Roman"/>
                <w:b w:val="0"/>
                <w:sz w:val="15"/>
              </w:rPr>
              <w:t>Term Sheet §1.3</w:t>
            </w:r>
          </w:p>
        </w:tc>
        <w:tc>
          <w:tcPr>
            <w:tcW w:type="dxa" w:w="2160"/>
          </w:tcPr>
          <w:p>
            <w:pPr>
              <w:spacing w:before="40" w:after="40" w:line="240" w:lineRule="auto"/>
              <w:jc w:val="left"/>
            </w:pPr>
            <w:r/>
            <w:r>
              <w:rPr>
                <w:rFonts w:ascii="Times New Roman" w:hAnsi="Times New Roman" w:eastAsia="Times New Roman"/>
                <w:b w:val="0"/>
                <w:sz w:val="15"/>
              </w:rPr>
              <w:t>Guaranty of uncertain value against a fragile DSCR</w:t>
            </w:r>
          </w:p>
        </w:tc>
        <w:tc>
          <w:tcPr>
            <w:tcW w:type="dxa" w:w="1800"/>
          </w:tcPr>
          <w:p>
            <w:pPr>
              <w:spacing w:before="40" w:after="40" w:line="240" w:lineRule="auto"/>
              <w:jc w:val="left"/>
            </w:pPr>
            <w:r/>
            <w:r>
              <w:rPr>
                <w:rFonts w:ascii="Times New Roman" w:hAnsi="Times New Roman" w:eastAsia="Times New Roman"/>
                <w:b w:val="0"/>
                <w:sz w:val="15"/>
              </w:rPr>
              <w:t>Obtain PFS and liquidity evidence (Issue 22)</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23</w:t>
            </w:r>
          </w:p>
        </w:tc>
        <w:tc>
          <w:tcPr>
            <w:tcW w:type="dxa" w:w="2520"/>
          </w:tcPr>
          <w:p>
            <w:pPr>
              <w:spacing w:before="40" w:after="40" w:line="240" w:lineRule="auto"/>
              <w:jc w:val="left"/>
            </w:pPr>
            <w:r/>
            <w:r>
              <w:rPr>
                <w:rFonts w:ascii="Times New Roman" w:hAnsi="Times New Roman" w:eastAsia="Times New Roman"/>
                <w:b w:val="0"/>
                <w:sz w:val="15"/>
              </w:rPr>
              <w:t>Harborline’s members and managers undisclosed</w:t>
            </w:r>
          </w:p>
        </w:tc>
        <w:tc>
          <w:tcPr>
            <w:tcW w:type="dxa" w:w="504"/>
          </w:tcPr>
          <w:p>
            <w:pPr>
              <w:spacing w:before="40" w:after="40" w:line="240" w:lineRule="auto"/>
              <w:jc w:val="left"/>
            </w:pPr>
            <w:r/>
            <w:r>
              <w:rPr>
                <w:rFonts w:ascii="Times New Roman" w:hAnsi="Times New Roman" w:eastAsia="Times New Roman"/>
                <w:b w:val="0"/>
                <w:sz w:val="15"/>
              </w:rPr>
              <w:t>M</w:t>
            </w:r>
          </w:p>
        </w:tc>
        <w:tc>
          <w:tcPr>
            <w:tcW w:type="dxa" w:w="1944"/>
          </w:tcPr>
          <w:p>
            <w:pPr>
              <w:spacing w:before="40" w:after="40" w:line="240" w:lineRule="auto"/>
              <w:jc w:val="left"/>
            </w:pPr>
            <w:r/>
            <w:r>
              <w:rPr>
                <w:rFonts w:ascii="Times New Roman" w:hAnsi="Times New Roman" w:eastAsia="Times New Roman"/>
                <w:b w:val="0"/>
                <w:sz w:val="15"/>
              </w:rPr>
              <w:t>Operating agreement summary §2.1</w:t>
            </w:r>
          </w:p>
        </w:tc>
        <w:tc>
          <w:tcPr>
            <w:tcW w:type="dxa" w:w="2160"/>
          </w:tcPr>
          <w:p>
            <w:pPr>
              <w:spacing w:before="40" w:after="40" w:line="240" w:lineRule="auto"/>
              <w:jc w:val="left"/>
            </w:pPr>
            <w:r/>
            <w:r>
              <w:rPr>
                <w:rFonts w:ascii="Times New Roman" w:hAnsi="Times New Roman" w:eastAsia="Times New Roman"/>
                <w:b w:val="0"/>
                <w:sz w:val="15"/>
              </w:rPr>
              <w:t>Beneficial ownership and sanctions screening incomplete</w:t>
            </w:r>
          </w:p>
        </w:tc>
        <w:tc>
          <w:tcPr>
            <w:tcW w:type="dxa" w:w="1800"/>
          </w:tcPr>
          <w:p>
            <w:pPr>
              <w:spacing w:before="40" w:after="40" w:line="240" w:lineRule="auto"/>
              <w:jc w:val="left"/>
            </w:pPr>
            <w:r/>
            <w:r>
              <w:rPr>
                <w:rFonts w:ascii="Times New Roman" w:hAnsi="Times New Roman" w:eastAsia="Times New Roman"/>
                <w:b w:val="0"/>
                <w:sz w:val="15"/>
              </w:rPr>
              <w:t>Obtain ownership chart and certifications (Issue 23)</w:t>
            </w:r>
          </w:p>
        </w:tc>
      </w:tr>
      <w:tr>
        <w:trPr>
          <w:cantSplit w:val="true"/>
        </w:trPr>
        <w:tc>
          <w:tcPr>
            <w:tcW w:type="dxa" w:w="432"/>
          </w:tcPr>
          <w:p>
            <w:pPr>
              <w:spacing w:before="40" w:after="40" w:line="240" w:lineRule="auto"/>
              <w:jc w:val="left"/>
            </w:pPr>
            <w:r/>
            <w:r>
              <w:rPr>
                <w:rFonts w:ascii="Times New Roman" w:hAnsi="Times New Roman" w:eastAsia="Times New Roman"/>
                <w:b w:val="0"/>
                <w:sz w:val="15"/>
              </w:rPr>
              <w:t>24</w:t>
            </w:r>
          </w:p>
        </w:tc>
        <w:tc>
          <w:tcPr>
            <w:tcW w:type="dxa" w:w="2520"/>
          </w:tcPr>
          <w:p>
            <w:pPr>
              <w:spacing w:before="40" w:after="40" w:line="240" w:lineRule="auto"/>
              <w:jc w:val="left"/>
            </w:pPr>
            <w:r/>
            <w:r>
              <w:rPr>
                <w:rFonts w:ascii="Times New Roman" w:hAnsi="Times New Roman" w:eastAsia="Times New Roman"/>
                <w:b w:val="0"/>
                <w:sz w:val="15"/>
              </w:rPr>
              <w:t>Capital replacement reserve of $645.83 monthly is not a credible funding source for HVAC and elevator replacement</w:t>
            </w:r>
          </w:p>
        </w:tc>
        <w:tc>
          <w:tcPr>
            <w:tcW w:type="dxa" w:w="504"/>
          </w:tcPr>
          <w:p>
            <w:pPr>
              <w:spacing w:before="40" w:after="40" w:line="240" w:lineRule="auto"/>
              <w:jc w:val="left"/>
            </w:pPr>
            <w:r/>
            <w:r>
              <w:rPr>
                <w:rFonts w:ascii="Times New Roman" w:hAnsi="Times New Roman" w:eastAsia="Times New Roman"/>
                <w:b w:val="0"/>
                <w:sz w:val="15"/>
              </w:rPr>
              <w:t>L</w:t>
            </w:r>
          </w:p>
        </w:tc>
        <w:tc>
          <w:tcPr>
            <w:tcW w:type="dxa" w:w="1944"/>
          </w:tcPr>
          <w:p>
            <w:pPr>
              <w:spacing w:before="40" w:after="40" w:line="240" w:lineRule="auto"/>
              <w:jc w:val="left"/>
            </w:pPr>
            <w:r/>
            <w:r>
              <w:rPr>
                <w:rFonts w:ascii="Times New Roman" w:hAnsi="Times New Roman" w:eastAsia="Times New Roman"/>
                <w:b w:val="0"/>
                <w:sz w:val="15"/>
              </w:rPr>
              <w:t>Term Sheet §6.2</w:t>
            </w:r>
          </w:p>
        </w:tc>
        <w:tc>
          <w:tcPr>
            <w:tcW w:type="dxa" w:w="2160"/>
          </w:tcPr>
          <w:p>
            <w:pPr>
              <w:spacing w:before="40" w:after="40" w:line="240" w:lineRule="auto"/>
              <w:jc w:val="left"/>
            </w:pPr>
            <w:r/>
            <w:r>
              <w:rPr>
                <w:rFonts w:ascii="Times New Roman" w:hAnsi="Times New Roman" w:eastAsia="Times New Roman"/>
                <w:b w:val="0"/>
                <w:sz w:val="15"/>
              </w:rPr>
              <w:t>Deferred capital risk passed to the Bank</w:t>
            </w:r>
          </w:p>
        </w:tc>
        <w:tc>
          <w:tcPr>
            <w:tcW w:type="dxa" w:w="1800"/>
          </w:tcPr>
          <w:p>
            <w:pPr>
              <w:spacing w:before="40" w:after="40" w:line="240" w:lineRule="auto"/>
              <w:jc w:val="left"/>
            </w:pPr>
            <w:r/>
            <w:r>
              <w:rPr>
                <w:rFonts w:ascii="Times New Roman" w:hAnsi="Times New Roman" w:eastAsia="Times New Roman"/>
                <w:b w:val="0"/>
                <w:sz w:val="15"/>
              </w:rPr>
              <w:t>Consider a larger reserve or a capital plan condition (Issue 24)</w:t>
            </w:r>
          </w:p>
        </w:tc>
      </w:tr>
    </w:tbl>
    <w:p>
      <w:pPr>
        <w:keepNext w:val="0"/>
        <w:spacing w:before="0" w:after="40" w:line="240" w:lineRule="auto"/>
        <w:ind w:left="0"/>
        <w:jc w:val="both"/>
      </w:pPr>
    </w:p>
    <w:p>
      <w:pPr>
        <w:keepNext w:val="0"/>
        <w:spacing w:before="0" w:after="120" w:line="240" w:lineRule="auto"/>
        <w:ind w:left="0"/>
        <w:jc w:val="both"/>
      </w:pPr>
      <w:r>
        <w:rPr>
          <w:rFonts w:ascii="Times New Roman" w:hAnsi="Times New Roman" w:eastAsia="Times New Roman"/>
          <w:b w:val="0"/>
          <w:i/>
          <w:sz w:val="16"/>
        </w:rPr>
        <w:t>Severity key: C = critical (can prevent closing or defeat the intended structure); H = high; M = medium; L = low or confirmatory.</w:t>
      </w:r>
    </w:p>
    <w:p>
      <w:pPr>
        <w:pStyle w:val="Heading1"/>
        <w:keepNext/>
        <w:spacing w:before="320" w:after="120"/>
        <w:ind w:firstLine="0"/>
      </w:pPr>
      <w:r>
        <w:rPr>
          <w:rFonts w:ascii="Times New Roman" w:hAnsi="Times New Roman" w:eastAsia="Times New Roman"/>
          <w:b/>
          <w:color w:val="000000"/>
          <w:sz w:val="23"/>
        </w:rPr>
        <w:t>4.  Issue Log</w:t>
      </w:r>
    </w:p>
    <w:p>
      <w:pPr>
        <w:keepNext w:val="0"/>
        <w:spacing w:before="0" w:after="120" w:line="240" w:lineRule="auto"/>
        <w:ind w:left="0"/>
        <w:jc w:val="both"/>
      </w:pPr>
      <w:r>
        <w:rPr>
          <w:rFonts w:ascii="Times New Roman" w:hAnsi="Times New Roman" w:eastAsia="Times New Roman"/>
          <w:b w:val="0"/>
          <w:i w:val="0"/>
          <w:sz w:val="22"/>
        </w:rPr>
        <w:t>Each issue states the finding, the treatment adopted in the enclosed draft, and the action required. Issue numbers correspond to the register at Section 3. Article and Section references are to the enclosed Mortgage unless the context indicates otherwise; “Term Sheet” references are to the executed Term Sheet dated April 1, 2025.</w:t>
      </w:r>
    </w:p>
    <w:p>
      <w:pPr>
        <w:keepNext/>
        <w:spacing w:before="200" w:after="80"/>
        <w:ind w:firstLine="0"/>
      </w:pPr>
      <w:r>
        <w:rPr>
          <w:rFonts w:ascii="Times New Roman" w:hAnsi="Times New Roman" w:eastAsia="Times New Roman"/>
          <w:b/>
          <w:sz w:val="21"/>
        </w:rPr>
        <w:t>4.1  Debt service coverage and credit structure</w:t>
      </w:r>
    </w:p>
    <w:p>
      <w:pPr>
        <w:keepNext/>
        <w:spacing w:before="220" w:after="60"/>
        <w:ind w:firstLine="0"/>
      </w:pPr>
      <w:r>
        <w:rPr>
          <w:rFonts w:ascii="Times New Roman" w:hAnsi="Times New Roman" w:eastAsia="Times New Roman"/>
          <w:b/>
          <w:sz w:val="21"/>
        </w:rPr>
        <w:t>1.  The DSCR covenant cannot be satisfied on the Bank’s own projections</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CRITICAL</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§7.1; rent roll, Vacancy Schedule (“CONCLUSION” row)</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requires DSCR of not less than 1.25x, first tested in month 24. The rent roll’s own stabilised best-case projection produces NOI of $622,772 against annual debt service of $1,124,239, a DSCR of 0.554x. Even on an interest-only basis the DSCR is 0.722x. On the realistic scenario at the test date (Bay 1, Bay 3 renewed and Suite A only), NOI of $314,782 produces 0.280x. A DSCR of 1.25x would require NOI of $1,405,299 on amortising debt service — 2.26 times the best-case projection. There is no lease-up assumption set in the record that closes this gap. The covenant is therefore not a performance test but a scheduled default.</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7.8(a) tracks the Term Sheet (1.25x, quarterly, trailing twelve months, from month 24) and defines Net Operating Income and Annual Debt Service precisely, because the Term Sheet leaves those definitions to the Loan Documents. We have not diluted the covenant; the draft is faithful to the Term Sheet. Sections 6.2 to 6.5 establish the reserve structure that any cash-management or cure mechanism would attach to.</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Credit decision, not a drafting choice. Four options, in order of our preference: (i) extend the interest-only period to month 36 and re-set the first test date to coincide with the expiry of the Tidemark lease at March 31, 2029; (ii) reduce the covenant to a level the asset can support on conservative assumptions, with a cash-sweep trigger at 1.10x; (iii) retain 1.25x but add a DSCR cure right permitting an equity deposit into a cure reserve; (iv) add a debt-service reserve funded at closing. We recommend (i) and (iii) together. If none is adopted, the Bank should recognise that it is underwriting to an enforcement event and should size the guaranty and the rate cap accordingly (Issues 9 and 14).</w:t>
      </w:r>
    </w:p>
    <w:p>
      <w:pPr>
        <w:keepNext/>
        <w:spacing w:before="220" w:after="60"/>
        <w:ind w:firstLine="0"/>
      </w:pPr>
      <w:r>
        <w:rPr>
          <w:rFonts w:ascii="Times New Roman" w:hAnsi="Times New Roman" w:eastAsia="Times New Roman"/>
          <w:b/>
          <w:sz w:val="21"/>
        </w:rPr>
        <w:t>2.  The DSCR default is expressly without cure, and no cure mechanism exists anywhere in the documents</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§§11.1(i), 11.2(b)</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Section 11.1(i) of the Term Sheet makes two consecutive sub-1.25x quarters an Event of Default “without cure”, but the Term Sheet provides no mechanism by which a cure could ever be effected — there is no cure deposit, no equity cure right and no cash management waterfall. The carve-out of “insurance defaults” and SPE and transfer defaults from the 30-day cure period leaves the DSCR default in a category of its own with no remedial path.</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10.1(j) reflects the Term Sheet. Section 10.2(b) states the general cure periods and expressly withholds the extension from transfer and organizational-document breaches, but does not purport to create a DSCR cure that the Term Sheet does not contain.</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If option (iii) at Issue 1 is adopted, we will add a cure provision to Section 7.8(a) and carve the cured quarter out of Section 10.1(j). Pending instruction we have not invented one, because a cure right is a material economic concession that should appear in the Term Sheet or a side letter from the Bank.</w:t>
      </w:r>
    </w:p>
    <w:p>
      <w:pPr>
        <w:keepNext/>
        <w:spacing w:before="220" w:after="60"/>
        <w:ind w:firstLine="0"/>
      </w:pPr>
      <w:r>
        <w:rPr>
          <w:rFonts w:ascii="Times New Roman" w:hAnsi="Times New Roman" w:eastAsia="Times New Roman"/>
          <w:b/>
          <w:sz w:val="21"/>
        </w:rPr>
        <w:t>3.  The appraisal’s income approach does not support either concluded value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CRITICAL</w:t>
      </w:r>
      <w:r>
        <w:rPr>
          <w:rFonts w:ascii="Times New Roman" w:hAnsi="Times New Roman" w:eastAsia="Times New Roman"/>
          <w:b/>
          <w:i w:val="0"/>
          <w:sz w:val="19"/>
        </w:rPr>
        <w:t xml:space="preserve">        Sources:  </w:t>
      </w:r>
      <w:r>
        <w:rPr>
          <w:rFonts w:ascii="Times New Roman" w:hAnsi="Times New Roman" w:eastAsia="Times New Roman"/>
          <w:b w:val="0"/>
          <w:i w:val="0"/>
          <w:sz w:val="19"/>
        </w:rPr>
        <w:t>Appraisal §§6.2, 6.3, 7 and §8.5; Term Sheet §2.4</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appraisal states as-is NOI of $332,000 to $345,000 and a 6.25% capitalisation rate, then concludes an as-is value of $18,200,000. Capitalised at the stated rate, that NOI produces $5,312,000 to $5,520,000 — the concluded value implies a 1.82% to 1.90% capitalisation rate. The stabilized figures are the same problem in larger form: NOI of $582,000 to $592,000 at 5.85% produces $9,948,718 to $10,119,658 against a concluded $23,500,000, an implied 2.48% to 2.52%. To support $23,500,000 at 5.85% the property would need NOI of $1,374,750, or 2.3 times the appraiser’s own stabilised NOI. Separately, the as-stabilized price of $758 per square foot exceeds every comparable the appraiser cites ($550 to $620), while the as-is $587 per square foot sits comfortably within that range. The as-is value is therefore a sales-comparison conclusion; the income approach as printed cannot be reconciled to it. Because the as-is LTV of 81.04% already exceeds the customary 75% to 80% range (a point your markup notes raise at the closing paragraph), the Bank should not accept an 81% LTV on a value whose income support is off by a factor of three.</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The draft does not depend on the appraisal for any covenant; no LTV covenant was requested and none is drafted. Section 2.5 states the secured amount, and the Permitted Exceptions and coverage requirements are drawn from the title commitment rather than the appraisal.</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Obtain from Pinnacle a written reconciliation or corrected pages, and commission an appraisal review before closing (FIRREA and the interagency guidelines require an independent review for a transaction of this size in any event). Until reconciled, we recommend that the credit approval record not rely on the as-stabilized LTV of 62.77%. If the income approach is corrected rather than the conclusions, the collateral position changes materially and the loan size should be revisited.</w:t>
      </w:r>
    </w:p>
    <w:p>
      <w:pPr>
        <w:keepNext/>
        <w:spacing w:before="200" w:after="80"/>
        <w:ind w:firstLine="0"/>
      </w:pPr>
      <w:r>
        <w:rPr>
          <w:rFonts w:ascii="Times New Roman" w:hAnsi="Times New Roman" w:eastAsia="Times New Roman"/>
          <w:b/>
          <w:sz w:val="21"/>
        </w:rPr>
        <w:t>4.2  Data accuracy in the sources</w:t>
      </w:r>
    </w:p>
    <w:p>
      <w:pPr>
        <w:keepNext/>
        <w:spacing w:before="220" w:after="60"/>
        <w:ind w:firstLine="0"/>
      </w:pPr>
      <w:r>
        <w:rPr>
          <w:rFonts w:ascii="Times New Roman" w:hAnsi="Times New Roman" w:eastAsia="Times New Roman"/>
          <w:b/>
          <w:sz w:val="21"/>
        </w:rPr>
        <w:t>4.  Occupancy is 56.13%, not 68%; the Term Sheet is internally contradictory and the appraisal’s area figures are impossible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§2.3; Appraisal §§1, 3.1; rent roll, Summary worksheet</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Occupied space is Bay 1 (3,800 SF) plus Bay 3 (3,800 SF) plus Suite A (9,800 SF) = 17,400 SF of 31,000 SF, or 56.13%. Vacancy is 13,600 SF, or 43.87% — which the Term Sheet itself states (“approximately 43.9% of total building area”) three lines after reciting 68% occupancy. The two statements cannot both be true. The appraisal repeats the error and compounds it: it states occupied area of 21,400 SF and vacant area of 13,600 SF, which total 35,000 SF against a 31,000 SF building. Its weighted average rent of $19.40 per square foot is $415,100 divided by 21,400; the correct figure on 17,400 SF is $23.86. A 68% occupancy representation in a recorded mortgage would be a false representation on which the Bank would be relying — and one that any tenant estoppel or post-closing rent roll would immediately contradict.</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3.5 represents 31,000 SF gross, 17,400 SF occupied, 13,600 SF vacant, 56.13% occupancy, itemising the two vacant spaces, and states in-place annual base rent of $415,100 before giving effect to the January 1, 2025 escalation. Exhibit D carries the same figures and states the occupancy rate on its face.</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Correct the Term Sheet and appraisal records in the credit file. Confirm with credit whether the 68% figure was used in any approval metric. No client instruction is required to draft the correct figure, but the Bank should know that the error is repeated in a third-party appraisal in its file.</w:t>
      </w:r>
    </w:p>
    <w:p>
      <w:pPr>
        <w:keepNext/>
        <w:spacing w:before="220" w:after="60"/>
        <w:ind w:firstLine="0"/>
      </w:pPr>
      <w:r>
        <w:rPr>
          <w:rFonts w:ascii="Times New Roman" w:hAnsi="Times New Roman" w:eastAsia="Times New Roman"/>
          <w:b/>
          <w:sz w:val="21"/>
        </w:rPr>
        <w:t>5.  The Anson Lane strip is held through a quitclaim deed and the insurer has reserved on coverage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Title Commitment Sch. A §§3–4 and vesting notes; notes to closer ¶3; Phase I ESA §2</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Parcel Two (the vacated Anson Lane strip) was conveyed to the seller by quitclaim deed (Deed Book 1128, Page 443) under Ordinance 2019-084. The title company will insure fee simple, but it expressly states that “no warranties of title were provided”, that its willingness to insure “should not be construed as a representation that the chain of title for this parcel is equivalent to that of Parcel One”, and that it “reserves the right to require an additional premium for extended coverage on this parcel and/or may limit such coverage by endorsement”. The strip is not a formality: the Phase I ESA records that it runs along the rear boundary of Lots 7, 8 and 9 and “currently provides rear access and loading for the building”, and all three Leases give the tenants shared use of the rear lot (six spaces). The sources also differ on its extent — the title commitment describes a strip “adjacent to and contiguous with Lot 7”, the ESA a strip running along the rear of all three lots — which matters because the insurer’s coverage must attach to the whole of what the Leases rely on.</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3.4 contains a specific representation that the Title Policy will insure fee simple in both parcels without any exception, endorsement limitation or qualification reducing Parcel Two below fee simple; a representation that the acquisition deed conveys both parcels with general warranty; a representation that no adverse claim or gap is known; and a covenant prohibiting any conveyance, vacation, abandonment or obstruction of the strip without the Bank’s consent. Section 7.6 requires ALTA 34 (identified exception) or equivalent affirmative coverage for Parcel Two, plus contiguity (19), access (17) and future-advance (14) endorsements. Section 7.1 requires the strip to be maintained free of obstruction.</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Require Prestige Title to commit in writing, before closing, to (a) the premium and terms on which it will insure Parcel Two, and (b) that no Schedule B-II exception will carve out or qualify the strip. If the insurer will not give affirmative coverage at acceptable cost, the Bank should treat the strip as uninsured collateral and consider an access easement or a survey-based confirmation of a prescriptive right, and should reflect the result in the LTV. Per your instruction we will raise this with Prestige immediately and copy you.</w:t>
      </w:r>
    </w:p>
    <w:p>
      <w:pPr>
        <w:keepNext/>
        <w:spacing w:before="220" w:after="60"/>
        <w:ind w:firstLine="0"/>
      </w:pPr>
      <w:r>
        <w:rPr>
          <w:rFonts w:ascii="Times New Roman" w:hAnsi="Times New Roman" w:eastAsia="Times New Roman"/>
          <w:b/>
          <w:sz w:val="21"/>
        </w:rPr>
        <w:t>6.  The operating agreement cannot support a non-recourse loan</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CRITICAL</w:t>
      </w:r>
      <w:r>
        <w:rPr>
          <w:rFonts w:ascii="Times New Roman" w:hAnsi="Times New Roman" w:eastAsia="Times New Roman"/>
          <w:b/>
          <w:i w:val="0"/>
          <w:sz w:val="19"/>
        </w:rPr>
        <w:t xml:space="preserve">        Sources:  </w:t>
      </w:r>
      <w:r>
        <w:rPr>
          <w:rFonts w:ascii="Times New Roman" w:hAnsi="Times New Roman" w:eastAsia="Times New Roman"/>
          <w:b w:val="0"/>
          <w:i w:val="0"/>
          <w:sz w:val="19"/>
        </w:rPr>
        <w:t>Operating agreement summary §§1.4, 2.2, 3.1, 3.2, 4.1, 4.2, 8.1, 9.1; Term Sheet §10.1</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redacted summary discloses, in its own words, that the agreement contains no independent director or manager whose consent is required before a voluntary bankruptcy filing; no separateness covenants; no single-purpose restriction (the purpose clause ends with a catch-all permitting “any and all activities necessary, incidental, or related thereto”); no lender consent requirement for dissolution under §8.1 or for amendment under §9.1; and no restriction on additional indebtedness up to $1,000,000, which §3.2(ii) permits with member approval only. The managing member may make capital calls unilaterally. Because the loan is non-recourse, these provisions are not housekeeping: without them a 72% managing member controlled by a single individual can place the borrower into bankruptcy and defeat the structure on which the Bank’s recourse limitation depends. There is also an arithmetic constraint: Major Decisions require 75%, and Graydon Development Group holds 72%, so no Major Decision — including the amendment itself — can be approved without at least one passive member, and amendments affecting economic rights require each affected member under §9.1. The amendment must therefore be signed by all three members.</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7.5 contains the full separateness and single-purpose package, including the independent manager requirement at 7.5(j) and the representation at 7.5(k) that the organizational documents have already been amended. Section 8.3 prohibits amendment of the organizational documents, dissolution, merger or bankruptcy without the Bank’s consent and expressly recites that the pre-closing agreement does not contain these provisions. Sections 10.1(h) and 10.2 make an SPE breach an immediate Event of Default with no cure period, consistent with Term Sheet §11.2(c).</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Three deliverables, all as conditions to closing: (a) the operating agreement amendment adding the single-purpose restriction, separateness covenants, independent manager and unanimous bankruptcy consent, executed by Graydon Development Group LLC, Tidewater Opportunity Fund II LP and Harborline Capital Advisors LLC; (b) a certificate from Tidewater GP Holdings LLC evidencing authority to bind the fund; and (c) the full unredacted operating agreement and the March 1, 2025 amendment, without which we cannot confirm that the amendment achieves what the Mortgage represents. Note also that the appointment of an independent manager must be documented — the summary records that no officers have been appointed, so the mechanism needs to be built from scratch.</w:t>
      </w:r>
    </w:p>
    <w:p>
      <w:pPr>
        <w:keepNext/>
        <w:spacing w:before="200" w:after="80"/>
        <w:ind w:firstLine="0"/>
      </w:pPr>
      <w:r>
        <w:rPr>
          <w:rFonts w:ascii="Times New Roman" w:hAnsi="Times New Roman" w:eastAsia="Times New Roman"/>
          <w:b/>
          <w:sz w:val="21"/>
        </w:rPr>
        <w:t>4.3  Environmental</w:t>
      </w:r>
    </w:p>
    <w:p>
      <w:pPr>
        <w:keepNext/>
        <w:spacing w:before="220" w:after="60"/>
        <w:ind w:firstLine="0"/>
      </w:pPr>
      <w:r>
        <w:rPr>
          <w:rFonts w:ascii="Times New Roman" w:hAnsi="Times New Roman" w:eastAsia="Times New Roman"/>
          <w:b/>
          <w:sz w:val="21"/>
        </w:rPr>
        <w:t>7.  The SCDHEC land use restriction requires bespoke covenants, not “standard” environmental language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Title Commitment Req. 6, Exception 4 and notes to closer ¶1; Phase I ESA §§5.3, 5.4, 6(d); markup notes ¶6</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Your markup notes direct that the “standard template environmental compliance covenant” should suffice because the Phase I came back clean apart from the CREC with a no-further-action letter. With respect, the sources require more. The restriction is recorded in Deed Book 1203 at Page 89 (SCDHEC Site ID SC-29403-0772), and the No Further Action determination dated August 12, 2021 is expressly conditional on continued compliance with it — so a failure of the institutional controls jeopardises the regulatory closure itself, not merely the Bank’s covenants. The title commitment’s Requirement 6 requires the Environmental Indemnity Agreement to address the obligation to maintain and periodically inspect the vapor barrier and compliance with the land use restriction, and its note to the closer states that the Mortgage “should contain an event of default triggered by any failure to comply with or any modification, termination, or violation of said land use restriction”. The Phase I ESA goes further, recommending at 6(d) that the Bank require a specific covenant with provisions addressing the consequences of non-compliance and the Bank’s remedies. A “standard” covenant would leave a condition to policy issuance unsatisfied and would miss the two things that actually matter: the vapor barrier beneath Bay 1 is not visible, cannot be inspected without opening the slab, and Bay 1 sits squarely within the renovation scope.</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7.3 contains the general environmental covenants. Section 7.4 is dedicated to the institutional controls and contains seven specific obligations: the prohibition on residential use of the Lot 7 ground floor; vapor barrier maintenance; annual inspection by a South Carolina licensed environmental professional with a report and compliance certificate delivered to the Bank; prior SCDHEC notification and approval plus pre- and post-work inspection before any work affecting the Bay 1 slab; contractor and subcontractor acknowledgments; recordkeeping and prompt notice of any SCDHEC contact; and an express prohibition on amending, modifying or terminating the LUR without the Bank’s consent and SCDHEC approval. Section 10.1(k) makes breach an Event of Default and Section 10.2(c) gives it a 30-day cure period extended up to 180 days where cure requires SCDHEC action, but no cure period at all for conversion of Bay 1 to residential use. Exhibit E consolidates the restriction and the protocol. Section 9.3(j) makes SCDHEC clearance a condition to the relevant draw.</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that the Bank accepts a cure period for LUR breaches (we recommend it, because a strict no-cure default for a slow-moving regulatory matter invites a foreclosure defence). Also consider requiring, as a condition to closing, a pre-acquisition vapor barrier inspection as the Phase I recommends at 6(b) — it is inexpensive and it establishes a baseline before the HVAC and façade work begins. Note that the HVAC replacement is a rooftop scope and the TI allowance relates to Bay 2 (Lot 8), so on the current scope no work should penetrate the Bay 1 slab; the draft protects against that changing.</w:t>
      </w:r>
    </w:p>
    <w:p>
      <w:pPr>
        <w:keepNext/>
        <w:spacing w:before="200" w:after="80"/>
        <w:ind w:firstLine="0"/>
      </w:pPr>
      <w:r>
        <w:rPr>
          <w:rFonts w:ascii="Times New Roman" w:hAnsi="Times New Roman" w:eastAsia="Times New Roman"/>
          <w:b/>
          <w:sz w:val="21"/>
        </w:rPr>
        <w:t>4.4  Prepayment and the note</w:t>
      </w:r>
    </w:p>
    <w:p>
      <w:pPr>
        <w:keepNext/>
        <w:spacing w:before="220" w:after="60"/>
        <w:ind w:firstLine="0"/>
      </w:pPr>
      <w:r>
        <w:rPr>
          <w:rFonts w:ascii="Times New Roman" w:hAnsi="Times New Roman" w:eastAsia="Times New Roman"/>
          <w:b/>
          <w:sz w:val="21"/>
        </w:rPr>
        <w:t>8.  The yield maintenance formula is under-specified, and the markup’s substitute formula departs from the Term Sheet</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§§4.1–4.3; markup notes §5</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Four defects. First, the Term Sheet uses “treasury rate” without defining the tenor, the source, the interpolation method or the measurement date. Second, the Term Sheet requires the premium to be the greater of 1% of the outstanding balance and the present-value differential — a hard 1% floor — whereas the formula in your notes (“greater of the yield maintenance amount or some fixed minimum percentage” posed as an open question) omits the floor and computes the differential on total debt service rather than on interest only. Because the Term Sheet is the binding commitment and the Loan Documents may not be materially inconsistent with it (Term Sheet §14.4), the floor must be preserved. Third, the Term Sheet is internally inconsistent about the lockout: §4.1 says no voluntary prepayment is permitted during months 1 to 24 and then says that any prepayment “made in violation of this restriction shall be subject to a prepayment premium as described in Section 4.2” — but Section 4.2’s premium is the yield maintenance premium, which by definition applies only in months 25 to 48. There is therefore no stated premium for a months 1 to 24 prepayment. Fourth, the Term Sheet is silent on casualty and condemnation proceeds, on the discount rate, and on whether the 50 basis points is added to the loan rate or to the Treasury rate.</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4.7 resolves each point in favour of the Term Sheet. Section 4.7(b) sets the premium at the greater of 1% of principal prepaid and the present-value differential computed on interest only, with interest at the Note Rate against a comparison rate of Treasury plus 50 basis points, discounted at the Treasury Rate. The Treasury Rate is defined by reference to Federal Reserve Statistical Release H.15, to the security maturing closest to but not exceeding the end of the yield maintenance period, measured on the second business day before prepayment, with linear interpolation between the two nearest maturities and a fallback for non-publication. Section 4.7(a) treats the lockout as an absolute prohibition and, if the Bank nevertheless accepts a prepayment in months 1 to 24, prices it as if made at the end of the yield maintenance period. Section 4.7(d) applies casualty and condemnation proceeds at par, without premium.</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with Marcus three commercial elections: (i) that the 1% floor is intended to survive (we have preserved it); (ii) whether the 50 basis points belongs in the comparison leg as we have drafted it, or in the loan leg as your notes propose — the answers produce different premiums and the Term Sheet’s phrase “treasury rate plus fifty basis points spread” supports either reading; and (iii) that casualty and condemnation proceeds are applied at par. On enforceability, we agree with your note that South Carolina courts will enforce a yield maintenance premium only if it is mathematically determinate; the definition in Section 4.7(b) is designed to be computable from published data without judgement. We will run a sample calculation once the elections are confirmed, and we recommend retaining the worksheet methodology.</w:t>
      </w:r>
    </w:p>
    <w:p>
      <w:pPr>
        <w:keepNext/>
        <w:spacing w:before="220" w:after="60"/>
        <w:ind w:firstLine="0"/>
      </w:pPr>
      <w:r>
        <w:rPr>
          <w:rFonts w:ascii="Times New Roman" w:hAnsi="Times New Roman" w:eastAsia="Times New Roman"/>
          <w:b/>
          <w:sz w:val="21"/>
        </w:rPr>
        <w:t>9.  The guaranty package is described three ways and its payment coverage ends four months before the first DSCR test</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§§5.5, 12.1(a), 14.3(e)</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Section 5.5 is headed “full recourse personal guaranty” but sub-paragraph (a) then describes a non-recourse carve-out guaranty. The three components — carve-out, completion and interest shortfall — are functionally different guarantees with different triggers, different amounts and different durations, yet Section 14.3(e) and Section 12.1(a) list a single “Guaranty Agreement”. Most importantly, the interest shortfall guaranty covers only the first fourteen months following closing (to about June 15, 2026). Substantial completion is due on June 15, 2026, Suite B cannot realistically begin rent until February 2027, and the DSCR test is in April 2027. The guaranty therefore expires at precisely the moment the lease-up risk it is meant to cover begins — which, given Issue 1, is the single largest exposure in the transaction.</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1.1 defines “Guaranty” to include the carve-out, completion and interest shortfall components “described in the Term Sheet to the extent set forth therein”, so the Mortgage does not purport to resolve a question the guaranty documents must answer. Section 12.3 sets out the five carve-out events in the Term Sheet’s order and states expressly that it must be read together with the corresponding provisions of the Note and the Guaranty, which are to be identical in scope. Section 10.1(m) makes any default by the Guarantor, or any repudiation of the Guaranty or Environmental Indemnity, an Event of Default.</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Two instructions are needed. First, confirm whether the Bank intends one instrument or three; we recommend three separate documents (carve-out, completion, interest shortfall), because combining them obscures the triggers and complicates enforcement. Second, extend the interest shortfall guaranty at least to the first DSCR test date, and we would recommend to the earlier of stabilisation and the Tidemark lease expiry. A carve-out guaranty alone will not respond to a payment shortfall caused by slow leasing, because slow leasing is not a bad-boy act.</w:t>
      </w:r>
    </w:p>
    <w:p>
      <w:pPr>
        <w:keepNext/>
        <w:spacing w:before="200" w:after="80"/>
        <w:ind w:firstLine="0"/>
      </w:pPr>
      <w:r>
        <w:rPr>
          <w:rFonts w:ascii="Times New Roman" w:hAnsi="Times New Roman" w:eastAsia="Times New Roman"/>
          <w:b/>
          <w:sz w:val="21"/>
        </w:rPr>
        <w:t>4.5  Transfers, entity and funding</w:t>
      </w:r>
    </w:p>
    <w:p>
      <w:pPr>
        <w:keepNext/>
        <w:spacing w:before="220" w:after="60"/>
        <w:ind w:firstLine="0"/>
      </w:pPr>
      <w:r>
        <w:rPr>
          <w:rFonts w:ascii="Times New Roman" w:hAnsi="Times New Roman" w:eastAsia="Times New Roman"/>
          <w:b/>
          <w:sz w:val="21"/>
        </w:rPr>
        <w:t>10.  The transfer restrictions are narrower than the operating agreement permits and capture no upstream change of control</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§10.3; operating agreement summary §§4.1, 4.2(c), 4.5</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prohibits direct transfers of borrower interests above 10% individually or 25% in the aggregate, except transfers among existing members. Three gaps follow. First, the operating agreement treats as a permitted transfer, requiring no consent, any transfer of Tidewater’s 18% interest directed by its general partner to “any successor fund managed by Tidewater GP Holdings LLC or any Affiliate thereof” — an 18% transfer that exceeds the Term Sheet’s 10% threshold but which the borrower’s own documents authorise. Second, neither the Term Sheet nor the operating agreement restricts indirect or upstream change: the summary states in terms that Neil Ashford Graydon “could sell or transfer his membership interest in GDG, the 72% Managing Member, to a third party” without triggering any transfer restriction, because the borrower’s member of record would not change. That is the most consequential transfer in the structure and it is currently unrestricted. Third, §4.2(d) already permits transfers among existing members, so the Term Sheet’s exception adds nothing but does leave open whether the aggregate 25% cap applies to a series of member-to-member transfers.</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8.2(a) covers the Property; 8.2(b) adopts the 10% and 25% thresholds and the member-to-member exception, with conditions (no change of managing member or control, notice, confirmatory documents); 8.2(c) adds an express change-of-control covenant capturing transfers of interests in Graydon Development Group LLC, any change in the managing member or in the person exercising control, and any transfer by Mr. Graydon of his interest in the managing member, and states on its face that these are prohibited although the operating agreement would not capture them; 8.2(d) disapplies §4.2(c) so that a Tidewater successor-fund transfer requires consent; and 8.2(e) makes a breach void, an immediate Event of Default, and a carve-out event.</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Sections 8.2(c) and 8.2(d) go beyond the literal text of Term Sheet §10.3. We regard them as consistent with its purpose and therefore permitted by Term Sheet §14.4 (additional provisions not materially inconsistent), but they are the kind of term a borrower resists, and the borrower will point out that 8.2(d) contradicts its own operating agreement. Two options: (i) negotiate them into the Mortgage, coupled with the operating agreement amendment at Issue 6, so the two documents agree; or (ii) obtain the Bank’s acceptance of the operating agreement’s permitted transfers. We recommend (i). Please also confirm the Bank’s position on transfers to estate-planning trusts, which the operating agreement permits and which are ordinarily acceptable.</w:t>
      </w:r>
    </w:p>
    <w:p>
      <w:pPr>
        <w:keepNext/>
        <w:spacing w:before="220" w:after="60"/>
        <w:ind w:firstLine="0"/>
      </w:pPr>
      <w:r>
        <w:rPr>
          <w:rFonts w:ascii="Times New Roman" w:hAnsi="Times New Roman" w:eastAsia="Times New Roman"/>
          <w:b/>
          <w:sz w:val="21"/>
        </w:rPr>
        <w:t>11.  The sources and uses do not fund closing costs or the reserves required at closing</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§§3.3, 3.4, 6.3, 12.1(m), 13.1; Exhibit B; renovation budget worksheet</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$6,200,000 equity contribution equals exactly the unscaled gap: total project cost of $20,950,000 less the loan of $14,750,000. Of that equity, $900,000 is allocated in Exhibit B to the renovation, leaving $5,300,000. The purchase price of $17,800,000 less the $12,500,000 initial advance is also exactly $5,300,000. The equity is therefore fully consumed by purchase price and renovation, leaving nothing for closing costs. The known costs alone — a 1% origination fee of $147,500 and the South Carolina deed recording fee of $54,575 — total $202,075, before title premiums, lender’s legal fees, the survey, the appraisal, the Phase I ESA, UCC and search fees and construction inspection fees, none of which is quantified in the record. The $150,000 tenant improvement and leasing commission reserve is also required “at closing”. The Term Sheet makes the gap worse by providing that the initial advance is applied toward “the purchase price, closing costs, and funded reserves” (Term Sheet §3.3(a)), which necessarily reduces the amount reaching the seller.</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6.4 requires the $150,000 reserve at closing; Section 6.5 pledges it; Section 7.12 puts costs and expenses on the borrower; Section 9.2 and Section 9.6 make cost overruns and excess renovation costs the borrower’s responsibility. Exhibit B and Exhibit F state the reserve and equity allocations, and the note to Exhibit B records the $600,000 gap between the construction contract and the holdback. The draft does not pretend to close the funding gap; that is a closing mechanics item.</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Obtain a certified sources and uses statement before closing and confirm whether the $6,200,000 equity is exclusive of closing costs (it appears not to be). If it is inclusive, the equity requirement must be increased by the shortfall or the loan amount, the renovation scope or the fee must be reduced. The Bank should also confirm whether the initial advance may be applied to the $150,000 reserve, which would widen the gap at the seller.</w:t>
      </w:r>
    </w:p>
    <w:p>
      <w:pPr>
        <w:keepNext/>
        <w:spacing w:before="200" w:after="80"/>
        <w:ind w:firstLine="0"/>
      </w:pPr>
      <w:r>
        <w:rPr>
          <w:rFonts w:ascii="Times New Roman" w:hAnsi="Times New Roman" w:eastAsia="Times New Roman"/>
          <w:b/>
          <w:sz w:val="21"/>
        </w:rPr>
        <w:t>4.6  Leases, tenant cooperation and closing conditions</w:t>
      </w:r>
    </w:p>
    <w:p>
      <w:pPr>
        <w:keepNext/>
        <w:spacing w:before="220" w:after="60"/>
        <w:ind w:firstLine="0"/>
      </w:pPr>
      <w:r>
        <w:rPr>
          <w:rFonts w:ascii="Times New Roman" w:hAnsi="Times New Roman" w:eastAsia="Times New Roman"/>
          <w:b/>
          <w:sz w:val="21"/>
        </w:rPr>
        <w:t>12.  The largest ground-floor tenant owes the borrower nothing on estoppel, SNDA or assignment consent, yet all three are closing conditions</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§§12.1(j)–(k); Title Commitment Req. 11 and Exception 6; rent roll, Lease Abstracts</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Lowcountry Provisions lease (Bay 1, 3,800 SF, $28.50 per square foot, expiring December 31, 2027) is silent on assignment and subletting, contains no subordination or non-disturbance provision and “does not contain a provision requiring tenant to deliver estoppel certificates”. It is the tenant that occupies the Lot 7 ground floor affected by the land use restriction, and it is therefore the tenant whose estoppel matters most. The Term Sheet makes estoppels (dated within 30 days of closing) and SNDAs from all existing tenants conditions precedent, and the title commitment makes tenant estoppels a condition to policy issuance. So a closing condition and a title requirement depend entirely on the goodwill of a tenant under no obligation to provide either. There is a second, quieter problem: because the Lowcountry lease is unrecorded but the tenant is in possession, the Bank’s priority position relative to that lease is not secured by the recording statute and rests on inquiry notice.</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5.1 effects an absolute and present assignment of rents under the South Carolina Uniform Assignment of Rents Act, and Section 5.3 permits collection upon notice to tenants without a court order, which protects enforcement regardless of what the lease says. Section 5.7 contains a representation that the borrower has full authority to assign all rents including under the Lowcountry lease, requires the estoppel and SNDA as conditions to the initial advance, acknowledges that the tenant is not obliged to give them, and imposes a post-closing covenant to obtain an assignment-consent, subordination and estoppel amendment at the first renewal, extension or amendment. Section 5.8 requires SNDAs from all three tenants. Section 5.5 sets the consent thresholds for future leases over 5,000 square feet or five years, and requires every new lease to carry subordination, estoppel and hazardous-materials provisions. Section 5.6 covers the $69,183 of security deposits.</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The Bank should decide now what it will do if Lowcountry declines. Your instruction was that the estoppel “should not be waived”, and we agree; but the practical consequence is that closing is at risk. We recommend requesting the estoppel and SNDA immediately (not as a closing-week item), and, if refused, converting the requirement into a condition satisfied by (i) a lender’s rent letter acknowledged by the tenant, (ii) an increased TI/LC or interest reserve, and (iii) an express carve-out event if the tenant later disputes the assignment. Please also confirm whether the Bank requires the Bay 3 and Suite A estoppels in its own form or will accept the tenants’ forms.</w:t>
      </w:r>
    </w:p>
    <w:p>
      <w:pPr>
        <w:keepNext/>
        <w:spacing w:before="220" w:after="60"/>
        <w:ind w:firstLine="0"/>
      </w:pPr>
      <w:r>
        <w:rPr>
          <w:rFonts w:ascii="Times New Roman" w:hAnsi="Times New Roman" w:eastAsia="Times New Roman"/>
          <w:b/>
          <w:sz w:val="21"/>
        </w:rPr>
        <w:t>13.  The net worth and liquidity covenant is on the wrong party, and the audit standard conflicts with the operating agreement</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§§7.2, 7.3(a); markup notes ¶6; operating agreement summary §6.2</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imposes the $1,000,000 net worth and $500,000 liquidity covenants on the Borrower (Term Sheet §7.2: “Borrower shall maintain at all times”), while your markup notes record them as Guarantor covenants. The ambiguity is material in both directions: a $1,000,000 net worth covenant on a single-purpose borrower holding a $18.2 million property is close to meaningless, whereas on a guarantor with an asserted $28,000,000 net worth it is close to irrelevant — in either case it does little work. Separately, the Term Sheet requires annual audited financial statements of the borrower, while the operating agreement requires only reviewed statements within 90 days; the borrower would be in technical default the first time it delivered what its own agreement requires.</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7.8(b) and (c) draft the covenant as the Term Sheet allocates it, on the Borrower, tested annually; Section 7.7(a) requires audited statements within 120 days and Section 7.7 expressly acknowledges the mismatch with the operating agreement and obliges the borrower to obtain member approval or amend. Section 7.7(b) requires the Guarantor’s annual personal financial statement, which is the only Guarantor reporting the Term Sheet requires. Section 10.1(j) makes a DSCR breach an Event of Default; a net worth or liquidity breach falls under the general covenant default in Section 10.1(b) with the Section 10.2(b) cure period.</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the intended obligor. If the covenant is meant to test the Guarantor — which we suspect, given §1.3 recites his $28,000,000 net worth — we recommend a meaningful Guarantor net worth test (for example $10,000,000 and $1,000,000 of liquidity) rather than a nominal one, tied to the guaranty exposure at Issue 9. On the audit point, decide whether the Bank will accept reviewed statements with a CPA certificate, which is what most borrowers of this size can actually produce within 120 days.</w:t>
      </w:r>
    </w:p>
    <w:p>
      <w:pPr>
        <w:keepNext/>
        <w:spacing w:before="220" w:after="60"/>
        <w:ind w:firstLine="0"/>
      </w:pPr>
      <w:r>
        <w:rPr>
          <w:rFonts w:ascii="Times New Roman" w:hAnsi="Times New Roman" w:eastAsia="Times New Roman"/>
          <w:b/>
          <w:sz w:val="21"/>
        </w:rPr>
        <w:t>14.  A five-year floating-rate loan with no interest rate cap requirement</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HIGH</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(silent); Term Sheet §§3.6</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requires Daily SOFR plus 285 basis points with a 3.00% floor, but contains no provision requiring the borrower to maintain an interest rate cap or other hedge at any point. Combined with Issue 1 this is a compounding risk: annual interest at the floor rate of 5.85% is $862,875; a 200 basis point increase adds approximately $295,000 a year and pushes the best-case stabilised DSCR from 0.554x to roughly 0.44x. A floating-rate loan on a value-add asset with a covenant it cannot meet and no rate protection is exposed to a rate move it cannot absorb.</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The draft is silent on hedging, because a cap requirement is an economic term that should not be introduced by the lender’s mortgage without the borrower’s agreement; Section 1.1’s definition of Loan Documents contemplates a hedging agreement “(if any)”.</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Recommend to credit that a cap be required at closing, struck at a rate that preserves a workable DSCR, running at least to the first DSCR test date, with the Bank named as an additional insured and a covenant to maintain it. If adopted we will add the covenant to Section 7 and the failure to maintain to Section 10.1.</w:t>
      </w:r>
    </w:p>
    <w:p>
      <w:pPr>
        <w:keepNext/>
        <w:spacing w:before="200" w:after="80"/>
        <w:ind w:firstLine="0"/>
      </w:pPr>
      <w:r>
        <w:rPr>
          <w:rFonts w:ascii="Times New Roman" w:hAnsi="Times New Roman" w:eastAsia="Times New Roman"/>
          <w:b/>
          <w:sz w:val="21"/>
        </w:rPr>
        <w:t>4.7  Operational, mechanical and drafting points</w:t>
      </w:r>
    </w:p>
    <w:p>
      <w:pPr>
        <w:keepNext/>
        <w:spacing w:before="220" w:after="60"/>
        <w:ind w:firstLine="0"/>
      </w:pPr>
      <w:r>
        <w:rPr>
          <w:rFonts w:ascii="Times New Roman" w:hAnsi="Times New Roman" w:eastAsia="Times New Roman"/>
          <w:b/>
          <w:sz w:val="21"/>
        </w:rPr>
        <w:t>15.  Renovation draw schedule does not reconcile to the budget, and does not model retainage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Renovation budget and draw schedule worksheets; Term Sheet §§6.4, 8.4</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monthly figures sum to $2,250,000 of holdback (correct) but $905,000 of borrower equity against a budgeted $900,000, and $3,155,000 combined against a $3,150,000 budget; the schedule’s own final row shows remaining borrower equity of negative $5,000. Line items also disagree with the budget detail: HVAC draws $900,000 of holdback against an $850,000 allocation and $1,250,000 in total against a $1,200,000 budget; the elevator draws $325,000 against a $375,000 allocation and $425,000 in total against $475,000; tenant improvements draw $110,000 of equity against $100,000 and $560,000 in total against $550,000; soft costs draw $145,000 of equity against $150,000 and $295,000 in total against $300,000. The schedule also disburses 100% of the holdback by month 14 without modelling the 10% retainage that Section 8.4 of the Term Sheet requires, which means gross draws must be higher than the schedule shows to leave a retainage balance at substantial completion.</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9.4 imposes 10% retainage with defined release conditions, and the note to Exhibit B states that the schedule is illustrative only, does not model retainage, and that the Exhibit B line items control where the two differ. Section 9.2 caps unilateral change orders at $50,000 in the aggregate. Section 9.3(h) requires a cost-to-complete analysis with each draw.</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Have the borrower’s construction consultant correct the schedule before it is attached to the closing instructions or used for disbursement control. As drafted, following the schedule would overdraw equity by $5,000 and overstate the HVAC line by $50,000.</w:t>
      </w:r>
    </w:p>
    <w:p>
      <w:pPr>
        <w:keepNext/>
        <w:spacing w:before="220" w:after="60"/>
        <w:ind w:firstLine="0"/>
      </w:pPr>
      <w:r>
        <w:rPr>
          <w:rFonts w:ascii="Times New Roman" w:hAnsi="Times New Roman" w:eastAsia="Times New Roman"/>
          <w:b/>
          <w:sz w:val="21"/>
        </w:rPr>
        <w:t>16.  Maturity, interest-only and substantial-completion dates are hard-coded to an assumed closing date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§§3.8, 3.9, 8.3, 14.5</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fixes maturity at April 15, 2030, the interest-only period to April 15, 2027 and substantial completion to June 15, 2026, all derived from an assumed closing on April 15, 2025 — but the same Term Sheet permits closing as late as May 15, 2025. If closing slips a month, the 5-year term, the 14-month completion window and the 24-month interest-only period all silently change, and the recitals become wrong on their face in a recorded instrument.</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1.1 defines Closing Date (April 15, 2025, or such later date as the initial advance is made, not later than May 15, 2025 without the Bank’s consent), Maturity Date, Substantial Completion Deadline and the Interest-Only Period endpoint each both by stated date and by reference to the Closing Date. Sections 4.3 and 9.5 then operate on the defined terms.</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Because the stated dates and the date arithmetic currently agree only on an April 15 closing, one of them must be conformed at closing. We recommend that the stated dates be updated by a short closing-date confirmation certificate rather than by re-executing the Mortgage, and that the disburse schedule and Exhibit B be conformed at the same time.</w:t>
      </w:r>
    </w:p>
    <w:p>
      <w:pPr>
        <w:keepNext/>
        <w:spacing w:before="220" w:after="60"/>
        <w:ind w:firstLine="0"/>
      </w:pPr>
      <w:r>
        <w:rPr>
          <w:rFonts w:ascii="Times New Roman" w:hAnsi="Times New Roman" w:eastAsia="Times New Roman"/>
          <w:b/>
          <w:sz w:val="21"/>
        </w:rPr>
        <w:t>17.  DSCR testing commencement is described three different ways across the record</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LOW</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§7.1; markup notes ¶6; rent roll, Summary worksheet</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says testing begins 24 months after closing with the first test being “the first full calendar quarter ending after the twenty-fourth month”, anticipated to be about July 15, 2027 for the quarter ending June 30, 2027. Your markup notes and the rent roll both say the first test date is April 15, 2027. The two are a quarter apart, which matters because the earliest possible default moves with it.</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7.8(a) follows the Term Sheet (first full calendar quarter ending after month 24) and does not hard-code a date.</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which the Bank intends; the definition in Section 7.8(a) can be shortened to a fixed first test date in one line once instructed.</w:t>
      </w:r>
    </w:p>
    <w:p>
      <w:pPr>
        <w:keepNext/>
        <w:spacing w:before="220" w:after="60"/>
        <w:ind w:firstLine="0"/>
      </w:pPr>
      <w:r>
        <w:rPr>
          <w:rFonts w:ascii="Times New Roman" w:hAnsi="Times New Roman" w:eastAsia="Times New Roman"/>
          <w:b/>
          <w:sz w:val="21"/>
        </w:rPr>
        <w:t>18.  The balcony encroachment has no documented licence, and its removal would be an uninsured and unbudgeted cost</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Title Commitment Exception 5 and notes to closer ¶2; Appraisal §2.1; renovation budget item 3.0</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A decorative iron balcony projects about 2.5 feet over the King Street right-of-way. The title company takes exception for it, recommends an ALTA 28.1 endorsement “if coverage over this matter is desired”, and states that it makes no representation as to the existence, validity or status of any permit, licence or encroachment agreement. The appraisal treats the encroachment as immaterial but advises confirming a valid permit and assessing removal risk. Nothing in the record includes a permit or licence. The risk is not only title: the façade restoration line of $625,000 includes repair of the encroachment area, and if the City required removal the additional façade work would fall outside the renovation budget, for which the borrower — not the Bank — would be responsible under Section 9.6, but which would nonetheless impair the collateral.</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3.8 discloses the encroachment and qualifies the representation to the extent no current licence is evidenced; Section 7.6 requires the borrower to use commercially reasonable efforts to obtain and maintain a licence, to notify the Bank of any municipal assertion, and not to remove or modify the balcony without consent; Section 7.6 also requires ALTA 28.1 or equivalent; Section 10.1(p) makes uninsured municipal removal an Event of Default (which the Bank may prefer to waive); Exhibit C lists the endorsement as required.</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Request the encroachment licence from the borrower and the City now. If none exists, obtain ALTA 28.1 with affirmative coverage and consider whether the Bank will accept the risk or require an additional reserve. Note that Section 10.1(p) as drafted is aggressive; confirm whether the Bank wants a default for a municipal action outside the borrower’s control, and we will soften it to a covenant plus notice obligation if preferred.</w:t>
      </w:r>
    </w:p>
    <w:p>
      <w:pPr>
        <w:keepNext/>
        <w:spacing w:before="220" w:after="60"/>
        <w:ind w:firstLine="0"/>
      </w:pPr>
      <w:r>
        <w:rPr>
          <w:rFonts w:ascii="Times New Roman" w:hAnsi="Times New Roman" w:eastAsia="Times New Roman"/>
          <w:b/>
          <w:sz w:val="21"/>
        </w:rPr>
        <w:t>19.  The survey reaches the title company’s 90-day limit on the assumed closing date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LOW</w:t>
      </w:r>
      <w:r>
        <w:rPr>
          <w:rFonts w:ascii="Times New Roman" w:hAnsi="Times New Roman" w:eastAsia="Times New Roman"/>
          <w:b/>
          <w:i w:val="0"/>
          <w:sz w:val="19"/>
        </w:rPr>
        <w:t xml:space="preserve">        Sources:  </w:t>
      </w:r>
      <w:r>
        <w:rPr>
          <w:rFonts w:ascii="Times New Roman" w:hAnsi="Times New Roman" w:eastAsia="Times New Roman"/>
          <w:b w:val="0"/>
          <w:i w:val="0"/>
          <w:sz w:val="19"/>
        </w:rPr>
        <w:t>Title Commitment Req. 9 and notes to closer ¶4</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ALTA/NSPS survey is dated January 15, 2025 and recorded in Plat Book 64 at Page 91. Requirement 9 requires it to be dated or re-certified to a date not more than ninety days before closing. Ninety days from January 15, 2025 is April 15, 2025 — the assumed closing date, with no margin. Any slip in closing requires re-certification, and the standard exceptions at (b), (c), (d) and (e) of Schedule B-II cannot be removed without it. The title company also requires Table A items 1, 2, 3, 4, 6(a), 6(b), 8, 9, 11, 13, 14, 16 and 19.</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1.1 builds re-certification into the definition of ALTA Survey; Section 7.6 requires cooperation in obtaining endorsements; Exhibit C records which standard exceptions must be deleted.</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Order the re-certification now so that it is dated within the window whenever closing occurs, and confirm with Cartwright Land Surveying that the Table A items the title company has listed are all shown.</w:t>
      </w:r>
    </w:p>
    <w:p>
      <w:pPr>
        <w:keepNext/>
        <w:spacing w:before="220" w:after="60"/>
        <w:ind w:firstLine="0"/>
      </w:pPr>
      <w:r>
        <w:rPr>
          <w:rFonts w:ascii="Times New Roman" w:hAnsi="Times New Roman" w:eastAsia="Times New Roman"/>
          <w:b/>
          <w:sz w:val="21"/>
        </w:rPr>
        <w:t>20.  SOFR mechanics and benchmark transition need confirmation against the Bank’s operations convention</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§3.6</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uses “Daily SOFR” — a one-day rate — published on the applicable business day, with a predecessor-day fallback and a reference to “a successor administrator”. It does not say whether interest accrues on a simple daily basis or on a compounded-in-arrears basis, which is the market convention for term loans; nor does it provide a replacement waterfall. Two conventions produce different interest amounts over a month and, more importantly, different inputs to the yield maintenance calculation.</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4.2 fixes simple daily accrual on an actual/360 basis, states that the Bank’s determination is conclusive absent manifest error, and adds a benchmark replacement provision at 4.2(c) covering permanent discontinuation, loss of representativeness, administrator insolvency and regulatory prohibition, with a spread adjustment, conforming changes and continuation of the 3.00% floor. Section 4.8 is a standard usury savings clause, which also protects the Default Rate and late charge.</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the Bank’s convention with loan operations. If compounded in arrears is used, Section 4.2 needs a single sentence and Exhibit B and the yield maintenance worksheet should be re-run. We also recommend asking whether the Bank intends to add the standard Adjustable Interest Rate (LIBOR) Act fallback language, which Section 4.2(c) references but does not reproduce.</w:t>
      </w:r>
    </w:p>
    <w:p>
      <w:pPr>
        <w:keepNext/>
        <w:spacing w:before="220" w:after="60"/>
        <w:ind w:firstLine="0"/>
      </w:pPr>
      <w:r>
        <w:rPr>
          <w:rFonts w:ascii="Times New Roman" w:hAnsi="Times New Roman" w:eastAsia="Times New Roman"/>
          <w:b/>
          <w:sz w:val="21"/>
        </w:rPr>
        <w:t>21.  No evidence of the Guarantor’s asserted net worth</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§§1.3, 5.5, 7.3(b)</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recites an approximate net worth for Mr. Graydon of $28,000,000 but no personal financial statement, liquidity evidence or ownership statement is in the diligence record. The Guarantor is the sole member and manager of the managing member, so the guaranty is the Bank’s only credit support beyond a property whose DSCR is 0.554x (Issue 1). Its value cannot be assessed from the file.</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7.7(b) requires the annual personal financial statement; Section 12.3 preserves full recourse against the Guarantor for the carve-outs; the Guarantor’s Consent and Agreement requires him to give the notices under Sections 7.11(f) and (g) and to be bound by the jurisdiction and jury-waiver provisions.</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Obtain a current personal financial statement with a schedule of liquid assets and an ownership chart of his interests before closing, and pair it with the revised covenant recommended at Issue 13.</w:t>
      </w:r>
    </w:p>
    <w:p>
      <w:pPr>
        <w:keepNext/>
        <w:spacing w:before="220" w:after="60"/>
        <w:ind w:firstLine="0"/>
      </w:pPr>
      <w:r>
        <w:rPr>
          <w:rFonts w:ascii="Times New Roman" w:hAnsi="Times New Roman" w:eastAsia="Times New Roman"/>
          <w:b/>
          <w:sz w:val="21"/>
        </w:rPr>
        <w:t>22.  Harborline’s ownership is undisclosed; beneficial ownership and sanctions screening is incomplete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Operating agreement summary §§2.1; Term Sheet §1.4</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operating agreement summary records that “[m]embers and managers of Harborline have not been disclosed”, and says nothing about the ultimate beneficial owners of Tidewater beyond its general partner. The Bank is a federally insured depository institution and must complete customer identification, beneficial ownership (the certification requirement for legal entity customers) and sanctions screening before closing. The Term Sheet is silent on all three, though the title commitment requires good standing evidence for the borrower.</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3.12 contains OFAC, ERISA and foreign-person representations; Section 13.12 contains the USA PATRIOT Act notice and the Bank’s right to obtain and verify identifying information; Section 7.11(e) requires notice of changes in members, managers or registered agent.</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Obtain a full ownership chart to natural persons for each member, the beneficial ownership certification, and good standing certificates for the borrower in South Carolina and in each jurisdiction where it is qualified.</w:t>
      </w:r>
    </w:p>
    <w:p>
      <w:pPr>
        <w:keepNext/>
        <w:spacing w:before="220" w:after="60"/>
        <w:ind w:firstLine="0"/>
      </w:pPr>
      <w:r>
        <w:rPr>
          <w:rFonts w:ascii="Times New Roman" w:hAnsi="Times New Roman" w:eastAsia="Times New Roman"/>
          <w:b/>
          <w:sz w:val="21"/>
        </w:rPr>
        <w:t>23.  Flood insurance of $5,000,000 is required on a Zone X property, and the sources disagree on the FEMA panel</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§9.3; Appraisal §2.1; Phase I ESA §2</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requires $5,000,000 of flood coverage while acknowledging that the Property is in Zone X and that federal regulation does not require flood insurance there. That is permissible as a contractual requirement, but the Bank should record that it is a lender-imposed condition rather than a regulatory one, and borrowers sometimes resist the premium. The two technical sources also disagree on the map: the appraisal cites FEMA Community Panel No. 45019C0418J effective November 4, 2014, and the Phase I ESA cites Panel No. 45019C0520J effective December 4, 2020. Both conclude Zone X, so the conclusion is unaffected, but the file should carry the current panel.</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6.6(c) states the $5,000,000 requirement and records expressly that it is required notwithstanding the Zone X designation and the absence of a federal requirement; Section 3.6 contains the corresponding representation.</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the current panel with the surveyor or the insurer and correct the file. Also confirm that the Bank wants the $5,000,000 requirement maintained given the premium cost and the Zone X designation — this is a pricing point the borrower will raise.</w:t>
      </w:r>
    </w:p>
    <w:p>
      <w:pPr>
        <w:keepNext/>
        <w:spacing w:before="220" w:after="60"/>
        <w:ind w:firstLine="0"/>
      </w:pPr>
      <w:r>
        <w:rPr>
          <w:rFonts w:ascii="Times New Roman" w:hAnsi="Times New Roman" w:eastAsia="Times New Roman"/>
          <w:b/>
          <w:sz w:val="21"/>
        </w:rPr>
        <w:t>24.  The capital replacement reserve is not a credible source of funding for the building systems it is meant to replace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LOW</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§6.2</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reserve is $0.25 per square foot per year, or $7,750 annually and $645.83 monthly, on a building whose HVAC replacement is budgeted at $1,200,000 and whose elevator modernisation is budgeted at $475,000. Over the five-year term the reserve accumulates $38,750. The arithmetic in the Term Sheet is correct; the adequacy is not.</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6.3 sets the deposit at $645.83 monthly with disbursement upon approval of qualifying capital expenditures, as the Term Sheet provides.</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Consider either a larger reserve (the renovation replaces the HVAC and modernises the elevator, so the risk is deferred rather than absent) or a condition requiring a capital plan and a post-renovation systems warranty assignment, which the draft already captures through Section 2.3(d) and Section 2.5.</w:t>
      </w:r>
    </w:p>
    <w:p>
      <w:pPr>
        <w:keepNext/>
        <w:spacing w:before="220" w:after="60"/>
        <w:ind w:firstLine="0"/>
      </w:pPr>
      <w:r>
        <w:rPr>
          <w:rFonts w:ascii="Times New Roman" w:hAnsi="Times New Roman" w:eastAsia="Times New Roman"/>
          <w:b/>
          <w:sz w:val="21"/>
        </w:rPr>
        <w:t>25.  Tenant improvement and leasing commission funding needs to be reconciled across three places</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LOW</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§§6.3, 8.2; rent roll, Vacancy Schedule; renovation budget item 4.0</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Three separate pools touch the same cost: the $550,000 tenant improvement allowance line in the renovation budget, the $150,000 tenant improvement and leasing commission reserve funded at closing, and the leasing commissions which appear only in the rent roll projections (approximately $89,750 worst case) and are not separately budgeted, though they may sit within the $200,000 of soft costs. Projected tenant improvement cost in the rent roll is $310,600 for Bay 2 and Suite B, rising to $386,600 if Bay 3 is re-let to a new tenant. The combined budget and reserve exceed the projected need, so this is a reconciliation point rather than a shortfall — but the closing instructions should show which pool funds which cost, to avoid a double draw.</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6.4 states expressly that the reserve is separate from, and additional to, the tenant improvement allowance line of the renovation budget; Exhibit F repeats the point; Section 5.5 requires the Bank’s consent to leases over 5,000 square feet, which captures Suite B.</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Ask the borrower to map each projected tenant improvement and commission cost to its funding source. No credit decision required.</w:t>
      </w:r>
    </w:p>
    <w:p>
      <w:pPr>
        <w:keepNext/>
        <w:spacing w:before="220" w:after="60"/>
        <w:ind w:firstLine="0"/>
      </w:pPr>
      <w:r>
        <w:rPr>
          <w:rFonts w:ascii="Times New Roman" w:hAnsi="Times New Roman" w:eastAsia="Times New Roman"/>
          <w:b/>
          <w:sz w:val="21"/>
        </w:rPr>
        <w:t>26.  The registered agent is named differently in two source documents</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LOW</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§1.2; operating agreement summary §1.3</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names the registered agent as “Capitol Registered Agents Inc.” and the operating agreement summary names “Statehouse Registered Agents, Inc.”, both at 1201 Main Street, Suite 410, Columbia. The title commitment requires evidence that the borrower is in good standing with a registered agent for service. A mismatch on a recorded instrument and in the Bank’s credit file is an avoidable defect, and service of process in a foreclosure depends on the correct agent.</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The Mortgage does not name the registered agent; Section 7.11(e) requires notice to the Bank of any change in registered agent, and Section 3.1 represents good standing.</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the current registered agent from the South Carolina Secretary of State’s records and correct the credit file and the Term Sheet record.</w:t>
      </w:r>
    </w:p>
    <w:p>
      <w:pPr>
        <w:keepNext/>
        <w:spacing w:before="220" w:after="60"/>
        <w:ind w:firstLine="0"/>
      </w:pPr>
      <w:r>
        <w:rPr>
          <w:rFonts w:ascii="Times New Roman" w:hAnsi="Times New Roman" w:eastAsia="Times New Roman"/>
          <w:b/>
          <w:sz w:val="21"/>
        </w:rPr>
        <w:t>27.  The Bank’s contact email domain does not match its name</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LOW</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§1.1</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Term Sheet gives the relationship contact as mprideaux@coastalheritagebank.com while the lender is Calverley Heritage Bank. Either the domain is a legacy name or the Term Sheet is wrong; in either case a notice sent to that address should not be the operative notice channel.</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13.4 provides for notice to the Bank at 412 Whitaker Street with a copy to this firm, permits email only for routine communications, and requires default, acceleration and foreclosure notices to be delivered by hand, courier or mail. The email address is not relied on in the Mortgage.</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Confirm the correct domain for future correspondence.</w:t>
      </w:r>
    </w:p>
    <w:p>
      <w:pPr>
        <w:keepNext/>
        <w:spacing w:before="220" w:after="60"/>
        <w:ind w:firstLine="0"/>
      </w:pPr>
      <w:r>
        <w:rPr>
          <w:rFonts w:ascii="Times New Roman" w:hAnsi="Times New Roman" w:eastAsia="Times New Roman"/>
          <w:b/>
          <w:sz w:val="21"/>
        </w:rPr>
        <w:t>28.  The construction contract is assigned without the contractor’s acknowledgement</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§§5.1(g), 8.1; renovation budget</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Section 5.1(g) of the Term Sheet assigns the borrower’s interest in the construction contract with Beaufort Builders Group LLC, and the draft does so. But nothing in the record shows that the contractor has consented to the collateral assignment or agreed to the Bank’s step-in rights, and construction contracts commonly prohibit assignment without consent. Section 7.4(e) separately requires contractor and subcontractor acknowledgments of the vapor barrier restriction — a different acknowledgement for a different purpose, and both are needed.</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2.3(d) assigns all contracts, warranties, guaranties and indemnities relating to the renovation, expressly including the renovation contract; Section 8.7 prohibits termination, assignment or material amendment without consent and requires delivery of all change orders; Section 9.3 requires contractor insurance and lien waivers.</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Obtain (a) the contractor’s consent to the collateral assignment and a lender step-in agreement or acknowledgment, and (b) the vapor barrier acknowledgments under Section 7.4(e) before the first draw.</w:t>
      </w:r>
    </w:p>
    <w:p>
      <w:pPr>
        <w:keepNext/>
        <w:spacing w:before="220" w:after="60"/>
        <w:ind w:firstLine="0"/>
      </w:pPr>
      <w:r>
        <w:rPr>
          <w:rFonts w:ascii="Times New Roman" w:hAnsi="Times New Roman" w:eastAsia="Times New Roman"/>
          <w:b/>
          <w:sz w:val="21"/>
        </w:rPr>
        <w:t>29.  Provisions of the Term Sheet that are inapplicable or deliberately relocated</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LOW</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§§5.2, 5.3, 14.3</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Three items should be recorded so that the closing checklist does not chase documents that will not exist. The assignment of leases and rents is incorporated into the Mortgage rather than executed separately (permitted by Term Sheet §5.2 and by title commitment Requirement 5), so the separate instrument listed at Term Sheet §14.3(c) should be struck from the closing checklist and the Mortgage title should say so. The reference to “as-extracted collateral (if any)” at Term Sheet §5.3 has no application to an improved commercial building. And the absolute assignment is recorded by means of the Mortgage, which satisfies the recording requirement of the Assignment of Rents Act.</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Section 2.6 states that the as-extracted collateral provision is inapplicable and explains why; the cover page and Article 5 title the instrument as including the absolute assignment; Section 5.1 characterises it as an absolute assignment under the Act and records that it is perfected on recording.</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Strike the separate assignment of leases and rents from the closing checklist. Confirm that the Bank is content with the combined instrument (it reduces recording cost, which is also the reason for the recommendation in your markup notes).</w:t>
      </w:r>
    </w:p>
    <w:p>
      <w:pPr>
        <w:keepNext/>
        <w:spacing w:before="220" w:after="60"/>
        <w:ind w:firstLine="0"/>
      </w:pPr>
      <w:r>
        <w:rPr>
          <w:rFonts w:ascii="Times New Roman" w:hAnsi="Times New Roman" w:eastAsia="Times New Roman"/>
          <w:b/>
          <w:sz w:val="21"/>
        </w:rPr>
        <w:t>30.  Statutory citations and foreclosure formalities require local confirmation</w:t>
      </w:r>
    </w:p>
    <w:p>
      <w:pPr>
        <w:keepNext/>
        <w:spacing w:before="0" w:after="60" w:line="240" w:lineRule="auto"/>
        <w:ind w:left="432" w:hanging="432"/>
        <w:jc w:val="both"/>
      </w:pPr>
      <w:r>
        <w:rPr>
          <w:rFonts w:ascii="Times New Roman" w:hAnsi="Times New Roman" w:eastAsia="Times New Roman"/>
          <w:b/>
          <w:i w:val="0"/>
          <w:sz w:val="19"/>
        </w:rPr>
        <w:t xml:space="preserve">Severity:  </w:t>
      </w:r>
      <w:r>
        <w:rPr>
          <w:rFonts w:ascii="Times New Roman" w:hAnsi="Times New Roman" w:eastAsia="Times New Roman"/>
          <w:b w:val="0"/>
          <w:i w:val="0"/>
          <w:sz w:val="19"/>
        </w:rPr>
        <w:t>MEDIUM</w:t>
      </w:r>
      <w:r>
        <w:rPr>
          <w:rFonts w:ascii="Times New Roman" w:hAnsi="Times New Roman" w:eastAsia="Times New Roman"/>
          <w:b/>
          <w:i w:val="0"/>
          <w:sz w:val="19"/>
        </w:rPr>
        <w:t xml:space="preserve">        Sources:  </w:t>
      </w:r>
      <w:r>
        <w:rPr>
          <w:rFonts w:ascii="Times New Roman" w:hAnsi="Times New Roman" w:eastAsia="Times New Roman"/>
          <w:b w:val="0"/>
          <w:i w:val="0"/>
          <w:sz w:val="19"/>
        </w:rPr>
        <w:t>Term Sheet §§14.1, 14.3; general</w:t>
      </w:r>
    </w:p>
    <w:p>
      <w:pPr>
        <w:keepNext w:val="0"/>
        <w:spacing w:before="0" w:after="60" w:line="240" w:lineRule="auto"/>
        <w:ind w:left="432" w:hanging="432"/>
        <w:jc w:val="both"/>
      </w:pPr>
      <w:r>
        <w:rPr>
          <w:rFonts w:ascii="Times New Roman" w:hAnsi="Times New Roman" w:eastAsia="Times New Roman"/>
          <w:b/>
          <w:i w:val="0"/>
          <w:sz w:val="20"/>
        </w:rPr>
        <w:t xml:space="preserve">Finding and effect.  </w:t>
      </w:r>
      <w:r>
        <w:rPr>
          <w:rFonts w:ascii="Times New Roman" w:hAnsi="Times New Roman" w:eastAsia="Times New Roman"/>
          <w:b w:val="0"/>
          <w:i w:val="0"/>
          <w:sz w:val="20"/>
        </w:rPr>
        <w:t>The draft relies on several South Carolina propositions that should be confirmed against current law before execution rather than taken from secondary sources: (a) the codification and current text of the Uniform Assignment of Rents Act, which the markup notes cite as S.C. Code Ann. § 29-3-100 et seq. and which we have adopted as cited but which should be verified; (b) the proposition that an absolute assignment is perfected on recording and enforceable on default upon notice to the tenant; (c) the requirement of two subscribing witnesses and an acknowledgment for recording, which the signature page assumes; (d) the conduct of a judicial foreclosure and the applicable upset-bid or redemption period, which the draft refers to generically and does not waive; and (e) the enforceability of the late charge and the Default Rate against a Georgia-chartered bank lending in South Carolina.</w:t>
      </w:r>
    </w:p>
    <w:p>
      <w:pPr>
        <w:keepNext w:val="0"/>
        <w:spacing w:before="0" w:after="60" w:line="240" w:lineRule="auto"/>
        <w:ind w:left="432" w:hanging="432"/>
        <w:jc w:val="both"/>
      </w:pPr>
      <w:r>
        <w:rPr>
          <w:rFonts w:ascii="Times New Roman" w:hAnsi="Times New Roman" w:eastAsia="Times New Roman"/>
          <w:b/>
          <w:i w:val="0"/>
          <w:sz w:val="20"/>
        </w:rPr>
        <w:t xml:space="preserve">Treatment in the draft.  </w:t>
      </w:r>
      <w:r>
        <w:rPr>
          <w:rFonts w:ascii="Times New Roman" w:hAnsi="Times New Roman" w:eastAsia="Times New Roman"/>
          <w:b w:val="0"/>
          <w:i w:val="0"/>
          <w:sz w:val="20"/>
        </w:rPr>
        <w:t>The draft states each proposition with appropriate qualification: Section 5.1 cites the Act as recorded; Section 11.2 states that foreclosure is judicial only, grants no power of sale, and preserves non-waivable rights; Section 12.3 and Section 13.10 preserve only what may lawfully be waived (“to the maximum extent permitted by Applicable Law”); Section 4.8 is a usury savings clause; Section 13.10 requires the witness and acknowledgment formalities and the signature page implements them.</w:t>
      </w:r>
    </w:p>
    <w:p>
      <w:pPr>
        <w:keepNext w:val="0"/>
        <w:spacing w:before="0" w:after="60" w:line="240" w:lineRule="auto"/>
        <w:ind w:left="432" w:hanging="432"/>
        <w:jc w:val="both"/>
      </w:pPr>
      <w:r>
        <w:rPr>
          <w:rFonts w:ascii="Times New Roman" w:hAnsi="Times New Roman" w:eastAsia="Times New Roman"/>
          <w:b/>
          <w:i w:val="0"/>
          <w:sz w:val="20"/>
        </w:rPr>
        <w:t xml:space="preserve">Recommended action / open item.  </w:t>
      </w:r>
      <w:r>
        <w:rPr>
          <w:rFonts w:ascii="Times New Roman" w:hAnsi="Times New Roman" w:eastAsia="Times New Roman"/>
          <w:b w:val="0"/>
          <w:i w:val="0"/>
          <w:sz w:val="20"/>
        </w:rPr>
        <w:t>Ask local counsel in Charleston to confirm (a) through (e) in a short written note before execution. We would not record the Mortgage without that confirmation.</w:t>
      </w:r>
    </w:p>
    <w:p>
      <w:pPr>
        <w:pStyle w:val="Heading1"/>
        <w:keepNext/>
        <w:spacing w:before="320" w:after="120"/>
        <w:ind w:firstLine="0"/>
      </w:pPr>
      <w:r>
        <w:rPr>
          <w:rFonts w:ascii="Times New Roman" w:hAnsi="Times New Roman" w:eastAsia="Times New Roman"/>
          <w:b/>
          <w:color w:val="000000"/>
          <w:sz w:val="23"/>
        </w:rPr>
        <w:t>5.  Independent Recomputation Worksheet</w:t>
      </w:r>
    </w:p>
    <w:p>
      <w:pPr>
        <w:keepNext w:val="0"/>
        <w:spacing w:before="0" w:after="120" w:line="240" w:lineRule="auto"/>
        <w:ind w:left="0"/>
        <w:jc w:val="both"/>
      </w:pPr>
      <w:r>
        <w:rPr>
          <w:rFonts w:ascii="Times New Roman" w:hAnsi="Times New Roman" w:eastAsia="Times New Roman"/>
          <w:b w:val="0"/>
          <w:i w:val="0"/>
          <w:sz w:val="22"/>
        </w:rPr>
        <w:t>Every amount, ratio, date interval and total used in the Mortgage was recomputed from its components rather than carried forward from a summary. Where the recomputation agrees, the entry records why the figure is reliable; where it does not, the variance and its effect are stated. Variances are not silently absorbed into the draft.</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1872"/>
        <w:gridCol w:w="1872"/>
        <w:gridCol w:w="1872"/>
        <w:gridCol w:w="1872"/>
        <w:gridCol w:w="1872"/>
      </w:tblGrid>
      <w:tr>
        <w:trPr>
          <w:cantSplit w:val="true"/>
          <w:tblHeader w:val="true"/>
        </w:trPr>
        <w:tc>
          <w:tcPr>
            <w:tcW w:type="dxa" w:w="1901"/>
            <w:shd w:val="clear" w:color="auto" w:fill="DCE3EA"/>
          </w:tcPr>
          <w:p>
            <w:pPr>
              <w:spacing w:before="40" w:after="40" w:line="240" w:lineRule="auto"/>
              <w:jc w:val="left"/>
            </w:pPr>
            <w:r/>
            <w:r>
              <w:rPr>
                <w:rFonts w:ascii="Times New Roman" w:hAnsi="Times New Roman" w:eastAsia="Times New Roman"/>
                <w:b/>
                <w:sz w:val="14"/>
              </w:rPr>
              <w:t>Figure</w:t>
            </w:r>
          </w:p>
        </w:tc>
        <w:tc>
          <w:tcPr>
            <w:tcW w:type="dxa" w:w="1469"/>
            <w:shd w:val="clear" w:color="auto" w:fill="DCE3EA"/>
          </w:tcPr>
          <w:p>
            <w:pPr>
              <w:spacing w:before="40" w:after="40" w:line="240" w:lineRule="auto"/>
              <w:jc w:val="left"/>
            </w:pPr>
            <w:r/>
            <w:r>
              <w:rPr>
                <w:rFonts w:ascii="Times New Roman" w:hAnsi="Times New Roman" w:eastAsia="Times New Roman"/>
                <w:b/>
                <w:sz w:val="14"/>
              </w:rPr>
              <w:t>Source states</w:t>
            </w:r>
          </w:p>
        </w:tc>
        <w:tc>
          <w:tcPr>
            <w:tcW w:type="dxa" w:w="2765"/>
            <w:shd w:val="clear" w:color="auto" w:fill="DCE3EA"/>
          </w:tcPr>
          <w:p>
            <w:pPr>
              <w:spacing w:before="40" w:after="40" w:line="240" w:lineRule="auto"/>
              <w:jc w:val="left"/>
            </w:pPr>
            <w:r/>
            <w:r>
              <w:rPr>
                <w:rFonts w:ascii="Times New Roman" w:hAnsi="Times New Roman" w:eastAsia="Times New Roman"/>
                <w:b/>
                <w:sz w:val="14"/>
              </w:rPr>
              <w:t>Recomputed</w:t>
            </w:r>
          </w:p>
        </w:tc>
        <w:tc>
          <w:tcPr>
            <w:tcW w:type="dxa" w:w="950"/>
            <w:shd w:val="clear" w:color="auto" w:fill="DCE3EA"/>
          </w:tcPr>
          <w:p>
            <w:pPr>
              <w:spacing w:before="40" w:after="40" w:line="240" w:lineRule="auto"/>
              <w:jc w:val="left"/>
            </w:pPr>
            <w:r/>
            <w:r>
              <w:rPr>
                <w:rFonts w:ascii="Times New Roman" w:hAnsi="Times New Roman" w:eastAsia="Times New Roman"/>
                <w:b/>
                <w:sz w:val="14"/>
              </w:rPr>
              <w:t>Variance</w:t>
            </w:r>
          </w:p>
        </w:tc>
        <w:tc>
          <w:tcPr>
            <w:tcW w:type="dxa" w:w="2275"/>
            <w:shd w:val="clear" w:color="auto" w:fill="DCE3EA"/>
          </w:tcPr>
          <w:p>
            <w:pPr>
              <w:spacing w:before="40" w:after="40" w:line="240" w:lineRule="auto"/>
              <w:jc w:val="left"/>
            </w:pPr>
            <w:r/>
            <w:r>
              <w:rPr>
                <w:rFonts w:ascii="Times New Roman" w:hAnsi="Times New Roman" w:eastAsia="Times New Roman"/>
                <w:b/>
                <w:sz w:val="14"/>
              </w:rPr>
              <w:t>Effect / note</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Total Project Cost</w:t>
            </w:r>
          </w:p>
        </w:tc>
        <w:tc>
          <w:tcPr>
            <w:tcW w:type="dxa" w:w="1469"/>
          </w:tcPr>
          <w:p>
            <w:pPr>
              <w:spacing w:before="40" w:after="40" w:line="240" w:lineRule="auto"/>
              <w:jc w:val="left"/>
            </w:pPr>
            <w:r/>
            <w:r>
              <w:rPr>
                <w:rFonts w:ascii="Times New Roman" w:hAnsi="Times New Roman" w:eastAsia="Times New Roman"/>
                <w:b w:val="0"/>
                <w:sz w:val="14"/>
              </w:rPr>
              <w:t>$20,950,000</w:t>
            </w:r>
          </w:p>
        </w:tc>
        <w:tc>
          <w:tcPr>
            <w:tcW w:type="dxa" w:w="2765"/>
          </w:tcPr>
          <w:p>
            <w:pPr>
              <w:spacing w:before="40" w:after="40" w:line="240" w:lineRule="auto"/>
              <w:jc w:val="left"/>
            </w:pPr>
            <w:r/>
            <w:r>
              <w:rPr>
                <w:rFonts w:ascii="Times New Roman" w:hAnsi="Times New Roman" w:eastAsia="Times New Roman"/>
                <w:b w:val="0"/>
                <w:sz w:val="14"/>
              </w:rPr>
              <w:t>$17,800,000 + $3,150,000 = $20,950,000</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 Used at Recital C.</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Borrower equity</w:t>
            </w:r>
          </w:p>
        </w:tc>
        <w:tc>
          <w:tcPr>
            <w:tcW w:type="dxa" w:w="1469"/>
          </w:tcPr>
          <w:p>
            <w:pPr>
              <w:spacing w:before="40" w:after="40" w:line="240" w:lineRule="auto"/>
              <w:jc w:val="left"/>
            </w:pPr>
            <w:r/>
            <w:r>
              <w:rPr>
                <w:rFonts w:ascii="Times New Roman" w:hAnsi="Times New Roman" w:eastAsia="Times New Roman"/>
                <w:b w:val="0"/>
                <w:sz w:val="14"/>
              </w:rPr>
              <w:t>$6,200,000 (29.6%)</w:t>
            </w:r>
          </w:p>
        </w:tc>
        <w:tc>
          <w:tcPr>
            <w:tcW w:type="dxa" w:w="2765"/>
          </w:tcPr>
          <w:p>
            <w:pPr>
              <w:spacing w:before="40" w:after="40" w:line="240" w:lineRule="auto"/>
              <w:jc w:val="left"/>
            </w:pPr>
            <w:r/>
            <w:r>
              <w:rPr>
                <w:rFonts w:ascii="Times New Roman" w:hAnsi="Times New Roman" w:eastAsia="Times New Roman"/>
                <w:b w:val="0"/>
                <w:sz w:val="14"/>
              </w:rPr>
              <w:t>$20,950,000 − $14,750,000 = $6,200,000; 29.59%</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 but see the funding gap row below.</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Renovation Holdback</w:t>
            </w:r>
          </w:p>
        </w:tc>
        <w:tc>
          <w:tcPr>
            <w:tcW w:type="dxa" w:w="1469"/>
          </w:tcPr>
          <w:p>
            <w:pPr>
              <w:spacing w:before="40" w:after="40" w:line="240" w:lineRule="auto"/>
              <w:jc w:val="left"/>
            </w:pPr>
            <w:r/>
            <w:r>
              <w:rPr>
                <w:rFonts w:ascii="Times New Roman" w:hAnsi="Times New Roman" w:eastAsia="Times New Roman"/>
                <w:b w:val="0"/>
                <w:sz w:val="14"/>
              </w:rPr>
              <w:t>$2,250,000</w:t>
            </w:r>
          </w:p>
        </w:tc>
        <w:tc>
          <w:tcPr>
            <w:tcW w:type="dxa" w:w="2765"/>
          </w:tcPr>
          <w:p>
            <w:pPr>
              <w:spacing w:before="40" w:after="40" w:line="240" w:lineRule="auto"/>
              <w:jc w:val="left"/>
            </w:pPr>
            <w:r/>
            <w:r>
              <w:rPr>
                <w:rFonts w:ascii="Times New Roman" w:hAnsi="Times New Roman" w:eastAsia="Times New Roman"/>
                <w:b w:val="0"/>
                <w:sz w:val="14"/>
              </w:rPr>
              <w:t>$14,750,000 − $12,500,000 = $2,250,000</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 Article 9.</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Construction contract vs holdback</w:t>
            </w:r>
          </w:p>
        </w:tc>
        <w:tc>
          <w:tcPr>
            <w:tcW w:type="dxa" w:w="1469"/>
          </w:tcPr>
          <w:p>
            <w:pPr>
              <w:spacing w:before="40" w:after="40" w:line="240" w:lineRule="auto"/>
              <w:jc w:val="left"/>
            </w:pPr>
            <w:r/>
            <w:r>
              <w:rPr>
                <w:rFonts w:ascii="Times New Roman" w:hAnsi="Times New Roman" w:eastAsia="Times New Roman"/>
                <w:b w:val="0"/>
                <w:sz w:val="14"/>
              </w:rPr>
              <w:t>$2,850,000 vs $2,250,000</w:t>
            </w:r>
          </w:p>
        </w:tc>
        <w:tc>
          <w:tcPr>
            <w:tcW w:type="dxa" w:w="2765"/>
          </w:tcPr>
          <w:p>
            <w:pPr>
              <w:spacing w:before="40" w:after="40" w:line="240" w:lineRule="auto"/>
              <w:jc w:val="left"/>
            </w:pPr>
            <w:r/>
            <w:r>
              <w:rPr>
                <w:rFonts w:ascii="Times New Roman" w:hAnsi="Times New Roman" w:eastAsia="Times New Roman"/>
                <w:b w:val="0"/>
                <w:sz w:val="14"/>
              </w:rPr>
              <w:t>Budget items 1.0–4.0 = $1,200,000 + $475,000 + $625,000 + $550,000 = $2,850,000; gap $600,000</w:t>
            </w:r>
          </w:p>
        </w:tc>
        <w:tc>
          <w:tcPr>
            <w:tcW w:type="dxa" w:w="950"/>
          </w:tcPr>
          <w:p>
            <w:pPr>
              <w:spacing w:before="40" w:after="40" w:line="240" w:lineRule="auto"/>
              <w:jc w:val="left"/>
            </w:pPr>
            <w:r/>
            <w:r>
              <w:rPr>
                <w:rFonts w:ascii="Times New Roman" w:hAnsi="Times New Roman" w:eastAsia="Times New Roman"/>
                <w:b w:val="0"/>
                <w:sz w:val="14"/>
              </w:rPr>
              <w:t>nil (disclosed)</w:t>
            </w:r>
          </w:p>
        </w:tc>
        <w:tc>
          <w:tcPr>
            <w:tcW w:type="dxa" w:w="2275"/>
          </w:tcPr>
          <w:p>
            <w:pPr>
              <w:spacing w:before="40" w:after="40" w:line="240" w:lineRule="auto"/>
              <w:jc w:val="left"/>
            </w:pPr>
            <w:r/>
            <w:r>
              <w:rPr>
                <w:rFonts w:ascii="Times New Roman" w:hAnsi="Times New Roman" w:eastAsia="Times New Roman"/>
                <w:b w:val="0"/>
                <w:sz w:val="14"/>
              </w:rPr>
              <w:t>Correctly disclosed in Term Sheet §3.4 and Exhibit B. Borrower funds $900,000.</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LTV, as-is</w:t>
            </w:r>
          </w:p>
        </w:tc>
        <w:tc>
          <w:tcPr>
            <w:tcW w:type="dxa" w:w="1469"/>
          </w:tcPr>
          <w:p>
            <w:pPr>
              <w:spacing w:before="40" w:after="40" w:line="240" w:lineRule="auto"/>
              <w:jc w:val="left"/>
            </w:pPr>
            <w:r/>
            <w:r>
              <w:rPr>
                <w:rFonts w:ascii="Times New Roman" w:hAnsi="Times New Roman" w:eastAsia="Times New Roman"/>
                <w:b w:val="0"/>
                <w:sz w:val="14"/>
              </w:rPr>
              <w:t>81.04%</w:t>
            </w:r>
          </w:p>
        </w:tc>
        <w:tc>
          <w:tcPr>
            <w:tcW w:type="dxa" w:w="2765"/>
          </w:tcPr>
          <w:p>
            <w:pPr>
              <w:spacing w:before="40" w:after="40" w:line="240" w:lineRule="auto"/>
              <w:jc w:val="left"/>
            </w:pPr>
            <w:r/>
            <w:r>
              <w:rPr>
                <w:rFonts w:ascii="Times New Roman" w:hAnsi="Times New Roman" w:eastAsia="Times New Roman"/>
                <w:b w:val="0"/>
                <w:sz w:val="14"/>
              </w:rPr>
              <w:t>$14,750,000 ÷ $18,200,000 = 81.044%</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Arithmetic correct. Above customary 75–80%. Value itself is unsupported — see Issue 3.</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LTV, as-stabilized</w:t>
            </w:r>
          </w:p>
        </w:tc>
        <w:tc>
          <w:tcPr>
            <w:tcW w:type="dxa" w:w="1469"/>
          </w:tcPr>
          <w:p>
            <w:pPr>
              <w:spacing w:before="40" w:after="40" w:line="240" w:lineRule="auto"/>
              <w:jc w:val="left"/>
            </w:pPr>
            <w:r/>
            <w:r>
              <w:rPr>
                <w:rFonts w:ascii="Times New Roman" w:hAnsi="Times New Roman" w:eastAsia="Times New Roman"/>
                <w:b w:val="0"/>
                <w:sz w:val="14"/>
              </w:rPr>
              <w:t>62.77%</w:t>
            </w:r>
          </w:p>
        </w:tc>
        <w:tc>
          <w:tcPr>
            <w:tcW w:type="dxa" w:w="2765"/>
          </w:tcPr>
          <w:p>
            <w:pPr>
              <w:spacing w:before="40" w:after="40" w:line="240" w:lineRule="auto"/>
              <w:jc w:val="left"/>
            </w:pPr>
            <w:r/>
            <w:r>
              <w:rPr>
                <w:rFonts w:ascii="Times New Roman" w:hAnsi="Times New Roman" w:eastAsia="Times New Roman"/>
                <w:b w:val="0"/>
                <w:sz w:val="14"/>
              </w:rPr>
              <w:t>$14,750,000 ÷ $23,500,000 = 62.766%</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Arithmetic correct; value unsupported (Issue 3).</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Loan-to-cost</w:t>
            </w:r>
          </w:p>
        </w:tc>
        <w:tc>
          <w:tcPr>
            <w:tcW w:type="dxa" w:w="1469"/>
          </w:tcPr>
          <w:p>
            <w:pPr>
              <w:spacing w:before="40" w:after="40" w:line="240" w:lineRule="auto"/>
              <w:jc w:val="left"/>
            </w:pPr>
            <w:r/>
            <w:r>
              <w:rPr>
                <w:rFonts w:ascii="Times New Roman" w:hAnsi="Times New Roman" w:eastAsia="Times New Roman"/>
                <w:b w:val="0"/>
                <w:sz w:val="14"/>
              </w:rPr>
              <w:t>70.41%</w:t>
            </w:r>
          </w:p>
        </w:tc>
        <w:tc>
          <w:tcPr>
            <w:tcW w:type="dxa" w:w="2765"/>
          </w:tcPr>
          <w:p>
            <w:pPr>
              <w:spacing w:before="40" w:after="40" w:line="240" w:lineRule="auto"/>
              <w:jc w:val="left"/>
            </w:pPr>
            <w:r/>
            <w:r>
              <w:rPr>
                <w:rFonts w:ascii="Times New Roman" w:hAnsi="Times New Roman" w:eastAsia="Times New Roman"/>
                <w:b w:val="0"/>
                <w:sz w:val="14"/>
              </w:rPr>
              <w:t>$14,750,000 ÷ $20,950,000 = 70.406%</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Occupancy (by area)</w:t>
            </w:r>
          </w:p>
        </w:tc>
        <w:tc>
          <w:tcPr>
            <w:tcW w:type="dxa" w:w="1469"/>
          </w:tcPr>
          <w:p>
            <w:pPr>
              <w:spacing w:before="40" w:after="40" w:line="240" w:lineRule="auto"/>
              <w:jc w:val="left"/>
            </w:pPr>
            <w:r/>
            <w:r>
              <w:rPr>
                <w:rFonts w:ascii="Times New Roman" w:hAnsi="Times New Roman" w:eastAsia="Times New Roman"/>
                <w:b w:val="0"/>
                <w:sz w:val="14"/>
              </w:rPr>
              <w:t>68%</w:t>
            </w:r>
          </w:p>
        </w:tc>
        <w:tc>
          <w:tcPr>
            <w:tcW w:type="dxa" w:w="2765"/>
          </w:tcPr>
          <w:p>
            <w:pPr>
              <w:spacing w:before="40" w:after="40" w:line="240" w:lineRule="auto"/>
              <w:jc w:val="left"/>
            </w:pPr>
            <w:r/>
            <w:r>
              <w:rPr>
                <w:rFonts w:ascii="Times New Roman" w:hAnsi="Times New Roman" w:eastAsia="Times New Roman"/>
                <w:b w:val="0"/>
                <w:sz w:val="14"/>
              </w:rPr>
              <w:t>17,400 ÷ 31,000 = 56.13%</w:t>
            </w:r>
          </w:p>
        </w:tc>
        <w:tc>
          <w:tcPr>
            <w:tcW w:type="dxa" w:w="950"/>
          </w:tcPr>
          <w:p>
            <w:pPr>
              <w:spacing w:before="40" w:after="40" w:line="240" w:lineRule="auto"/>
              <w:jc w:val="left"/>
            </w:pPr>
            <w:r/>
            <w:r>
              <w:rPr>
                <w:rFonts w:ascii="Times New Roman" w:hAnsi="Times New Roman" w:eastAsia="Times New Roman"/>
                <w:b w:val="0"/>
                <w:sz w:val="14"/>
              </w:rPr>
              <w:t>−11.87 points</w:t>
            </w:r>
          </w:p>
        </w:tc>
        <w:tc>
          <w:tcPr>
            <w:tcW w:type="dxa" w:w="2275"/>
          </w:tcPr>
          <w:p>
            <w:pPr>
              <w:spacing w:before="40" w:after="40" w:line="240" w:lineRule="auto"/>
              <w:jc w:val="left"/>
            </w:pPr>
            <w:r/>
            <w:r>
              <w:rPr>
                <w:rFonts w:ascii="Times New Roman" w:hAnsi="Times New Roman" w:eastAsia="Times New Roman"/>
                <w:b w:val="0"/>
                <w:sz w:val="14"/>
              </w:rPr>
              <w:t>Material misstatement repeated in Term Sheet and appraisal (Issue 4).</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Vacancy (by area)</w:t>
            </w:r>
          </w:p>
        </w:tc>
        <w:tc>
          <w:tcPr>
            <w:tcW w:type="dxa" w:w="1469"/>
          </w:tcPr>
          <w:p>
            <w:pPr>
              <w:spacing w:before="40" w:after="40" w:line="240" w:lineRule="auto"/>
              <w:jc w:val="left"/>
            </w:pPr>
            <w:r/>
            <w:r>
              <w:rPr>
                <w:rFonts w:ascii="Times New Roman" w:hAnsi="Times New Roman" w:eastAsia="Times New Roman"/>
                <w:b w:val="0"/>
                <w:sz w:val="14"/>
              </w:rPr>
              <w:t>43.9%</w:t>
            </w:r>
          </w:p>
        </w:tc>
        <w:tc>
          <w:tcPr>
            <w:tcW w:type="dxa" w:w="2765"/>
          </w:tcPr>
          <w:p>
            <w:pPr>
              <w:spacing w:before="40" w:after="40" w:line="240" w:lineRule="auto"/>
              <w:jc w:val="left"/>
            </w:pPr>
            <w:r/>
            <w:r>
              <w:rPr>
                <w:rFonts w:ascii="Times New Roman" w:hAnsi="Times New Roman" w:eastAsia="Times New Roman"/>
                <w:b w:val="0"/>
                <w:sz w:val="14"/>
              </w:rPr>
              <w:t>13,600 ÷ 31,000 = 43.87%</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Correct — and irreconcilable with the 68% occupancy stated three lines earlier.</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Occupied area (appraisal)</w:t>
            </w:r>
          </w:p>
        </w:tc>
        <w:tc>
          <w:tcPr>
            <w:tcW w:type="dxa" w:w="1469"/>
          </w:tcPr>
          <w:p>
            <w:pPr>
              <w:spacing w:before="40" w:after="40" w:line="240" w:lineRule="auto"/>
              <w:jc w:val="left"/>
            </w:pPr>
            <w:r/>
            <w:r>
              <w:rPr>
                <w:rFonts w:ascii="Times New Roman" w:hAnsi="Times New Roman" w:eastAsia="Times New Roman"/>
                <w:b w:val="0"/>
                <w:sz w:val="14"/>
              </w:rPr>
              <w:t>21,400 SF</w:t>
            </w:r>
          </w:p>
        </w:tc>
        <w:tc>
          <w:tcPr>
            <w:tcW w:type="dxa" w:w="2765"/>
          </w:tcPr>
          <w:p>
            <w:pPr>
              <w:spacing w:before="40" w:after="40" w:line="240" w:lineRule="auto"/>
              <w:jc w:val="left"/>
            </w:pPr>
            <w:r/>
            <w:r>
              <w:rPr>
                <w:rFonts w:ascii="Times New Roman" w:hAnsi="Times New Roman" w:eastAsia="Times New Roman"/>
                <w:b w:val="0"/>
                <w:sz w:val="14"/>
              </w:rPr>
              <w:t>3,800 + 3,800 + 9,800 = 17,400 SF</w:t>
            </w:r>
          </w:p>
        </w:tc>
        <w:tc>
          <w:tcPr>
            <w:tcW w:type="dxa" w:w="950"/>
          </w:tcPr>
          <w:p>
            <w:pPr>
              <w:spacing w:before="40" w:after="40" w:line="240" w:lineRule="auto"/>
              <w:jc w:val="left"/>
            </w:pPr>
            <w:r/>
            <w:r>
              <w:rPr>
                <w:rFonts w:ascii="Times New Roman" w:hAnsi="Times New Roman" w:eastAsia="Times New Roman"/>
                <w:b w:val="0"/>
                <w:sz w:val="14"/>
              </w:rPr>
              <w:t>−4,000 SF</w:t>
            </w:r>
          </w:p>
        </w:tc>
        <w:tc>
          <w:tcPr>
            <w:tcW w:type="dxa" w:w="2275"/>
          </w:tcPr>
          <w:p>
            <w:pPr>
              <w:spacing w:before="40" w:after="40" w:line="240" w:lineRule="auto"/>
              <w:jc w:val="left"/>
            </w:pPr>
            <w:r/>
            <w:r>
              <w:rPr>
                <w:rFonts w:ascii="Times New Roman" w:hAnsi="Times New Roman" w:eastAsia="Times New Roman"/>
                <w:b w:val="0"/>
                <w:sz w:val="14"/>
              </w:rPr>
              <w:t>Appraisal states 21,400 occupied + 13,600 vacant = 35,000 SF in a 31,000 SF building (Issue 4).</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Weighted average rent (appraisal)</w:t>
            </w:r>
          </w:p>
        </w:tc>
        <w:tc>
          <w:tcPr>
            <w:tcW w:type="dxa" w:w="1469"/>
          </w:tcPr>
          <w:p>
            <w:pPr>
              <w:spacing w:before="40" w:after="40" w:line="240" w:lineRule="auto"/>
              <w:jc w:val="left"/>
            </w:pPr>
            <w:r/>
            <w:r>
              <w:rPr>
                <w:rFonts w:ascii="Times New Roman" w:hAnsi="Times New Roman" w:eastAsia="Times New Roman"/>
                <w:b w:val="0"/>
                <w:sz w:val="14"/>
              </w:rPr>
              <w:t>$19.40/RSF</w:t>
            </w:r>
          </w:p>
        </w:tc>
        <w:tc>
          <w:tcPr>
            <w:tcW w:type="dxa" w:w="2765"/>
          </w:tcPr>
          <w:p>
            <w:pPr>
              <w:spacing w:before="40" w:after="40" w:line="240" w:lineRule="auto"/>
              <w:jc w:val="left"/>
            </w:pPr>
            <w:r/>
            <w:r>
              <w:rPr>
                <w:rFonts w:ascii="Times New Roman" w:hAnsi="Times New Roman" w:eastAsia="Times New Roman"/>
                <w:b w:val="0"/>
                <w:sz w:val="14"/>
              </w:rPr>
              <w:t>$415,100 ÷ 17,400 = $23.86/RSF</w:t>
            </w:r>
          </w:p>
        </w:tc>
        <w:tc>
          <w:tcPr>
            <w:tcW w:type="dxa" w:w="950"/>
          </w:tcPr>
          <w:p>
            <w:pPr>
              <w:spacing w:before="40" w:after="40" w:line="240" w:lineRule="auto"/>
              <w:jc w:val="left"/>
            </w:pPr>
            <w:r/>
            <w:r>
              <w:rPr>
                <w:rFonts w:ascii="Times New Roman" w:hAnsi="Times New Roman" w:eastAsia="Times New Roman"/>
                <w:b w:val="0"/>
                <w:sz w:val="14"/>
              </w:rPr>
              <w:t>+$4.46/RSF</w:t>
            </w:r>
          </w:p>
        </w:tc>
        <w:tc>
          <w:tcPr>
            <w:tcW w:type="dxa" w:w="2275"/>
          </w:tcPr>
          <w:p>
            <w:pPr>
              <w:spacing w:before="40" w:after="40" w:line="240" w:lineRule="auto"/>
              <w:jc w:val="left"/>
            </w:pPr>
            <w:r/>
            <w:r>
              <w:rPr>
                <w:rFonts w:ascii="Times New Roman" w:hAnsi="Times New Roman" w:eastAsia="Times New Roman"/>
                <w:b w:val="0"/>
                <w:sz w:val="14"/>
              </w:rPr>
              <w:t>$19.40 is $415,100 ÷ 21,400 — it inherits the area error.</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In-place annual base rent</w:t>
            </w:r>
          </w:p>
        </w:tc>
        <w:tc>
          <w:tcPr>
            <w:tcW w:type="dxa" w:w="1469"/>
          </w:tcPr>
          <w:p>
            <w:pPr>
              <w:spacing w:before="40" w:after="40" w:line="240" w:lineRule="auto"/>
              <w:jc w:val="left"/>
            </w:pPr>
            <w:r/>
            <w:r>
              <w:rPr>
                <w:rFonts w:ascii="Times New Roman" w:hAnsi="Times New Roman" w:eastAsia="Times New Roman"/>
                <w:b w:val="0"/>
                <w:sz w:val="14"/>
              </w:rPr>
              <w:t>$415,100</w:t>
            </w:r>
          </w:p>
        </w:tc>
        <w:tc>
          <w:tcPr>
            <w:tcW w:type="dxa" w:w="2765"/>
          </w:tcPr>
          <w:p>
            <w:pPr>
              <w:spacing w:before="40" w:after="40" w:line="240" w:lineRule="auto"/>
              <w:jc w:val="left"/>
            </w:pPr>
            <w:r/>
            <w:r>
              <w:rPr>
                <w:rFonts w:ascii="Times New Roman" w:hAnsi="Times New Roman" w:eastAsia="Times New Roman"/>
                <w:b w:val="0"/>
                <w:sz w:val="14"/>
              </w:rPr>
              <w:t>3,800×$28.50 + 3,800×$24.00 + 9,800×$22.00 = $415,100</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 at pre-escalation rents. At closing, with the January 1, 2025 escalation, Bay 1 is $111,549 and the total is about $418,349 (Issue 4).</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Security deposits</w:t>
            </w:r>
          </w:p>
        </w:tc>
        <w:tc>
          <w:tcPr>
            <w:tcW w:type="dxa" w:w="1469"/>
          </w:tcPr>
          <w:p>
            <w:pPr>
              <w:spacing w:before="40" w:after="40" w:line="240" w:lineRule="auto"/>
              <w:jc w:val="left"/>
            </w:pPr>
            <w:r/>
            <w:r>
              <w:rPr>
                <w:rFonts w:ascii="Times New Roman" w:hAnsi="Times New Roman" w:eastAsia="Times New Roman"/>
                <w:b w:val="0"/>
                <w:sz w:val="14"/>
              </w:rPr>
              <w:t>$69,183 (not stated in Term Sheet)</w:t>
            </w:r>
          </w:p>
        </w:tc>
        <w:tc>
          <w:tcPr>
            <w:tcW w:type="dxa" w:w="2765"/>
          </w:tcPr>
          <w:p>
            <w:pPr>
              <w:spacing w:before="40" w:after="40" w:line="240" w:lineRule="auto"/>
              <w:jc w:val="left"/>
            </w:pPr>
            <w:r/>
            <w:r>
              <w:rPr>
                <w:rFonts w:ascii="Times New Roman" w:hAnsi="Times New Roman" w:eastAsia="Times New Roman"/>
                <w:b w:val="0"/>
                <w:sz w:val="14"/>
              </w:rPr>
              <w:t>$18,050 + $15,200 + $35,933 = $69,183</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Used at Sections 3.5 and 5.6 and Exhibit D.</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As-is value support</w:t>
            </w:r>
          </w:p>
        </w:tc>
        <w:tc>
          <w:tcPr>
            <w:tcW w:type="dxa" w:w="1469"/>
          </w:tcPr>
          <w:p>
            <w:pPr>
              <w:spacing w:before="40" w:after="40" w:line="240" w:lineRule="auto"/>
              <w:jc w:val="left"/>
            </w:pPr>
            <w:r/>
            <w:r>
              <w:rPr>
                <w:rFonts w:ascii="Times New Roman" w:hAnsi="Times New Roman" w:eastAsia="Times New Roman"/>
                <w:b w:val="0"/>
                <w:sz w:val="14"/>
              </w:rPr>
              <w:t>$18,200,000</w:t>
            </w:r>
          </w:p>
        </w:tc>
        <w:tc>
          <w:tcPr>
            <w:tcW w:type="dxa" w:w="2765"/>
          </w:tcPr>
          <w:p>
            <w:pPr>
              <w:spacing w:before="40" w:after="40" w:line="240" w:lineRule="auto"/>
              <w:jc w:val="left"/>
            </w:pPr>
            <w:r/>
            <w:r>
              <w:rPr>
                <w:rFonts w:ascii="Times New Roman" w:hAnsi="Times New Roman" w:eastAsia="Times New Roman"/>
                <w:b w:val="0"/>
                <w:sz w:val="14"/>
              </w:rPr>
              <w:t>NOI $332,000–$345,000 ÷ 6.25% = $5,312,000–$5,520,000</w:t>
            </w:r>
          </w:p>
        </w:tc>
        <w:tc>
          <w:tcPr>
            <w:tcW w:type="dxa" w:w="950"/>
          </w:tcPr>
          <w:p>
            <w:pPr>
              <w:spacing w:before="40" w:after="40" w:line="240" w:lineRule="auto"/>
              <w:jc w:val="left"/>
            </w:pPr>
            <w:r/>
            <w:r>
              <w:rPr>
                <w:rFonts w:ascii="Times New Roman" w:hAnsi="Times New Roman" w:eastAsia="Times New Roman"/>
                <w:b w:val="0"/>
                <w:sz w:val="14"/>
              </w:rPr>
              <w:t>−$12.7M to −$12.9M</w:t>
            </w:r>
          </w:p>
        </w:tc>
        <w:tc>
          <w:tcPr>
            <w:tcW w:type="dxa" w:w="2275"/>
          </w:tcPr>
          <w:p>
            <w:pPr>
              <w:spacing w:before="40" w:after="40" w:line="240" w:lineRule="auto"/>
              <w:jc w:val="left"/>
            </w:pPr>
            <w:r/>
            <w:r>
              <w:rPr>
                <w:rFonts w:ascii="Times New Roman" w:hAnsi="Times New Roman" w:eastAsia="Times New Roman"/>
                <w:b w:val="0"/>
                <w:sz w:val="14"/>
              </w:rPr>
              <w:t>Income approach cannot produce the concluded value; implied cap on the conclusion is 1.82%–1.90% (Issue 3).</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Stabilized value support</w:t>
            </w:r>
          </w:p>
        </w:tc>
        <w:tc>
          <w:tcPr>
            <w:tcW w:type="dxa" w:w="1469"/>
          </w:tcPr>
          <w:p>
            <w:pPr>
              <w:spacing w:before="40" w:after="40" w:line="240" w:lineRule="auto"/>
              <w:jc w:val="left"/>
            </w:pPr>
            <w:r/>
            <w:r>
              <w:rPr>
                <w:rFonts w:ascii="Times New Roman" w:hAnsi="Times New Roman" w:eastAsia="Times New Roman"/>
                <w:b w:val="0"/>
                <w:sz w:val="14"/>
              </w:rPr>
              <w:t>$23,500,000</w:t>
            </w:r>
          </w:p>
        </w:tc>
        <w:tc>
          <w:tcPr>
            <w:tcW w:type="dxa" w:w="2765"/>
          </w:tcPr>
          <w:p>
            <w:pPr>
              <w:spacing w:before="40" w:after="40" w:line="240" w:lineRule="auto"/>
              <w:jc w:val="left"/>
            </w:pPr>
            <w:r/>
            <w:r>
              <w:rPr>
                <w:rFonts w:ascii="Times New Roman" w:hAnsi="Times New Roman" w:eastAsia="Times New Roman"/>
                <w:b w:val="0"/>
                <w:sz w:val="14"/>
              </w:rPr>
              <w:t>NOI $582,000–$592,000 ÷ 5.85% = $9,948,718–$10,119,658</w:t>
            </w:r>
          </w:p>
        </w:tc>
        <w:tc>
          <w:tcPr>
            <w:tcW w:type="dxa" w:w="950"/>
          </w:tcPr>
          <w:p>
            <w:pPr>
              <w:spacing w:before="40" w:after="40" w:line="240" w:lineRule="auto"/>
              <w:jc w:val="left"/>
            </w:pPr>
            <w:r/>
            <w:r>
              <w:rPr>
                <w:rFonts w:ascii="Times New Roman" w:hAnsi="Times New Roman" w:eastAsia="Times New Roman"/>
                <w:b w:val="0"/>
                <w:sz w:val="14"/>
              </w:rPr>
              <w:t>−$13.4M to −$13.6M</w:t>
            </w:r>
          </w:p>
        </w:tc>
        <w:tc>
          <w:tcPr>
            <w:tcW w:type="dxa" w:w="2275"/>
          </w:tcPr>
          <w:p>
            <w:pPr>
              <w:spacing w:before="40" w:after="40" w:line="240" w:lineRule="auto"/>
              <w:jc w:val="left"/>
            </w:pPr>
            <w:r/>
            <w:r>
              <w:rPr>
                <w:rFonts w:ascii="Times New Roman" w:hAnsi="Times New Roman" w:eastAsia="Times New Roman"/>
                <w:b w:val="0"/>
                <w:sz w:val="14"/>
              </w:rPr>
              <w:t>Implied cap on the conclusion is 2.48%–2.52% (Issue 3).</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NOI needed to support stabilized value</w:t>
            </w:r>
          </w:p>
        </w:tc>
        <w:tc>
          <w:tcPr>
            <w:tcW w:type="dxa" w:w="1469"/>
          </w:tcPr>
          <w:p>
            <w:pPr>
              <w:spacing w:before="40" w:after="40" w:line="240" w:lineRule="auto"/>
              <w:jc w:val="left"/>
            </w:pPr>
            <w:r/>
            <w:r>
              <w:rPr>
                <w:rFonts w:ascii="Times New Roman" w:hAnsi="Times New Roman" w:eastAsia="Times New Roman"/>
                <w:b w:val="0"/>
                <w:sz w:val="14"/>
              </w:rPr>
              <w:t>—</w:t>
            </w:r>
          </w:p>
        </w:tc>
        <w:tc>
          <w:tcPr>
            <w:tcW w:type="dxa" w:w="2765"/>
          </w:tcPr>
          <w:p>
            <w:pPr>
              <w:spacing w:before="40" w:after="40" w:line="240" w:lineRule="auto"/>
              <w:jc w:val="left"/>
            </w:pPr>
            <w:r/>
            <w:r>
              <w:rPr>
                <w:rFonts w:ascii="Times New Roman" w:hAnsi="Times New Roman" w:eastAsia="Times New Roman"/>
                <w:b w:val="0"/>
                <w:sz w:val="14"/>
              </w:rPr>
              <w:t>$23,500,000 × 5.85% = $1,374,750</w:t>
            </w:r>
          </w:p>
        </w:tc>
        <w:tc>
          <w:tcPr>
            <w:tcW w:type="dxa" w:w="950"/>
          </w:tcPr>
          <w:p>
            <w:pPr>
              <w:spacing w:before="40" w:after="40" w:line="240" w:lineRule="auto"/>
              <w:jc w:val="left"/>
            </w:pPr>
            <w:r/>
            <w:r>
              <w:rPr>
                <w:rFonts w:ascii="Times New Roman" w:hAnsi="Times New Roman" w:eastAsia="Times New Roman"/>
                <w:b w:val="0"/>
                <w:sz w:val="14"/>
              </w:rPr>
              <w:t>—</w:t>
            </w:r>
          </w:p>
        </w:tc>
        <w:tc>
          <w:tcPr>
            <w:tcW w:type="dxa" w:w="2275"/>
          </w:tcPr>
          <w:p>
            <w:pPr>
              <w:spacing w:before="40" w:after="40" w:line="240" w:lineRule="auto"/>
              <w:jc w:val="left"/>
            </w:pPr>
            <w:r/>
            <w:r>
              <w:rPr>
                <w:rFonts w:ascii="Times New Roman" w:hAnsi="Times New Roman" w:eastAsia="Times New Roman"/>
                <w:b w:val="0"/>
                <w:sz w:val="14"/>
              </w:rPr>
              <w:t>2.3× the appraiser’s own stabilized NOI of $582,000–$592,000.</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Value per square foot</w:t>
            </w:r>
          </w:p>
        </w:tc>
        <w:tc>
          <w:tcPr>
            <w:tcW w:type="dxa" w:w="1469"/>
          </w:tcPr>
          <w:p>
            <w:pPr>
              <w:spacing w:before="40" w:after="40" w:line="240" w:lineRule="auto"/>
              <w:jc w:val="left"/>
            </w:pPr>
            <w:r/>
            <w:r>
              <w:rPr>
                <w:rFonts w:ascii="Times New Roman" w:hAnsi="Times New Roman" w:eastAsia="Times New Roman"/>
                <w:b w:val="0"/>
                <w:sz w:val="14"/>
              </w:rPr>
              <w:t>$587 as-is / $758 stabilized</w:t>
            </w:r>
          </w:p>
        </w:tc>
        <w:tc>
          <w:tcPr>
            <w:tcW w:type="dxa" w:w="2765"/>
          </w:tcPr>
          <w:p>
            <w:pPr>
              <w:spacing w:before="40" w:after="40" w:line="240" w:lineRule="auto"/>
              <w:jc w:val="left"/>
            </w:pPr>
            <w:r/>
            <w:r>
              <w:rPr>
                <w:rFonts w:ascii="Times New Roman" w:hAnsi="Times New Roman" w:eastAsia="Times New Roman"/>
                <w:b w:val="0"/>
                <w:sz w:val="14"/>
              </w:rPr>
              <w:t>$18,200,000 ÷ 31,000 = $587; $23,500,000 ÷ 31,000 = $758</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As-is is within the cited comparables ($550–$620); stabilized exceeds all of them (Issue 3).</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Monthly P&amp;I, 25-year amortization at 5.85%</w:t>
            </w:r>
          </w:p>
        </w:tc>
        <w:tc>
          <w:tcPr>
            <w:tcW w:type="dxa" w:w="1469"/>
          </w:tcPr>
          <w:p>
            <w:pPr>
              <w:spacing w:before="40" w:after="40" w:line="240" w:lineRule="auto"/>
              <w:jc w:val="left"/>
            </w:pPr>
            <w:r/>
            <w:r>
              <w:rPr>
                <w:rFonts w:ascii="Times New Roman" w:hAnsi="Times New Roman" w:eastAsia="Times New Roman"/>
                <w:b w:val="0"/>
                <w:sz w:val="14"/>
              </w:rPr>
              <w:t>$93,500 (rent roll)</w:t>
            </w:r>
          </w:p>
        </w:tc>
        <w:tc>
          <w:tcPr>
            <w:tcW w:type="dxa" w:w="2765"/>
          </w:tcPr>
          <w:p>
            <w:pPr>
              <w:spacing w:before="40" w:after="40" w:line="240" w:lineRule="auto"/>
              <w:jc w:val="left"/>
            </w:pPr>
            <w:r/>
            <w:r>
              <w:rPr>
                <w:rFonts w:ascii="Times New Roman" w:hAnsi="Times New Roman" w:eastAsia="Times New Roman"/>
                <w:b w:val="0"/>
                <w:sz w:val="14"/>
              </w:rPr>
              <w:t>$93,686.61</w:t>
            </w:r>
          </w:p>
        </w:tc>
        <w:tc>
          <w:tcPr>
            <w:tcW w:type="dxa" w:w="950"/>
          </w:tcPr>
          <w:p>
            <w:pPr>
              <w:spacing w:before="40" w:after="40" w:line="240" w:lineRule="auto"/>
              <w:jc w:val="left"/>
            </w:pPr>
            <w:r/>
            <w:r>
              <w:rPr>
                <w:rFonts w:ascii="Times New Roman" w:hAnsi="Times New Roman" w:eastAsia="Times New Roman"/>
                <w:b w:val="0"/>
                <w:sz w:val="14"/>
              </w:rPr>
              <w:t>+$187/month</w:t>
            </w:r>
          </w:p>
        </w:tc>
        <w:tc>
          <w:tcPr>
            <w:tcW w:type="dxa" w:w="2275"/>
          </w:tcPr>
          <w:p>
            <w:pPr>
              <w:spacing w:before="40" w:after="40" w:line="240" w:lineRule="auto"/>
              <w:jc w:val="left"/>
            </w:pPr>
            <w:r/>
            <w:r>
              <w:rPr>
                <w:rFonts w:ascii="Times New Roman" w:hAnsi="Times New Roman" w:eastAsia="Times New Roman"/>
                <w:b w:val="0"/>
                <w:sz w:val="14"/>
              </w:rPr>
              <w:t>Annual debt service recomputes to $1,124,239, not $1,122,000 (rent roll rounds).</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DSCR — stabilized best case</w:t>
            </w:r>
          </w:p>
        </w:tc>
        <w:tc>
          <w:tcPr>
            <w:tcW w:type="dxa" w:w="1469"/>
          </w:tcPr>
          <w:p>
            <w:pPr>
              <w:spacing w:before="40" w:after="40" w:line="240" w:lineRule="auto"/>
              <w:jc w:val="left"/>
            </w:pPr>
            <w:r/>
            <w:r>
              <w:rPr>
                <w:rFonts w:ascii="Times New Roman" w:hAnsi="Times New Roman" w:eastAsia="Times New Roman"/>
                <w:b w:val="0"/>
                <w:sz w:val="14"/>
              </w:rPr>
              <w:t>0.555x (rent roll)</w:t>
            </w:r>
          </w:p>
        </w:tc>
        <w:tc>
          <w:tcPr>
            <w:tcW w:type="dxa" w:w="2765"/>
          </w:tcPr>
          <w:p>
            <w:pPr>
              <w:spacing w:before="40" w:after="40" w:line="240" w:lineRule="auto"/>
              <w:jc w:val="left"/>
            </w:pPr>
            <w:r/>
            <w:r>
              <w:rPr>
                <w:rFonts w:ascii="Times New Roman" w:hAnsi="Times New Roman" w:eastAsia="Times New Roman"/>
                <w:b w:val="0"/>
                <w:sz w:val="14"/>
              </w:rPr>
              <w:t>$622,772 ÷ $1,124,239 = 0.554x</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Confirms the rent roll’s own conclusion. Against 1.25x (Issue 1).</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DSCR — interest-only basis</w:t>
            </w:r>
          </w:p>
        </w:tc>
        <w:tc>
          <w:tcPr>
            <w:tcW w:type="dxa" w:w="1469"/>
          </w:tcPr>
          <w:p>
            <w:pPr>
              <w:spacing w:before="40" w:after="40" w:line="240" w:lineRule="auto"/>
              <w:jc w:val="left"/>
            </w:pPr>
            <w:r/>
            <w:r>
              <w:rPr>
                <w:rFonts w:ascii="Times New Roman" w:hAnsi="Times New Roman" w:eastAsia="Times New Roman"/>
                <w:b w:val="0"/>
                <w:sz w:val="14"/>
              </w:rPr>
              <w:t>0.72x (rent roll)</w:t>
            </w:r>
          </w:p>
        </w:tc>
        <w:tc>
          <w:tcPr>
            <w:tcW w:type="dxa" w:w="2765"/>
          </w:tcPr>
          <w:p>
            <w:pPr>
              <w:spacing w:before="40" w:after="40" w:line="240" w:lineRule="auto"/>
              <w:jc w:val="left"/>
            </w:pPr>
            <w:r/>
            <w:r>
              <w:rPr>
                <w:rFonts w:ascii="Times New Roman" w:hAnsi="Times New Roman" w:eastAsia="Times New Roman"/>
                <w:b w:val="0"/>
                <w:sz w:val="14"/>
              </w:rPr>
              <w:t>$622,772 ÷ $862,875 = 0.722x</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Still far below covenant.</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DSCR — realistic at first test date</w:t>
            </w:r>
          </w:p>
        </w:tc>
        <w:tc>
          <w:tcPr>
            <w:tcW w:type="dxa" w:w="1469"/>
          </w:tcPr>
          <w:p>
            <w:pPr>
              <w:spacing w:before="40" w:after="40" w:line="240" w:lineRule="auto"/>
              <w:jc w:val="left"/>
            </w:pPr>
            <w:r/>
            <w:r>
              <w:rPr>
                <w:rFonts w:ascii="Times New Roman" w:hAnsi="Times New Roman" w:eastAsia="Times New Roman"/>
                <w:b w:val="0"/>
                <w:sz w:val="14"/>
              </w:rPr>
              <w:t>0.281x (rent roll)</w:t>
            </w:r>
          </w:p>
        </w:tc>
        <w:tc>
          <w:tcPr>
            <w:tcW w:type="dxa" w:w="2765"/>
          </w:tcPr>
          <w:p>
            <w:pPr>
              <w:spacing w:before="40" w:after="40" w:line="240" w:lineRule="auto"/>
              <w:jc w:val="left"/>
            </w:pPr>
            <w:r/>
            <w:r>
              <w:rPr>
                <w:rFonts w:ascii="Times New Roman" w:hAnsi="Times New Roman" w:eastAsia="Times New Roman"/>
                <w:b w:val="0"/>
                <w:sz w:val="14"/>
              </w:rPr>
              <w:t>$314,782 ÷ $1,124,239 = 0.280x</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Issue 1.</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NOI required for 1.25x</w:t>
            </w:r>
          </w:p>
        </w:tc>
        <w:tc>
          <w:tcPr>
            <w:tcW w:type="dxa" w:w="1469"/>
          </w:tcPr>
          <w:p>
            <w:pPr>
              <w:spacing w:before="40" w:after="40" w:line="240" w:lineRule="auto"/>
              <w:jc w:val="left"/>
            </w:pPr>
            <w:r/>
            <w:r>
              <w:rPr>
                <w:rFonts w:ascii="Times New Roman" w:hAnsi="Times New Roman" w:eastAsia="Times New Roman"/>
                <w:b w:val="0"/>
                <w:sz w:val="14"/>
              </w:rPr>
              <w:t>—</w:t>
            </w:r>
          </w:p>
        </w:tc>
        <w:tc>
          <w:tcPr>
            <w:tcW w:type="dxa" w:w="2765"/>
          </w:tcPr>
          <w:p>
            <w:pPr>
              <w:spacing w:before="40" w:after="40" w:line="240" w:lineRule="auto"/>
              <w:jc w:val="left"/>
            </w:pPr>
            <w:r/>
            <w:r>
              <w:rPr>
                <w:rFonts w:ascii="Times New Roman" w:hAnsi="Times New Roman" w:eastAsia="Times New Roman"/>
                <w:b w:val="0"/>
                <w:sz w:val="14"/>
              </w:rPr>
              <w:t>$1,124,239 × 1.25 = $1,405,299 (amortizing); $862,875 × 1.25 = $1,078,594 (interest-only)</w:t>
            </w:r>
          </w:p>
        </w:tc>
        <w:tc>
          <w:tcPr>
            <w:tcW w:type="dxa" w:w="950"/>
          </w:tcPr>
          <w:p>
            <w:pPr>
              <w:spacing w:before="40" w:after="40" w:line="240" w:lineRule="auto"/>
              <w:jc w:val="left"/>
            </w:pPr>
            <w:r/>
            <w:r>
              <w:rPr>
                <w:rFonts w:ascii="Times New Roman" w:hAnsi="Times New Roman" w:eastAsia="Times New Roman"/>
                <w:b w:val="0"/>
                <w:sz w:val="14"/>
              </w:rPr>
              <w:t>—</w:t>
            </w:r>
          </w:p>
        </w:tc>
        <w:tc>
          <w:tcPr>
            <w:tcW w:type="dxa" w:w="2275"/>
          </w:tcPr>
          <w:p>
            <w:pPr>
              <w:spacing w:before="40" w:after="40" w:line="240" w:lineRule="auto"/>
              <w:jc w:val="left"/>
            </w:pPr>
            <w:r/>
            <w:r>
              <w:rPr>
                <w:rFonts w:ascii="Times New Roman" w:hAnsi="Times New Roman" w:eastAsia="Times New Roman"/>
                <w:b w:val="0"/>
                <w:sz w:val="14"/>
              </w:rPr>
              <w:t>Gap to best-case NOI is $782,527 (Issue 1).</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Capital replacement reserve</w:t>
            </w:r>
          </w:p>
        </w:tc>
        <w:tc>
          <w:tcPr>
            <w:tcW w:type="dxa" w:w="1469"/>
          </w:tcPr>
          <w:p>
            <w:pPr>
              <w:spacing w:before="40" w:after="40" w:line="240" w:lineRule="auto"/>
              <w:jc w:val="left"/>
            </w:pPr>
            <w:r/>
            <w:r>
              <w:rPr>
                <w:rFonts w:ascii="Times New Roman" w:hAnsi="Times New Roman" w:eastAsia="Times New Roman"/>
                <w:b w:val="0"/>
                <w:sz w:val="14"/>
              </w:rPr>
              <w:t>$645.83/month</w:t>
            </w:r>
          </w:p>
        </w:tc>
        <w:tc>
          <w:tcPr>
            <w:tcW w:type="dxa" w:w="2765"/>
          </w:tcPr>
          <w:p>
            <w:pPr>
              <w:spacing w:before="40" w:after="40" w:line="240" w:lineRule="auto"/>
              <w:jc w:val="left"/>
            </w:pPr>
            <w:r/>
            <w:r>
              <w:rPr>
                <w:rFonts w:ascii="Times New Roman" w:hAnsi="Times New Roman" w:eastAsia="Times New Roman"/>
                <w:b w:val="0"/>
                <w:sz w:val="14"/>
              </w:rPr>
              <w:t>$0.25 × 31,000 ÷ 12 = $645.83</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Arithmetic correct; accumulates $38,750 over the term against $1,675,000 of budgeted system replacement (Issue 24).</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Origination fee</w:t>
            </w:r>
          </w:p>
        </w:tc>
        <w:tc>
          <w:tcPr>
            <w:tcW w:type="dxa" w:w="1469"/>
          </w:tcPr>
          <w:p>
            <w:pPr>
              <w:spacing w:before="40" w:after="40" w:line="240" w:lineRule="auto"/>
              <w:jc w:val="left"/>
            </w:pPr>
            <w:r/>
            <w:r>
              <w:rPr>
                <w:rFonts w:ascii="Times New Roman" w:hAnsi="Times New Roman" w:eastAsia="Times New Roman"/>
                <w:b w:val="0"/>
                <w:sz w:val="14"/>
              </w:rPr>
              <w:t>$147,500</w:t>
            </w:r>
          </w:p>
        </w:tc>
        <w:tc>
          <w:tcPr>
            <w:tcW w:type="dxa" w:w="2765"/>
          </w:tcPr>
          <w:p>
            <w:pPr>
              <w:spacing w:before="40" w:after="40" w:line="240" w:lineRule="auto"/>
              <w:jc w:val="left"/>
            </w:pPr>
            <w:r/>
            <w:r>
              <w:rPr>
                <w:rFonts w:ascii="Times New Roman" w:hAnsi="Times New Roman" w:eastAsia="Times New Roman"/>
                <w:b w:val="0"/>
                <w:sz w:val="14"/>
              </w:rPr>
              <w:t>1.00% × $14,750,000 = $147,500</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South Carolina recording fee</w:t>
            </w:r>
          </w:p>
        </w:tc>
        <w:tc>
          <w:tcPr>
            <w:tcW w:type="dxa" w:w="1469"/>
          </w:tcPr>
          <w:p>
            <w:pPr>
              <w:spacing w:before="40" w:after="40" w:line="240" w:lineRule="auto"/>
              <w:jc w:val="left"/>
            </w:pPr>
            <w:r/>
            <w:r>
              <w:rPr>
                <w:rFonts w:ascii="Times New Roman" w:hAnsi="Times New Roman" w:eastAsia="Times New Roman"/>
                <w:b w:val="0"/>
                <w:sz w:val="14"/>
              </w:rPr>
              <w:t>$54,575</w:t>
            </w:r>
          </w:p>
        </w:tc>
        <w:tc>
          <w:tcPr>
            <w:tcW w:type="dxa" w:w="2765"/>
          </w:tcPr>
          <w:p>
            <w:pPr>
              <w:spacing w:before="40" w:after="40" w:line="240" w:lineRule="auto"/>
              <w:jc w:val="left"/>
            </w:pPr>
            <w:r/>
            <w:r>
              <w:rPr>
                <w:rFonts w:ascii="Times New Roman" w:hAnsi="Times New Roman" w:eastAsia="Times New Roman"/>
                <w:b w:val="0"/>
                <w:sz w:val="14"/>
              </w:rPr>
              <w:t>$1.85 per $500 × 29,500 units = $54,575</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 (Issue 11).</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Draw schedule — borrower equity</w:t>
            </w:r>
          </w:p>
        </w:tc>
        <w:tc>
          <w:tcPr>
            <w:tcW w:type="dxa" w:w="1469"/>
          </w:tcPr>
          <w:p>
            <w:pPr>
              <w:spacing w:before="40" w:after="40" w:line="240" w:lineRule="auto"/>
              <w:jc w:val="left"/>
            </w:pPr>
            <w:r/>
            <w:r>
              <w:rPr>
                <w:rFonts w:ascii="Times New Roman" w:hAnsi="Times New Roman" w:eastAsia="Times New Roman"/>
                <w:b w:val="0"/>
                <w:sz w:val="14"/>
              </w:rPr>
              <w:t>$900,000 (budget)</w:t>
            </w:r>
          </w:p>
        </w:tc>
        <w:tc>
          <w:tcPr>
            <w:tcW w:type="dxa" w:w="2765"/>
          </w:tcPr>
          <w:p>
            <w:pPr>
              <w:spacing w:before="40" w:after="40" w:line="240" w:lineRule="auto"/>
              <w:jc w:val="left"/>
            </w:pPr>
            <w:r/>
            <w:r>
              <w:rPr>
                <w:rFonts w:ascii="Times New Roman" w:hAnsi="Times New Roman" w:eastAsia="Times New Roman"/>
                <w:b w:val="0"/>
                <w:sz w:val="14"/>
              </w:rPr>
              <w:t>Sum of 14 monthly borrower draws = $905,000</w:t>
            </w:r>
          </w:p>
        </w:tc>
        <w:tc>
          <w:tcPr>
            <w:tcW w:type="dxa" w:w="950"/>
          </w:tcPr>
          <w:p>
            <w:pPr>
              <w:spacing w:before="40" w:after="40" w:line="240" w:lineRule="auto"/>
              <w:jc w:val="left"/>
            </w:pPr>
            <w:r/>
            <w:r>
              <w:rPr>
                <w:rFonts w:ascii="Times New Roman" w:hAnsi="Times New Roman" w:eastAsia="Times New Roman"/>
                <w:b w:val="0"/>
                <w:sz w:val="14"/>
              </w:rPr>
              <w:t>+$5,000</w:t>
            </w:r>
          </w:p>
        </w:tc>
        <w:tc>
          <w:tcPr>
            <w:tcW w:type="dxa" w:w="2275"/>
          </w:tcPr>
          <w:p>
            <w:pPr>
              <w:spacing w:before="40" w:after="40" w:line="240" w:lineRule="auto"/>
              <w:jc w:val="left"/>
            </w:pPr>
            <w:r/>
            <w:r>
              <w:rPr>
                <w:rFonts w:ascii="Times New Roman" w:hAnsi="Times New Roman" w:eastAsia="Times New Roman"/>
                <w:b w:val="0"/>
                <w:sz w:val="14"/>
              </w:rPr>
              <w:t>Schedule’s own final row shows remaining equity of −$5,000 (Issue 15).</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Draw schedule — combined draws</w:t>
            </w:r>
          </w:p>
        </w:tc>
        <w:tc>
          <w:tcPr>
            <w:tcW w:type="dxa" w:w="1469"/>
          </w:tcPr>
          <w:p>
            <w:pPr>
              <w:spacing w:before="40" w:after="40" w:line="240" w:lineRule="auto"/>
              <w:jc w:val="left"/>
            </w:pPr>
            <w:r/>
            <w:r>
              <w:rPr>
                <w:rFonts w:ascii="Times New Roman" w:hAnsi="Times New Roman" w:eastAsia="Times New Roman"/>
                <w:b w:val="0"/>
                <w:sz w:val="14"/>
              </w:rPr>
              <w:t>$3,150,000 (budget)</w:t>
            </w:r>
          </w:p>
        </w:tc>
        <w:tc>
          <w:tcPr>
            <w:tcW w:type="dxa" w:w="2765"/>
          </w:tcPr>
          <w:p>
            <w:pPr>
              <w:spacing w:before="40" w:after="40" w:line="240" w:lineRule="auto"/>
              <w:jc w:val="left"/>
            </w:pPr>
            <w:r/>
            <w:r>
              <w:rPr>
                <w:rFonts w:ascii="Times New Roman" w:hAnsi="Times New Roman" w:eastAsia="Times New Roman"/>
                <w:b w:val="0"/>
                <w:sz w:val="14"/>
              </w:rPr>
              <w:t>$2,250,000 + $905,000 = $3,155,000</w:t>
            </w:r>
          </w:p>
        </w:tc>
        <w:tc>
          <w:tcPr>
            <w:tcW w:type="dxa" w:w="950"/>
          </w:tcPr>
          <w:p>
            <w:pPr>
              <w:spacing w:before="40" w:after="40" w:line="240" w:lineRule="auto"/>
              <w:jc w:val="left"/>
            </w:pPr>
            <w:r/>
            <w:r>
              <w:rPr>
                <w:rFonts w:ascii="Times New Roman" w:hAnsi="Times New Roman" w:eastAsia="Times New Roman"/>
                <w:b w:val="0"/>
                <w:sz w:val="14"/>
              </w:rPr>
              <w:t>+$5,000</w:t>
            </w:r>
          </w:p>
        </w:tc>
        <w:tc>
          <w:tcPr>
            <w:tcW w:type="dxa" w:w="2275"/>
          </w:tcPr>
          <w:p>
            <w:pPr>
              <w:spacing w:before="40" w:after="40" w:line="240" w:lineRule="auto"/>
              <w:jc w:val="left"/>
            </w:pPr>
            <w:r/>
            <w:r>
              <w:rPr>
                <w:rFonts w:ascii="Times New Roman" w:hAnsi="Times New Roman" w:eastAsia="Times New Roman"/>
                <w:b w:val="0"/>
                <w:sz w:val="14"/>
              </w:rPr>
              <w:t>Issue 15.</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Draw schedule — HVAC line</w:t>
            </w:r>
          </w:p>
        </w:tc>
        <w:tc>
          <w:tcPr>
            <w:tcW w:type="dxa" w:w="1469"/>
          </w:tcPr>
          <w:p>
            <w:pPr>
              <w:spacing w:before="40" w:after="40" w:line="240" w:lineRule="auto"/>
              <w:jc w:val="left"/>
            </w:pPr>
            <w:r/>
            <w:r>
              <w:rPr>
                <w:rFonts w:ascii="Times New Roman" w:hAnsi="Times New Roman" w:eastAsia="Times New Roman"/>
                <w:b w:val="0"/>
                <w:sz w:val="14"/>
              </w:rPr>
              <w:t>$1,200,000 / $850,000 holdback</w:t>
            </w:r>
          </w:p>
        </w:tc>
        <w:tc>
          <w:tcPr>
            <w:tcW w:type="dxa" w:w="2765"/>
          </w:tcPr>
          <w:p>
            <w:pPr>
              <w:spacing w:before="40" w:after="40" w:line="240" w:lineRule="auto"/>
              <w:jc w:val="left"/>
            </w:pPr>
            <w:r/>
            <w:r>
              <w:rPr>
                <w:rFonts w:ascii="Times New Roman" w:hAnsi="Times New Roman" w:eastAsia="Times New Roman"/>
                <w:b w:val="0"/>
                <w:sz w:val="14"/>
              </w:rPr>
              <w:t>$1,250,000 total / $900,000 holdback</w:t>
            </w:r>
          </w:p>
        </w:tc>
        <w:tc>
          <w:tcPr>
            <w:tcW w:type="dxa" w:w="950"/>
          </w:tcPr>
          <w:p>
            <w:pPr>
              <w:spacing w:before="40" w:after="40" w:line="240" w:lineRule="auto"/>
              <w:jc w:val="left"/>
            </w:pPr>
            <w:r/>
            <w:r>
              <w:rPr>
                <w:rFonts w:ascii="Times New Roman" w:hAnsi="Times New Roman" w:eastAsia="Times New Roman"/>
                <w:b w:val="0"/>
                <w:sz w:val="14"/>
              </w:rPr>
              <w:t>+$50,000 each</w:t>
            </w:r>
          </w:p>
        </w:tc>
        <w:tc>
          <w:tcPr>
            <w:tcW w:type="dxa" w:w="2275"/>
          </w:tcPr>
          <w:p>
            <w:pPr>
              <w:spacing w:before="40" w:after="40" w:line="240" w:lineRule="auto"/>
              <w:jc w:val="left"/>
            </w:pPr>
            <w:r/>
            <w:r>
              <w:rPr>
                <w:rFonts w:ascii="Times New Roman" w:hAnsi="Times New Roman" w:eastAsia="Times New Roman"/>
                <w:b w:val="0"/>
                <w:sz w:val="14"/>
              </w:rPr>
              <w:t>Line-item overdraw against budget detail (Issue 15).</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Draw schedule — elevator line</w:t>
            </w:r>
          </w:p>
        </w:tc>
        <w:tc>
          <w:tcPr>
            <w:tcW w:type="dxa" w:w="1469"/>
          </w:tcPr>
          <w:p>
            <w:pPr>
              <w:spacing w:before="40" w:after="40" w:line="240" w:lineRule="auto"/>
              <w:jc w:val="left"/>
            </w:pPr>
            <w:r/>
            <w:r>
              <w:rPr>
                <w:rFonts w:ascii="Times New Roman" w:hAnsi="Times New Roman" w:eastAsia="Times New Roman"/>
                <w:b w:val="0"/>
                <w:sz w:val="14"/>
              </w:rPr>
              <w:t>$475,000 / $375,000 holdback</w:t>
            </w:r>
          </w:p>
        </w:tc>
        <w:tc>
          <w:tcPr>
            <w:tcW w:type="dxa" w:w="2765"/>
          </w:tcPr>
          <w:p>
            <w:pPr>
              <w:spacing w:before="40" w:after="40" w:line="240" w:lineRule="auto"/>
              <w:jc w:val="left"/>
            </w:pPr>
            <w:r/>
            <w:r>
              <w:rPr>
                <w:rFonts w:ascii="Times New Roman" w:hAnsi="Times New Roman" w:eastAsia="Times New Roman"/>
                <w:b w:val="0"/>
                <w:sz w:val="14"/>
              </w:rPr>
              <w:t>$425,000 total / $325,000 holdback</w:t>
            </w:r>
          </w:p>
        </w:tc>
        <w:tc>
          <w:tcPr>
            <w:tcW w:type="dxa" w:w="950"/>
          </w:tcPr>
          <w:p>
            <w:pPr>
              <w:spacing w:before="40" w:after="40" w:line="240" w:lineRule="auto"/>
              <w:jc w:val="left"/>
            </w:pPr>
            <w:r/>
            <w:r>
              <w:rPr>
                <w:rFonts w:ascii="Times New Roman" w:hAnsi="Times New Roman" w:eastAsia="Times New Roman"/>
                <w:b w:val="0"/>
                <w:sz w:val="14"/>
              </w:rPr>
              <w:t>−$50,000 each</w:t>
            </w:r>
          </w:p>
        </w:tc>
        <w:tc>
          <w:tcPr>
            <w:tcW w:type="dxa" w:w="2275"/>
          </w:tcPr>
          <w:p>
            <w:pPr>
              <w:spacing w:before="40" w:after="40" w:line="240" w:lineRule="auto"/>
              <w:jc w:val="left"/>
            </w:pPr>
            <w:r/>
            <w:r>
              <w:rPr>
                <w:rFonts w:ascii="Times New Roman" w:hAnsi="Times New Roman" w:eastAsia="Times New Roman"/>
                <w:b w:val="0"/>
                <w:sz w:val="14"/>
              </w:rPr>
              <w:t>Line-item underdraw; holdback reallocated to HVAC (Issue 15).</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Substantial completion deadline</w:t>
            </w:r>
          </w:p>
        </w:tc>
        <w:tc>
          <w:tcPr>
            <w:tcW w:type="dxa" w:w="1469"/>
          </w:tcPr>
          <w:p>
            <w:pPr>
              <w:spacing w:before="40" w:after="40" w:line="240" w:lineRule="auto"/>
              <w:jc w:val="left"/>
            </w:pPr>
            <w:r/>
            <w:r>
              <w:rPr>
                <w:rFonts w:ascii="Times New Roman" w:hAnsi="Times New Roman" w:eastAsia="Times New Roman"/>
                <w:b w:val="0"/>
                <w:sz w:val="14"/>
              </w:rPr>
              <w:t>June 15, 2026</w:t>
            </w:r>
          </w:p>
        </w:tc>
        <w:tc>
          <w:tcPr>
            <w:tcW w:type="dxa" w:w="2765"/>
          </w:tcPr>
          <w:p>
            <w:pPr>
              <w:spacing w:before="40" w:after="40" w:line="240" w:lineRule="auto"/>
              <w:jc w:val="left"/>
            </w:pPr>
            <w:r/>
            <w:r>
              <w:rPr>
                <w:rFonts w:ascii="Times New Roman" w:hAnsi="Times New Roman" w:eastAsia="Times New Roman"/>
                <w:b w:val="0"/>
                <w:sz w:val="14"/>
              </w:rPr>
              <w:t>April 15, 2025 + 14 months = June 15, 2026</w:t>
            </w:r>
          </w:p>
        </w:tc>
        <w:tc>
          <w:tcPr>
            <w:tcW w:type="dxa" w:w="950"/>
          </w:tcPr>
          <w:p>
            <w:pPr>
              <w:spacing w:before="40" w:after="40" w:line="240" w:lineRule="auto"/>
              <w:jc w:val="left"/>
            </w:pPr>
            <w:r/>
            <w:r>
              <w:rPr>
                <w:rFonts w:ascii="Times New Roman" w:hAnsi="Times New Roman" w:eastAsia="Times New Roman"/>
                <w:b w:val="0"/>
                <w:sz w:val="14"/>
              </w:rPr>
              <w:t>nil on assumed date</w:t>
            </w:r>
          </w:p>
        </w:tc>
        <w:tc>
          <w:tcPr>
            <w:tcW w:type="dxa" w:w="2275"/>
          </w:tcPr>
          <w:p>
            <w:pPr>
              <w:spacing w:before="40" w:after="40" w:line="240" w:lineRule="auto"/>
              <w:jc w:val="left"/>
            </w:pPr>
            <w:r/>
            <w:r>
              <w:rPr>
                <w:rFonts w:ascii="Times New Roman" w:hAnsi="Times New Roman" w:eastAsia="Times New Roman"/>
                <w:b w:val="0"/>
                <w:sz w:val="14"/>
              </w:rPr>
              <w:t>If closing occurs May 15, 2025 the deadline becomes July 15, 2026 (Issue 16).</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Maturity date</w:t>
            </w:r>
          </w:p>
        </w:tc>
        <w:tc>
          <w:tcPr>
            <w:tcW w:type="dxa" w:w="1469"/>
          </w:tcPr>
          <w:p>
            <w:pPr>
              <w:spacing w:before="40" w:after="40" w:line="240" w:lineRule="auto"/>
              <w:jc w:val="left"/>
            </w:pPr>
            <w:r/>
            <w:r>
              <w:rPr>
                <w:rFonts w:ascii="Times New Roman" w:hAnsi="Times New Roman" w:eastAsia="Times New Roman"/>
                <w:b w:val="0"/>
                <w:sz w:val="14"/>
              </w:rPr>
              <w:t>April 15, 2030</w:t>
            </w:r>
          </w:p>
        </w:tc>
        <w:tc>
          <w:tcPr>
            <w:tcW w:type="dxa" w:w="2765"/>
          </w:tcPr>
          <w:p>
            <w:pPr>
              <w:spacing w:before="40" w:after="40" w:line="240" w:lineRule="auto"/>
              <w:jc w:val="left"/>
            </w:pPr>
            <w:r/>
            <w:r>
              <w:rPr>
                <w:rFonts w:ascii="Times New Roman" w:hAnsi="Times New Roman" w:eastAsia="Times New Roman"/>
                <w:b w:val="0"/>
                <w:sz w:val="14"/>
              </w:rPr>
              <w:t>April 15, 2025 + 5 years = April 15, 2030</w:t>
            </w:r>
          </w:p>
        </w:tc>
        <w:tc>
          <w:tcPr>
            <w:tcW w:type="dxa" w:w="950"/>
          </w:tcPr>
          <w:p>
            <w:pPr>
              <w:spacing w:before="40" w:after="40" w:line="240" w:lineRule="auto"/>
              <w:jc w:val="left"/>
            </w:pPr>
            <w:r/>
            <w:r>
              <w:rPr>
                <w:rFonts w:ascii="Times New Roman" w:hAnsi="Times New Roman" w:eastAsia="Times New Roman"/>
                <w:b w:val="0"/>
                <w:sz w:val="14"/>
              </w:rPr>
              <w:t>nil on assumed date</w:t>
            </w:r>
          </w:p>
        </w:tc>
        <w:tc>
          <w:tcPr>
            <w:tcW w:type="dxa" w:w="2275"/>
          </w:tcPr>
          <w:p>
            <w:pPr>
              <w:spacing w:before="40" w:after="40" w:line="240" w:lineRule="auto"/>
              <w:jc w:val="left"/>
            </w:pPr>
            <w:r/>
            <w:r>
              <w:rPr>
                <w:rFonts w:ascii="Times New Roman" w:hAnsi="Times New Roman" w:eastAsia="Times New Roman"/>
                <w:b w:val="0"/>
                <w:sz w:val="14"/>
              </w:rPr>
              <w:t>If closing occurs May 15, 2025, maturity becomes May 15, 2030 (Issue 16).</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First DSCR test</w:t>
            </w:r>
          </w:p>
        </w:tc>
        <w:tc>
          <w:tcPr>
            <w:tcW w:type="dxa" w:w="1469"/>
          </w:tcPr>
          <w:p>
            <w:pPr>
              <w:spacing w:before="40" w:after="40" w:line="240" w:lineRule="auto"/>
              <w:jc w:val="left"/>
            </w:pPr>
            <w:r/>
            <w:r>
              <w:rPr>
                <w:rFonts w:ascii="Times New Roman" w:hAnsi="Times New Roman" w:eastAsia="Times New Roman"/>
                <w:b w:val="0"/>
                <w:sz w:val="14"/>
              </w:rPr>
              <w:t>About July 15, 2027 (Term Sheet) / April 15, 2027 (markup notes, rent roll)</w:t>
            </w:r>
          </w:p>
        </w:tc>
        <w:tc>
          <w:tcPr>
            <w:tcW w:type="dxa" w:w="2765"/>
          </w:tcPr>
          <w:p>
            <w:pPr>
              <w:spacing w:before="40" w:after="40" w:line="240" w:lineRule="auto"/>
              <w:jc w:val="left"/>
            </w:pPr>
            <w:r/>
            <w:r>
              <w:rPr>
                <w:rFonts w:ascii="Times New Roman" w:hAnsi="Times New Roman" w:eastAsia="Times New Roman"/>
                <w:b w:val="0"/>
                <w:sz w:val="14"/>
              </w:rPr>
              <w:t>Month 24 = April 15, 2027; first full quarter ending after that = June 30, 2027, tested about July 15, 2027</w:t>
            </w:r>
          </w:p>
        </w:tc>
        <w:tc>
          <w:tcPr>
            <w:tcW w:type="dxa" w:w="950"/>
          </w:tcPr>
          <w:p>
            <w:pPr>
              <w:spacing w:before="40" w:after="40" w:line="240" w:lineRule="auto"/>
              <w:jc w:val="left"/>
            </w:pPr>
            <w:r/>
            <w:r>
              <w:rPr>
                <w:rFonts w:ascii="Times New Roman" w:hAnsi="Times New Roman" w:eastAsia="Times New Roman"/>
                <w:b w:val="0"/>
                <w:sz w:val="14"/>
              </w:rPr>
              <w:t>one quarter</w:t>
            </w:r>
          </w:p>
        </w:tc>
        <w:tc>
          <w:tcPr>
            <w:tcW w:type="dxa" w:w="2275"/>
          </w:tcPr>
          <w:p>
            <w:pPr>
              <w:spacing w:before="40" w:after="40" w:line="240" w:lineRule="auto"/>
              <w:jc w:val="left"/>
            </w:pPr>
            <w:r/>
            <w:r>
              <w:rPr>
                <w:rFonts w:ascii="Times New Roman" w:hAnsi="Times New Roman" w:eastAsia="Times New Roman"/>
                <w:b w:val="0"/>
                <w:sz w:val="14"/>
              </w:rPr>
              <w:t>Three inconsistent statements (Issue 17).</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Interest-only period</w:t>
            </w:r>
          </w:p>
        </w:tc>
        <w:tc>
          <w:tcPr>
            <w:tcW w:type="dxa" w:w="1469"/>
          </w:tcPr>
          <w:p>
            <w:pPr>
              <w:spacing w:before="40" w:after="40" w:line="240" w:lineRule="auto"/>
              <w:jc w:val="left"/>
            </w:pPr>
            <w:r/>
            <w:r>
              <w:rPr>
                <w:rFonts w:ascii="Times New Roman" w:hAnsi="Times New Roman" w:eastAsia="Times New Roman"/>
                <w:b w:val="0"/>
                <w:sz w:val="14"/>
              </w:rPr>
              <w:t>24 months to April 15, 2027</w:t>
            </w:r>
          </w:p>
        </w:tc>
        <w:tc>
          <w:tcPr>
            <w:tcW w:type="dxa" w:w="2765"/>
          </w:tcPr>
          <w:p>
            <w:pPr>
              <w:spacing w:before="40" w:after="40" w:line="240" w:lineRule="auto"/>
              <w:jc w:val="left"/>
            </w:pPr>
            <w:r/>
            <w:r>
              <w:rPr>
                <w:rFonts w:ascii="Times New Roman" w:hAnsi="Times New Roman" w:eastAsia="Times New Roman"/>
                <w:b w:val="0"/>
                <w:sz w:val="14"/>
              </w:rPr>
              <w:t>Payments May 15, 2025 to April 15, 2027 inclusive = 24 payments</w:t>
            </w:r>
          </w:p>
        </w:tc>
        <w:tc>
          <w:tcPr>
            <w:tcW w:type="dxa" w:w="950"/>
          </w:tcPr>
          <w:p>
            <w:pPr>
              <w:spacing w:before="40" w:after="40" w:line="240" w:lineRule="auto"/>
              <w:jc w:val="left"/>
            </w:pPr>
            <w:r/>
            <w:r>
              <w:rPr>
                <w:rFonts w:ascii="Times New Roman" w:hAnsi="Times New Roman" w:eastAsia="Times New Roman"/>
                <w:b w:val="0"/>
                <w:sz w:val="14"/>
              </w:rPr>
              <w:t>nil</w:t>
            </w:r>
          </w:p>
        </w:tc>
        <w:tc>
          <w:tcPr>
            <w:tcW w:type="dxa" w:w="2275"/>
          </w:tcPr>
          <w:p>
            <w:pPr>
              <w:spacing w:before="40" w:after="40" w:line="240" w:lineRule="auto"/>
              <w:jc w:val="left"/>
            </w:pPr>
            <w:r/>
            <w:r>
              <w:rPr>
                <w:rFonts w:ascii="Times New Roman" w:hAnsi="Times New Roman" w:eastAsia="Times New Roman"/>
                <w:b w:val="0"/>
                <w:sz w:val="14"/>
              </w:rPr>
              <w:t>Reconciles.</w:t>
            </w:r>
          </w:p>
        </w:tc>
      </w:tr>
      <w:tr>
        <w:trPr>
          <w:cantSplit w:val="true"/>
        </w:trPr>
        <w:tc>
          <w:tcPr>
            <w:tcW w:type="dxa" w:w="1901"/>
          </w:tcPr>
          <w:p>
            <w:pPr>
              <w:spacing w:before="40" w:after="40" w:line="240" w:lineRule="auto"/>
              <w:jc w:val="left"/>
            </w:pPr>
            <w:r/>
            <w:r>
              <w:rPr>
                <w:rFonts w:ascii="Times New Roman" w:hAnsi="Times New Roman" w:eastAsia="Times New Roman"/>
                <w:b w:val="0"/>
                <w:sz w:val="14"/>
              </w:rPr>
              <w:t>Survey age at closing</w:t>
            </w:r>
          </w:p>
        </w:tc>
        <w:tc>
          <w:tcPr>
            <w:tcW w:type="dxa" w:w="1469"/>
          </w:tcPr>
          <w:p>
            <w:pPr>
              <w:spacing w:before="40" w:after="40" w:line="240" w:lineRule="auto"/>
              <w:jc w:val="left"/>
            </w:pPr>
            <w:r/>
            <w:r>
              <w:rPr>
                <w:rFonts w:ascii="Times New Roman" w:hAnsi="Times New Roman" w:eastAsia="Times New Roman"/>
                <w:b w:val="0"/>
                <w:sz w:val="14"/>
              </w:rPr>
              <w:t>Dated January 15, 2025</w:t>
            </w:r>
          </w:p>
        </w:tc>
        <w:tc>
          <w:tcPr>
            <w:tcW w:type="dxa" w:w="2765"/>
          </w:tcPr>
          <w:p>
            <w:pPr>
              <w:spacing w:before="40" w:after="40" w:line="240" w:lineRule="auto"/>
              <w:jc w:val="left"/>
            </w:pPr>
            <w:r/>
            <w:r>
              <w:rPr>
                <w:rFonts w:ascii="Times New Roman" w:hAnsi="Times New Roman" w:eastAsia="Times New Roman"/>
                <w:b w:val="0"/>
                <w:sz w:val="14"/>
              </w:rPr>
              <w:t>January 15, 2025 + 90 days = April 15, 2025</w:t>
            </w:r>
          </w:p>
        </w:tc>
        <w:tc>
          <w:tcPr>
            <w:tcW w:type="dxa" w:w="950"/>
          </w:tcPr>
          <w:p>
            <w:pPr>
              <w:spacing w:before="40" w:after="40" w:line="240" w:lineRule="auto"/>
              <w:jc w:val="left"/>
            </w:pPr>
            <w:r/>
            <w:r>
              <w:rPr>
                <w:rFonts w:ascii="Times New Roman" w:hAnsi="Times New Roman" w:eastAsia="Times New Roman"/>
                <w:b w:val="0"/>
                <w:sz w:val="14"/>
              </w:rPr>
              <w:t>0 days</w:t>
            </w:r>
          </w:p>
        </w:tc>
        <w:tc>
          <w:tcPr>
            <w:tcW w:type="dxa" w:w="2275"/>
          </w:tcPr>
          <w:p>
            <w:pPr>
              <w:spacing w:before="40" w:after="40" w:line="240" w:lineRule="auto"/>
              <w:jc w:val="left"/>
            </w:pPr>
            <w:r/>
            <w:r>
              <w:rPr>
                <w:rFonts w:ascii="Times New Roman" w:hAnsi="Times New Roman" w:eastAsia="Times New Roman"/>
                <w:b w:val="0"/>
                <w:sz w:val="14"/>
              </w:rPr>
              <w:t>No margin; re-certification required if closing slips (Issue 19).</w:t>
            </w:r>
          </w:p>
        </w:tc>
      </w:tr>
    </w:tbl>
    <w:p>
      <w:pPr>
        <w:keepNext w:val="0"/>
        <w:spacing w:before="0" w:after="40" w:line="240" w:lineRule="auto"/>
        <w:ind w:left="0"/>
        <w:jc w:val="both"/>
      </w:pPr>
    </w:p>
    <w:p>
      <w:pPr>
        <w:keepNext w:val="0"/>
        <w:spacing w:before="0" w:after="120" w:line="240" w:lineRule="auto"/>
        <w:ind w:left="0"/>
        <w:jc w:val="both"/>
      </w:pPr>
      <w:r>
        <w:rPr>
          <w:rFonts w:ascii="Times New Roman" w:hAnsi="Times New Roman" w:eastAsia="Times New Roman"/>
          <w:b w:val="0"/>
          <w:i w:val="0"/>
          <w:sz w:val="17"/>
        </w:rPr>
        <w:t>Figures recomputed and found correct without comment: the $1,000,000 net worth and $500,000 liquidity thresholds (used as stated), the 3.00% SOFR floor plus 285 basis points giving a 5.85% minimum Note Rate, the 5.00% default-rate spread, the 5.00% late charge, the 3% and 2.5% rent escalations, the $25,000 subcontractor lien waiver threshold, the $50,000 change-order tolerance in Section 9.2 (a firm concession, not a record figure), the six parking spaces, and the 31,000 SF / 16,553 SF (0.38 acre) area figures.</w:t>
      </w:r>
    </w:p>
    <w:p>
      <w:pPr>
        <w:pStyle w:val="Heading1"/>
        <w:keepNext/>
        <w:spacing w:before="320" w:after="120"/>
        <w:ind w:firstLine="0"/>
      </w:pPr>
      <w:r>
        <w:rPr>
          <w:rFonts w:ascii="Times New Roman" w:hAnsi="Times New Roman" w:eastAsia="Times New Roman"/>
          <w:b/>
          <w:color w:val="000000"/>
          <w:sz w:val="23"/>
        </w:rPr>
        <w:t>6.  Open Items and Diligence Requests</w:t>
      </w:r>
    </w:p>
    <w:p>
      <w:pPr>
        <w:keepNext w:val="0"/>
        <w:spacing w:before="0" w:after="120" w:line="240" w:lineRule="auto"/>
        <w:ind w:left="0"/>
        <w:jc w:val="both"/>
      </w:pPr>
      <w:r>
        <w:rPr>
          <w:rFonts w:ascii="Times New Roman" w:hAnsi="Times New Roman" w:eastAsia="Times New Roman"/>
          <w:b w:val="0"/>
          <w:i w:val="0"/>
          <w:sz w:val="22"/>
        </w:rPr>
        <w:t>The following items require a document, a third-party confirmation or a client instruction. Items marked “CP” are conditions to closing that the enclosed draft assumes will be satisfied; if any will not be, the Mortgage or the closing instructions must be amended before execution.</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1872"/>
        <w:gridCol w:w="1872"/>
        <w:gridCol w:w="1872"/>
        <w:gridCol w:w="1872"/>
        <w:gridCol w:w="1872"/>
      </w:tblGrid>
      <w:tr>
        <w:trPr>
          <w:cantSplit w:val="true"/>
          <w:tblHeader w:val="true"/>
        </w:trPr>
        <w:tc>
          <w:tcPr>
            <w:tcW w:type="dxa" w:w="432"/>
            <w:shd w:val="clear" w:color="auto" w:fill="DCE3EA"/>
          </w:tcPr>
          <w:p>
            <w:pPr>
              <w:spacing w:before="40" w:after="40" w:line="240" w:lineRule="auto"/>
              <w:jc w:val="left"/>
            </w:pPr>
            <w:r/>
            <w:r>
              <w:rPr>
                <w:rFonts w:ascii="Times New Roman" w:hAnsi="Times New Roman" w:eastAsia="Times New Roman"/>
                <w:b/>
                <w:sz w:val="16"/>
              </w:rPr>
              <w:t>#</w:t>
            </w:r>
          </w:p>
        </w:tc>
        <w:tc>
          <w:tcPr>
            <w:tcW w:type="dxa" w:w="4536"/>
            <w:shd w:val="clear" w:color="auto" w:fill="DCE3EA"/>
          </w:tcPr>
          <w:p>
            <w:pPr>
              <w:spacing w:before="40" w:after="40" w:line="240" w:lineRule="auto"/>
              <w:jc w:val="left"/>
            </w:pPr>
            <w:r/>
            <w:r>
              <w:rPr>
                <w:rFonts w:ascii="Times New Roman" w:hAnsi="Times New Roman" w:eastAsia="Times New Roman"/>
                <w:b/>
                <w:sz w:val="16"/>
              </w:rPr>
              <w:t>Item required</w:t>
            </w:r>
          </w:p>
        </w:tc>
        <w:tc>
          <w:tcPr>
            <w:tcW w:type="dxa" w:w="1944"/>
            <w:shd w:val="clear" w:color="auto" w:fill="DCE3EA"/>
          </w:tcPr>
          <w:p>
            <w:pPr>
              <w:spacing w:before="40" w:after="40" w:line="240" w:lineRule="auto"/>
              <w:jc w:val="left"/>
            </w:pPr>
            <w:r/>
            <w:r>
              <w:rPr>
                <w:rFonts w:ascii="Times New Roman" w:hAnsi="Times New Roman" w:eastAsia="Times New Roman"/>
                <w:b/>
                <w:sz w:val="16"/>
              </w:rPr>
              <w:t>From</w:t>
            </w:r>
          </w:p>
        </w:tc>
        <w:tc>
          <w:tcPr>
            <w:tcW w:type="dxa" w:w="1512"/>
            <w:shd w:val="clear" w:color="auto" w:fill="DCE3EA"/>
          </w:tcPr>
          <w:p>
            <w:pPr>
              <w:spacing w:before="40" w:after="40" w:line="240" w:lineRule="auto"/>
              <w:jc w:val="left"/>
            </w:pPr>
            <w:r/>
            <w:r>
              <w:rPr>
                <w:rFonts w:ascii="Times New Roman" w:hAnsi="Times New Roman" w:eastAsia="Times New Roman"/>
                <w:b/>
                <w:sz w:val="16"/>
              </w:rPr>
              <w:t>Needed by</w:t>
            </w:r>
          </w:p>
        </w:tc>
        <w:tc>
          <w:tcPr>
            <w:tcW w:type="dxa" w:w="936"/>
            <w:shd w:val="clear" w:color="auto" w:fill="DCE3EA"/>
          </w:tcPr>
          <w:p>
            <w:pPr>
              <w:spacing w:before="40" w:after="40" w:line="240" w:lineRule="auto"/>
              <w:jc w:val="left"/>
            </w:pPr>
            <w:r/>
            <w:r>
              <w:rPr>
                <w:rFonts w:ascii="Times New Roman" w:hAnsi="Times New Roman" w:eastAsia="Times New Roman"/>
                <w:b/>
                <w:sz w:val="16"/>
              </w:rPr>
              <w:t>CP</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w:t>
            </w:r>
          </w:p>
        </w:tc>
        <w:tc>
          <w:tcPr>
            <w:tcW w:type="dxa" w:w="4536"/>
          </w:tcPr>
          <w:p>
            <w:pPr>
              <w:spacing w:before="40" w:after="40" w:line="240" w:lineRule="auto"/>
              <w:jc w:val="left"/>
            </w:pPr>
            <w:r/>
            <w:r>
              <w:rPr>
                <w:rFonts w:ascii="Times New Roman" w:hAnsi="Times New Roman" w:eastAsia="Times New Roman"/>
                <w:b w:val="0"/>
                <w:sz w:val="16"/>
              </w:rPr>
              <w:t>Executed operating agreement amendment (single purpose, separateness, independent manager, unanimous bankruptcy consent) signed by all three members</w:t>
            </w:r>
          </w:p>
        </w:tc>
        <w:tc>
          <w:tcPr>
            <w:tcW w:type="dxa" w:w="1944"/>
          </w:tcPr>
          <w:p>
            <w:pPr>
              <w:spacing w:before="40" w:after="40" w:line="240" w:lineRule="auto"/>
              <w:jc w:val="left"/>
            </w:pPr>
            <w:r/>
            <w:r>
              <w:rPr>
                <w:rFonts w:ascii="Times New Roman" w:hAnsi="Times New Roman" w:eastAsia="Times New Roman"/>
                <w:b w:val="0"/>
                <w:sz w:val="16"/>
              </w:rPr>
              <w:t>Borrower’s counsel</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2</w:t>
            </w:r>
          </w:p>
        </w:tc>
        <w:tc>
          <w:tcPr>
            <w:tcW w:type="dxa" w:w="4536"/>
          </w:tcPr>
          <w:p>
            <w:pPr>
              <w:spacing w:before="40" w:after="40" w:line="240" w:lineRule="auto"/>
              <w:jc w:val="left"/>
            </w:pPr>
            <w:r/>
            <w:r>
              <w:rPr>
                <w:rFonts w:ascii="Times New Roman" w:hAnsi="Times New Roman" w:eastAsia="Times New Roman"/>
                <w:b w:val="0"/>
                <w:sz w:val="16"/>
              </w:rPr>
              <w:t>Tidewater GP Holdings LLC authority certificate</w:t>
            </w:r>
          </w:p>
        </w:tc>
        <w:tc>
          <w:tcPr>
            <w:tcW w:type="dxa" w:w="1944"/>
          </w:tcPr>
          <w:p>
            <w:pPr>
              <w:spacing w:before="40" w:after="40" w:line="240" w:lineRule="auto"/>
              <w:jc w:val="left"/>
            </w:pPr>
            <w:r/>
            <w:r>
              <w:rPr>
                <w:rFonts w:ascii="Times New Roman" w:hAnsi="Times New Roman" w:eastAsia="Times New Roman"/>
                <w:b w:val="0"/>
                <w:sz w:val="16"/>
              </w:rPr>
              <w:t>Borrower’s counsel</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3</w:t>
            </w:r>
          </w:p>
        </w:tc>
        <w:tc>
          <w:tcPr>
            <w:tcW w:type="dxa" w:w="4536"/>
          </w:tcPr>
          <w:p>
            <w:pPr>
              <w:spacing w:before="40" w:after="40" w:line="240" w:lineRule="auto"/>
              <w:jc w:val="left"/>
            </w:pPr>
            <w:r/>
            <w:r>
              <w:rPr>
                <w:rFonts w:ascii="Times New Roman" w:hAnsi="Times New Roman" w:eastAsia="Times New Roman"/>
                <w:b w:val="0"/>
                <w:sz w:val="16"/>
              </w:rPr>
              <w:t>Full unredacted operating agreement, all exhibits and the March 1, 2025 amendment</w:t>
            </w:r>
          </w:p>
        </w:tc>
        <w:tc>
          <w:tcPr>
            <w:tcW w:type="dxa" w:w="1944"/>
          </w:tcPr>
          <w:p>
            <w:pPr>
              <w:spacing w:before="40" w:after="40" w:line="240" w:lineRule="auto"/>
              <w:jc w:val="left"/>
            </w:pPr>
            <w:r/>
            <w:r>
              <w:rPr>
                <w:rFonts w:ascii="Times New Roman" w:hAnsi="Times New Roman" w:eastAsia="Times New Roman"/>
                <w:b w:val="0"/>
                <w:sz w:val="16"/>
              </w:rPr>
              <w:t>Borrower’s counsel</w:t>
            </w:r>
          </w:p>
        </w:tc>
        <w:tc>
          <w:tcPr>
            <w:tcW w:type="dxa" w:w="1512"/>
          </w:tcPr>
          <w:p>
            <w:pPr>
              <w:spacing w:before="40" w:after="40" w:line="240" w:lineRule="auto"/>
              <w:jc w:val="left"/>
            </w:pPr>
            <w:r/>
            <w:r>
              <w:rPr>
                <w:rFonts w:ascii="Times New Roman" w:hAnsi="Times New Roman" w:eastAsia="Times New Roman"/>
                <w:b w:val="0"/>
                <w:sz w:val="16"/>
              </w:rPr>
              <w:t>Before circulation of final</w:t>
            </w:r>
          </w:p>
        </w:tc>
        <w:tc>
          <w:tcPr>
            <w:tcW w:type="dxa" w:w="936"/>
          </w:tcPr>
          <w:p>
            <w:pPr>
              <w:spacing w:before="40" w:after="40" w:line="240" w:lineRule="auto"/>
              <w:jc w:val="left"/>
            </w:pPr>
            <w:r/>
            <w:r>
              <w:rPr>
                <w:rFonts w:ascii="Times New Roman" w:hAnsi="Times New Roman" w:eastAsia="Times New Roman"/>
                <w:b w:val="0"/>
                <w:sz w:val="16"/>
              </w:rPr>
              <w:t>No</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4</w:t>
            </w:r>
          </w:p>
        </w:tc>
        <w:tc>
          <w:tcPr>
            <w:tcW w:type="dxa" w:w="4536"/>
          </w:tcPr>
          <w:p>
            <w:pPr>
              <w:spacing w:before="40" w:after="40" w:line="240" w:lineRule="auto"/>
              <w:jc w:val="left"/>
            </w:pPr>
            <w:r/>
            <w:r>
              <w:rPr>
                <w:rFonts w:ascii="Times New Roman" w:hAnsi="Times New Roman" w:eastAsia="Times New Roman"/>
                <w:b w:val="0"/>
                <w:sz w:val="16"/>
              </w:rPr>
              <w:t>Written confirmation from Prestige Title of coverage terms and premium for Parcel Two (Anson Lane)</w:t>
            </w:r>
          </w:p>
        </w:tc>
        <w:tc>
          <w:tcPr>
            <w:tcW w:type="dxa" w:w="1944"/>
          </w:tcPr>
          <w:p>
            <w:pPr>
              <w:spacing w:before="40" w:after="40" w:line="240" w:lineRule="auto"/>
              <w:jc w:val="left"/>
            </w:pPr>
            <w:r/>
            <w:r>
              <w:rPr>
                <w:rFonts w:ascii="Times New Roman" w:hAnsi="Times New Roman" w:eastAsia="Times New Roman"/>
                <w:b w:val="0"/>
                <w:sz w:val="16"/>
              </w:rPr>
              <w:t>Title insurer</w:t>
            </w:r>
          </w:p>
        </w:tc>
        <w:tc>
          <w:tcPr>
            <w:tcW w:type="dxa" w:w="1512"/>
          </w:tcPr>
          <w:p>
            <w:pPr>
              <w:spacing w:before="40" w:after="40" w:line="240" w:lineRule="auto"/>
              <w:jc w:val="left"/>
            </w:pPr>
            <w:r/>
            <w:r>
              <w:rPr>
                <w:rFonts w:ascii="Times New Roman" w:hAnsi="Times New Roman" w:eastAsia="Times New Roman"/>
                <w:b w:val="0"/>
                <w:sz w:val="16"/>
              </w:rPr>
              <w:t>Immediately</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5</w:t>
            </w:r>
          </w:p>
        </w:tc>
        <w:tc>
          <w:tcPr>
            <w:tcW w:type="dxa" w:w="4536"/>
          </w:tcPr>
          <w:p>
            <w:pPr>
              <w:spacing w:before="40" w:after="40" w:line="240" w:lineRule="auto"/>
              <w:jc w:val="left"/>
            </w:pPr>
            <w:r/>
            <w:r>
              <w:rPr>
                <w:rFonts w:ascii="Times New Roman" w:hAnsi="Times New Roman" w:eastAsia="Times New Roman"/>
                <w:b w:val="0"/>
                <w:sz w:val="16"/>
              </w:rPr>
              <w:t>Tenant estoppel certificates, all three tenants, dated within 30 days of closing</w:t>
            </w:r>
          </w:p>
        </w:tc>
        <w:tc>
          <w:tcPr>
            <w:tcW w:type="dxa" w:w="1944"/>
          </w:tcPr>
          <w:p>
            <w:pPr>
              <w:spacing w:before="40" w:after="40" w:line="240" w:lineRule="auto"/>
              <w:jc w:val="left"/>
            </w:pPr>
            <w:r/>
            <w:r>
              <w:rPr>
                <w:rFonts w:ascii="Times New Roman" w:hAnsi="Times New Roman" w:eastAsia="Times New Roman"/>
                <w:b w:val="0"/>
                <w:sz w:val="16"/>
              </w:rPr>
              <w:t>Borrower / tenants</w:t>
            </w:r>
          </w:p>
        </w:tc>
        <w:tc>
          <w:tcPr>
            <w:tcW w:type="dxa" w:w="1512"/>
          </w:tcPr>
          <w:p>
            <w:pPr>
              <w:spacing w:before="40" w:after="40" w:line="240" w:lineRule="auto"/>
              <w:jc w:val="left"/>
            </w:pPr>
            <w:r/>
            <w:r>
              <w:rPr>
                <w:rFonts w:ascii="Times New Roman" w:hAnsi="Times New Roman" w:eastAsia="Times New Roman"/>
                <w:b w:val="0"/>
                <w:sz w:val="16"/>
              </w:rPr>
              <w:t>Two weeks 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6</w:t>
            </w:r>
          </w:p>
        </w:tc>
        <w:tc>
          <w:tcPr>
            <w:tcW w:type="dxa" w:w="4536"/>
          </w:tcPr>
          <w:p>
            <w:pPr>
              <w:spacing w:before="40" w:after="40" w:line="240" w:lineRule="auto"/>
              <w:jc w:val="left"/>
            </w:pPr>
            <w:r/>
            <w:r>
              <w:rPr>
                <w:rFonts w:ascii="Times New Roman" w:hAnsi="Times New Roman" w:eastAsia="Times New Roman"/>
                <w:b w:val="0"/>
                <w:sz w:val="16"/>
              </w:rPr>
              <w:t>SNDAs, all three tenants</w:t>
            </w:r>
          </w:p>
        </w:tc>
        <w:tc>
          <w:tcPr>
            <w:tcW w:type="dxa" w:w="1944"/>
          </w:tcPr>
          <w:p>
            <w:pPr>
              <w:spacing w:before="40" w:after="40" w:line="240" w:lineRule="auto"/>
              <w:jc w:val="left"/>
            </w:pPr>
            <w:r/>
            <w:r>
              <w:rPr>
                <w:rFonts w:ascii="Times New Roman" w:hAnsi="Times New Roman" w:eastAsia="Times New Roman"/>
                <w:b w:val="0"/>
                <w:sz w:val="16"/>
              </w:rPr>
              <w:t>Borrower / tenants</w:t>
            </w:r>
          </w:p>
        </w:tc>
        <w:tc>
          <w:tcPr>
            <w:tcW w:type="dxa" w:w="1512"/>
          </w:tcPr>
          <w:p>
            <w:pPr>
              <w:spacing w:before="40" w:after="40" w:line="240" w:lineRule="auto"/>
              <w:jc w:val="left"/>
            </w:pPr>
            <w:r/>
            <w:r>
              <w:rPr>
                <w:rFonts w:ascii="Times New Roman" w:hAnsi="Times New Roman" w:eastAsia="Times New Roman"/>
                <w:b w:val="0"/>
                <w:sz w:val="16"/>
              </w:rPr>
              <w:t>Two weeks 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7</w:t>
            </w:r>
          </w:p>
        </w:tc>
        <w:tc>
          <w:tcPr>
            <w:tcW w:type="dxa" w:w="4536"/>
          </w:tcPr>
          <w:p>
            <w:pPr>
              <w:spacing w:before="40" w:after="40" w:line="240" w:lineRule="auto"/>
              <w:jc w:val="left"/>
            </w:pPr>
            <w:r/>
            <w:r>
              <w:rPr>
                <w:rFonts w:ascii="Times New Roman" w:hAnsi="Times New Roman" w:eastAsia="Times New Roman"/>
                <w:b w:val="0"/>
                <w:sz w:val="16"/>
              </w:rPr>
              <w:t>Evidence of City of Charleston encroachment licence or permit for the balcony, or ALTA 28.1 coverage</w:t>
            </w:r>
          </w:p>
        </w:tc>
        <w:tc>
          <w:tcPr>
            <w:tcW w:type="dxa" w:w="1944"/>
          </w:tcPr>
          <w:p>
            <w:pPr>
              <w:spacing w:before="40" w:after="40" w:line="240" w:lineRule="auto"/>
              <w:jc w:val="left"/>
            </w:pPr>
            <w:r/>
            <w:r>
              <w:rPr>
                <w:rFonts w:ascii="Times New Roman" w:hAnsi="Times New Roman" w:eastAsia="Times New Roman"/>
                <w:b w:val="0"/>
                <w:sz w:val="16"/>
              </w:rPr>
              <w:t>Borrower / Title insurer</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8</w:t>
            </w:r>
          </w:p>
        </w:tc>
        <w:tc>
          <w:tcPr>
            <w:tcW w:type="dxa" w:w="4536"/>
          </w:tcPr>
          <w:p>
            <w:pPr>
              <w:spacing w:before="40" w:after="40" w:line="240" w:lineRule="auto"/>
              <w:jc w:val="left"/>
            </w:pPr>
            <w:r/>
            <w:r>
              <w:rPr>
                <w:rFonts w:ascii="Times New Roman" w:hAnsi="Times New Roman" w:eastAsia="Times New Roman"/>
                <w:b w:val="0"/>
                <w:sz w:val="16"/>
              </w:rPr>
              <w:t>Appraisal review and written reconciliation of the income approach</w:t>
            </w:r>
          </w:p>
        </w:tc>
        <w:tc>
          <w:tcPr>
            <w:tcW w:type="dxa" w:w="1944"/>
          </w:tcPr>
          <w:p>
            <w:pPr>
              <w:spacing w:before="40" w:after="40" w:line="240" w:lineRule="auto"/>
              <w:jc w:val="left"/>
            </w:pPr>
            <w:r/>
            <w:r>
              <w:rPr>
                <w:rFonts w:ascii="Times New Roman" w:hAnsi="Times New Roman" w:eastAsia="Times New Roman"/>
                <w:b w:val="0"/>
                <w:sz w:val="16"/>
              </w:rPr>
              <w:t>Pinnacle / review appraiser</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9</w:t>
            </w:r>
          </w:p>
        </w:tc>
        <w:tc>
          <w:tcPr>
            <w:tcW w:type="dxa" w:w="4536"/>
          </w:tcPr>
          <w:p>
            <w:pPr>
              <w:spacing w:before="40" w:after="40" w:line="240" w:lineRule="auto"/>
              <w:jc w:val="left"/>
            </w:pPr>
            <w:r/>
            <w:r>
              <w:rPr>
                <w:rFonts w:ascii="Times New Roman" w:hAnsi="Times New Roman" w:eastAsia="Times New Roman"/>
                <w:b w:val="0"/>
                <w:sz w:val="16"/>
              </w:rPr>
              <w:t>Certified sources and uses statement</w:t>
            </w:r>
          </w:p>
        </w:tc>
        <w:tc>
          <w:tcPr>
            <w:tcW w:type="dxa" w:w="1944"/>
          </w:tcPr>
          <w:p>
            <w:pPr>
              <w:spacing w:before="40" w:after="40" w:line="240" w:lineRule="auto"/>
              <w:jc w:val="left"/>
            </w:pPr>
            <w:r/>
            <w:r>
              <w:rPr>
                <w:rFonts w:ascii="Times New Roman" w:hAnsi="Times New Roman" w:eastAsia="Times New Roman"/>
                <w:b w:val="0"/>
                <w:sz w:val="16"/>
              </w:rPr>
              <w:t>Borrower</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10</w:t>
            </w:r>
          </w:p>
        </w:tc>
        <w:tc>
          <w:tcPr>
            <w:tcW w:type="dxa" w:w="4536"/>
          </w:tcPr>
          <w:p>
            <w:pPr>
              <w:spacing w:before="40" w:after="40" w:line="240" w:lineRule="auto"/>
              <w:jc w:val="left"/>
            </w:pPr>
            <w:r/>
            <w:r>
              <w:rPr>
                <w:rFonts w:ascii="Times New Roman" w:hAnsi="Times New Roman" w:eastAsia="Times New Roman"/>
                <w:b w:val="0"/>
                <w:sz w:val="16"/>
              </w:rPr>
              <w:t>Surveyor’s metes and bounds description for Exhibit A, and re-certification within 90 days of closing</w:t>
            </w:r>
          </w:p>
        </w:tc>
        <w:tc>
          <w:tcPr>
            <w:tcW w:type="dxa" w:w="1944"/>
          </w:tcPr>
          <w:p>
            <w:pPr>
              <w:spacing w:before="40" w:after="40" w:line="240" w:lineRule="auto"/>
              <w:jc w:val="left"/>
            </w:pPr>
            <w:r/>
            <w:r>
              <w:rPr>
                <w:rFonts w:ascii="Times New Roman" w:hAnsi="Times New Roman" w:eastAsia="Times New Roman"/>
                <w:b w:val="0"/>
                <w:sz w:val="16"/>
              </w:rPr>
              <w:t>Cartwright Land Surveying</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11</w:t>
            </w:r>
          </w:p>
        </w:tc>
        <w:tc>
          <w:tcPr>
            <w:tcW w:type="dxa" w:w="4536"/>
          </w:tcPr>
          <w:p>
            <w:pPr>
              <w:spacing w:before="40" w:after="40" w:line="240" w:lineRule="auto"/>
              <w:jc w:val="left"/>
            </w:pPr>
            <w:r/>
            <w:r>
              <w:rPr>
                <w:rFonts w:ascii="Times New Roman" w:hAnsi="Times New Roman" w:eastAsia="Times New Roman"/>
                <w:b w:val="0"/>
                <w:sz w:val="16"/>
              </w:rPr>
              <w:t>Contractor consent to collateral assignment and step-in, plus vapor barrier acknowledgments</w:t>
            </w:r>
          </w:p>
        </w:tc>
        <w:tc>
          <w:tcPr>
            <w:tcW w:type="dxa" w:w="1944"/>
          </w:tcPr>
          <w:p>
            <w:pPr>
              <w:spacing w:before="40" w:after="40" w:line="240" w:lineRule="auto"/>
              <w:jc w:val="left"/>
            </w:pPr>
            <w:r/>
            <w:r>
              <w:rPr>
                <w:rFonts w:ascii="Times New Roman" w:hAnsi="Times New Roman" w:eastAsia="Times New Roman"/>
                <w:b w:val="0"/>
                <w:sz w:val="16"/>
              </w:rPr>
              <w:t>Beaufort Builders Group LLC</w:t>
            </w:r>
          </w:p>
        </w:tc>
        <w:tc>
          <w:tcPr>
            <w:tcW w:type="dxa" w:w="1512"/>
          </w:tcPr>
          <w:p>
            <w:pPr>
              <w:spacing w:before="40" w:after="40" w:line="240" w:lineRule="auto"/>
              <w:jc w:val="left"/>
            </w:pPr>
            <w:r/>
            <w:r>
              <w:rPr>
                <w:rFonts w:ascii="Times New Roman" w:hAnsi="Times New Roman" w:eastAsia="Times New Roman"/>
                <w:b w:val="0"/>
                <w:sz w:val="16"/>
              </w:rPr>
              <w:t>Before first draw</w:t>
            </w:r>
          </w:p>
        </w:tc>
        <w:tc>
          <w:tcPr>
            <w:tcW w:type="dxa" w:w="936"/>
          </w:tcPr>
          <w:p>
            <w:pPr>
              <w:spacing w:before="40" w:after="40" w:line="240" w:lineRule="auto"/>
              <w:jc w:val="left"/>
            </w:pPr>
            <w:r/>
            <w:r>
              <w:rPr>
                <w:rFonts w:ascii="Times New Roman" w:hAnsi="Times New Roman" w:eastAsia="Times New Roman"/>
                <w:b w:val="0"/>
                <w:sz w:val="16"/>
              </w:rPr>
              <w:t>No</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12</w:t>
            </w:r>
          </w:p>
        </w:tc>
        <w:tc>
          <w:tcPr>
            <w:tcW w:type="dxa" w:w="4536"/>
          </w:tcPr>
          <w:p>
            <w:pPr>
              <w:spacing w:before="40" w:after="40" w:line="240" w:lineRule="auto"/>
              <w:jc w:val="left"/>
            </w:pPr>
            <w:r/>
            <w:r>
              <w:rPr>
                <w:rFonts w:ascii="Times New Roman" w:hAnsi="Times New Roman" w:eastAsia="Times New Roman"/>
                <w:b w:val="0"/>
                <w:sz w:val="16"/>
              </w:rPr>
              <w:t>Current personal financial statement and liquidity schedule for the Guarantor</w:t>
            </w:r>
          </w:p>
        </w:tc>
        <w:tc>
          <w:tcPr>
            <w:tcW w:type="dxa" w:w="1944"/>
          </w:tcPr>
          <w:p>
            <w:pPr>
              <w:spacing w:before="40" w:after="40" w:line="240" w:lineRule="auto"/>
              <w:jc w:val="left"/>
            </w:pPr>
            <w:r/>
            <w:r>
              <w:rPr>
                <w:rFonts w:ascii="Times New Roman" w:hAnsi="Times New Roman" w:eastAsia="Times New Roman"/>
                <w:b w:val="0"/>
                <w:sz w:val="16"/>
              </w:rPr>
              <w:t>Guarantor</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13</w:t>
            </w:r>
          </w:p>
        </w:tc>
        <w:tc>
          <w:tcPr>
            <w:tcW w:type="dxa" w:w="4536"/>
          </w:tcPr>
          <w:p>
            <w:pPr>
              <w:spacing w:before="40" w:after="40" w:line="240" w:lineRule="auto"/>
              <w:jc w:val="left"/>
            </w:pPr>
            <w:r/>
            <w:r>
              <w:rPr>
                <w:rFonts w:ascii="Times New Roman" w:hAnsi="Times New Roman" w:eastAsia="Times New Roman"/>
                <w:b w:val="0"/>
                <w:sz w:val="16"/>
              </w:rPr>
              <w:t>Ownership chart to natural persons, beneficial ownership certification, good standing certificates</w:t>
            </w:r>
          </w:p>
        </w:tc>
        <w:tc>
          <w:tcPr>
            <w:tcW w:type="dxa" w:w="1944"/>
          </w:tcPr>
          <w:p>
            <w:pPr>
              <w:spacing w:before="40" w:after="40" w:line="240" w:lineRule="auto"/>
              <w:jc w:val="left"/>
            </w:pPr>
            <w:r/>
            <w:r>
              <w:rPr>
                <w:rFonts w:ascii="Times New Roman" w:hAnsi="Times New Roman" w:eastAsia="Times New Roman"/>
                <w:b w:val="0"/>
                <w:sz w:val="16"/>
              </w:rPr>
              <w:t>Borrower</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14</w:t>
            </w:r>
          </w:p>
        </w:tc>
        <w:tc>
          <w:tcPr>
            <w:tcW w:type="dxa" w:w="4536"/>
          </w:tcPr>
          <w:p>
            <w:pPr>
              <w:spacing w:before="40" w:after="40" w:line="240" w:lineRule="auto"/>
              <w:jc w:val="left"/>
            </w:pPr>
            <w:r/>
            <w:r>
              <w:rPr>
                <w:rFonts w:ascii="Times New Roman" w:hAnsi="Times New Roman" w:eastAsia="Times New Roman"/>
                <w:b w:val="0"/>
                <w:sz w:val="16"/>
              </w:rPr>
              <w:t>Corrected renovation draw schedule modelled to the budget and retainage</w:t>
            </w:r>
          </w:p>
        </w:tc>
        <w:tc>
          <w:tcPr>
            <w:tcW w:type="dxa" w:w="1944"/>
          </w:tcPr>
          <w:p>
            <w:pPr>
              <w:spacing w:before="40" w:after="40" w:line="240" w:lineRule="auto"/>
              <w:jc w:val="left"/>
            </w:pPr>
            <w:r/>
            <w:r>
              <w:rPr>
                <w:rFonts w:ascii="Times New Roman" w:hAnsi="Times New Roman" w:eastAsia="Times New Roman"/>
                <w:b w:val="0"/>
                <w:sz w:val="16"/>
              </w:rPr>
              <w:t>Borrower’s consultant</w:t>
            </w:r>
          </w:p>
        </w:tc>
        <w:tc>
          <w:tcPr>
            <w:tcW w:type="dxa" w:w="1512"/>
          </w:tcPr>
          <w:p>
            <w:pPr>
              <w:spacing w:before="40" w:after="40" w:line="240" w:lineRule="auto"/>
              <w:jc w:val="left"/>
            </w:pPr>
            <w:r/>
            <w:r>
              <w:rPr>
                <w:rFonts w:ascii="Times New Roman" w:hAnsi="Times New Roman" w:eastAsia="Times New Roman"/>
                <w:b w:val="0"/>
                <w:sz w:val="16"/>
              </w:rPr>
              <w:t>Before closing instructions</w:t>
            </w:r>
          </w:p>
        </w:tc>
        <w:tc>
          <w:tcPr>
            <w:tcW w:type="dxa" w:w="936"/>
          </w:tcPr>
          <w:p>
            <w:pPr>
              <w:spacing w:before="40" w:after="40" w:line="240" w:lineRule="auto"/>
              <w:jc w:val="left"/>
            </w:pPr>
            <w:r/>
            <w:r>
              <w:rPr>
                <w:rFonts w:ascii="Times New Roman" w:hAnsi="Times New Roman" w:eastAsia="Times New Roman"/>
                <w:b w:val="0"/>
                <w:sz w:val="16"/>
              </w:rPr>
              <w:t>No</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15</w:t>
            </w:r>
          </w:p>
        </w:tc>
        <w:tc>
          <w:tcPr>
            <w:tcW w:type="dxa" w:w="4536"/>
          </w:tcPr>
          <w:p>
            <w:pPr>
              <w:spacing w:before="40" w:after="40" w:line="240" w:lineRule="auto"/>
              <w:jc w:val="left"/>
            </w:pPr>
            <w:r/>
            <w:r>
              <w:rPr>
                <w:rFonts w:ascii="Times New Roman" w:hAnsi="Times New Roman" w:eastAsia="Times New Roman"/>
                <w:b w:val="0"/>
                <w:sz w:val="16"/>
              </w:rPr>
              <w:t>Local counsel note on the South Carolina points at Issue 30</w:t>
            </w:r>
          </w:p>
        </w:tc>
        <w:tc>
          <w:tcPr>
            <w:tcW w:type="dxa" w:w="1944"/>
          </w:tcPr>
          <w:p>
            <w:pPr>
              <w:spacing w:before="40" w:after="40" w:line="240" w:lineRule="auto"/>
              <w:jc w:val="left"/>
            </w:pPr>
            <w:r/>
            <w:r>
              <w:rPr>
                <w:rFonts w:ascii="Times New Roman" w:hAnsi="Times New Roman" w:eastAsia="Times New Roman"/>
                <w:b w:val="0"/>
                <w:sz w:val="16"/>
              </w:rPr>
              <w:t>Local counsel</w:t>
            </w:r>
          </w:p>
        </w:tc>
        <w:tc>
          <w:tcPr>
            <w:tcW w:type="dxa" w:w="1512"/>
          </w:tcPr>
          <w:p>
            <w:pPr>
              <w:spacing w:before="40" w:after="40" w:line="240" w:lineRule="auto"/>
              <w:jc w:val="left"/>
            </w:pPr>
            <w:r/>
            <w:r>
              <w:rPr>
                <w:rFonts w:ascii="Times New Roman" w:hAnsi="Times New Roman" w:eastAsia="Times New Roman"/>
                <w:b w:val="0"/>
                <w:sz w:val="16"/>
              </w:rPr>
              <w:t>Before execution</w:t>
            </w:r>
          </w:p>
        </w:tc>
        <w:tc>
          <w:tcPr>
            <w:tcW w:type="dxa" w:w="936"/>
          </w:tcPr>
          <w:p>
            <w:pPr>
              <w:spacing w:before="40" w:after="40" w:line="240" w:lineRule="auto"/>
              <w:jc w:val="left"/>
            </w:pPr>
            <w:r/>
            <w:r>
              <w:rPr>
                <w:rFonts w:ascii="Times New Roman" w:hAnsi="Times New Roman" w:eastAsia="Times New Roman"/>
                <w:b w:val="0"/>
                <w:sz w:val="16"/>
              </w:rPr>
              <w:t>Yes</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16</w:t>
            </w:r>
          </w:p>
        </w:tc>
        <w:tc>
          <w:tcPr>
            <w:tcW w:type="dxa" w:w="4536"/>
          </w:tcPr>
          <w:p>
            <w:pPr>
              <w:spacing w:before="40" w:after="40" w:line="240" w:lineRule="auto"/>
              <w:jc w:val="left"/>
            </w:pPr>
            <w:r/>
            <w:r>
              <w:rPr>
                <w:rFonts w:ascii="Times New Roman" w:hAnsi="Times New Roman" w:eastAsia="Times New Roman"/>
                <w:b w:val="0"/>
                <w:sz w:val="16"/>
              </w:rPr>
              <w:t>Credit instructions on Issues 1, 2, 8, 9, 13, 14 and 18</w:t>
            </w:r>
          </w:p>
        </w:tc>
        <w:tc>
          <w:tcPr>
            <w:tcW w:type="dxa" w:w="1944"/>
          </w:tcPr>
          <w:p>
            <w:pPr>
              <w:spacing w:before="40" w:after="40" w:line="240" w:lineRule="auto"/>
              <w:jc w:val="left"/>
            </w:pPr>
            <w:r/>
            <w:r>
              <w:rPr>
                <w:rFonts w:ascii="Times New Roman" w:hAnsi="Times New Roman" w:eastAsia="Times New Roman"/>
                <w:b w:val="0"/>
                <w:sz w:val="16"/>
              </w:rPr>
              <w:t>Mr. Prideaux</w:t>
            </w:r>
          </w:p>
        </w:tc>
        <w:tc>
          <w:tcPr>
            <w:tcW w:type="dxa" w:w="1512"/>
          </w:tcPr>
          <w:p>
            <w:pPr>
              <w:spacing w:before="40" w:after="40" w:line="240" w:lineRule="auto"/>
              <w:jc w:val="left"/>
            </w:pPr>
            <w:r/>
            <w:r>
              <w:rPr>
                <w:rFonts w:ascii="Times New Roman" w:hAnsi="Times New Roman" w:eastAsia="Times New Roman"/>
                <w:b w:val="0"/>
                <w:sz w:val="16"/>
              </w:rPr>
              <w:t>Before finalizing</w:t>
            </w:r>
          </w:p>
        </w:tc>
        <w:tc>
          <w:tcPr>
            <w:tcW w:type="dxa" w:w="936"/>
          </w:tcPr>
          <w:p>
            <w:pPr>
              <w:spacing w:before="40" w:after="40" w:line="240" w:lineRule="auto"/>
              <w:jc w:val="left"/>
            </w:pPr>
            <w:r/>
            <w:r>
              <w:rPr>
                <w:rFonts w:ascii="Times New Roman" w:hAnsi="Times New Roman" w:eastAsia="Times New Roman"/>
                <w:b w:val="0"/>
                <w:sz w:val="16"/>
              </w:rPr>
              <w:t>No</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17</w:t>
            </w:r>
          </w:p>
        </w:tc>
        <w:tc>
          <w:tcPr>
            <w:tcW w:type="dxa" w:w="4536"/>
          </w:tcPr>
          <w:p>
            <w:pPr>
              <w:spacing w:before="40" w:after="40" w:line="240" w:lineRule="auto"/>
              <w:jc w:val="left"/>
            </w:pPr>
            <w:r/>
            <w:r>
              <w:rPr>
                <w:rFonts w:ascii="Times New Roman" w:hAnsi="Times New Roman" w:eastAsia="Times New Roman"/>
                <w:b w:val="0"/>
                <w:sz w:val="16"/>
              </w:rPr>
              <w:t>Full Phase I ESA report with appendices, construction contract and all amendments, and the Leases themselves</w:t>
            </w:r>
          </w:p>
        </w:tc>
        <w:tc>
          <w:tcPr>
            <w:tcW w:type="dxa" w:w="1944"/>
          </w:tcPr>
          <w:p>
            <w:pPr>
              <w:spacing w:before="40" w:after="40" w:line="240" w:lineRule="auto"/>
              <w:jc w:val="left"/>
            </w:pPr>
            <w:r/>
            <w:r>
              <w:rPr>
                <w:rFonts w:ascii="Times New Roman" w:hAnsi="Times New Roman" w:eastAsia="Times New Roman"/>
                <w:b w:val="0"/>
                <w:sz w:val="16"/>
              </w:rPr>
              <w:t>Borrower / Clearfield</w:t>
            </w:r>
          </w:p>
        </w:tc>
        <w:tc>
          <w:tcPr>
            <w:tcW w:type="dxa" w:w="1512"/>
          </w:tcPr>
          <w:p>
            <w:pPr>
              <w:spacing w:before="40" w:after="40" w:line="240" w:lineRule="auto"/>
              <w:jc w:val="left"/>
            </w:pPr>
            <w:r/>
            <w:r>
              <w:rPr>
                <w:rFonts w:ascii="Times New Roman" w:hAnsi="Times New Roman" w:eastAsia="Times New Roman"/>
                <w:b w:val="0"/>
                <w:sz w:val="16"/>
              </w:rPr>
              <w:t>Before closing</w:t>
            </w:r>
          </w:p>
        </w:tc>
        <w:tc>
          <w:tcPr>
            <w:tcW w:type="dxa" w:w="936"/>
          </w:tcPr>
          <w:p>
            <w:pPr>
              <w:spacing w:before="40" w:after="40" w:line="240" w:lineRule="auto"/>
              <w:jc w:val="left"/>
            </w:pPr>
            <w:r/>
            <w:r>
              <w:rPr>
                <w:rFonts w:ascii="Times New Roman" w:hAnsi="Times New Roman" w:eastAsia="Times New Roman"/>
                <w:b w:val="0"/>
                <w:sz w:val="16"/>
              </w:rPr>
              <w:t>No</w:t>
            </w:r>
          </w:p>
        </w:tc>
      </w:tr>
      <w:tr>
        <w:trPr>
          <w:cantSplit w:val="true"/>
        </w:trPr>
        <w:tc>
          <w:tcPr>
            <w:tcW w:type="dxa" w:w="432"/>
          </w:tcPr>
          <w:p>
            <w:pPr>
              <w:spacing w:before="40" w:after="40" w:line="240" w:lineRule="auto"/>
              <w:jc w:val="left"/>
            </w:pPr>
            <w:r/>
            <w:r>
              <w:rPr>
                <w:rFonts w:ascii="Times New Roman" w:hAnsi="Times New Roman" w:eastAsia="Times New Roman"/>
                <w:b w:val="0"/>
                <w:sz w:val="16"/>
              </w:rPr>
              <w:t>18</w:t>
            </w:r>
          </w:p>
        </w:tc>
        <w:tc>
          <w:tcPr>
            <w:tcW w:type="dxa" w:w="4536"/>
          </w:tcPr>
          <w:p>
            <w:pPr>
              <w:spacing w:before="40" w:after="40" w:line="240" w:lineRule="auto"/>
              <w:jc w:val="left"/>
            </w:pPr>
            <w:r/>
            <w:r>
              <w:rPr>
                <w:rFonts w:ascii="Times New Roman" w:hAnsi="Times New Roman" w:eastAsia="Times New Roman"/>
                <w:b w:val="0"/>
                <w:sz w:val="16"/>
              </w:rPr>
              <w:t>Confirmation of the registered agent and the Bank’s email domain (Issues 26 and 27)</w:t>
            </w:r>
          </w:p>
        </w:tc>
        <w:tc>
          <w:tcPr>
            <w:tcW w:type="dxa" w:w="1944"/>
          </w:tcPr>
          <w:p>
            <w:pPr>
              <w:spacing w:before="40" w:after="40" w:line="240" w:lineRule="auto"/>
              <w:jc w:val="left"/>
            </w:pPr>
            <w:r/>
            <w:r>
              <w:rPr>
                <w:rFonts w:ascii="Times New Roman" w:hAnsi="Times New Roman" w:eastAsia="Times New Roman"/>
                <w:b w:val="0"/>
                <w:sz w:val="16"/>
              </w:rPr>
              <w:t>Bank / Borrower</w:t>
            </w:r>
          </w:p>
        </w:tc>
        <w:tc>
          <w:tcPr>
            <w:tcW w:type="dxa" w:w="1512"/>
          </w:tcPr>
          <w:p>
            <w:pPr>
              <w:spacing w:before="40" w:after="40" w:line="240" w:lineRule="auto"/>
              <w:jc w:val="left"/>
            </w:pPr>
            <w:r/>
            <w:r>
              <w:rPr>
                <w:rFonts w:ascii="Times New Roman" w:hAnsi="Times New Roman" w:eastAsia="Times New Roman"/>
                <w:b w:val="0"/>
                <w:sz w:val="16"/>
              </w:rPr>
              <w:t>Before finalizing</w:t>
            </w:r>
          </w:p>
        </w:tc>
        <w:tc>
          <w:tcPr>
            <w:tcW w:type="dxa" w:w="936"/>
          </w:tcPr>
          <w:p>
            <w:pPr>
              <w:spacing w:before="40" w:after="40" w:line="240" w:lineRule="auto"/>
              <w:jc w:val="left"/>
            </w:pPr>
            <w:r/>
            <w:r>
              <w:rPr>
                <w:rFonts w:ascii="Times New Roman" w:hAnsi="Times New Roman" w:eastAsia="Times New Roman"/>
                <w:b w:val="0"/>
                <w:sz w:val="16"/>
              </w:rPr>
              <w:t>No</w:t>
            </w:r>
          </w:p>
        </w:tc>
      </w:tr>
    </w:tbl>
    <w:p>
      <w:pPr>
        <w:pStyle w:val="Heading1"/>
        <w:keepNext/>
        <w:spacing w:before="320" w:after="120"/>
        <w:ind w:firstLine="0"/>
      </w:pPr>
      <w:r>
        <w:rPr>
          <w:rFonts w:ascii="Times New Roman" w:hAnsi="Times New Roman" w:eastAsia="Times New Roman"/>
          <w:b/>
          <w:color w:val="000000"/>
          <w:sz w:val="23"/>
        </w:rPr>
        <w:t>7.  Closing Conditions Against the Term Sheet</w:t>
      </w:r>
    </w:p>
    <w:p>
      <w:pPr>
        <w:keepNext w:val="0"/>
        <w:spacing w:before="0" w:after="120" w:line="240" w:lineRule="auto"/>
        <w:ind w:left="0"/>
        <w:jc w:val="both"/>
      </w:pPr>
      <w:r>
        <w:rPr>
          <w:rFonts w:ascii="Times New Roman" w:hAnsi="Times New Roman" w:eastAsia="Times New Roman"/>
          <w:b w:val="0"/>
          <w:i w:val="0"/>
          <w:sz w:val="22"/>
        </w:rPr>
        <w:t>Term Sheet Section 12 lists fourteen conditions precedent. The table tracks each against the evidence in the record and against the enclosed draft. Title Commitment Schedule B, Part I requirements are separately tracked at Exhibit C of the Mortgage.</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2340"/>
        <w:gridCol w:w="2340"/>
        <w:gridCol w:w="2340"/>
        <w:gridCol w:w="2340"/>
      </w:tblGrid>
      <w:tr>
        <w:trPr>
          <w:cantSplit w:val="true"/>
          <w:tblHeader w:val="true"/>
        </w:trPr>
        <w:tc>
          <w:tcPr>
            <w:tcW w:type="dxa" w:w="1080"/>
            <w:shd w:val="clear" w:color="auto" w:fill="DCE3EA"/>
          </w:tcPr>
          <w:p>
            <w:pPr>
              <w:spacing w:before="40" w:after="40" w:line="240" w:lineRule="auto"/>
              <w:jc w:val="left"/>
            </w:pPr>
            <w:r/>
            <w:r>
              <w:rPr>
                <w:rFonts w:ascii="Times New Roman" w:hAnsi="Times New Roman" w:eastAsia="Times New Roman"/>
                <w:b/>
                <w:sz w:val="16"/>
              </w:rPr>
              <w:t>Term Sheet §12.1</w:t>
            </w:r>
          </w:p>
        </w:tc>
        <w:tc>
          <w:tcPr>
            <w:tcW w:type="dxa" w:w="3024"/>
            <w:shd w:val="clear" w:color="auto" w:fill="DCE3EA"/>
          </w:tcPr>
          <w:p>
            <w:pPr>
              <w:spacing w:before="40" w:after="40" w:line="240" w:lineRule="auto"/>
              <w:jc w:val="left"/>
            </w:pPr>
            <w:r/>
            <w:r>
              <w:rPr>
                <w:rFonts w:ascii="Times New Roman" w:hAnsi="Times New Roman" w:eastAsia="Times New Roman"/>
                <w:b/>
                <w:sz w:val="16"/>
              </w:rPr>
              <w:t>Condition</w:t>
            </w:r>
          </w:p>
        </w:tc>
        <w:tc>
          <w:tcPr>
            <w:tcW w:type="dxa" w:w="2736"/>
            <w:shd w:val="clear" w:color="auto" w:fill="DCE3EA"/>
          </w:tcPr>
          <w:p>
            <w:pPr>
              <w:spacing w:before="40" w:after="40" w:line="240" w:lineRule="auto"/>
              <w:jc w:val="left"/>
            </w:pPr>
            <w:r/>
            <w:r>
              <w:rPr>
                <w:rFonts w:ascii="Times New Roman" w:hAnsi="Times New Roman" w:eastAsia="Times New Roman"/>
                <w:b/>
                <w:sz w:val="16"/>
              </w:rPr>
              <w:t>Status on the record</w:t>
            </w:r>
          </w:p>
        </w:tc>
        <w:tc>
          <w:tcPr>
            <w:tcW w:type="dxa" w:w="2520"/>
            <w:shd w:val="clear" w:color="auto" w:fill="DCE3EA"/>
          </w:tcPr>
          <w:p>
            <w:pPr>
              <w:spacing w:before="40" w:after="40" w:line="240" w:lineRule="auto"/>
              <w:jc w:val="left"/>
            </w:pPr>
            <w:r/>
            <w:r>
              <w:rPr>
                <w:rFonts w:ascii="Times New Roman" w:hAnsi="Times New Roman" w:eastAsia="Times New Roman"/>
                <w:b/>
                <w:sz w:val="16"/>
              </w:rPr>
              <w:t>Comment</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(a)</w:t>
            </w:r>
          </w:p>
        </w:tc>
        <w:tc>
          <w:tcPr>
            <w:tcW w:type="dxa" w:w="3024"/>
          </w:tcPr>
          <w:p>
            <w:pPr>
              <w:spacing w:before="40" w:after="40" w:line="240" w:lineRule="auto"/>
              <w:jc w:val="left"/>
            </w:pPr>
            <w:r/>
            <w:r>
              <w:rPr>
                <w:rFonts w:ascii="Times New Roman" w:hAnsi="Times New Roman" w:eastAsia="Times New Roman"/>
                <w:b w:val="0"/>
                <w:sz w:val="16"/>
              </w:rPr>
              <w:t>Execution and delivery of all Loan Documents</w:t>
            </w:r>
          </w:p>
        </w:tc>
        <w:tc>
          <w:tcPr>
            <w:tcW w:type="dxa" w:w="2736"/>
          </w:tcPr>
          <w:p>
            <w:pPr>
              <w:spacing w:before="40" w:after="40" w:line="240" w:lineRule="auto"/>
              <w:jc w:val="left"/>
            </w:pPr>
            <w:r/>
            <w:r>
              <w:rPr>
                <w:rFonts w:ascii="Times New Roman" w:hAnsi="Times New Roman" w:eastAsia="Times New Roman"/>
                <w:b w:val="0"/>
                <w:sz w:val="16"/>
              </w:rPr>
              <w:t>Draft Mortgage, Exhibits A–F, signature page and guarantor joinder completed; Note, Guaranty, Environmental Indemnity and UCC-1 to follow</w:t>
            </w:r>
          </w:p>
        </w:tc>
        <w:tc>
          <w:tcPr>
            <w:tcW w:type="dxa" w:w="2520"/>
          </w:tcPr>
          <w:p>
            <w:pPr>
              <w:spacing w:before="40" w:after="40" w:line="240" w:lineRule="auto"/>
              <w:jc w:val="left"/>
            </w:pPr>
            <w:r/>
            <w:r>
              <w:rPr>
                <w:rFonts w:ascii="Times New Roman" w:hAnsi="Times New Roman" w:eastAsia="Times New Roman"/>
                <w:b w:val="0"/>
                <w:sz w:val="16"/>
              </w:rPr>
              <w:t>Separate assignment of leases and rents struck — incorporated into the Mortgage (Issue 29)</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(b)</w:t>
            </w:r>
          </w:p>
        </w:tc>
        <w:tc>
          <w:tcPr>
            <w:tcW w:type="dxa" w:w="3024"/>
          </w:tcPr>
          <w:p>
            <w:pPr>
              <w:spacing w:before="40" w:after="40" w:line="240" w:lineRule="auto"/>
              <w:jc w:val="left"/>
            </w:pPr>
            <w:r/>
            <w:r>
              <w:rPr>
                <w:rFonts w:ascii="Times New Roman" w:hAnsi="Times New Roman" w:eastAsia="Times New Roman"/>
                <w:b w:val="0"/>
                <w:sz w:val="16"/>
              </w:rPr>
              <w:t>Title commitment and pro forma policy, fee simple in Borrower, first-priority lien, $14,750,000</w:t>
            </w:r>
          </w:p>
        </w:tc>
        <w:tc>
          <w:tcPr>
            <w:tcW w:type="dxa" w:w="2736"/>
          </w:tcPr>
          <w:p>
            <w:pPr>
              <w:spacing w:before="40" w:after="40" w:line="240" w:lineRule="auto"/>
              <w:jc w:val="left"/>
            </w:pPr>
            <w:r/>
            <w:r>
              <w:rPr>
                <w:rFonts w:ascii="Times New Roman" w:hAnsi="Times New Roman" w:eastAsia="Times New Roman"/>
                <w:b w:val="0"/>
                <w:sz w:val="16"/>
              </w:rPr>
              <w:t>Commitment PT-2025-04-1178 issued effective February 28, 2025; expires August 28, 2025</w:t>
            </w:r>
          </w:p>
        </w:tc>
        <w:tc>
          <w:tcPr>
            <w:tcW w:type="dxa" w:w="2520"/>
          </w:tcPr>
          <w:p>
            <w:pPr>
              <w:spacing w:before="40" w:after="40" w:line="240" w:lineRule="auto"/>
              <w:jc w:val="left"/>
            </w:pPr>
            <w:r/>
            <w:r>
              <w:rPr>
                <w:rFonts w:ascii="Times New Roman" w:hAnsi="Times New Roman" w:eastAsia="Times New Roman"/>
                <w:b w:val="0"/>
                <w:sz w:val="16"/>
              </w:rPr>
              <w:t>Parcel Two coverage unresolved (Issue 5); survey re-certification (Issue 19)</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(c)</w:t>
            </w:r>
          </w:p>
        </w:tc>
        <w:tc>
          <w:tcPr>
            <w:tcW w:type="dxa" w:w="3024"/>
          </w:tcPr>
          <w:p>
            <w:pPr>
              <w:spacing w:before="40" w:after="40" w:line="240" w:lineRule="auto"/>
              <w:jc w:val="left"/>
            </w:pPr>
            <w:r/>
            <w:r>
              <w:rPr>
                <w:rFonts w:ascii="Times New Roman" w:hAnsi="Times New Roman" w:eastAsia="Times New Roman"/>
                <w:b w:val="0"/>
                <w:sz w:val="16"/>
              </w:rPr>
              <w:t>Satisfactory Phase I ESA, no RECs requiring remediation</w:t>
            </w:r>
          </w:p>
        </w:tc>
        <w:tc>
          <w:tcPr>
            <w:tcW w:type="dxa" w:w="2736"/>
          </w:tcPr>
          <w:p>
            <w:pPr>
              <w:spacing w:before="40" w:after="40" w:line="240" w:lineRule="auto"/>
              <w:jc w:val="left"/>
            </w:pPr>
            <w:r/>
            <w:r>
              <w:rPr>
                <w:rFonts w:ascii="Times New Roman" w:hAnsi="Times New Roman" w:eastAsia="Times New Roman"/>
                <w:b w:val="0"/>
                <w:sz w:val="16"/>
              </w:rPr>
              <w:t>Report CLR-2025-0119 dated January 28, 2025: no RECs, no HRECs, one CREC with NFA letter dated August 12, 2021</w:t>
            </w:r>
          </w:p>
        </w:tc>
        <w:tc>
          <w:tcPr>
            <w:tcW w:type="dxa" w:w="2520"/>
          </w:tcPr>
          <w:p>
            <w:pPr>
              <w:spacing w:before="40" w:after="40" w:line="240" w:lineRule="auto"/>
              <w:jc w:val="left"/>
            </w:pPr>
            <w:r/>
            <w:r>
              <w:rPr>
                <w:rFonts w:ascii="Times New Roman" w:hAnsi="Times New Roman" w:eastAsia="Times New Roman"/>
                <w:b w:val="0"/>
                <w:sz w:val="16"/>
              </w:rPr>
              <w:t>Satisfied, subject to Issue 7 covenants; Phase II waived by the Bank on January 22, 2025</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(d)</w:t>
            </w:r>
          </w:p>
        </w:tc>
        <w:tc>
          <w:tcPr>
            <w:tcW w:type="dxa" w:w="3024"/>
          </w:tcPr>
          <w:p>
            <w:pPr>
              <w:spacing w:before="40" w:after="40" w:line="240" w:lineRule="auto"/>
              <w:jc w:val="left"/>
            </w:pPr>
            <w:r/>
            <w:r>
              <w:rPr>
                <w:rFonts w:ascii="Times New Roman" w:hAnsi="Times New Roman" w:eastAsia="Times New Roman"/>
                <w:b w:val="0"/>
                <w:sz w:val="16"/>
              </w:rPr>
              <w:t>Satisfactory appraisal conforming to USPAP and FIRREA</w:t>
            </w:r>
          </w:p>
        </w:tc>
        <w:tc>
          <w:tcPr>
            <w:tcW w:type="dxa" w:w="2736"/>
          </w:tcPr>
          <w:p>
            <w:pPr>
              <w:spacing w:before="40" w:after="40" w:line="240" w:lineRule="auto"/>
              <w:jc w:val="left"/>
            </w:pPr>
            <w:r/>
            <w:r>
              <w:rPr>
                <w:rFonts w:ascii="Times New Roman" w:hAnsi="Times New Roman" w:eastAsia="Times New Roman"/>
                <w:b w:val="0"/>
                <w:sz w:val="16"/>
              </w:rPr>
              <w:t>Report PVS-2025-0214-CHS effective February 14, 2025</w:t>
            </w:r>
          </w:p>
        </w:tc>
        <w:tc>
          <w:tcPr>
            <w:tcW w:type="dxa" w:w="2520"/>
          </w:tcPr>
          <w:p>
            <w:pPr>
              <w:spacing w:before="40" w:after="40" w:line="240" w:lineRule="auto"/>
              <w:jc w:val="left"/>
            </w:pPr>
            <w:r/>
            <w:r>
              <w:rPr>
                <w:rFonts w:ascii="Times New Roman" w:hAnsi="Times New Roman" w:eastAsia="Times New Roman"/>
                <w:b w:val="0"/>
                <w:sz w:val="16"/>
              </w:rPr>
              <w:t>Income approach does not support the values (Issue 3)</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(e)</w:t>
            </w:r>
          </w:p>
        </w:tc>
        <w:tc>
          <w:tcPr>
            <w:tcW w:type="dxa" w:w="3024"/>
          </w:tcPr>
          <w:p>
            <w:pPr>
              <w:spacing w:before="40" w:after="40" w:line="240" w:lineRule="auto"/>
              <w:jc w:val="left"/>
            </w:pPr>
            <w:r/>
            <w:r>
              <w:rPr>
                <w:rFonts w:ascii="Times New Roman" w:hAnsi="Times New Roman" w:eastAsia="Times New Roman"/>
                <w:b w:val="0"/>
                <w:sz w:val="16"/>
              </w:rPr>
              <w:t>Current ALTA/NSPS survey</w:t>
            </w:r>
          </w:p>
        </w:tc>
        <w:tc>
          <w:tcPr>
            <w:tcW w:type="dxa" w:w="2736"/>
          </w:tcPr>
          <w:p>
            <w:pPr>
              <w:spacing w:before="40" w:after="40" w:line="240" w:lineRule="auto"/>
              <w:jc w:val="left"/>
            </w:pPr>
            <w:r/>
            <w:r>
              <w:rPr>
                <w:rFonts w:ascii="Times New Roman" w:hAnsi="Times New Roman" w:eastAsia="Times New Roman"/>
                <w:b w:val="0"/>
                <w:sz w:val="16"/>
              </w:rPr>
              <w:t>Cartwright Land Surveying LLC dated January 15, 2025, recorded Plat Book 64 Page 91</w:t>
            </w:r>
          </w:p>
        </w:tc>
        <w:tc>
          <w:tcPr>
            <w:tcW w:type="dxa" w:w="2520"/>
          </w:tcPr>
          <w:p>
            <w:pPr>
              <w:spacing w:before="40" w:after="40" w:line="240" w:lineRule="auto"/>
              <w:jc w:val="left"/>
            </w:pPr>
            <w:r/>
            <w:r>
              <w:rPr>
                <w:rFonts w:ascii="Times New Roman" w:hAnsi="Times New Roman" w:eastAsia="Times New Roman"/>
                <w:b w:val="0"/>
                <w:sz w:val="16"/>
              </w:rPr>
              <w:t>Reaches the 90-day limit on the assumed closing date (Issue 19)</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(f)</w:t>
            </w:r>
          </w:p>
        </w:tc>
        <w:tc>
          <w:tcPr>
            <w:tcW w:type="dxa" w:w="3024"/>
          </w:tcPr>
          <w:p>
            <w:pPr>
              <w:spacing w:before="40" w:after="40" w:line="240" w:lineRule="auto"/>
              <w:jc w:val="left"/>
            </w:pPr>
            <w:r/>
            <w:r>
              <w:rPr>
                <w:rFonts w:ascii="Times New Roman" w:hAnsi="Times New Roman" w:eastAsia="Times New Roman"/>
                <w:b w:val="0"/>
                <w:sz w:val="16"/>
              </w:rPr>
              <w:t>Evidence of all required insurance, lender named</w:t>
            </w:r>
          </w:p>
        </w:tc>
        <w:tc>
          <w:tcPr>
            <w:tcW w:type="dxa" w:w="2736"/>
          </w:tcPr>
          <w:p>
            <w:pPr>
              <w:spacing w:before="40" w:after="40" w:line="240" w:lineRule="auto"/>
              <w:jc w:val="left"/>
            </w:pPr>
            <w:r/>
            <w:r>
              <w:rPr>
                <w:rFonts w:ascii="Times New Roman" w:hAnsi="Times New Roman" w:eastAsia="Times New Roman"/>
                <w:b w:val="0"/>
                <w:sz w:val="16"/>
              </w:rPr>
              <w:t>Not in the record</w:t>
            </w:r>
          </w:p>
        </w:tc>
        <w:tc>
          <w:tcPr>
            <w:tcW w:type="dxa" w:w="2520"/>
          </w:tcPr>
          <w:p>
            <w:pPr>
              <w:spacing w:before="40" w:after="40" w:line="240" w:lineRule="auto"/>
              <w:jc w:val="left"/>
            </w:pPr>
            <w:r/>
            <w:r>
              <w:rPr>
                <w:rFonts w:ascii="Times New Roman" w:hAnsi="Times New Roman" w:eastAsia="Times New Roman"/>
                <w:b w:val="0"/>
                <w:sz w:val="16"/>
              </w:rPr>
              <w:t>Includes $5,000,000 flood coverage in Zone X (Issue 23)</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(g)</w:t>
            </w:r>
          </w:p>
        </w:tc>
        <w:tc>
          <w:tcPr>
            <w:tcW w:type="dxa" w:w="3024"/>
          </w:tcPr>
          <w:p>
            <w:pPr>
              <w:spacing w:before="40" w:after="40" w:line="240" w:lineRule="auto"/>
              <w:jc w:val="left"/>
            </w:pPr>
            <w:r/>
            <w:r>
              <w:rPr>
                <w:rFonts w:ascii="Times New Roman" w:hAnsi="Times New Roman" w:eastAsia="Times New Roman"/>
                <w:b w:val="0"/>
                <w:sz w:val="16"/>
              </w:rPr>
              <w:t>Organizational documents, good standing certificates</w:t>
            </w:r>
          </w:p>
        </w:tc>
        <w:tc>
          <w:tcPr>
            <w:tcW w:type="dxa" w:w="2736"/>
          </w:tcPr>
          <w:p>
            <w:pPr>
              <w:spacing w:before="40" w:after="40" w:line="240" w:lineRule="auto"/>
              <w:jc w:val="left"/>
            </w:pPr>
            <w:r/>
            <w:r>
              <w:rPr>
                <w:rFonts w:ascii="Times New Roman" w:hAnsi="Times New Roman" w:eastAsia="Times New Roman"/>
                <w:b w:val="0"/>
                <w:sz w:val="16"/>
              </w:rPr>
              <w:t>Redacted summary only; no certificates</w:t>
            </w:r>
          </w:p>
        </w:tc>
        <w:tc>
          <w:tcPr>
            <w:tcW w:type="dxa" w:w="2520"/>
          </w:tcPr>
          <w:p>
            <w:pPr>
              <w:spacing w:before="40" w:after="40" w:line="240" w:lineRule="auto"/>
              <w:jc w:val="left"/>
            </w:pPr>
            <w:r/>
            <w:r>
              <w:rPr>
                <w:rFonts w:ascii="Times New Roman" w:hAnsi="Times New Roman" w:eastAsia="Times New Roman"/>
                <w:b w:val="0"/>
                <w:sz w:val="16"/>
              </w:rPr>
              <w:t>Issue 22</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(h)</w:t>
            </w:r>
          </w:p>
        </w:tc>
        <w:tc>
          <w:tcPr>
            <w:tcW w:type="dxa" w:w="3024"/>
          </w:tcPr>
          <w:p>
            <w:pPr>
              <w:spacing w:before="40" w:after="40" w:line="240" w:lineRule="auto"/>
              <w:jc w:val="left"/>
            </w:pPr>
            <w:r/>
            <w:r>
              <w:rPr>
                <w:rFonts w:ascii="Times New Roman" w:hAnsi="Times New Roman" w:eastAsia="Times New Roman"/>
                <w:b w:val="0"/>
                <w:sz w:val="16"/>
              </w:rPr>
              <w:t>Legal opinions of Borrower’s counsel (organization, authorization, enforceability, no conflicts)</w:t>
            </w:r>
          </w:p>
        </w:tc>
        <w:tc>
          <w:tcPr>
            <w:tcW w:type="dxa" w:w="2736"/>
          </w:tcPr>
          <w:p>
            <w:pPr>
              <w:spacing w:before="40" w:after="40" w:line="240" w:lineRule="auto"/>
              <w:jc w:val="left"/>
            </w:pPr>
            <w:r/>
            <w:r>
              <w:rPr>
                <w:rFonts w:ascii="Times New Roman" w:hAnsi="Times New Roman" w:eastAsia="Times New Roman"/>
                <w:b w:val="0"/>
                <w:sz w:val="16"/>
              </w:rPr>
              <w:t>Not in the record</w:t>
            </w:r>
          </w:p>
        </w:tc>
        <w:tc>
          <w:tcPr>
            <w:tcW w:type="dxa" w:w="2520"/>
          </w:tcPr>
          <w:p>
            <w:pPr>
              <w:spacing w:before="40" w:after="40" w:line="240" w:lineRule="auto"/>
              <w:jc w:val="left"/>
            </w:pPr>
            <w:r/>
            <w:r>
              <w:rPr>
                <w:rFonts w:ascii="Times New Roman" w:hAnsi="Times New Roman" w:eastAsia="Times New Roman"/>
                <w:b w:val="0"/>
                <w:sz w:val="16"/>
              </w:rPr>
              <w:t>Obtain before closing; note that the SPE amendment affects the authorization opinion</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(i)</w:t>
            </w:r>
          </w:p>
        </w:tc>
        <w:tc>
          <w:tcPr>
            <w:tcW w:type="dxa" w:w="3024"/>
          </w:tcPr>
          <w:p>
            <w:pPr>
              <w:spacing w:before="40" w:after="40" w:line="240" w:lineRule="auto"/>
              <w:jc w:val="left"/>
            </w:pPr>
            <w:r/>
            <w:r>
              <w:rPr>
                <w:rFonts w:ascii="Times New Roman" w:hAnsi="Times New Roman" w:eastAsia="Times New Roman"/>
                <w:b w:val="0"/>
                <w:sz w:val="16"/>
              </w:rPr>
              <w:t>Payment of origination fee, closing costs and Lender’s legal fees</w:t>
            </w:r>
          </w:p>
        </w:tc>
        <w:tc>
          <w:tcPr>
            <w:tcW w:type="dxa" w:w="2736"/>
          </w:tcPr>
          <w:p>
            <w:pPr>
              <w:spacing w:before="40" w:after="40" w:line="240" w:lineRule="auto"/>
              <w:jc w:val="left"/>
            </w:pPr>
            <w:r/>
            <w:r>
              <w:rPr>
                <w:rFonts w:ascii="Times New Roman" w:hAnsi="Times New Roman" w:eastAsia="Times New Roman"/>
                <w:b w:val="0"/>
                <w:sz w:val="16"/>
              </w:rPr>
              <w:t>Not evidenced</w:t>
            </w:r>
          </w:p>
        </w:tc>
        <w:tc>
          <w:tcPr>
            <w:tcW w:type="dxa" w:w="2520"/>
          </w:tcPr>
          <w:p>
            <w:pPr>
              <w:spacing w:before="40" w:after="40" w:line="240" w:lineRule="auto"/>
              <w:jc w:val="left"/>
            </w:pPr>
            <w:r/>
            <w:r>
              <w:rPr>
                <w:rFonts w:ascii="Times New Roman" w:hAnsi="Times New Roman" w:eastAsia="Times New Roman"/>
                <w:b w:val="0"/>
                <w:sz w:val="16"/>
              </w:rPr>
              <w:t>Funding gap at Issue 11 — $202,075 of known costs alone</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(j)</w:t>
            </w:r>
          </w:p>
        </w:tc>
        <w:tc>
          <w:tcPr>
            <w:tcW w:type="dxa" w:w="3024"/>
          </w:tcPr>
          <w:p>
            <w:pPr>
              <w:spacing w:before="40" w:after="40" w:line="240" w:lineRule="auto"/>
              <w:jc w:val="left"/>
            </w:pPr>
            <w:r/>
            <w:r>
              <w:rPr>
                <w:rFonts w:ascii="Times New Roman" w:hAnsi="Times New Roman" w:eastAsia="Times New Roman"/>
                <w:b w:val="0"/>
                <w:sz w:val="16"/>
              </w:rPr>
              <w:t>Estoppel certificates from all three tenants, dated within 30 days</w:t>
            </w:r>
          </w:p>
        </w:tc>
        <w:tc>
          <w:tcPr>
            <w:tcW w:type="dxa" w:w="2736"/>
          </w:tcPr>
          <w:p>
            <w:pPr>
              <w:spacing w:before="40" w:after="40" w:line="240" w:lineRule="auto"/>
              <w:jc w:val="left"/>
            </w:pPr>
            <w:r/>
            <w:r>
              <w:rPr>
                <w:rFonts w:ascii="Times New Roman" w:hAnsi="Times New Roman" w:eastAsia="Times New Roman"/>
                <w:b w:val="0"/>
                <w:sz w:val="16"/>
              </w:rPr>
              <w:t>Not obtained; Lowcountry under no obligation to give one</w:t>
            </w:r>
          </w:p>
        </w:tc>
        <w:tc>
          <w:tcPr>
            <w:tcW w:type="dxa" w:w="2520"/>
          </w:tcPr>
          <w:p>
            <w:pPr>
              <w:spacing w:before="40" w:after="40" w:line="240" w:lineRule="auto"/>
              <w:jc w:val="left"/>
            </w:pPr>
            <w:r/>
            <w:r>
              <w:rPr>
                <w:rFonts w:ascii="Times New Roman" w:hAnsi="Times New Roman" w:eastAsia="Times New Roman"/>
                <w:b w:val="0"/>
                <w:sz w:val="16"/>
              </w:rPr>
              <w:t>Issue 12 — principal closing risk</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(k)</w:t>
            </w:r>
          </w:p>
        </w:tc>
        <w:tc>
          <w:tcPr>
            <w:tcW w:type="dxa" w:w="3024"/>
          </w:tcPr>
          <w:p>
            <w:pPr>
              <w:spacing w:before="40" w:after="40" w:line="240" w:lineRule="auto"/>
              <w:jc w:val="left"/>
            </w:pPr>
            <w:r/>
            <w:r>
              <w:rPr>
                <w:rFonts w:ascii="Times New Roman" w:hAnsi="Times New Roman" w:eastAsia="Times New Roman"/>
                <w:b w:val="0"/>
                <w:sz w:val="16"/>
              </w:rPr>
              <w:t>SNDAs from all three tenants</w:t>
            </w:r>
          </w:p>
        </w:tc>
        <w:tc>
          <w:tcPr>
            <w:tcW w:type="dxa" w:w="2736"/>
          </w:tcPr>
          <w:p>
            <w:pPr>
              <w:spacing w:before="40" w:after="40" w:line="240" w:lineRule="auto"/>
              <w:jc w:val="left"/>
            </w:pPr>
            <w:r/>
            <w:r>
              <w:rPr>
                <w:rFonts w:ascii="Times New Roman" w:hAnsi="Times New Roman" w:eastAsia="Times New Roman"/>
                <w:b w:val="0"/>
                <w:sz w:val="16"/>
              </w:rPr>
              <w:t>Not obtained; Lowcountry lease contains no SNDA provision</w:t>
            </w:r>
          </w:p>
        </w:tc>
        <w:tc>
          <w:tcPr>
            <w:tcW w:type="dxa" w:w="2520"/>
          </w:tcPr>
          <w:p>
            <w:pPr>
              <w:spacing w:before="40" w:after="40" w:line="240" w:lineRule="auto"/>
              <w:jc w:val="left"/>
            </w:pPr>
            <w:r/>
            <w:r>
              <w:rPr>
                <w:rFonts w:ascii="Times New Roman" w:hAnsi="Times New Roman" w:eastAsia="Times New Roman"/>
                <w:b w:val="0"/>
                <w:sz w:val="16"/>
              </w:rPr>
              <w:t>Issue 12</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(l)</w:t>
            </w:r>
          </w:p>
        </w:tc>
        <w:tc>
          <w:tcPr>
            <w:tcW w:type="dxa" w:w="3024"/>
          </w:tcPr>
          <w:p>
            <w:pPr>
              <w:spacing w:before="40" w:after="40" w:line="240" w:lineRule="auto"/>
              <w:jc w:val="left"/>
            </w:pPr>
            <w:r/>
            <w:r>
              <w:rPr>
                <w:rFonts w:ascii="Times New Roman" w:hAnsi="Times New Roman" w:eastAsia="Times New Roman"/>
                <w:b w:val="0"/>
                <w:sz w:val="16"/>
              </w:rPr>
              <w:t>Complete copy of the executed construction contract with schedules and amendments</w:t>
            </w:r>
          </w:p>
        </w:tc>
        <w:tc>
          <w:tcPr>
            <w:tcW w:type="dxa" w:w="2736"/>
          </w:tcPr>
          <w:p>
            <w:pPr>
              <w:spacing w:before="40" w:after="40" w:line="240" w:lineRule="auto"/>
              <w:jc w:val="left"/>
            </w:pPr>
            <w:r/>
            <w:r>
              <w:rPr>
                <w:rFonts w:ascii="Times New Roman" w:hAnsi="Times New Roman" w:eastAsia="Times New Roman"/>
                <w:b w:val="0"/>
                <w:sz w:val="16"/>
              </w:rPr>
              <w:t>Not in the record</w:t>
            </w:r>
          </w:p>
        </w:tc>
        <w:tc>
          <w:tcPr>
            <w:tcW w:type="dxa" w:w="2520"/>
          </w:tcPr>
          <w:p>
            <w:pPr>
              <w:spacing w:before="40" w:after="40" w:line="240" w:lineRule="auto"/>
              <w:jc w:val="left"/>
            </w:pPr>
            <w:r/>
            <w:r>
              <w:rPr>
                <w:rFonts w:ascii="Times New Roman" w:hAnsi="Times New Roman" w:eastAsia="Times New Roman"/>
                <w:b w:val="0"/>
                <w:sz w:val="16"/>
              </w:rPr>
              <w:t>Also obtain the contractor’s consent to assignment (Issue 28)</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(m)</w:t>
            </w:r>
          </w:p>
        </w:tc>
        <w:tc>
          <w:tcPr>
            <w:tcW w:type="dxa" w:w="3024"/>
          </w:tcPr>
          <w:p>
            <w:pPr>
              <w:spacing w:before="40" w:after="40" w:line="240" w:lineRule="auto"/>
              <w:jc w:val="left"/>
            </w:pPr>
            <w:r/>
            <w:r>
              <w:rPr>
                <w:rFonts w:ascii="Times New Roman" w:hAnsi="Times New Roman" w:eastAsia="Times New Roman"/>
                <w:b w:val="0"/>
                <w:sz w:val="16"/>
              </w:rPr>
              <w:t>Receipt or evidence of the $6,200,000 equity contribution</w:t>
            </w:r>
          </w:p>
        </w:tc>
        <w:tc>
          <w:tcPr>
            <w:tcW w:type="dxa" w:w="2736"/>
          </w:tcPr>
          <w:p>
            <w:pPr>
              <w:spacing w:before="40" w:after="40" w:line="240" w:lineRule="auto"/>
              <w:jc w:val="left"/>
            </w:pPr>
            <w:r/>
            <w:r>
              <w:rPr>
                <w:rFonts w:ascii="Times New Roman" w:hAnsi="Times New Roman" w:eastAsia="Times New Roman"/>
                <w:b w:val="0"/>
                <w:sz w:val="16"/>
              </w:rPr>
              <w:t>Not evidenced</w:t>
            </w:r>
          </w:p>
        </w:tc>
        <w:tc>
          <w:tcPr>
            <w:tcW w:type="dxa" w:w="2520"/>
          </w:tcPr>
          <w:p>
            <w:pPr>
              <w:spacing w:before="40" w:after="40" w:line="240" w:lineRule="auto"/>
              <w:jc w:val="left"/>
            </w:pPr>
            <w:r/>
            <w:r>
              <w:rPr>
                <w:rFonts w:ascii="Times New Roman" w:hAnsi="Times New Roman" w:eastAsia="Times New Roman"/>
                <w:b w:val="0"/>
                <w:sz w:val="16"/>
              </w:rPr>
              <w:t>Confirm whether inclusive of closing costs (Issue 11)</w:t>
            </w:r>
          </w:p>
        </w:tc>
      </w:tr>
      <w:tr>
        <w:trPr>
          <w:cantSplit w:val="true"/>
        </w:trPr>
        <w:tc>
          <w:tcPr>
            <w:tcW w:type="dxa" w:w="1080"/>
          </w:tcPr>
          <w:p>
            <w:pPr>
              <w:spacing w:before="40" w:after="40" w:line="240" w:lineRule="auto"/>
              <w:jc w:val="left"/>
            </w:pPr>
            <w:r/>
            <w:r>
              <w:rPr>
                <w:rFonts w:ascii="Times New Roman" w:hAnsi="Times New Roman" w:eastAsia="Times New Roman"/>
                <w:b w:val="0"/>
                <w:sz w:val="16"/>
              </w:rPr>
              <w:t>(n)</w:t>
            </w:r>
          </w:p>
        </w:tc>
        <w:tc>
          <w:tcPr>
            <w:tcW w:type="dxa" w:w="3024"/>
          </w:tcPr>
          <w:p>
            <w:pPr>
              <w:spacing w:before="40" w:after="40" w:line="240" w:lineRule="auto"/>
              <w:jc w:val="left"/>
            </w:pPr>
            <w:r/>
            <w:r>
              <w:rPr>
                <w:rFonts w:ascii="Times New Roman" w:hAnsi="Times New Roman" w:eastAsia="Times New Roman"/>
                <w:b w:val="0"/>
                <w:sz w:val="16"/>
              </w:rPr>
              <w:t>Such other documents as Lender reasonably requires</w:t>
            </w:r>
          </w:p>
        </w:tc>
        <w:tc>
          <w:tcPr>
            <w:tcW w:type="dxa" w:w="2736"/>
          </w:tcPr>
          <w:p>
            <w:pPr>
              <w:spacing w:before="40" w:after="40" w:line="240" w:lineRule="auto"/>
              <w:jc w:val="left"/>
            </w:pPr>
            <w:r/>
            <w:r>
              <w:rPr>
                <w:rFonts w:ascii="Times New Roman" w:hAnsi="Times New Roman" w:eastAsia="Times New Roman"/>
                <w:b w:val="0"/>
                <w:sz w:val="16"/>
              </w:rPr>
              <w:t>Open-ended</w:t>
            </w:r>
          </w:p>
        </w:tc>
        <w:tc>
          <w:tcPr>
            <w:tcW w:type="dxa" w:w="2520"/>
          </w:tcPr>
          <w:p>
            <w:pPr>
              <w:spacing w:before="40" w:after="40" w:line="240" w:lineRule="auto"/>
              <w:jc w:val="left"/>
            </w:pPr>
            <w:r/>
            <w:r>
              <w:rPr>
                <w:rFonts w:ascii="Times New Roman" w:hAnsi="Times New Roman" w:eastAsia="Times New Roman"/>
                <w:b w:val="0"/>
                <w:sz w:val="16"/>
              </w:rPr>
              <w:t>SPE amendment (Issue 6), appraisal review (Issue 3), local counsel note (Issue 30)</w:t>
            </w:r>
          </w:p>
        </w:tc>
      </w:tr>
    </w:tbl>
    <w:p>
      <w:pPr>
        <w:pStyle w:val="Heading1"/>
        <w:keepNext/>
        <w:spacing w:before="320" w:after="120"/>
        <w:ind w:firstLine="0"/>
      </w:pPr>
      <w:r>
        <w:rPr>
          <w:rFonts w:ascii="Times New Roman" w:hAnsi="Times New Roman" w:eastAsia="Times New Roman"/>
          <w:b/>
          <w:color w:val="000000"/>
          <w:sz w:val="23"/>
        </w:rPr>
        <w:t>8.  Traceability: Term Sheet Provision to Mortgage</w:t>
      </w:r>
    </w:p>
    <w:p>
      <w:pPr>
        <w:keepNext w:val="0"/>
        <w:spacing w:before="0" w:after="120" w:line="240" w:lineRule="auto"/>
        <w:ind w:left="0"/>
        <w:jc w:val="both"/>
      </w:pPr>
      <w:r>
        <w:rPr>
          <w:rFonts w:ascii="Times New Roman" w:hAnsi="Times New Roman" w:eastAsia="Times New Roman"/>
          <w:b w:val="0"/>
          <w:i w:val="0"/>
          <w:sz w:val="22"/>
        </w:rPr>
        <w:t>The table demonstrates that every operative provision of the Term Sheet has been carried into the Mortgage or deliberately relocated or recorded as inapplicable. Provisions implemented in other Loan Documents are noted as such so that nothing is assumed to have been dropped.</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2340"/>
        <w:gridCol w:w="2340"/>
        <w:gridCol w:w="2340"/>
        <w:gridCol w:w="2340"/>
      </w:tblGrid>
      <w:tr>
        <w:trPr>
          <w:cantSplit w:val="true"/>
          <w:tblHeader w:val="true"/>
        </w:trPr>
        <w:tc>
          <w:tcPr>
            <w:tcW w:type="dxa" w:w="1512"/>
            <w:shd w:val="clear" w:color="auto" w:fill="DCE3EA"/>
          </w:tcPr>
          <w:p>
            <w:pPr>
              <w:spacing w:before="40" w:after="40" w:line="240" w:lineRule="auto"/>
              <w:jc w:val="left"/>
            </w:pPr>
            <w:r/>
            <w:r>
              <w:rPr>
                <w:rFonts w:ascii="Times New Roman" w:hAnsi="Times New Roman" w:eastAsia="Times New Roman"/>
                <w:b/>
                <w:sz w:val="15"/>
              </w:rPr>
              <w:t>Term Sheet</w:t>
            </w:r>
          </w:p>
        </w:tc>
        <w:tc>
          <w:tcPr>
            <w:tcW w:type="dxa" w:w="2952"/>
            <w:shd w:val="clear" w:color="auto" w:fill="DCE3EA"/>
          </w:tcPr>
          <w:p>
            <w:pPr>
              <w:spacing w:before="40" w:after="40" w:line="240" w:lineRule="auto"/>
              <w:jc w:val="left"/>
            </w:pPr>
            <w:r/>
            <w:r>
              <w:rPr>
                <w:rFonts w:ascii="Times New Roman" w:hAnsi="Times New Roman" w:eastAsia="Times New Roman"/>
                <w:b/>
                <w:sz w:val="15"/>
              </w:rPr>
              <w:t>Subject</w:t>
            </w:r>
          </w:p>
        </w:tc>
        <w:tc>
          <w:tcPr>
            <w:tcW w:type="dxa" w:w="2448"/>
            <w:shd w:val="clear" w:color="auto" w:fill="DCE3EA"/>
          </w:tcPr>
          <w:p>
            <w:pPr>
              <w:spacing w:before="40" w:after="40" w:line="240" w:lineRule="auto"/>
              <w:jc w:val="left"/>
            </w:pPr>
            <w:r/>
            <w:r>
              <w:rPr>
                <w:rFonts w:ascii="Times New Roman" w:hAnsi="Times New Roman" w:eastAsia="Times New Roman"/>
                <w:b/>
                <w:sz w:val="15"/>
              </w:rPr>
              <w:t>Mortgage provision</w:t>
            </w:r>
          </w:p>
        </w:tc>
        <w:tc>
          <w:tcPr>
            <w:tcW w:type="dxa" w:w="2448"/>
            <w:shd w:val="clear" w:color="auto" w:fill="DCE3EA"/>
          </w:tcPr>
          <w:p>
            <w:pPr>
              <w:spacing w:before="40" w:after="40" w:line="240" w:lineRule="auto"/>
              <w:jc w:val="left"/>
            </w:pPr>
            <w:r/>
            <w:r>
              <w:rPr>
                <w:rFonts w:ascii="Times New Roman" w:hAnsi="Times New Roman" w:eastAsia="Times New Roman"/>
                <w:b/>
                <w:sz w:val="15"/>
              </w:rPr>
              <w:t>Treatment</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§1.1–1.4</w:t>
            </w:r>
          </w:p>
        </w:tc>
        <w:tc>
          <w:tcPr>
            <w:tcW w:type="dxa" w:w="2952"/>
          </w:tcPr>
          <w:p>
            <w:pPr>
              <w:spacing w:before="40" w:after="40" w:line="240" w:lineRule="auto"/>
              <w:jc w:val="left"/>
            </w:pPr>
            <w:r/>
            <w:r>
              <w:rPr>
                <w:rFonts w:ascii="Times New Roman" w:hAnsi="Times New Roman" w:eastAsia="Times New Roman"/>
                <w:b w:val="0"/>
                <w:sz w:val="15"/>
              </w:rPr>
              <w:t>Parties; guarantor; members</w:t>
            </w:r>
          </w:p>
        </w:tc>
        <w:tc>
          <w:tcPr>
            <w:tcW w:type="dxa" w:w="2448"/>
          </w:tcPr>
          <w:p>
            <w:pPr>
              <w:spacing w:before="40" w:after="40" w:line="240" w:lineRule="auto"/>
              <w:jc w:val="left"/>
            </w:pPr>
            <w:r/>
            <w:r>
              <w:rPr>
                <w:rFonts w:ascii="Times New Roman" w:hAnsi="Times New Roman" w:eastAsia="Times New Roman"/>
                <w:b w:val="0"/>
                <w:sz w:val="15"/>
              </w:rPr>
              <w:t>Recitals; 3.1; 13.4</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§2.1</w:t>
            </w:r>
          </w:p>
        </w:tc>
        <w:tc>
          <w:tcPr>
            <w:tcW w:type="dxa" w:w="2952"/>
          </w:tcPr>
          <w:p>
            <w:pPr>
              <w:spacing w:before="40" w:after="40" w:line="240" w:lineRule="auto"/>
              <w:jc w:val="left"/>
            </w:pPr>
            <w:r/>
            <w:r>
              <w:rPr>
                <w:rFonts w:ascii="Times New Roman" w:hAnsi="Times New Roman" w:eastAsia="Times New Roman"/>
                <w:b w:val="0"/>
                <w:sz w:val="15"/>
              </w:rPr>
              <w:t>Property; legal description; Anson Lane</w:t>
            </w:r>
          </w:p>
        </w:tc>
        <w:tc>
          <w:tcPr>
            <w:tcW w:type="dxa" w:w="2448"/>
          </w:tcPr>
          <w:p>
            <w:pPr>
              <w:spacing w:before="40" w:after="40" w:line="240" w:lineRule="auto"/>
              <w:jc w:val="left"/>
            </w:pPr>
            <w:r/>
            <w:r>
              <w:rPr>
                <w:rFonts w:ascii="Times New Roman" w:hAnsi="Times New Roman" w:eastAsia="Times New Roman"/>
                <w:b w:val="0"/>
                <w:sz w:val="15"/>
              </w:rPr>
              <w:t>2.1; Exhibit A; 3.3; 3.4</w:t>
            </w:r>
          </w:p>
        </w:tc>
        <w:tc>
          <w:tcPr>
            <w:tcW w:type="dxa" w:w="2448"/>
          </w:tcPr>
          <w:p>
            <w:pPr>
              <w:spacing w:before="40" w:after="40" w:line="240" w:lineRule="auto"/>
              <w:jc w:val="left"/>
            </w:pPr>
            <w:r/>
            <w:r>
              <w:rPr>
                <w:rFonts w:ascii="Times New Roman" w:hAnsi="Times New Roman" w:eastAsia="Times New Roman"/>
                <w:b w:val="0"/>
                <w:sz w:val="15"/>
              </w:rPr>
              <w:t>Carried, with quitclaim issue flagged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§2.2</w:t>
            </w:r>
          </w:p>
        </w:tc>
        <w:tc>
          <w:tcPr>
            <w:tcW w:type="dxa" w:w="2952"/>
          </w:tcPr>
          <w:p>
            <w:pPr>
              <w:spacing w:before="40" w:after="40" w:line="240" w:lineRule="auto"/>
              <w:jc w:val="left"/>
            </w:pPr>
            <w:r/>
            <w:r>
              <w:rPr>
                <w:rFonts w:ascii="Times New Roman" w:hAnsi="Times New Roman" w:eastAsia="Times New Roman"/>
                <w:b w:val="0"/>
                <w:sz w:val="15"/>
              </w:rPr>
              <w:t>Improvements; area; zoning</w:t>
            </w:r>
          </w:p>
        </w:tc>
        <w:tc>
          <w:tcPr>
            <w:tcW w:type="dxa" w:w="2448"/>
          </w:tcPr>
          <w:p>
            <w:pPr>
              <w:spacing w:before="40" w:after="40" w:line="240" w:lineRule="auto"/>
              <w:jc w:val="left"/>
            </w:pPr>
            <w:r/>
            <w:r>
              <w:rPr>
                <w:rFonts w:ascii="Times New Roman" w:hAnsi="Times New Roman" w:eastAsia="Times New Roman"/>
                <w:b w:val="0"/>
                <w:sz w:val="15"/>
              </w:rPr>
              <w:t>1.1 (Improvements); 3.6</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§2.3</w:t>
            </w:r>
          </w:p>
        </w:tc>
        <w:tc>
          <w:tcPr>
            <w:tcW w:type="dxa" w:w="2952"/>
          </w:tcPr>
          <w:p>
            <w:pPr>
              <w:spacing w:before="40" w:after="40" w:line="240" w:lineRule="auto"/>
              <w:jc w:val="left"/>
            </w:pPr>
            <w:r/>
            <w:r>
              <w:rPr>
                <w:rFonts w:ascii="Times New Roman" w:hAnsi="Times New Roman" w:eastAsia="Times New Roman"/>
                <w:b w:val="0"/>
                <w:sz w:val="15"/>
              </w:rPr>
              <w:t>Existing tenancies; occupancy</w:t>
            </w:r>
          </w:p>
        </w:tc>
        <w:tc>
          <w:tcPr>
            <w:tcW w:type="dxa" w:w="2448"/>
          </w:tcPr>
          <w:p>
            <w:pPr>
              <w:spacing w:before="40" w:after="40" w:line="240" w:lineRule="auto"/>
              <w:jc w:val="left"/>
            </w:pPr>
            <w:r/>
            <w:r>
              <w:rPr>
                <w:rFonts w:ascii="Times New Roman" w:hAnsi="Times New Roman" w:eastAsia="Times New Roman"/>
                <w:b w:val="0"/>
                <w:sz w:val="15"/>
              </w:rPr>
              <w:t>3.5; 5.5; Exhibit D</w:t>
            </w:r>
          </w:p>
        </w:tc>
        <w:tc>
          <w:tcPr>
            <w:tcW w:type="dxa" w:w="2448"/>
          </w:tcPr>
          <w:p>
            <w:pPr>
              <w:spacing w:before="40" w:after="40" w:line="240" w:lineRule="auto"/>
              <w:jc w:val="left"/>
            </w:pPr>
            <w:r/>
            <w:r>
              <w:rPr>
                <w:rFonts w:ascii="Times New Roman" w:hAnsi="Times New Roman" w:eastAsia="Times New Roman"/>
                <w:b w:val="0"/>
                <w:sz w:val="15"/>
              </w:rPr>
              <w:t>Carried; occupancy corrected to 56.13%</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§2.4</w:t>
            </w:r>
          </w:p>
        </w:tc>
        <w:tc>
          <w:tcPr>
            <w:tcW w:type="dxa" w:w="2952"/>
          </w:tcPr>
          <w:p>
            <w:pPr>
              <w:spacing w:before="40" w:after="40" w:line="240" w:lineRule="auto"/>
              <w:jc w:val="left"/>
            </w:pPr>
            <w:r/>
            <w:r>
              <w:rPr>
                <w:rFonts w:ascii="Times New Roman" w:hAnsi="Times New Roman" w:eastAsia="Times New Roman"/>
                <w:b w:val="0"/>
                <w:sz w:val="15"/>
              </w:rPr>
              <w:t>Appraised value</w:t>
            </w:r>
          </w:p>
        </w:tc>
        <w:tc>
          <w:tcPr>
            <w:tcW w:type="dxa" w:w="2448"/>
          </w:tcPr>
          <w:p>
            <w:pPr>
              <w:spacing w:before="40" w:after="40" w:line="240" w:lineRule="auto"/>
              <w:jc w:val="left"/>
            </w:pPr>
            <w:r/>
            <w:r>
              <w:rPr>
                <w:rFonts w:ascii="Times New Roman" w:hAnsi="Times New Roman" w:eastAsia="Times New Roman"/>
                <w:b w:val="0"/>
                <w:sz w:val="15"/>
              </w:rPr>
              <w:t>Not operative in the Mortgage</w:t>
            </w:r>
          </w:p>
        </w:tc>
        <w:tc>
          <w:tcPr>
            <w:tcW w:type="dxa" w:w="2448"/>
          </w:tcPr>
          <w:p>
            <w:pPr>
              <w:spacing w:before="40" w:after="40" w:line="240" w:lineRule="auto"/>
              <w:jc w:val="left"/>
            </w:pPr>
            <w:r/>
            <w:r>
              <w:rPr>
                <w:rFonts w:ascii="Times New Roman" w:hAnsi="Times New Roman" w:eastAsia="Times New Roman"/>
                <w:b w:val="0"/>
                <w:sz w:val="15"/>
              </w:rPr>
              <w:t>Relied on for credit only; Issue 3</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§3.1–3.3</w:t>
            </w:r>
          </w:p>
        </w:tc>
        <w:tc>
          <w:tcPr>
            <w:tcW w:type="dxa" w:w="2952"/>
          </w:tcPr>
          <w:p>
            <w:pPr>
              <w:spacing w:before="40" w:after="40" w:line="240" w:lineRule="auto"/>
              <w:jc w:val="left"/>
            </w:pPr>
            <w:r/>
            <w:r>
              <w:rPr>
                <w:rFonts w:ascii="Times New Roman" w:hAnsi="Times New Roman" w:eastAsia="Times New Roman"/>
                <w:b w:val="0"/>
                <w:sz w:val="15"/>
              </w:rPr>
              <w:t>Loan amount; purpose; initial advance; holdback</w:t>
            </w:r>
          </w:p>
        </w:tc>
        <w:tc>
          <w:tcPr>
            <w:tcW w:type="dxa" w:w="2448"/>
          </w:tcPr>
          <w:p>
            <w:pPr>
              <w:spacing w:before="40" w:after="40" w:line="240" w:lineRule="auto"/>
              <w:jc w:val="left"/>
            </w:pPr>
            <w:r/>
            <w:r>
              <w:rPr>
                <w:rFonts w:ascii="Times New Roman" w:hAnsi="Times New Roman" w:eastAsia="Times New Roman"/>
                <w:b w:val="0"/>
                <w:sz w:val="15"/>
              </w:rPr>
              <w:t>4.1; 9.1; Recitals B–C</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§3.4</w:t>
            </w:r>
          </w:p>
        </w:tc>
        <w:tc>
          <w:tcPr>
            <w:tcW w:type="dxa" w:w="2952"/>
          </w:tcPr>
          <w:p>
            <w:pPr>
              <w:spacing w:before="40" w:after="40" w:line="240" w:lineRule="auto"/>
              <w:jc w:val="left"/>
            </w:pPr>
            <w:r/>
            <w:r>
              <w:rPr>
                <w:rFonts w:ascii="Times New Roman" w:hAnsi="Times New Roman" w:eastAsia="Times New Roman"/>
                <w:b w:val="0"/>
                <w:sz w:val="15"/>
              </w:rPr>
              <w:t>Total project cost; equity; budget</w:t>
            </w:r>
          </w:p>
        </w:tc>
        <w:tc>
          <w:tcPr>
            <w:tcW w:type="dxa" w:w="2448"/>
          </w:tcPr>
          <w:p>
            <w:pPr>
              <w:spacing w:before="40" w:after="40" w:line="240" w:lineRule="auto"/>
              <w:jc w:val="left"/>
            </w:pPr>
            <w:r/>
            <w:r>
              <w:rPr>
                <w:rFonts w:ascii="Times New Roman" w:hAnsi="Times New Roman" w:eastAsia="Times New Roman"/>
                <w:b w:val="0"/>
                <w:sz w:val="15"/>
              </w:rPr>
              <w:t>Exhibit B; 9.2; 9.6</w:t>
            </w:r>
          </w:p>
        </w:tc>
        <w:tc>
          <w:tcPr>
            <w:tcW w:type="dxa" w:w="2448"/>
          </w:tcPr>
          <w:p>
            <w:pPr>
              <w:spacing w:before="40" w:after="40" w:line="240" w:lineRule="auto"/>
              <w:jc w:val="left"/>
            </w:pPr>
            <w:r/>
            <w:r>
              <w:rPr>
                <w:rFonts w:ascii="Times New Roman" w:hAnsi="Times New Roman" w:eastAsia="Times New Roman"/>
                <w:b w:val="0"/>
                <w:sz w:val="15"/>
              </w:rPr>
              <w:t>Carried; funding gap flagged (Issue 11)</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§3.5</w:t>
            </w:r>
          </w:p>
        </w:tc>
        <w:tc>
          <w:tcPr>
            <w:tcW w:type="dxa" w:w="2952"/>
          </w:tcPr>
          <w:p>
            <w:pPr>
              <w:spacing w:before="40" w:after="40" w:line="240" w:lineRule="auto"/>
              <w:jc w:val="left"/>
            </w:pPr>
            <w:r/>
            <w:r>
              <w:rPr>
                <w:rFonts w:ascii="Times New Roman" w:hAnsi="Times New Roman" w:eastAsia="Times New Roman"/>
                <w:b w:val="0"/>
                <w:sz w:val="15"/>
              </w:rPr>
              <w:t>Loan metrics</w:t>
            </w:r>
          </w:p>
        </w:tc>
        <w:tc>
          <w:tcPr>
            <w:tcW w:type="dxa" w:w="2448"/>
          </w:tcPr>
          <w:p>
            <w:pPr>
              <w:spacing w:before="40" w:after="40" w:line="240" w:lineRule="auto"/>
              <w:jc w:val="left"/>
            </w:pPr>
            <w:r/>
            <w:r>
              <w:rPr>
                <w:rFonts w:ascii="Times New Roman" w:hAnsi="Times New Roman" w:eastAsia="Times New Roman"/>
                <w:b w:val="0"/>
                <w:sz w:val="15"/>
              </w:rPr>
              <w:t>Not operative</w:t>
            </w:r>
          </w:p>
        </w:tc>
        <w:tc>
          <w:tcPr>
            <w:tcW w:type="dxa" w:w="2448"/>
          </w:tcPr>
          <w:p>
            <w:pPr>
              <w:spacing w:before="40" w:after="40" w:line="240" w:lineRule="auto"/>
              <w:jc w:val="left"/>
            </w:pPr>
            <w:r/>
            <w:r>
              <w:rPr>
                <w:rFonts w:ascii="Times New Roman" w:hAnsi="Times New Roman" w:eastAsia="Times New Roman"/>
                <w:b w:val="0"/>
                <w:sz w:val="15"/>
              </w:rPr>
              <w:t>Recomputed at Section 5; Issues 1 and 3</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§3.6</w:t>
            </w:r>
          </w:p>
        </w:tc>
        <w:tc>
          <w:tcPr>
            <w:tcW w:type="dxa" w:w="2952"/>
          </w:tcPr>
          <w:p>
            <w:pPr>
              <w:spacing w:before="40" w:after="40" w:line="240" w:lineRule="auto"/>
              <w:jc w:val="left"/>
            </w:pPr>
            <w:r/>
            <w:r>
              <w:rPr>
                <w:rFonts w:ascii="Times New Roman" w:hAnsi="Times New Roman" w:eastAsia="Times New Roman"/>
                <w:b w:val="0"/>
                <w:sz w:val="15"/>
              </w:rPr>
              <w:t>Interest rate; Daily SOFR; floor</w:t>
            </w:r>
          </w:p>
        </w:tc>
        <w:tc>
          <w:tcPr>
            <w:tcW w:type="dxa" w:w="2448"/>
          </w:tcPr>
          <w:p>
            <w:pPr>
              <w:spacing w:before="40" w:after="40" w:line="240" w:lineRule="auto"/>
              <w:jc w:val="left"/>
            </w:pPr>
            <w:r/>
            <w:r>
              <w:rPr>
                <w:rFonts w:ascii="Times New Roman" w:hAnsi="Times New Roman" w:eastAsia="Times New Roman"/>
                <w:b w:val="0"/>
                <w:sz w:val="15"/>
              </w:rPr>
              <w:t>4.2; 4.2(c)</w:t>
            </w:r>
          </w:p>
        </w:tc>
        <w:tc>
          <w:tcPr>
            <w:tcW w:type="dxa" w:w="2448"/>
          </w:tcPr>
          <w:p>
            <w:pPr>
              <w:spacing w:before="40" w:after="40" w:line="240" w:lineRule="auto"/>
              <w:jc w:val="left"/>
            </w:pPr>
            <w:r/>
            <w:r>
              <w:rPr>
                <w:rFonts w:ascii="Times New Roman" w:hAnsi="Times New Roman" w:eastAsia="Times New Roman"/>
                <w:b w:val="0"/>
                <w:sz w:val="15"/>
              </w:rPr>
              <w:t>Carried; convention confirmed at Issue 20</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§3.7</w:t>
            </w:r>
          </w:p>
        </w:tc>
        <w:tc>
          <w:tcPr>
            <w:tcW w:type="dxa" w:w="2952"/>
          </w:tcPr>
          <w:p>
            <w:pPr>
              <w:spacing w:before="40" w:after="40" w:line="240" w:lineRule="auto"/>
              <w:jc w:val="left"/>
            </w:pPr>
            <w:r/>
            <w:r>
              <w:rPr>
                <w:rFonts w:ascii="Times New Roman" w:hAnsi="Times New Roman" w:eastAsia="Times New Roman"/>
                <w:b w:val="0"/>
                <w:sz w:val="15"/>
              </w:rPr>
              <w:t>Default rate</w:t>
            </w:r>
          </w:p>
        </w:tc>
        <w:tc>
          <w:tcPr>
            <w:tcW w:type="dxa" w:w="2448"/>
          </w:tcPr>
          <w:p>
            <w:pPr>
              <w:spacing w:before="40" w:after="40" w:line="240" w:lineRule="auto"/>
              <w:jc w:val="left"/>
            </w:pPr>
            <w:r/>
            <w:r>
              <w:rPr>
                <w:rFonts w:ascii="Times New Roman" w:hAnsi="Times New Roman" w:eastAsia="Times New Roman"/>
                <w:b w:val="0"/>
                <w:sz w:val="15"/>
              </w:rPr>
              <w:t>4.5</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§3.8</w:t>
            </w:r>
          </w:p>
        </w:tc>
        <w:tc>
          <w:tcPr>
            <w:tcW w:type="dxa" w:w="2952"/>
          </w:tcPr>
          <w:p>
            <w:pPr>
              <w:spacing w:before="40" w:after="40" w:line="240" w:lineRule="auto"/>
              <w:jc w:val="left"/>
            </w:pPr>
            <w:r/>
            <w:r>
              <w:rPr>
                <w:rFonts w:ascii="Times New Roman" w:hAnsi="Times New Roman" w:eastAsia="Times New Roman"/>
                <w:b w:val="0"/>
                <w:sz w:val="15"/>
              </w:rPr>
              <w:t>Maturity</w:t>
            </w:r>
          </w:p>
        </w:tc>
        <w:tc>
          <w:tcPr>
            <w:tcW w:type="dxa" w:w="2448"/>
          </w:tcPr>
          <w:p>
            <w:pPr>
              <w:spacing w:before="40" w:after="40" w:line="240" w:lineRule="auto"/>
              <w:jc w:val="left"/>
            </w:pPr>
            <w:r/>
            <w:r>
              <w:rPr>
                <w:rFonts w:ascii="Times New Roman" w:hAnsi="Times New Roman" w:eastAsia="Times New Roman"/>
                <w:b w:val="0"/>
                <w:sz w:val="15"/>
              </w:rPr>
              <w:t>4.3; 1.1</w:t>
            </w:r>
          </w:p>
        </w:tc>
        <w:tc>
          <w:tcPr>
            <w:tcW w:type="dxa" w:w="2448"/>
          </w:tcPr>
          <w:p>
            <w:pPr>
              <w:spacing w:before="40" w:after="40" w:line="240" w:lineRule="auto"/>
              <w:jc w:val="left"/>
            </w:pPr>
            <w:r/>
            <w:r>
              <w:rPr>
                <w:rFonts w:ascii="Times New Roman" w:hAnsi="Times New Roman" w:eastAsia="Times New Roman"/>
                <w:b w:val="0"/>
                <w:sz w:val="15"/>
              </w:rPr>
              <w:t>Carried; date arithmetic at Issue 16</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§3.9</w:t>
            </w:r>
          </w:p>
        </w:tc>
        <w:tc>
          <w:tcPr>
            <w:tcW w:type="dxa" w:w="2952"/>
          </w:tcPr>
          <w:p>
            <w:pPr>
              <w:spacing w:before="40" w:after="40" w:line="240" w:lineRule="auto"/>
              <w:jc w:val="left"/>
            </w:pPr>
            <w:r/>
            <w:r>
              <w:rPr>
                <w:rFonts w:ascii="Times New Roman" w:hAnsi="Times New Roman" w:eastAsia="Times New Roman"/>
                <w:b w:val="0"/>
                <w:sz w:val="15"/>
              </w:rPr>
              <w:t>Amortization; interest-only period</w:t>
            </w:r>
          </w:p>
        </w:tc>
        <w:tc>
          <w:tcPr>
            <w:tcW w:type="dxa" w:w="2448"/>
          </w:tcPr>
          <w:p>
            <w:pPr>
              <w:spacing w:before="40" w:after="40" w:line="240" w:lineRule="auto"/>
              <w:jc w:val="left"/>
            </w:pPr>
            <w:r/>
            <w:r>
              <w:rPr>
                <w:rFonts w:ascii="Times New Roman" w:hAnsi="Times New Roman" w:eastAsia="Times New Roman"/>
                <w:b w:val="0"/>
                <w:sz w:val="15"/>
              </w:rPr>
              <w:t>4.3</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§3.10</w:t>
            </w:r>
          </w:p>
        </w:tc>
        <w:tc>
          <w:tcPr>
            <w:tcW w:type="dxa" w:w="2952"/>
          </w:tcPr>
          <w:p>
            <w:pPr>
              <w:spacing w:before="40" w:after="40" w:line="240" w:lineRule="auto"/>
              <w:jc w:val="left"/>
            </w:pPr>
            <w:r/>
            <w:r>
              <w:rPr>
                <w:rFonts w:ascii="Times New Roman" w:hAnsi="Times New Roman" w:eastAsia="Times New Roman"/>
                <w:b w:val="0"/>
                <w:sz w:val="15"/>
              </w:rPr>
              <w:t>Payment date</w:t>
            </w:r>
          </w:p>
        </w:tc>
        <w:tc>
          <w:tcPr>
            <w:tcW w:type="dxa" w:w="2448"/>
          </w:tcPr>
          <w:p>
            <w:pPr>
              <w:spacing w:before="40" w:after="40" w:line="240" w:lineRule="auto"/>
              <w:jc w:val="left"/>
            </w:pPr>
            <w:r/>
            <w:r>
              <w:rPr>
                <w:rFonts w:ascii="Times New Roman" w:hAnsi="Times New Roman" w:eastAsia="Times New Roman"/>
                <w:b w:val="0"/>
                <w:sz w:val="15"/>
              </w:rPr>
              <w:t>4.3; 4.4</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§3.11</w:t>
            </w:r>
          </w:p>
        </w:tc>
        <w:tc>
          <w:tcPr>
            <w:tcW w:type="dxa" w:w="2952"/>
          </w:tcPr>
          <w:p>
            <w:pPr>
              <w:spacing w:before="40" w:after="40" w:line="240" w:lineRule="auto"/>
              <w:jc w:val="left"/>
            </w:pPr>
            <w:r/>
            <w:r>
              <w:rPr>
                <w:rFonts w:ascii="Times New Roman" w:hAnsi="Times New Roman" w:eastAsia="Times New Roman"/>
                <w:b w:val="0"/>
                <w:sz w:val="15"/>
              </w:rPr>
              <w:t>Late charge</w:t>
            </w:r>
          </w:p>
        </w:tc>
        <w:tc>
          <w:tcPr>
            <w:tcW w:type="dxa" w:w="2448"/>
          </w:tcPr>
          <w:p>
            <w:pPr>
              <w:spacing w:before="40" w:after="40" w:line="240" w:lineRule="auto"/>
              <w:jc w:val="left"/>
            </w:pPr>
            <w:r/>
            <w:r>
              <w:rPr>
                <w:rFonts w:ascii="Times New Roman" w:hAnsi="Times New Roman" w:eastAsia="Times New Roman"/>
                <w:b w:val="0"/>
                <w:sz w:val="15"/>
              </w:rPr>
              <w:t>4.6</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§4.1–4.3</w:t>
            </w:r>
          </w:p>
        </w:tc>
        <w:tc>
          <w:tcPr>
            <w:tcW w:type="dxa" w:w="2952"/>
          </w:tcPr>
          <w:p>
            <w:pPr>
              <w:spacing w:before="40" w:after="40" w:line="240" w:lineRule="auto"/>
              <w:jc w:val="left"/>
            </w:pPr>
            <w:r/>
            <w:r>
              <w:rPr>
                <w:rFonts w:ascii="Times New Roman" w:hAnsi="Times New Roman" w:eastAsia="Times New Roman"/>
                <w:b w:val="0"/>
                <w:sz w:val="15"/>
              </w:rPr>
              <w:t>Lockout; yield maintenance; open period</w:t>
            </w:r>
          </w:p>
        </w:tc>
        <w:tc>
          <w:tcPr>
            <w:tcW w:type="dxa" w:w="2448"/>
          </w:tcPr>
          <w:p>
            <w:pPr>
              <w:spacing w:before="40" w:after="40" w:line="240" w:lineRule="auto"/>
              <w:jc w:val="left"/>
            </w:pPr>
            <w:r/>
            <w:r>
              <w:rPr>
                <w:rFonts w:ascii="Times New Roman" w:hAnsi="Times New Roman" w:eastAsia="Times New Roman"/>
                <w:b w:val="0"/>
                <w:sz w:val="15"/>
              </w:rPr>
              <w:t>4.7(a)–(e)</w:t>
            </w:r>
          </w:p>
        </w:tc>
        <w:tc>
          <w:tcPr>
            <w:tcW w:type="dxa" w:w="2448"/>
          </w:tcPr>
          <w:p>
            <w:pPr>
              <w:spacing w:before="40" w:after="40" w:line="240" w:lineRule="auto"/>
              <w:jc w:val="left"/>
            </w:pPr>
            <w:r/>
            <w:r>
              <w:rPr>
                <w:rFonts w:ascii="Times New Roman" w:hAnsi="Times New Roman" w:eastAsia="Times New Roman"/>
                <w:b w:val="0"/>
                <w:sz w:val="15"/>
              </w:rPr>
              <w:t>Carried with formula completed (Issue 8)</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§5.1</w:t>
            </w:r>
          </w:p>
        </w:tc>
        <w:tc>
          <w:tcPr>
            <w:tcW w:type="dxa" w:w="2952"/>
          </w:tcPr>
          <w:p>
            <w:pPr>
              <w:spacing w:before="40" w:after="40" w:line="240" w:lineRule="auto"/>
              <w:jc w:val="left"/>
            </w:pPr>
            <w:r/>
            <w:r>
              <w:rPr>
                <w:rFonts w:ascii="Times New Roman" w:hAnsi="Times New Roman" w:eastAsia="Times New Roman"/>
                <w:b w:val="0"/>
                <w:sz w:val="15"/>
              </w:rPr>
              <w:t>Mortgage collateral description</w:t>
            </w:r>
          </w:p>
        </w:tc>
        <w:tc>
          <w:tcPr>
            <w:tcW w:type="dxa" w:w="2448"/>
          </w:tcPr>
          <w:p>
            <w:pPr>
              <w:spacing w:before="40" w:after="40" w:line="240" w:lineRule="auto"/>
              <w:jc w:val="left"/>
            </w:pPr>
            <w:r/>
            <w:r>
              <w:rPr>
                <w:rFonts w:ascii="Times New Roman" w:hAnsi="Times New Roman" w:eastAsia="Times New Roman"/>
                <w:b w:val="0"/>
                <w:sz w:val="15"/>
              </w:rPr>
              <w:t>2.1–2.5; 2.6</w:t>
            </w:r>
          </w:p>
        </w:tc>
        <w:tc>
          <w:tcPr>
            <w:tcW w:type="dxa" w:w="2448"/>
          </w:tcPr>
          <w:p>
            <w:pPr>
              <w:spacing w:before="40" w:after="40" w:line="240" w:lineRule="auto"/>
              <w:jc w:val="left"/>
            </w:pPr>
            <w:r/>
            <w:r>
              <w:rPr>
                <w:rFonts w:ascii="Times New Roman" w:hAnsi="Times New Roman" w:eastAsia="Times New Roman"/>
                <w:b w:val="0"/>
                <w:sz w:val="15"/>
              </w:rPr>
              <w:t>Carried; as-extracted collateral inapplicable</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§5.2</w:t>
            </w:r>
          </w:p>
        </w:tc>
        <w:tc>
          <w:tcPr>
            <w:tcW w:type="dxa" w:w="2952"/>
          </w:tcPr>
          <w:p>
            <w:pPr>
              <w:spacing w:before="40" w:after="40" w:line="240" w:lineRule="auto"/>
              <w:jc w:val="left"/>
            </w:pPr>
            <w:r/>
            <w:r>
              <w:rPr>
                <w:rFonts w:ascii="Times New Roman" w:hAnsi="Times New Roman" w:eastAsia="Times New Roman"/>
                <w:b w:val="0"/>
                <w:sz w:val="15"/>
              </w:rPr>
              <w:t>Assignment of leases and rents</w:t>
            </w:r>
          </w:p>
        </w:tc>
        <w:tc>
          <w:tcPr>
            <w:tcW w:type="dxa" w:w="2448"/>
          </w:tcPr>
          <w:p>
            <w:pPr>
              <w:spacing w:before="40" w:after="40" w:line="240" w:lineRule="auto"/>
              <w:jc w:val="left"/>
            </w:pPr>
            <w:r/>
            <w:r>
              <w:rPr>
                <w:rFonts w:ascii="Times New Roman" w:hAnsi="Times New Roman" w:eastAsia="Times New Roman"/>
                <w:b w:val="0"/>
                <w:sz w:val="15"/>
              </w:rPr>
              <w:t>Article 5 (absolute assignment)</w:t>
            </w:r>
          </w:p>
        </w:tc>
        <w:tc>
          <w:tcPr>
            <w:tcW w:type="dxa" w:w="2448"/>
          </w:tcPr>
          <w:p>
            <w:pPr>
              <w:spacing w:before="40" w:after="40" w:line="240" w:lineRule="auto"/>
              <w:jc w:val="left"/>
            </w:pPr>
            <w:r/>
            <w:r>
              <w:rPr>
                <w:rFonts w:ascii="Times New Roman" w:hAnsi="Times New Roman" w:eastAsia="Times New Roman"/>
                <w:b w:val="0"/>
                <w:sz w:val="15"/>
              </w:rPr>
              <w:t>Carried into the body, not separate (Issue 29)</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§5.3</w:t>
            </w:r>
          </w:p>
        </w:tc>
        <w:tc>
          <w:tcPr>
            <w:tcW w:type="dxa" w:w="2952"/>
          </w:tcPr>
          <w:p>
            <w:pPr>
              <w:spacing w:before="40" w:after="40" w:line="240" w:lineRule="auto"/>
              <w:jc w:val="left"/>
            </w:pPr>
            <w:r/>
            <w:r>
              <w:rPr>
                <w:rFonts w:ascii="Times New Roman" w:hAnsi="Times New Roman" w:eastAsia="Times New Roman"/>
                <w:b w:val="0"/>
                <w:sz w:val="15"/>
              </w:rPr>
              <w:t>UCC-1 and fixture filing</w:t>
            </w:r>
          </w:p>
        </w:tc>
        <w:tc>
          <w:tcPr>
            <w:tcW w:type="dxa" w:w="2448"/>
          </w:tcPr>
          <w:p>
            <w:pPr>
              <w:spacing w:before="40" w:after="40" w:line="240" w:lineRule="auto"/>
              <w:jc w:val="left"/>
            </w:pPr>
            <w:r/>
            <w:r>
              <w:rPr>
                <w:rFonts w:ascii="Times New Roman" w:hAnsi="Times New Roman" w:eastAsia="Times New Roman"/>
                <w:b w:val="0"/>
                <w:sz w:val="15"/>
              </w:rPr>
              <w:t>2.4</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§5.4</w:t>
            </w:r>
          </w:p>
        </w:tc>
        <w:tc>
          <w:tcPr>
            <w:tcW w:type="dxa" w:w="2952"/>
          </w:tcPr>
          <w:p>
            <w:pPr>
              <w:spacing w:before="40" w:after="40" w:line="240" w:lineRule="auto"/>
              <w:jc w:val="left"/>
            </w:pPr>
            <w:r/>
            <w:r>
              <w:rPr>
                <w:rFonts w:ascii="Times New Roman" w:hAnsi="Times New Roman" w:eastAsia="Times New Roman"/>
                <w:b w:val="0"/>
                <w:sz w:val="15"/>
              </w:rPr>
              <w:t>Environmental indemnity</w:t>
            </w:r>
          </w:p>
        </w:tc>
        <w:tc>
          <w:tcPr>
            <w:tcW w:type="dxa" w:w="2448"/>
          </w:tcPr>
          <w:p>
            <w:pPr>
              <w:spacing w:before="40" w:after="40" w:line="240" w:lineRule="auto"/>
              <w:jc w:val="left"/>
            </w:pPr>
            <w:r/>
            <w:r>
              <w:rPr>
                <w:rFonts w:ascii="Times New Roman" w:hAnsi="Times New Roman" w:eastAsia="Times New Roman"/>
                <w:b w:val="0"/>
                <w:sz w:val="15"/>
              </w:rPr>
              <w:t>12.2 (cross-reference)</w:t>
            </w:r>
          </w:p>
        </w:tc>
        <w:tc>
          <w:tcPr>
            <w:tcW w:type="dxa" w:w="2448"/>
          </w:tcPr>
          <w:p>
            <w:pPr>
              <w:spacing w:before="40" w:after="40" w:line="240" w:lineRule="auto"/>
              <w:jc w:val="left"/>
            </w:pPr>
            <w:r/>
            <w:r>
              <w:rPr>
                <w:rFonts w:ascii="Times New Roman" w:hAnsi="Times New Roman" w:eastAsia="Times New Roman"/>
                <w:b w:val="0"/>
                <w:sz w:val="15"/>
              </w:rPr>
              <w:t>Separate instrument; secured by the Mortgage</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§5.5</w:t>
            </w:r>
          </w:p>
        </w:tc>
        <w:tc>
          <w:tcPr>
            <w:tcW w:type="dxa" w:w="2952"/>
          </w:tcPr>
          <w:p>
            <w:pPr>
              <w:spacing w:before="40" w:after="40" w:line="240" w:lineRule="auto"/>
              <w:jc w:val="left"/>
            </w:pPr>
            <w:r/>
            <w:r>
              <w:rPr>
                <w:rFonts w:ascii="Times New Roman" w:hAnsi="Times New Roman" w:eastAsia="Times New Roman"/>
                <w:b w:val="0"/>
                <w:sz w:val="15"/>
              </w:rPr>
              <w:t>Guaranty structure</w:t>
            </w:r>
          </w:p>
        </w:tc>
        <w:tc>
          <w:tcPr>
            <w:tcW w:type="dxa" w:w="2448"/>
          </w:tcPr>
          <w:p>
            <w:pPr>
              <w:spacing w:before="40" w:after="40" w:line="240" w:lineRule="auto"/>
              <w:jc w:val="left"/>
            </w:pPr>
            <w:r/>
            <w:r>
              <w:rPr>
                <w:rFonts w:ascii="Times New Roman" w:hAnsi="Times New Roman" w:eastAsia="Times New Roman"/>
                <w:b w:val="0"/>
                <w:sz w:val="15"/>
              </w:rPr>
              <w:t>1.1 (Guaranty); 12.3; 10.1(m)</w:t>
            </w:r>
          </w:p>
        </w:tc>
        <w:tc>
          <w:tcPr>
            <w:tcW w:type="dxa" w:w="2448"/>
          </w:tcPr>
          <w:p>
            <w:pPr>
              <w:spacing w:before="40" w:after="40" w:line="240" w:lineRule="auto"/>
              <w:jc w:val="left"/>
            </w:pPr>
            <w:r/>
            <w:r>
              <w:rPr>
                <w:rFonts w:ascii="Times New Roman" w:hAnsi="Times New Roman" w:eastAsia="Times New Roman"/>
                <w:b w:val="0"/>
                <w:sz w:val="15"/>
              </w:rPr>
              <w:t>Carried; architecture flagged (Issue 9)</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§5.6</w:t>
            </w:r>
          </w:p>
        </w:tc>
        <w:tc>
          <w:tcPr>
            <w:tcW w:type="dxa" w:w="2952"/>
          </w:tcPr>
          <w:p>
            <w:pPr>
              <w:spacing w:before="40" w:after="40" w:line="240" w:lineRule="auto"/>
              <w:jc w:val="left"/>
            </w:pPr>
            <w:r/>
            <w:r>
              <w:rPr>
                <w:rFonts w:ascii="Times New Roman" w:hAnsi="Times New Roman" w:eastAsia="Times New Roman"/>
                <w:b w:val="0"/>
                <w:sz w:val="15"/>
              </w:rPr>
              <w:t>Title insurance and endorsements</w:t>
            </w:r>
          </w:p>
        </w:tc>
        <w:tc>
          <w:tcPr>
            <w:tcW w:type="dxa" w:w="2448"/>
          </w:tcPr>
          <w:p>
            <w:pPr>
              <w:spacing w:before="40" w:after="40" w:line="240" w:lineRule="auto"/>
              <w:jc w:val="left"/>
            </w:pPr>
            <w:r/>
            <w:r>
              <w:rPr>
                <w:rFonts w:ascii="Times New Roman" w:hAnsi="Times New Roman" w:eastAsia="Times New Roman"/>
                <w:b w:val="0"/>
                <w:sz w:val="15"/>
              </w:rPr>
              <w:t>1.1 (Title Policy); 7.6; Exhibit C</w:t>
            </w:r>
          </w:p>
        </w:tc>
        <w:tc>
          <w:tcPr>
            <w:tcW w:type="dxa" w:w="2448"/>
          </w:tcPr>
          <w:p>
            <w:pPr>
              <w:spacing w:before="40" w:after="40" w:line="240" w:lineRule="auto"/>
              <w:jc w:val="left"/>
            </w:pPr>
            <w:r/>
            <w:r>
              <w:rPr>
                <w:rFonts w:ascii="Times New Roman" w:hAnsi="Times New Roman" w:eastAsia="Times New Roman"/>
                <w:b w:val="0"/>
                <w:sz w:val="15"/>
              </w:rPr>
              <w:t>Carried; endorsement schedule expanded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§6.1–6.3</w:t>
            </w:r>
          </w:p>
        </w:tc>
        <w:tc>
          <w:tcPr>
            <w:tcW w:type="dxa" w:w="2952"/>
          </w:tcPr>
          <w:p>
            <w:pPr>
              <w:spacing w:before="40" w:after="40" w:line="240" w:lineRule="auto"/>
              <w:jc w:val="left"/>
            </w:pPr>
            <w:r/>
            <w:r>
              <w:rPr>
                <w:rFonts w:ascii="Times New Roman" w:hAnsi="Times New Roman" w:eastAsia="Times New Roman"/>
                <w:b w:val="0"/>
                <w:sz w:val="15"/>
              </w:rPr>
              <w:t>Escrows and reserves</w:t>
            </w:r>
          </w:p>
        </w:tc>
        <w:tc>
          <w:tcPr>
            <w:tcW w:type="dxa" w:w="2448"/>
          </w:tcPr>
          <w:p>
            <w:pPr>
              <w:spacing w:before="40" w:after="40" w:line="240" w:lineRule="auto"/>
              <w:jc w:val="left"/>
            </w:pPr>
            <w:r/>
            <w:r>
              <w:rPr>
                <w:rFonts w:ascii="Times New Roman" w:hAnsi="Times New Roman" w:eastAsia="Times New Roman"/>
                <w:b w:val="0"/>
                <w:sz w:val="15"/>
              </w:rPr>
              <w:t>6.2; 6.3; 6.4; 6.5; Exhibit F</w:t>
            </w:r>
          </w:p>
        </w:tc>
        <w:tc>
          <w:tcPr>
            <w:tcW w:type="dxa" w:w="2448"/>
          </w:tcPr>
          <w:p>
            <w:pPr>
              <w:spacing w:before="40" w:after="40" w:line="240" w:lineRule="auto"/>
              <w:jc w:val="left"/>
            </w:pPr>
            <w:r/>
            <w:r>
              <w:rPr>
                <w:rFonts w:ascii="Times New Roman" w:hAnsi="Times New Roman" w:eastAsia="Times New Roman"/>
                <w:b w:val="0"/>
                <w:sz w:val="15"/>
              </w:rPr>
              <w:t>Carried; adequacy flagged (Issue 24)</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§6.4</w:t>
            </w:r>
          </w:p>
        </w:tc>
        <w:tc>
          <w:tcPr>
            <w:tcW w:type="dxa" w:w="2952"/>
          </w:tcPr>
          <w:p>
            <w:pPr>
              <w:spacing w:before="40" w:after="40" w:line="240" w:lineRule="auto"/>
              <w:jc w:val="left"/>
            </w:pPr>
            <w:r/>
            <w:r>
              <w:rPr>
                <w:rFonts w:ascii="Times New Roman" w:hAnsi="Times New Roman" w:eastAsia="Times New Roman"/>
                <w:b w:val="0"/>
                <w:sz w:val="15"/>
              </w:rPr>
              <w:t>Renovation holdback conditions</w:t>
            </w:r>
          </w:p>
        </w:tc>
        <w:tc>
          <w:tcPr>
            <w:tcW w:type="dxa" w:w="2448"/>
          </w:tcPr>
          <w:p>
            <w:pPr>
              <w:spacing w:before="40" w:after="40" w:line="240" w:lineRule="auto"/>
              <w:jc w:val="left"/>
            </w:pPr>
            <w:r/>
            <w:r>
              <w:rPr>
                <w:rFonts w:ascii="Times New Roman" w:hAnsi="Times New Roman" w:eastAsia="Times New Roman"/>
                <w:b w:val="0"/>
                <w:sz w:val="15"/>
              </w:rPr>
              <w:t>9.3</w:t>
            </w:r>
          </w:p>
        </w:tc>
        <w:tc>
          <w:tcPr>
            <w:tcW w:type="dxa" w:w="2448"/>
          </w:tcPr>
          <w:p>
            <w:pPr>
              <w:spacing w:before="40" w:after="40" w:line="240" w:lineRule="auto"/>
              <w:jc w:val="left"/>
            </w:pPr>
            <w:r/>
            <w:r>
              <w:rPr>
                <w:rFonts w:ascii="Times New Roman" w:hAnsi="Times New Roman" w:eastAsia="Times New Roman"/>
                <w:b w:val="0"/>
                <w:sz w:val="15"/>
              </w:rPr>
              <w:t>Carried and expanded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§7.1</w:t>
            </w:r>
          </w:p>
        </w:tc>
        <w:tc>
          <w:tcPr>
            <w:tcW w:type="dxa" w:w="2952"/>
          </w:tcPr>
          <w:p>
            <w:pPr>
              <w:spacing w:before="40" w:after="40" w:line="240" w:lineRule="auto"/>
              <w:jc w:val="left"/>
            </w:pPr>
            <w:r/>
            <w:r>
              <w:rPr>
                <w:rFonts w:ascii="Times New Roman" w:hAnsi="Times New Roman" w:eastAsia="Times New Roman"/>
                <w:b w:val="0"/>
                <w:sz w:val="15"/>
              </w:rPr>
              <w:t>DSCR</w:t>
            </w:r>
          </w:p>
        </w:tc>
        <w:tc>
          <w:tcPr>
            <w:tcW w:type="dxa" w:w="2448"/>
          </w:tcPr>
          <w:p>
            <w:pPr>
              <w:spacing w:before="40" w:after="40" w:line="240" w:lineRule="auto"/>
              <w:jc w:val="left"/>
            </w:pPr>
            <w:r/>
            <w:r>
              <w:rPr>
                <w:rFonts w:ascii="Times New Roman" w:hAnsi="Times New Roman" w:eastAsia="Times New Roman"/>
                <w:b w:val="0"/>
                <w:sz w:val="15"/>
              </w:rPr>
              <w:t>7.8(a); 10.1(j)</w:t>
            </w:r>
          </w:p>
        </w:tc>
        <w:tc>
          <w:tcPr>
            <w:tcW w:type="dxa" w:w="2448"/>
          </w:tcPr>
          <w:p>
            <w:pPr>
              <w:spacing w:before="40" w:after="40" w:line="240" w:lineRule="auto"/>
              <w:jc w:val="left"/>
            </w:pPr>
            <w:r/>
            <w:r>
              <w:rPr>
                <w:rFonts w:ascii="Times New Roman" w:hAnsi="Times New Roman" w:eastAsia="Times New Roman"/>
                <w:b w:val="0"/>
                <w:sz w:val="15"/>
              </w:rPr>
              <w:t>Carried; definitions supplied; Issues 1, 2, 17</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§7.2</w:t>
            </w:r>
          </w:p>
        </w:tc>
        <w:tc>
          <w:tcPr>
            <w:tcW w:type="dxa" w:w="2952"/>
          </w:tcPr>
          <w:p>
            <w:pPr>
              <w:spacing w:before="40" w:after="40" w:line="240" w:lineRule="auto"/>
              <w:jc w:val="left"/>
            </w:pPr>
            <w:r/>
            <w:r>
              <w:rPr>
                <w:rFonts w:ascii="Times New Roman" w:hAnsi="Times New Roman" w:eastAsia="Times New Roman"/>
                <w:b w:val="0"/>
                <w:sz w:val="15"/>
              </w:rPr>
              <w:t>Net worth and liquidity</w:t>
            </w:r>
          </w:p>
        </w:tc>
        <w:tc>
          <w:tcPr>
            <w:tcW w:type="dxa" w:w="2448"/>
          </w:tcPr>
          <w:p>
            <w:pPr>
              <w:spacing w:before="40" w:after="40" w:line="240" w:lineRule="auto"/>
              <w:jc w:val="left"/>
            </w:pPr>
            <w:r/>
            <w:r>
              <w:rPr>
                <w:rFonts w:ascii="Times New Roman" w:hAnsi="Times New Roman" w:eastAsia="Times New Roman"/>
                <w:b w:val="0"/>
                <w:sz w:val="15"/>
              </w:rPr>
              <w:t>7.8(b)–(c)</w:t>
            </w:r>
          </w:p>
        </w:tc>
        <w:tc>
          <w:tcPr>
            <w:tcW w:type="dxa" w:w="2448"/>
          </w:tcPr>
          <w:p>
            <w:pPr>
              <w:spacing w:before="40" w:after="40" w:line="240" w:lineRule="auto"/>
              <w:jc w:val="left"/>
            </w:pPr>
            <w:r/>
            <w:r>
              <w:rPr>
                <w:rFonts w:ascii="Times New Roman" w:hAnsi="Times New Roman" w:eastAsia="Times New Roman"/>
                <w:b w:val="0"/>
                <w:sz w:val="15"/>
              </w:rPr>
              <w:t>Carried on the Borrower as drafted; Issue 13</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§7.3</w:t>
            </w:r>
          </w:p>
        </w:tc>
        <w:tc>
          <w:tcPr>
            <w:tcW w:type="dxa" w:w="2952"/>
          </w:tcPr>
          <w:p>
            <w:pPr>
              <w:spacing w:before="40" w:after="40" w:line="240" w:lineRule="auto"/>
              <w:jc w:val="left"/>
            </w:pPr>
            <w:r/>
            <w:r>
              <w:rPr>
                <w:rFonts w:ascii="Times New Roman" w:hAnsi="Times New Roman" w:eastAsia="Times New Roman"/>
                <w:b w:val="0"/>
                <w:sz w:val="15"/>
              </w:rPr>
              <w:t>Financial reporting</w:t>
            </w:r>
          </w:p>
        </w:tc>
        <w:tc>
          <w:tcPr>
            <w:tcW w:type="dxa" w:w="2448"/>
          </w:tcPr>
          <w:p>
            <w:pPr>
              <w:spacing w:before="40" w:after="40" w:line="240" w:lineRule="auto"/>
              <w:jc w:val="left"/>
            </w:pPr>
            <w:r/>
            <w:r>
              <w:rPr>
                <w:rFonts w:ascii="Times New Roman" w:hAnsi="Times New Roman" w:eastAsia="Times New Roman"/>
                <w:b w:val="0"/>
                <w:sz w:val="15"/>
              </w:rPr>
              <w:t>7.7(a)–(h)</w:t>
            </w:r>
          </w:p>
        </w:tc>
        <w:tc>
          <w:tcPr>
            <w:tcW w:type="dxa" w:w="2448"/>
          </w:tcPr>
          <w:p>
            <w:pPr>
              <w:spacing w:before="40" w:after="40" w:line="240" w:lineRule="auto"/>
              <w:jc w:val="left"/>
            </w:pPr>
            <w:r/>
            <w:r>
              <w:rPr>
                <w:rFonts w:ascii="Times New Roman" w:hAnsi="Times New Roman" w:eastAsia="Times New Roman"/>
                <w:b w:val="0"/>
                <w:sz w:val="15"/>
              </w:rPr>
              <w:t>Carried; audit conflict at Issue 13</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§8.1–8.4</w:t>
            </w:r>
          </w:p>
        </w:tc>
        <w:tc>
          <w:tcPr>
            <w:tcW w:type="dxa" w:w="2952"/>
          </w:tcPr>
          <w:p>
            <w:pPr>
              <w:spacing w:before="40" w:after="40" w:line="240" w:lineRule="auto"/>
              <w:jc w:val="left"/>
            </w:pPr>
            <w:r/>
            <w:r>
              <w:rPr>
                <w:rFonts w:ascii="Times New Roman" w:hAnsi="Times New Roman" w:eastAsia="Times New Roman"/>
                <w:b w:val="0"/>
                <w:sz w:val="15"/>
              </w:rPr>
              <w:t>Construction; budget; completion; draws</w:t>
            </w:r>
          </w:p>
        </w:tc>
        <w:tc>
          <w:tcPr>
            <w:tcW w:type="dxa" w:w="2448"/>
          </w:tcPr>
          <w:p>
            <w:pPr>
              <w:spacing w:before="40" w:after="40" w:line="240" w:lineRule="auto"/>
              <w:jc w:val="left"/>
            </w:pPr>
            <w:r/>
            <w:r>
              <w:rPr>
                <w:rFonts w:ascii="Times New Roman" w:hAnsi="Times New Roman" w:eastAsia="Times New Roman"/>
                <w:b w:val="0"/>
                <w:sz w:val="15"/>
              </w:rPr>
              <w:t>9.1–9.7; 7.13</w:t>
            </w:r>
          </w:p>
        </w:tc>
        <w:tc>
          <w:tcPr>
            <w:tcW w:type="dxa" w:w="2448"/>
          </w:tcPr>
          <w:p>
            <w:pPr>
              <w:spacing w:before="40" w:after="40" w:line="240" w:lineRule="auto"/>
              <w:jc w:val="left"/>
            </w:pPr>
            <w:r/>
            <w:r>
              <w:rPr>
                <w:rFonts w:ascii="Times New Roman" w:hAnsi="Times New Roman" w:eastAsia="Times New Roman"/>
                <w:b w:val="0"/>
                <w:sz w:val="15"/>
              </w:rPr>
              <w:t>Carried and expanded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§9.1–9.5</w:t>
            </w:r>
          </w:p>
        </w:tc>
        <w:tc>
          <w:tcPr>
            <w:tcW w:type="dxa" w:w="2952"/>
          </w:tcPr>
          <w:p>
            <w:pPr>
              <w:spacing w:before="40" w:after="40" w:line="240" w:lineRule="auto"/>
              <w:jc w:val="left"/>
            </w:pPr>
            <w:r/>
            <w:r>
              <w:rPr>
                <w:rFonts w:ascii="Times New Roman" w:hAnsi="Times New Roman" w:eastAsia="Times New Roman"/>
                <w:b w:val="0"/>
                <w:sz w:val="15"/>
              </w:rPr>
              <w:t>Insurance</w:t>
            </w:r>
          </w:p>
        </w:tc>
        <w:tc>
          <w:tcPr>
            <w:tcW w:type="dxa" w:w="2448"/>
          </w:tcPr>
          <w:p>
            <w:pPr>
              <w:spacing w:before="40" w:after="40" w:line="240" w:lineRule="auto"/>
              <w:jc w:val="left"/>
            </w:pPr>
            <w:r/>
            <w:r>
              <w:rPr>
                <w:rFonts w:ascii="Times New Roman" w:hAnsi="Times New Roman" w:eastAsia="Times New Roman"/>
                <w:b w:val="0"/>
                <w:sz w:val="15"/>
              </w:rPr>
              <w:t>6.6(a)–(f); 3.6</w:t>
            </w:r>
          </w:p>
        </w:tc>
        <w:tc>
          <w:tcPr>
            <w:tcW w:type="dxa" w:w="2448"/>
          </w:tcPr>
          <w:p>
            <w:pPr>
              <w:spacing w:before="40" w:after="40" w:line="240" w:lineRule="auto"/>
              <w:jc w:val="left"/>
            </w:pPr>
            <w:r/>
            <w:r>
              <w:rPr>
                <w:rFonts w:ascii="Times New Roman" w:hAnsi="Times New Roman" w:eastAsia="Times New Roman"/>
                <w:b w:val="0"/>
                <w:sz w:val="15"/>
              </w:rPr>
              <w:t>Carried; flood point at Issue 23</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§10.1</w:t>
            </w:r>
          </w:p>
        </w:tc>
        <w:tc>
          <w:tcPr>
            <w:tcW w:type="dxa" w:w="2952"/>
          </w:tcPr>
          <w:p>
            <w:pPr>
              <w:spacing w:before="40" w:after="40" w:line="240" w:lineRule="auto"/>
              <w:jc w:val="left"/>
            </w:pPr>
            <w:r/>
            <w:r>
              <w:rPr>
                <w:rFonts w:ascii="Times New Roman" w:hAnsi="Times New Roman" w:eastAsia="Times New Roman"/>
                <w:b w:val="0"/>
                <w:sz w:val="15"/>
              </w:rPr>
              <w:t>Single-purpose entity</w:t>
            </w:r>
          </w:p>
        </w:tc>
        <w:tc>
          <w:tcPr>
            <w:tcW w:type="dxa" w:w="2448"/>
          </w:tcPr>
          <w:p>
            <w:pPr>
              <w:spacing w:before="40" w:after="40" w:line="240" w:lineRule="auto"/>
              <w:jc w:val="left"/>
            </w:pPr>
            <w:r/>
            <w:r>
              <w:rPr>
                <w:rFonts w:ascii="Times New Roman" w:hAnsi="Times New Roman" w:eastAsia="Times New Roman"/>
                <w:b w:val="0"/>
                <w:sz w:val="15"/>
              </w:rPr>
              <w:t>7.5(a)–(m); 8.3</w:t>
            </w:r>
          </w:p>
        </w:tc>
        <w:tc>
          <w:tcPr>
            <w:tcW w:type="dxa" w:w="2448"/>
          </w:tcPr>
          <w:p>
            <w:pPr>
              <w:spacing w:before="40" w:after="40" w:line="240" w:lineRule="auto"/>
              <w:jc w:val="left"/>
            </w:pPr>
            <w:r/>
            <w:r>
              <w:rPr>
                <w:rFonts w:ascii="Times New Roman" w:hAnsi="Times New Roman" w:eastAsia="Times New Roman"/>
                <w:b w:val="0"/>
                <w:sz w:val="15"/>
              </w:rPr>
              <w:t>Carried and made enforceable (Issue 6)</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§10.2</w:t>
            </w:r>
          </w:p>
        </w:tc>
        <w:tc>
          <w:tcPr>
            <w:tcW w:type="dxa" w:w="2952"/>
          </w:tcPr>
          <w:p>
            <w:pPr>
              <w:spacing w:before="40" w:after="40" w:line="240" w:lineRule="auto"/>
              <w:jc w:val="left"/>
            </w:pPr>
            <w:r/>
            <w:r>
              <w:rPr>
                <w:rFonts w:ascii="Times New Roman" w:hAnsi="Times New Roman" w:eastAsia="Times New Roman"/>
                <w:b w:val="0"/>
                <w:sz w:val="15"/>
              </w:rPr>
              <w:t>No subordinate financing</w:t>
            </w:r>
          </w:p>
        </w:tc>
        <w:tc>
          <w:tcPr>
            <w:tcW w:type="dxa" w:w="2448"/>
          </w:tcPr>
          <w:p>
            <w:pPr>
              <w:spacing w:before="40" w:after="40" w:line="240" w:lineRule="auto"/>
              <w:jc w:val="left"/>
            </w:pPr>
            <w:r/>
            <w:r>
              <w:rPr>
                <w:rFonts w:ascii="Times New Roman" w:hAnsi="Times New Roman" w:eastAsia="Times New Roman"/>
                <w:b w:val="0"/>
                <w:sz w:val="15"/>
              </w:rPr>
              <w:t>8.1</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§10.3</w:t>
            </w:r>
          </w:p>
        </w:tc>
        <w:tc>
          <w:tcPr>
            <w:tcW w:type="dxa" w:w="2952"/>
          </w:tcPr>
          <w:p>
            <w:pPr>
              <w:spacing w:before="40" w:after="40" w:line="240" w:lineRule="auto"/>
              <w:jc w:val="left"/>
            </w:pPr>
            <w:r/>
            <w:r>
              <w:rPr>
                <w:rFonts w:ascii="Times New Roman" w:hAnsi="Times New Roman" w:eastAsia="Times New Roman"/>
                <w:b w:val="0"/>
                <w:sz w:val="15"/>
              </w:rPr>
              <w:t>Transfer restrictions</w:t>
            </w:r>
          </w:p>
        </w:tc>
        <w:tc>
          <w:tcPr>
            <w:tcW w:type="dxa" w:w="2448"/>
          </w:tcPr>
          <w:p>
            <w:pPr>
              <w:spacing w:before="40" w:after="40" w:line="240" w:lineRule="auto"/>
              <w:jc w:val="left"/>
            </w:pPr>
            <w:r/>
            <w:r>
              <w:rPr>
                <w:rFonts w:ascii="Times New Roman" w:hAnsi="Times New Roman" w:eastAsia="Times New Roman"/>
                <w:b w:val="0"/>
                <w:sz w:val="15"/>
              </w:rPr>
              <w:t>8.2(a)–(e)</w:t>
            </w:r>
          </w:p>
        </w:tc>
        <w:tc>
          <w:tcPr>
            <w:tcW w:type="dxa" w:w="2448"/>
          </w:tcPr>
          <w:p>
            <w:pPr>
              <w:spacing w:before="40" w:after="40" w:line="240" w:lineRule="auto"/>
              <w:jc w:val="left"/>
            </w:pPr>
            <w:r/>
            <w:r>
              <w:rPr>
                <w:rFonts w:ascii="Times New Roman" w:hAnsi="Times New Roman" w:eastAsia="Times New Roman"/>
                <w:b w:val="0"/>
                <w:sz w:val="15"/>
              </w:rPr>
              <w:t>Carried and extended to change of control (Issue 10)</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§10.4–10.6</w:t>
            </w:r>
          </w:p>
        </w:tc>
        <w:tc>
          <w:tcPr>
            <w:tcW w:type="dxa" w:w="2952"/>
          </w:tcPr>
          <w:p>
            <w:pPr>
              <w:spacing w:before="40" w:after="40" w:line="240" w:lineRule="auto"/>
              <w:jc w:val="left"/>
            </w:pPr>
            <w:r/>
            <w:r>
              <w:rPr>
                <w:rFonts w:ascii="Times New Roman" w:hAnsi="Times New Roman" w:eastAsia="Times New Roman"/>
                <w:b w:val="0"/>
                <w:sz w:val="15"/>
              </w:rPr>
              <w:t>Compliance; maintenance; leasing</w:t>
            </w:r>
          </w:p>
        </w:tc>
        <w:tc>
          <w:tcPr>
            <w:tcW w:type="dxa" w:w="2448"/>
          </w:tcPr>
          <w:p>
            <w:pPr>
              <w:spacing w:before="40" w:after="40" w:line="240" w:lineRule="auto"/>
              <w:jc w:val="left"/>
            </w:pPr>
            <w:r/>
            <w:r>
              <w:rPr>
                <w:rFonts w:ascii="Times New Roman" w:hAnsi="Times New Roman" w:eastAsia="Times New Roman"/>
                <w:b w:val="0"/>
                <w:sz w:val="15"/>
              </w:rPr>
              <w:t>7.2; 7.1; 5.5</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§11.1</w:t>
            </w:r>
          </w:p>
        </w:tc>
        <w:tc>
          <w:tcPr>
            <w:tcW w:type="dxa" w:w="2952"/>
          </w:tcPr>
          <w:p>
            <w:pPr>
              <w:spacing w:before="40" w:after="40" w:line="240" w:lineRule="auto"/>
              <w:jc w:val="left"/>
            </w:pPr>
            <w:r/>
            <w:r>
              <w:rPr>
                <w:rFonts w:ascii="Times New Roman" w:hAnsi="Times New Roman" w:eastAsia="Times New Roman"/>
                <w:b w:val="0"/>
                <w:sz w:val="15"/>
              </w:rPr>
              <w:t>Events of Default</w:t>
            </w:r>
          </w:p>
        </w:tc>
        <w:tc>
          <w:tcPr>
            <w:tcW w:type="dxa" w:w="2448"/>
          </w:tcPr>
          <w:p>
            <w:pPr>
              <w:spacing w:before="40" w:after="40" w:line="240" w:lineRule="auto"/>
              <w:jc w:val="left"/>
            </w:pPr>
            <w:r/>
            <w:r>
              <w:rPr>
                <w:rFonts w:ascii="Times New Roman" w:hAnsi="Times New Roman" w:eastAsia="Times New Roman"/>
                <w:b w:val="0"/>
                <w:sz w:val="15"/>
              </w:rPr>
              <w:t>10.1(a)–(t)</w:t>
            </w:r>
          </w:p>
        </w:tc>
        <w:tc>
          <w:tcPr>
            <w:tcW w:type="dxa" w:w="2448"/>
          </w:tcPr>
          <w:p>
            <w:pPr>
              <w:spacing w:before="40" w:after="40" w:line="240" w:lineRule="auto"/>
              <w:jc w:val="left"/>
            </w:pPr>
            <w:r/>
            <w:r>
              <w:rPr>
                <w:rFonts w:ascii="Times New Roman" w:hAnsi="Times New Roman" w:eastAsia="Times New Roman"/>
                <w:b w:val="0"/>
                <w:sz w:val="15"/>
              </w:rPr>
              <w:t>Carried as (a)–(o), with additions at (p)–(t)</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§11.2</w:t>
            </w:r>
          </w:p>
        </w:tc>
        <w:tc>
          <w:tcPr>
            <w:tcW w:type="dxa" w:w="2952"/>
          </w:tcPr>
          <w:p>
            <w:pPr>
              <w:spacing w:before="40" w:after="40" w:line="240" w:lineRule="auto"/>
              <w:jc w:val="left"/>
            </w:pPr>
            <w:r/>
            <w:r>
              <w:rPr>
                <w:rFonts w:ascii="Times New Roman" w:hAnsi="Times New Roman" w:eastAsia="Times New Roman"/>
                <w:b w:val="0"/>
                <w:sz w:val="15"/>
              </w:rPr>
              <w:t>Cure periods</w:t>
            </w:r>
          </w:p>
        </w:tc>
        <w:tc>
          <w:tcPr>
            <w:tcW w:type="dxa" w:w="2448"/>
          </w:tcPr>
          <w:p>
            <w:pPr>
              <w:spacing w:before="40" w:after="40" w:line="240" w:lineRule="auto"/>
              <w:jc w:val="left"/>
            </w:pPr>
            <w:r/>
            <w:r>
              <w:rPr>
                <w:rFonts w:ascii="Times New Roman" w:hAnsi="Times New Roman" w:eastAsia="Times New Roman"/>
                <w:b w:val="0"/>
                <w:sz w:val="15"/>
              </w:rPr>
              <w:t>10.2(a)–(c)</w:t>
            </w:r>
          </w:p>
        </w:tc>
        <w:tc>
          <w:tcPr>
            <w:tcW w:type="dxa" w:w="2448"/>
          </w:tcPr>
          <w:p>
            <w:pPr>
              <w:spacing w:before="40" w:after="40" w:line="240" w:lineRule="auto"/>
              <w:jc w:val="left"/>
            </w:pPr>
            <w:r/>
            <w:r>
              <w:rPr>
                <w:rFonts w:ascii="Times New Roman" w:hAnsi="Times New Roman" w:eastAsia="Times New Roman"/>
                <w:b w:val="0"/>
                <w:sz w:val="15"/>
              </w:rPr>
              <w:t>Carried; LUR cure period added (Issue 7)</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§12.1</w:t>
            </w:r>
          </w:p>
        </w:tc>
        <w:tc>
          <w:tcPr>
            <w:tcW w:type="dxa" w:w="2952"/>
          </w:tcPr>
          <w:p>
            <w:pPr>
              <w:spacing w:before="40" w:after="40" w:line="240" w:lineRule="auto"/>
              <w:jc w:val="left"/>
            </w:pPr>
            <w:r/>
            <w:r>
              <w:rPr>
                <w:rFonts w:ascii="Times New Roman" w:hAnsi="Times New Roman" w:eastAsia="Times New Roman"/>
                <w:b w:val="0"/>
                <w:sz w:val="15"/>
              </w:rPr>
              <w:t>Conditions precedent</w:t>
            </w:r>
          </w:p>
        </w:tc>
        <w:tc>
          <w:tcPr>
            <w:tcW w:type="dxa" w:w="2448"/>
          </w:tcPr>
          <w:p>
            <w:pPr>
              <w:spacing w:before="40" w:after="40" w:line="240" w:lineRule="auto"/>
              <w:jc w:val="left"/>
            </w:pPr>
            <w:r/>
            <w:r>
              <w:rPr>
                <w:rFonts w:ascii="Times New Roman" w:hAnsi="Times New Roman" w:eastAsia="Times New Roman"/>
                <w:b w:val="0"/>
                <w:sz w:val="15"/>
              </w:rPr>
              <w:t>Not operative in the Mortgage</w:t>
            </w:r>
          </w:p>
        </w:tc>
        <w:tc>
          <w:tcPr>
            <w:tcW w:type="dxa" w:w="2448"/>
          </w:tcPr>
          <w:p>
            <w:pPr>
              <w:spacing w:before="40" w:after="40" w:line="240" w:lineRule="auto"/>
              <w:jc w:val="left"/>
            </w:pPr>
            <w:r/>
            <w:r>
              <w:rPr>
                <w:rFonts w:ascii="Times New Roman" w:hAnsi="Times New Roman" w:eastAsia="Times New Roman"/>
                <w:b w:val="0"/>
                <w:sz w:val="15"/>
              </w:rPr>
              <w:t>Tracked at Section 7 of this memorandum</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§13.1–13.2</w:t>
            </w:r>
          </w:p>
        </w:tc>
        <w:tc>
          <w:tcPr>
            <w:tcW w:type="dxa" w:w="2952"/>
          </w:tcPr>
          <w:p>
            <w:pPr>
              <w:spacing w:before="40" w:after="40" w:line="240" w:lineRule="auto"/>
              <w:jc w:val="left"/>
            </w:pPr>
            <w:r/>
            <w:r>
              <w:rPr>
                <w:rFonts w:ascii="Times New Roman" w:hAnsi="Times New Roman" w:eastAsia="Times New Roman"/>
                <w:b w:val="0"/>
                <w:sz w:val="15"/>
              </w:rPr>
              <w:t>Fees and expenses</w:t>
            </w:r>
          </w:p>
        </w:tc>
        <w:tc>
          <w:tcPr>
            <w:tcW w:type="dxa" w:w="2448"/>
          </w:tcPr>
          <w:p>
            <w:pPr>
              <w:spacing w:before="40" w:after="40" w:line="240" w:lineRule="auto"/>
              <w:jc w:val="left"/>
            </w:pPr>
            <w:r/>
            <w:r>
              <w:rPr>
                <w:rFonts w:ascii="Times New Roman" w:hAnsi="Times New Roman" w:eastAsia="Times New Roman"/>
                <w:b w:val="0"/>
                <w:sz w:val="15"/>
              </w:rPr>
              <w:t>7.12</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§14.1</w:t>
            </w:r>
          </w:p>
        </w:tc>
        <w:tc>
          <w:tcPr>
            <w:tcW w:type="dxa" w:w="2952"/>
          </w:tcPr>
          <w:p>
            <w:pPr>
              <w:spacing w:before="40" w:after="40" w:line="240" w:lineRule="auto"/>
              <w:jc w:val="left"/>
            </w:pPr>
            <w:r/>
            <w:r>
              <w:rPr>
                <w:rFonts w:ascii="Times New Roman" w:hAnsi="Times New Roman" w:eastAsia="Times New Roman"/>
                <w:b w:val="0"/>
                <w:sz w:val="15"/>
              </w:rPr>
              <w:t>Governing law; venue</w:t>
            </w:r>
          </w:p>
        </w:tc>
        <w:tc>
          <w:tcPr>
            <w:tcW w:type="dxa" w:w="2448"/>
          </w:tcPr>
          <w:p>
            <w:pPr>
              <w:spacing w:before="40" w:after="40" w:line="240" w:lineRule="auto"/>
              <w:jc w:val="left"/>
            </w:pPr>
            <w:r/>
            <w:r>
              <w:rPr>
                <w:rFonts w:ascii="Times New Roman" w:hAnsi="Times New Roman" w:eastAsia="Times New Roman"/>
                <w:b w:val="0"/>
                <w:sz w:val="15"/>
              </w:rPr>
              <w:t>13.1; 13.2</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§14.2</w:t>
            </w:r>
          </w:p>
        </w:tc>
        <w:tc>
          <w:tcPr>
            <w:tcW w:type="dxa" w:w="2952"/>
          </w:tcPr>
          <w:p>
            <w:pPr>
              <w:spacing w:before="40" w:after="40" w:line="240" w:lineRule="auto"/>
              <w:jc w:val="left"/>
            </w:pPr>
            <w:r/>
            <w:r>
              <w:rPr>
                <w:rFonts w:ascii="Times New Roman" w:hAnsi="Times New Roman" w:eastAsia="Times New Roman"/>
                <w:b w:val="0"/>
                <w:sz w:val="15"/>
              </w:rPr>
              <w:t>Lender’s counsel</w:t>
            </w:r>
          </w:p>
        </w:tc>
        <w:tc>
          <w:tcPr>
            <w:tcW w:type="dxa" w:w="2448"/>
          </w:tcPr>
          <w:p>
            <w:pPr>
              <w:spacing w:before="40" w:after="40" w:line="240" w:lineRule="auto"/>
              <w:jc w:val="left"/>
            </w:pPr>
            <w:r/>
            <w:r>
              <w:rPr>
                <w:rFonts w:ascii="Times New Roman" w:hAnsi="Times New Roman" w:eastAsia="Times New Roman"/>
                <w:b w:val="0"/>
                <w:sz w:val="15"/>
              </w:rPr>
              <w:t>Cover page; 7.12</w:t>
            </w:r>
          </w:p>
        </w:tc>
        <w:tc>
          <w:tcPr>
            <w:tcW w:type="dxa" w:w="2448"/>
          </w:tcPr>
          <w:p>
            <w:pPr>
              <w:spacing w:before="40" w:after="40" w:line="240" w:lineRule="auto"/>
              <w:jc w:val="left"/>
            </w:pPr>
            <w:r/>
            <w:r>
              <w:rPr>
                <w:rFonts w:ascii="Times New Roman" w:hAnsi="Times New Roman" w:eastAsia="Times New Roman"/>
                <w:b w:val="0"/>
                <w:sz w:val="15"/>
              </w:rPr>
              <w:t>Carried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§14.3</w:t>
            </w:r>
          </w:p>
        </w:tc>
        <w:tc>
          <w:tcPr>
            <w:tcW w:type="dxa" w:w="2952"/>
          </w:tcPr>
          <w:p>
            <w:pPr>
              <w:spacing w:before="40" w:after="40" w:line="240" w:lineRule="auto"/>
              <w:jc w:val="left"/>
            </w:pPr>
            <w:r/>
            <w:r>
              <w:rPr>
                <w:rFonts w:ascii="Times New Roman" w:hAnsi="Times New Roman" w:eastAsia="Times New Roman"/>
                <w:b w:val="0"/>
                <w:sz w:val="15"/>
              </w:rPr>
              <w:t>Loan Documents; conflicts</w:t>
            </w:r>
          </w:p>
        </w:tc>
        <w:tc>
          <w:tcPr>
            <w:tcW w:type="dxa" w:w="2448"/>
          </w:tcPr>
          <w:p>
            <w:pPr>
              <w:spacing w:before="40" w:after="40" w:line="240" w:lineRule="auto"/>
              <w:jc w:val="left"/>
            </w:pPr>
            <w:r/>
            <w:r>
              <w:rPr>
                <w:rFonts w:ascii="Times New Roman" w:hAnsi="Times New Roman" w:eastAsia="Times New Roman"/>
                <w:b w:val="0"/>
                <w:sz w:val="15"/>
              </w:rPr>
              <w:t>1.3; 13.8</w:t>
            </w:r>
          </w:p>
        </w:tc>
        <w:tc>
          <w:tcPr>
            <w:tcW w:type="dxa" w:w="2448"/>
          </w:tcPr>
          <w:p>
            <w:pPr>
              <w:spacing w:before="40" w:after="40" w:line="240" w:lineRule="auto"/>
              <w:jc w:val="left"/>
            </w:pPr>
            <w:r/>
            <w:r>
              <w:rPr>
                <w:rFonts w:ascii="Times New Roman" w:hAnsi="Times New Roman" w:eastAsia="Times New Roman"/>
                <w:b w:val="0"/>
                <w:sz w:val="15"/>
              </w:rPr>
              <w:t>Carried; conflicts rule implemented</w:t>
            </w:r>
          </w:p>
        </w:tc>
      </w:tr>
      <w:tr>
        <w:trPr>
          <w:cantSplit w:val="true"/>
        </w:trPr>
        <w:tc>
          <w:tcPr>
            <w:tcW w:type="dxa" w:w="1512"/>
          </w:tcPr>
          <w:p>
            <w:pPr>
              <w:spacing w:before="40" w:after="40" w:line="240" w:lineRule="auto"/>
              <w:jc w:val="left"/>
            </w:pPr>
            <w:r/>
            <w:r>
              <w:rPr>
                <w:rFonts w:ascii="Times New Roman" w:hAnsi="Times New Roman" w:eastAsia="Times New Roman"/>
                <w:b w:val="0"/>
                <w:sz w:val="15"/>
              </w:rPr>
              <w:t>§14.4–14.7</w:t>
            </w:r>
          </w:p>
        </w:tc>
        <w:tc>
          <w:tcPr>
            <w:tcW w:type="dxa" w:w="2952"/>
          </w:tcPr>
          <w:p>
            <w:pPr>
              <w:spacing w:before="40" w:after="40" w:line="240" w:lineRule="auto"/>
              <w:jc w:val="left"/>
            </w:pPr>
            <w:r/>
            <w:r>
              <w:rPr>
                <w:rFonts w:ascii="Times New Roman" w:hAnsi="Times New Roman" w:eastAsia="Times New Roman"/>
                <w:b w:val="0"/>
                <w:sz w:val="15"/>
              </w:rPr>
              <w:t>Binding nature; expiration; confidentiality; counterparts</w:t>
            </w:r>
          </w:p>
        </w:tc>
        <w:tc>
          <w:tcPr>
            <w:tcW w:type="dxa" w:w="2448"/>
          </w:tcPr>
          <w:p>
            <w:pPr>
              <w:spacing w:before="40" w:after="40" w:line="240" w:lineRule="auto"/>
              <w:jc w:val="left"/>
            </w:pPr>
            <w:r/>
            <w:r>
              <w:rPr>
                <w:rFonts w:ascii="Times New Roman" w:hAnsi="Times New Roman" w:eastAsia="Times New Roman"/>
                <w:b w:val="0"/>
                <w:sz w:val="15"/>
              </w:rPr>
              <w:t>13.5; 13.6; 13.9; 13.12</w:t>
            </w:r>
          </w:p>
        </w:tc>
        <w:tc>
          <w:tcPr>
            <w:tcW w:type="dxa" w:w="2448"/>
          </w:tcPr>
          <w:p>
            <w:pPr>
              <w:spacing w:before="40" w:after="40" w:line="240" w:lineRule="auto"/>
              <w:jc w:val="left"/>
            </w:pPr>
            <w:r/>
            <w:r>
              <w:rPr>
                <w:rFonts w:ascii="Times New Roman" w:hAnsi="Times New Roman" w:eastAsia="Times New Roman"/>
                <w:b w:val="0"/>
                <w:sz w:val="15"/>
              </w:rPr>
              <w:t>Carried</w:t>
            </w:r>
          </w:p>
        </w:tc>
      </w:tr>
    </w:tbl>
    <w:p>
      <w:pPr>
        <w:pStyle w:val="Heading1"/>
        <w:keepNext/>
        <w:spacing w:before="320" w:after="120"/>
        <w:ind w:firstLine="0"/>
      </w:pPr>
      <w:r>
        <w:rPr>
          <w:rFonts w:ascii="Times New Roman" w:hAnsi="Times New Roman" w:eastAsia="Times New Roman"/>
          <w:b/>
          <w:color w:val="000000"/>
          <w:sz w:val="23"/>
        </w:rPr>
        <w:t>9.  Drafting Decisions and Alternatives</w:t>
      </w:r>
    </w:p>
    <w:p>
      <w:pPr>
        <w:keepNext w:val="0"/>
        <w:spacing w:before="0" w:after="120" w:line="240" w:lineRule="auto"/>
        <w:ind w:left="0"/>
        <w:jc w:val="both"/>
      </w:pPr>
      <w:r>
        <w:rPr>
          <w:rFonts w:ascii="Times New Roman" w:hAnsi="Times New Roman" w:eastAsia="Times New Roman"/>
          <w:b w:val="0"/>
          <w:i w:val="0"/>
          <w:sz w:val="22"/>
        </w:rPr>
        <w:t>The following are judgement calls made in the draft that the Bank may wish to revisit. Each states the decision, the reason, and the alternative if the Bank prefers it.</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3120"/>
        <w:gridCol w:w="3120"/>
        <w:gridCol w:w="3120"/>
      </w:tblGrid>
      <w:tr>
        <w:trPr>
          <w:cantSplit w:val="true"/>
          <w:tblHeader w:val="true"/>
        </w:trPr>
        <w:tc>
          <w:tcPr>
            <w:tcW w:type="dxa" w:w="3240"/>
            <w:shd w:val="clear" w:color="auto" w:fill="DCE3EA"/>
          </w:tcPr>
          <w:p>
            <w:pPr>
              <w:spacing w:before="40" w:after="40" w:line="240" w:lineRule="auto"/>
              <w:jc w:val="left"/>
            </w:pPr>
            <w:r/>
            <w:r>
              <w:rPr>
                <w:rFonts w:ascii="Times New Roman" w:hAnsi="Times New Roman" w:eastAsia="Times New Roman"/>
                <w:b/>
                <w:sz w:val="16"/>
              </w:rPr>
              <w:t>Decision</w:t>
            </w:r>
          </w:p>
        </w:tc>
        <w:tc>
          <w:tcPr>
            <w:tcW w:type="dxa" w:w="3744"/>
            <w:shd w:val="clear" w:color="auto" w:fill="DCE3EA"/>
          </w:tcPr>
          <w:p>
            <w:pPr>
              <w:spacing w:before="40" w:after="40" w:line="240" w:lineRule="auto"/>
              <w:jc w:val="left"/>
            </w:pPr>
            <w:r/>
            <w:r>
              <w:rPr>
                <w:rFonts w:ascii="Times New Roman" w:hAnsi="Times New Roman" w:eastAsia="Times New Roman"/>
                <w:b/>
                <w:sz w:val="16"/>
              </w:rPr>
              <w:t>Reason</w:t>
            </w:r>
          </w:p>
        </w:tc>
        <w:tc>
          <w:tcPr>
            <w:tcW w:type="dxa" w:w="2376"/>
            <w:shd w:val="clear" w:color="auto" w:fill="DCE3EA"/>
          </w:tcPr>
          <w:p>
            <w:pPr>
              <w:spacing w:before="40" w:after="40" w:line="240" w:lineRule="auto"/>
              <w:jc w:val="left"/>
            </w:pPr>
            <w:r/>
            <w:r>
              <w:rPr>
                <w:rFonts w:ascii="Times New Roman" w:hAnsi="Times New Roman" w:eastAsia="Times New Roman"/>
                <w:b/>
                <w:sz w:val="16"/>
              </w:rPr>
              <w:t>Alternative</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Absolute assignment of rents incorporated into the Mortgage rather than a separate instrument</w:t>
            </w:r>
          </w:p>
        </w:tc>
        <w:tc>
          <w:tcPr>
            <w:tcW w:type="dxa" w:w="3744"/>
          </w:tcPr>
          <w:p>
            <w:pPr>
              <w:spacing w:before="40" w:after="40" w:line="240" w:lineRule="auto"/>
              <w:jc w:val="left"/>
            </w:pPr>
            <w:r/>
            <w:r>
              <w:rPr>
                <w:rFonts w:ascii="Times New Roman" w:hAnsi="Times New Roman" w:eastAsia="Times New Roman"/>
                <w:b w:val="0"/>
                <w:sz w:val="16"/>
              </w:rPr>
              <w:t>Permitted by Term Sheet §5.2 and title Requirement 5; reduces recording cost and centralises enforcement; satisfies the Assignment of Rents Act on recording</w:t>
            </w:r>
          </w:p>
        </w:tc>
        <w:tc>
          <w:tcPr>
            <w:tcW w:type="dxa" w:w="2376"/>
          </w:tcPr>
          <w:p>
            <w:pPr>
              <w:spacing w:before="40" w:after="40" w:line="240" w:lineRule="auto"/>
              <w:jc w:val="left"/>
            </w:pPr>
            <w:r/>
            <w:r>
              <w:rPr>
                <w:rFonts w:ascii="Times New Roman" w:hAnsi="Times New Roman" w:eastAsia="Times New Roman"/>
                <w:b w:val="0"/>
                <w:sz w:val="16"/>
              </w:rPr>
              <w:t>Separate recorded assignment, at additional cost</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Yield maintenance premium preserves the 1% floor and computes the differential on interest only</w:t>
            </w:r>
          </w:p>
        </w:tc>
        <w:tc>
          <w:tcPr>
            <w:tcW w:type="dxa" w:w="3744"/>
          </w:tcPr>
          <w:p>
            <w:pPr>
              <w:spacing w:before="40" w:after="40" w:line="240" w:lineRule="auto"/>
              <w:jc w:val="left"/>
            </w:pPr>
            <w:r/>
            <w:r>
              <w:rPr>
                <w:rFonts w:ascii="Times New Roman" w:hAnsi="Times New Roman" w:eastAsia="Times New Roman"/>
                <w:b w:val="0"/>
                <w:sz w:val="16"/>
              </w:rPr>
              <w:t>The Term Sheet is binding and requires the greater of 1% or the differential; the markup formula omitted the floor and would have been materially inconsistent</w:t>
            </w:r>
          </w:p>
        </w:tc>
        <w:tc>
          <w:tcPr>
            <w:tcW w:type="dxa" w:w="2376"/>
          </w:tcPr>
          <w:p>
            <w:pPr>
              <w:spacing w:before="40" w:after="40" w:line="240" w:lineRule="auto"/>
              <w:jc w:val="left"/>
            </w:pPr>
            <w:r/>
            <w:r>
              <w:rPr>
                <w:rFonts w:ascii="Times New Roman" w:hAnsi="Times New Roman" w:eastAsia="Times New Roman"/>
                <w:b w:val="0"/>
                <w:sz w:val="16"/>
              </w:rPr>
              <w:t>Markup formula, if the Bank waives the floor — requires a Term Sheet amendment</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Lockout treated as an absolute prohibition, with a premium if the Bank nonetheless accepts a prepayment</w:t>
            </w:r>
          </w:p>
        </w:tc>
        <w:tc>
          <w:tcPr>
            <w:tcW w:type="dxa" w:w="3744"/>
          </w:tcPr>
          <w:p>
            <w:pPr>
              <w:spacing w:before="40" w:after="40" w:line="240" w:lineRule="auto"/>
              <w:jc w:val="left"/>
            </w:pPr>
            <w:r/>
            <w:r>
              <w:rPr>
                <w:rFonts w:ascii="Times New Roman" w:hAnsi="Times New Roman" w:eastAsia="Times New Roman"/>
                <w:b w:val="0"/>
                <w:sz w:val="16"/>
              </w:rPr>
              <w:t>Resolves the contradiction between Term Sheet §4.1 and §4.2 without leaving a gap for months 1–24</w:t>
            </w:r>
          </w:p>
        </w:tc>
        <w:tc>
          <w:tcPr>
            <w:tcW w:type="dxa" w:w="2376"/>
          </w:tcPr>
          <w:p>
            <w:pPr>
              <w:spacing w:before="40" w:after="40" w:line="240" w:lineRule="auto"/>
              <w:jc w:val="left"/>
            </w:pPr>
            <w:r/>
            <w:r>
              <w:rPr>
                <w:rFonts w:ascii="Times New Roman" w:hAnsi="Times New Roman" w:eastAsia="Times New Roman"/>
                <w:b w:val="0"/>
                <w:sz w:val="16"/>
              </w:rPr>
              <w:t>A free right to prepay on payment of a make-whole during months 1–24</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Casualty and condemnation proceeds applied at par without premium</w:t>
            </w:r>
          </w:p>
        </w:tc>
        <w:tc>
          <w:tcPr>
            <w:tcW w:type="dxa" w:w="3744"/>
          </w:tcPr>
          <w:p>
            <w:pPr>
              <w:spacing w:before="40" w:after="40" w:line="240" w:lineRule="auto"/>
              <w:jc w:val="left"/>
            </w:pPr>
            <w:r/>
            <w:r>
              <w:rPr>
                <w:rFonts w:ascii="Times New Roman" w:hAnsi="Times New Roman" w:eastAsia="Times New Roman"/>
                <w:b w:val="0"/>
                <w:sz w:val="16"/>
              </w:rPr>
              <w:t>Term Sheet is silent; the majority position, and the borrower will expect it</w:t>
            </w:r>
          </w:p>
        </w:tc>
        <w:tc>
          <w:tcPr>
            <w:tcW w:type="dxa" w:w="2376"/>
          </w:tcPr>
          <w:p>
            <w:pPr>
              <w:spacing w:before="40" w:after="40" w:line="240" w:lineRule="auto"/>
              <w:jc w:val="left"/>
            </w:pPr>
            <w:r/>
            <w:r>
              <w:rPr>
                <w:rFonts w:ascii="Times New Roman" w:hAnsi="Times New Roman" w:eastAsia="Times New Roman"/>
                <w:b w:val="0"/>
                <w:sz w:val="16"/>
              </w:rPr>
              <w:t>Premium on involuntary prepayments (minority position) — confirm with credit</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LUR breaches given a cure period (30 days, extended to 180 where SCDHEC action is required), with no cure for residential conversion</w:t>
            </w:r>
          </w:p>
        </w:tc>
        <w:tc>
          <w:tcPr>
            <w:tcW w:type="dxa" w:w="3744"/>
          </w:tcPr>
          <w:p>
            <w:pPr>
              <w:spacing w:before="40" w:after="40" w:line="240" w:lineRule="auto"/>
              <w:jc w:val="left"/>
            </w:pPr>
            <w:r/>
            <w:r>
              <w:rPr>
                <w:rFonts w:ascii="Times New Roman" w:hAnsi="Times New Roman" w:eastAsia="Times New Roman"/>
                <w:b w:val="0"/>
                <w:sz w:val="16"/>
              </w:rPr>
              <w:t>Title commitment requires an Event of Default; an uncurable default for a slow regulatory process invites a foreclosure defence</w:t>
            </w:r>
          </w:p>
        </w:tc>
        <w:tc>
          <w:tcPr>
            <w:tcW w:type="dxa" w:w="2376"/>
          </w:tcPr>
          <w:p>
            <w:pPr>
              <w:spacing w:before="40" w:after="40" w:line="240" w:lineRule="auto"/>
              <w:jc w:val="left"/>
            </w:pPr>
            <w:r/>
            <w:r>
              <w:rPr>
                <w:rFonts w:ascii="Times New Roman" w:hAnsi="Times New Roman" w:eastAsia="Times New Roman"/>
                <w:b w:val="0"/>
                <w:sz w:val="16"/>
              </w:rPr>
              <w:t>No cure period, matching the SPE and transfer defaults</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Change-of-control covenant added, and the operating agreement’s successor-fund permission disapplied</w:t>
            </w:r>
          </w:p>
        </w:tc>
        <w:tc>
          <w:tcPr>
            <w:tcW w:type="dxa" w:w="3744"/>
          </w:tcPr>
          <w:p>
            <w:pPr>
              <w:spacing w:before="40" w:after="40" w:line="240" w:lineRule="auto"/>
              <w:jc w:val="left"/>
            </w:pPr>
            <w:r/>
            <w:r>
              <w:rPr>
                <w:rFonts w:ascii="Times New Roman" w:hAnsi="Times New Roman" w:eastAsia="Times New Roman"/>
                <w:b w:val="0"/>
                <w:sz w:val="16"/>
              </w:rPr>
              <w:t>Neither the Term Sheet nor the operating agreement captures upstream transfers; without it the non-recourse structure can be circumvented</w:t>
            </w:r>
          </w:p>
        </w:tc>
        <w:tc>
          <w:tcPr>
            <w:tcW w:type="dxa" w:w="2376"/>
          </w:tcPr>
          <w:p>
            <w:pPr>
              <w:spacing w:before="40" w:after="40" w:line="240" w:lineRule="auto"/>
              <w:jc w:val="left"/>
            </w:pPr>
            <w:r/>
            <w:r>
              <w:rPr>
                <w:rFonts w:ascii="Times New Roman" w:hAnsi="Times New Roman" w:eastAsia="Times New Roman"/>
                <w:b w:val="0"/>
                <w:sz w:val="16"/>
              </w:rPr>
              <w:t>Rely on the Term Sheet’s literal 10%/25% thresholds, accepting the gap</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Net worth and liquidity drafted on the Borrower</w:t>
            </w:r>
          </w:p>
        </w:tc>
        <w:tc>
          <w:tcPr>
            <w:tcW w:type="dxa" w:w="3744"/>
          </w:tcPr>
          <w:p>
            <w:pPr>
              <w:spacing w:before="40" w:after="40" w:line="240" w:lineRule="auto"/>
              <w:jc w:val="left"/>
            </w:pPr>
            <w:r/>
            <w:r>
              <w:rPr>
                <w:rFonts w:ascii="Times New Roman" w:hAnsi="Times New Roman" w:eastAsia="Times New Roman"/>
                <w:b w:val="0"/>
                <w:sz w:val="16"/>
              </w:rPr>
              <w:t>Faithful to Term Sheet §7.2, which names the Borrower</w:t>
            </w:r>
          </w:p>
        </w:tc>
        <w:tc>
          <w:tcPr>
            <w:tcW w:type="dxa" w:w="2376"/>
          </w:tcPr>
          <w:p>
            <w:pPr>
              <w:spacing w:before="40" w:after="40" w:line="240" w:lineRule="auto"/>
              <w:jc w:val="left"/>
            </w:pPr>
            <w:r/>
            <w:r>
              <w:rPr>
                <w:rFonts w:ascii="Times New Roman" w:hAnsi="Times New Roman" w:eastAsia="Times New Roman"/>
                <w:b w:val="0"/>
                <w:sz w:val="16"/>
              </w:rPr>
              <w:t>Move to the Guarantor and increase the thresholds — requires instruction (Issue 13)</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Guarantor joined for limited purposes only (LUR, carve-outs, transfer covenant, notices, jurisdiction)</w:t>
            </w:r>
          </w:p>
        </w:tc>
        <w:tc>
          <w:tcPr>
            <w:tcW w:type="dxa" w:w="3744"/>
          </w:tcPr>
          <w:p>
            <w:pPr>
              <w:spacing w:before="40" w:after="40" w:line="240" w:lineRule="auto"/>
              <w:jc w:val="left"/>
            </w:pPr>
            <w:r/>
            <w:r>
              <w:rPr>
                <w:rFonts w:ascii="Times New Roman" w:hAnsi="Times New Roman" w:eastAsia="Times New Roman"/>
                <w:b w:val="0"/>
                <w:sz w:val="16"/>
              </w:rPr>
              <w:t>Guarantor is not a mortgagor; a limited joinder gives the Bank standing on the LUR covenants without making him a party to every covenant</w:t>
            </w:r>
          </w:p>
        </w:tc>
        <w:tc>
          <w:tcPr>
            <w:tcW w:type="dxa" w:w="2376"/>
          </w:tcPr>
          <w:p>
            <w:pPr>
              <w:spacing w:before="40" w:after="40" w:line="240" w:lineRule="auto"/>
              <w:jc w:val="left"/>
            </w:pPr>
            <w:r/>
            <w:r>
              <w:rPr>
                <w:rFonts w:ascii="Times New Roman" w:hAnsi="Times New Roman" w:eastAsia="Times New Roman"/>
                <w:b w:val="0"/>
                <w:sz w:val="16"/>
              </w:rPr>
              <w:t>No joinder, leaving the LUR covenants enforceable only against the Borrower</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No power of sale; judicial foreclosure stated expressly</w:t>
            </w:r>
          </w:p>
        </w:tc>
        <w:tc>
          <w:tcPr>
            <w:tcW w:type="dxa" w:w="3744"/>
          </w:tcPr>
          <w:p>
            <w:pPr>
              <w:spacing w:before="40" w:after="40" w:line="240" w:lineRule="auto"/>
              <w:jc w:val="left"/>
            </w:pPr>
            <w:r/>
            <w:r>
              <w:rPr>
                <w:rFonts w:ascii="Times New Roman" w:hAnsi="Times New Roman" w:eastAsia="Times New Roman"/>
                <w:b w:val="0"/>
                <w:sz w:val="16"/>
              </w:rPr>
              <w:t>South Carolina is a judicial foreclosure state; a power of sale would be void and would create confusion in enforcement</w:t>
            </w:r>
          </w:p>
        </w:tc>
        <w:tc>
          <w:tcPr>
            <w:tcW w:type="dxa" w:w="2376"/>
          </w:tcPr>
          <w:p>
            <w:pPr>
              <w:spacing w:before="40" w:after="40" w:line="240" w:lineRule="auto"/>
              <w:jc w:val="left"/>
            </w:pPr>
            <w:r/>
            <w:r>
              <w:rPr>
                <w:rFonts w:ascii="Times New Roman" w:hAnsi="Times New Roman" w:eastAsia="Times New Roman"/>
                <w:b w:val="0"/>
                <w:sz w:val="16"/>
              </w:rPr>
              <w:t>None — this is a legal requirement, not a preference</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Two subscribing witnesses and a South Carolina notarial acknowledgment on the signature page</w:t>
            </w:r>
          </w:p>
        </w:tc>
        <w:tc>
          <w:tcPr>
            <w:tcW w:type="dxa" w:w="3744"/>
          </w:tcPr>
          <w:p>
            <w:pPr>
              <w:spacing w:before="40" w:after="40" w:line="240" w:lineRule="auto"/>
              <w:jc w:val="left"/>
            </w:pPr>
            <w:r/>
            <w:r>
              <w:rPr>
                <w:rFonts w:ascii="Times New Roman" w:hAnsi="Times New Roman" w:eastAsia="Times New Roman"/>
                <w:b w:val="0"/>
                <w:sz w:val="16"/>
              </w:rPr>
              <w:t>Required for recording; the draft implements the formality rather than assuming it</w:t>
            </w:r>
          </w:p>
        </w:tc>
        <w:tc>
          <w:tcPr>
            <w:tcW w:type="dxa" w:w="2376"/>
          </w:tcPr>
          <w:p>
            <w:pPr>
              <w:spacing w:before="40" w:after="40" w:line="240" w:lineRule="auto"/>
              <w:jc w:val="left"/>
            </w:pPr>
            <w:r/>
            <w:r>
              <w:rPr>
                <w:rFonts w:ascii="Times New Roman" w:hAnsi="Times New Roman" w:eastAsia="Times New Roman"/>
                <w:b w:val="0"/>
                <w:sz w:val="16"/>
              </w:rPr>
              <w:t>None — but confirm the current statutory requirement with local counsel (Issue 30)</w:t>
            </w:r>
          </w:p>
        </w:tc>
      </w:tr>
      <w:tr>
        <w:trPr>
          <w:cantSplit w:val="true"/>
        </w:trPr>
        <w:tc>
          <w:tcPr>
            <w:tcW w:type="dxa" w:w="3240"/>
          </w:tcPr>
          <w:p>
            <w:pPr>
              <w:spacing w:before="40" w:after="40" w:line="240" w:lineRule="auto"/>
              <w:jc w:val="left"/>
            </w:pPr>
            <w:r/>
            <w:r>
              <w:rPr>
                <w:rFonts w:ascii="Times New Roman" w:hAnsi="Times New Roman" w:eastAsia="Times New Roman"/>
                <w:b w:val="0"/>
                <w:sz w:val="16"/>
              </w:rPr>
              <w:t>As-extracted collateral recorded as inapplicable</w:t>
            </w:r>
          </w:p>
        </w:tc>
        <w:tc>
          <w:tcPr>
            <w:tcW w:type="dxa" w:w="3744"/>
          </w:tcPr>
          <w:p>
            <w:pPr>
              <w:spacing w:before="40" w:after="40" w:line="240" w:lineRule="auto"/>
              <w:jc w:val="left"/>
            </w:pPr>
            <w:r/>
            <w:r>
              <w:rPr>
                <w:rFonts w:ascii="Times New Roman" w:hAnsi="Times New Roman" w:eastAsia="Times New Roman"/>
                <w:b w:val="0"/>
                <w:sz w:val="16"/>
              </w:rPr>
              <w:t>The Property is an improved commercial building; the Term Sheet’s reference is conditional (“if any”)</w:t>
            </w:r>
          </w:p>
        </w:tc>
        <w:tc>
          <w:tcPr>
            <w:tcW w:type="dxa" w:w="2376"/>
          </w:tcPr>
          <w:p>
            <w:pPr>
              <w:spacing w:before="40" w:after="40" w:line="240" w:lineRule="auto"/>
              <w:jc w:val="left"/>
            </w:pPr>
            <w:r/>
            <w:r>
              <w:rPr>
                <w:rFonts w:ascii="Times New Roman" w:hAnsi="Times New Roman" w:eastAsia="Times New Roman"/>
                <w:b w:val="0"/>
                <w:sz w:val="16"/>
              </w:rPr>
              <w:t>None</w:t>
            </w:r>
          </w:p>
        </w:tc>
      </w:tr>
    </w:tbl>
    <w:p>
      <w:pPr>
        <w:pStyle w:val="Heading1"/>
        <w:keepNext/>
        <w:spacing w:before="320" w:after="120"/>
        <w:ind w:firstLine="0"/>
      </w:pPr>
      <w:r>
        <w:rPr>
          <w:rFonts w:ascii="Times New Roman" w:hAnsi="Times New Roman" w:eastAsia="Times New Roman"/>
          <w:b/>
          <w:color w:val="000000"/>
          <w:sz w:val="23"/>
        </w:rPr>
        <w:t>10.  Assumptions and Limitations</w:t>
      </w:r>
    </w:p>
    <w:p>
      <w:pPr>
        <w:keepNext w:val="0"/>
        <w:spacing w:before="0" w:after="100" w:line="240" w:lineRule="auto"/>
        <w:ind w:left="576" w:hanging="576"/>
        <w:jc w:val="both"/>
      </w:pPr>
      <w:r>
        <w:rPr>
          <w:rFonts w:ascii="Times New Roman" w:hAnsi="Times New Roman" w:eastAsia="Times New Roman"/>
          <w:b w:val="0"/>
          <w:i w:val="0"/>
          <w:sz w:val="22"/>
        </w:rPr>
        <w:t>(a)</w:t>
      </w:r>
      <w:r>
        <w:rPr>
          <w:rFonts w:ascii="Times New Roman" w:hAnsi="Times New Roman" w:eastAsia="Times New Roman"/>
          <w:b w:val="0"/>
          <w:i w:val="0"/>
          <w:sz w:val="22"/>
        </w:rPr>
        <w:t xml:space="preserve"> </w:t>
      </w:r>
      <w:r>
        <w:rPr>
          <w:rFonts w:ascii="Times New Roman" w:hAnsi="Times New Roman" w:eastAsia="Times New Roman"/>
          <w:b w:val="0"/>
          <w:i w:val="0"/>
          <w:sz w:val="22"/>
        </w:rPr>
        <w:t>This memorandum and the enclosed draft are prepared for Calverley Heritage Bank for the purposes of this loan. They are not for the benefit of the borrower or any other party, and no other party may rely on them without our written consent.</w:t>
      </w:r>
    </w:p>
    <w:p>
      <w:pPr>
        <w:keepNext w:val="0"/>
        <w:spacing w:before="0" w:after="100" w:line="240" w:lineRule="auto"/>
        <w:ind w:left="576" w:hanging="576"/>
        <w:jc w:val="both"/>
      </w:pPr>
      <w:r>
        <w:rPr>
          <w:rFonts w:ascii="Times New Roman" w:hAnsi="Times New Roman" w:eastAsia="Times New Roman"/>
          <w:b w:val="0"/>
          <w:i w:val="0"/>
          <w:sz w:val="22"/>
        </w:rPr>
        <w:t>(b)</w:t>
      </w:r>
      <w:r>
        <w:rPr>
          <w:rFonts w:ascii="Times New Roman" w:hAnsi="Times New Roman" w:eastAsia="Times New Roman"/>
          <w:b w:val="0"/>
          <w:i w:val="0"/>
          <w:sz w:val="22"/>
        </w:rPr>
        <w:t xml:space="preserve"> </w:t>
      </w:r>
      <w:r>
        <w:rPr>
          <w:rFonts w:ascii="Times New Roman" w:hAnsi="Times New Roman" w:eastAsia="Times New Roman"/>
          <w:b w:val="0"/>
          <w:i w:val="0"/>
          <w:sz w:val="22"/>
        </w:rPr>
        <w:t>We have reviewed the sources listed at Section 2.2 in full, but we have not reviewed the full Phase I ESA report and appendices, the construction contract, the underlying Leases (only the borrower-prepared abstracts), the survey, the complete unredacted operating agreement, the limited partnership agreement of Tidewater Opportunity Fund II LP, or any of the Guarantor’s financial information. Conclusions that depend on those documents are identified as open items at Section 6.</w:t>
      </w:r>
    </w:p>
    <w:p>
      <w:pPr>
        <w:keepNext w:val="0"/>
        <w:spacing w:before="0" w:after="100" w:line="240" w:lineRule="auto"/>
        <w:ind w:left="576" w:hanging="576"/>
        <w:jc w:val="both"/>
      </w:pPr>
      <w:r>
        <w:rPr>
          <w:rFonts w:ascii="Times New Roman" w:hAnsi="Times New Roman" w:eastAsia="Times New Roman"/>
          <w:b w:val="0"/>
          <w:i w:val="0"/>
          <w:sz w:val="22"/>
        </w:rPr>
        <w:t>(c)</w:t>
      </w:r>
      <w:r>
        <w:rPr>
          <w:rFonts w:ascii="Times New Roman" w:hAnsi="Times New Roman" w:eastAsia="Times New Roman"/>
          <w:b w:val="0"/>
          <w:i w:val="0"/>
          <w:sz w:val="22"/>
        </w:rPr>
        <w:t xml:space="preserve"> </w:t>
      </w:r>
      <w:r>
        <w:rPr>
          <w:rFonts w:ascii="Times New Roman" w:hAnsi="Times New Roman" w:eastAsia="Times New Roman"/>
          <w:b w:val="0"/>
          <w:i w:val="0"/>
          <w:sz w:val="22"/>
        </w:rPr>
        <w:t>Figures described as recomputed were derived independently from the components stated in the sources. Where a source figure is internally inconsistent, both the stated and the recomputed figure are reported and the inconsistency is identified; the draft adopts the figure that the components support and, in the case of occupancy, says so on the face of the instrument.</w:t>
      </w:r>
    </w:p>
    <w:p>
      <w:pPr>
        <w:keepNext w:val="0"/>
        <w:spacing w:before="0" w:after="100" w:line="240" w:lineRule="auto"/>
        <w:ind w:left="576" w:hanging="576"/>
        <w:jc w:val="both"/>
      </w:pPr>
      <w:r>
        <w:rPr>
          <w:rFonts w:ascii="Times New Roman" w:hAnsi="Times New Roman" w:eastAsia="Times New Roman"/>
          <w:b w:val="0"/>
          <w:i w:val="0"/>
          <w:sz w:val="22"/>
        </w:rPr>
        <w:t>(d)</w:t>
      </w:r>
      <w:r>
        <w:rPr>
          <w:rFonts w:ascii="Times New Roman" w:hAnsi="Times New Roman" w:eastAsia="Times New Roman"/>
          <w:b w:val="0"/>
          <w:i w:val="0"/>
          <w:sz w:val="22"/>
        </w:rPr>
        <w:t xml:space="preserve"> </w:t>
      </w:r>
      <w:r>
        <w:rPr>
          <w:rFonts w:ascii="Times New Roman" w:hAnsi="Times New Roman" w:eastAsia="Times New Roman"/>
          <w:b w:val="0"/>
          <w:i w:val="0"/>
          <w:sz w:val="22"/>
        </w:rPr>
        <w:t>Statements of South Carolina law in this memorandum and in the draft are based on the statutes and propositions referred to in the record and should be confirmed by local counsel before execution (Issue 30). Nothing in this memorandum is tax advice.</w:t>
      </w:r>
    </w:p>
    <w:p>
      <w:pPr>
        <w:keepNext w:val="0"/>
        <w:spacing w:before="0" w:after="100" w:line="240" w:lineRule="auto"/>
        <w:ind w:left="576" w:hanging="576"/>
        <w:jc w:val="both"/>
      </w:pPr>
      <w:r>
        <w:rPr>
          <w:rFonts w:ascii="Times New Roman" w:hAnsi="Times New Roman" w:eastAsia="Times New Roman"/>
          <w:b w:val="0"/>
          <w:i w:val="0"/>
          <w:sz w:val="22"/>
        </w:rPr>
        <w:t>(e)</w:t>
      </w:r>
      <w:r>
        <w:rPr>
          <w:rFonts w:ascii="Times New Roman" w:hAnsi="Times New Roman" w:eastAsia="Times New Roman"/>
          <w:b w:val="0"/>
          <w:i w:val="0"/>
          <w:sz w:val="22"/>
        </w:rPr>
        <w:t xml:space="preserve"> </w:t>
      </w:r>
      <w:r>
        <w:rPr>
          <w:rFonts w:ascii="Times New Roman" w:hAnsi="Times New Roman" w:eastAsia="Times New Roman"/>
          <w:b w:val="0"/>
          <w:i w:val="0"/>
          <w:sz w:val="22"/>
        </w:rPr>
        <w:t>The draft assumes that the loan closes on April 15, 2025. If the closing date changes, the defined dates in Section 1.1, the interest-only period, the yield maintenance windows and the draw schedule must be conformed (Issue 16).</w:t>
      </w:r>
    </w:p>
    <w:p>
      <w:pPr>
        <w:keepNext w:val="0"/>
        <w:spacing w:before="0" w:after="100" w:line="240" w:lineRule="auto"/>
        <w:ind w:left="576" w:hanging="576"/>
        <w:jc w:val="both"/>
      </w:pPr>
      <w:r>
        <w:rPr>
          <w:rFonts w:ascii="Times New Roman" w:hAnsi="Times New Roman" w:eastAsia="Times New Roman"/>
          <w:b w:val="0"/>
          <w:i w:val="0"/>
          <w:sz w:val="22"/>
        </w:rPr>
        <w:t>(f)</w:t>
      </w:r>
      <w:r>
        <w:rPr>
          <w:rFonts w:ascii="Times New Roman" w:hAnsi="Times New Roman" w:eastAsia="Times New Roman"/>
          <w:b w:val="0"/>
          <w:i w:val="0"/>
          <w:sz w:val="22"/>
        </w:rPr>
        <w:t xml:space="preserve"> </w:t>
      </w:r>
      <w:r>
        <w:rPr>
          <w:rFonts w:ascii="Times New Roman" w:hAnsi="Times New Roman" w:eastAsia="Times New Roman"/>
          <w:b w:val="0"/>
          <w:i w:val="0"/>
          <w:sz w:val="22"/>
        </w:rPr>
        <w:t>Recommendations in this memorandum are directed to documentation and credit structure. The decisions at Issues 1, 2, 3, 8, 9, 13, 14 and 18 are commercial or credit decisions for the Bank, and we have not made them.</w:t>
      </w:r>
    </w:p>
    <w:p>
      <w:pPr>
        <w:pStyle w:val="Heading1"/>
        <w:keepNext/>
        <w:spacing w:before="320" w:after="120"/>
        <w:ind w:firstLine="0"/>
      </w:pPr>
      <w:r>
        <w:rPr>
          <w:rFonts w:ascii="Times New Roman" w:hAnsi="Times New Roman" w:eastAsia="Times New Roman"/>
          <w:b/>
          <w:color w:val="000000"/>
          <w:sz w:val="23"/>
        </w:rPr>
        <w:t>11.  Next Steps</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3120"/>
        <w:gridCol w:w="3120"/>
        <w:gridCol w:w="3120"/>
      </w:tblGrid>
      <w:tr>
        <w:trPr>
          <w:cantSplit w:val="true"/>
          <w:tblHeader w:val="true"/>
        </w:trPr>
        <w:tc>
          <w:tcPr>
            <w:tcW w:type="dxa" w:w="5760"/>
            <w:shd w:val="clear" w:color="auto" w:fill="DCE3EA"/>
          </w:tcPr>
          <w:p>
            <w:pPr>
              <w:spacing w:before="40" w:after="40" w:line="240" w:lineRule="auto"/>
              <w:jc w:val="left"/>
            </w:pPr>
            <w:r/>
            <w:r>
              <w:rPr>
                <w:rFonts w:ascii="Times New Roman" w:hAnsi="Times New Roman" w:eastAsia="Times New Roman"/>
                <w:b/>
                <w:sz w:val="17"/>
              </w:rPr>
              <w:t>Step</w:t>
            </w:r>
          </w:p>
        </w:tc>
        <w:tc>
          <w:tcPr>
            <w:tcW w:type="dxa" w:w="1656"/>
            <w:shd w:val="clear" w:color="auto" w:fill="DCE3EA"/>
          </w:tcPr>
          <w:p>
            <w:pPr>
              <w:spacing w:before="40" w:after="40" w:line="240" w:lineRule="auto"/>
              <w:jc w:val="left"/>
            </w:pPr>
            <w:r/>
            <w:r>
              <w:rPr>
                <w:rFonts w:ascii="Times New Roman" w:hAnsi="Times New Roman" w:eastAsia="Times New Roman"/>
                <w:b/>
                <w:sz w:val="17"/>
              </w:rPr>
              <w:t>Owner</w:t>
            </w:r>
          </w:p>
        </w:tc>
        <w:tc>
          <w:tcPr>
            <w:tcW w:type="dxa" w:w="1944"/>
            <w:shd w:val="clear" w:color="auto" w:fill="DCE3EA"/>
          </w:tcPr>
          <w:p>
            <w:pPr>
              <w:spacing w:before="40" w:after="40" w:line="240" w:lineRule="auto"/>
              <w:jc w:val="left"/>
            </w:pPr>
            <w:r/>
            <w:r>
              <w:rPr>
                <w:rFonts w:ascii="Times New Roman" w:hAnsi="Times New Roman" w:eastAsia="Times New Roman"/>
                <w:b/>
                <w:sz w:val="17"/>
              </w:rPr>
              <w:t>Target</w:t>
            </w:r>
          </w:p>
        </w:tc>
      </w:tr>
      <w:tr>
        <w:trPr>
          <w:cantSplit w:val="true"/>
        </w:trPr>
        <w:tc>
          <w:tcPr>
            <w:tcW w:type="dxa" w:w="5760"/>
          </w:tcPr>
          <w:p>
            <w:pPr>
              <w:spacing w:before="40" w:after="40" w:line="240" w:lineRule="auto"/>
              <w:jc w:val="left"/>
            </w:pPr>
            <w:r/>
            <w:r>
              <w:rPr>
                <w:rFonts w:ascii="Times New Roman" w:hAnsi="Times New Roman" w:eastAsia="Times New Roman"/>
                <w:b w:val="0"/>
                <w:sz w:val="17"/>
              </w:rPr>
              <w:t>Circulate the draft Mortgage and this memorandum to the Bank</w:t>
            </w:r>
          </w:p>
        </w:tc>
        <w:tc>
          <w:tcPr>
            <w:tcW w:type="dxa" w:w="1656"/>
          </w:tcPr>
          <w:p>
            <w:pPr>
              <w:spacing w:before="40" w:after="40" w:line="240" w:lineRule="auto"/>
              <w:jc w:val="left"/>
            </w:pPr>
            <w:r/>
            <w:r>
              <w:rPr>
                <w:rFonts w:ascii="Times New Roman" w:hAnsi="Times New Roman" w:eastAsia="Times New Roman"/>
                <w:b w:val="0"/>
                <w:sz w:val="17"/>
              </w:rPr>
              <w:t>J. Vickers</w:t>
            </w:r>
          </w:p>
        </w:tc>
        <w:tc>
          <w:tcPr>
            <w:tcW w:type="dxa" w:w="1944"/>
          </w:tcPr>
          <w:p>
            <w:pPr>
              <w:spacing w:before="40" w:after="40" w:line="240" w:lineRule="auto"/>
              <w:jc w:val="left"/>
            </w:pPr>
            <w:r/>
            <w:r>
              <w:rPr>
                <w:rFonts w:ascii="Times New Roman" w:hAnsi="Times New Roman" w:eastAsia="Times New Roman"/>
                <w:b w:val="0"/>
                <w:sz w:val="17"/>
              </w:rPr>
              <w:t>April 2, 2025</w:t>
            </w:r>
          </w:p>
        </w:tc>
      </w:tr>
      <w:tr>
        <w:trPr>
          <w:cantSplit w:val="true"/>
        </w:trPr>
        <w:tc>
          <w:tcPr>
            <w:tcW w:type="dxa" w:w="5760"/>
          </w:tcPr>
          <w:p>
            <w:pPr>
              <w:spacing w:before="40" w:after="40" w:line="240" w:lineRule="auto"/>
              <w:jc w:val="left"/>
            </w:pPr>
            <w:r/>
            <w:r>
              <w:rPr>
                <w:rFonts w:ascii="Times New Roman" w:hAnsi="Times New Roman" w:eastAsia="Times New Roman"/>
                <w:b w:val="0"/>
                <w:sz w:val="17"/>
              </w:rPr>
              <w:t>Obtain credit instructions on Issues 1, 2, 8, 9, 13, 14 and 18</w:t>
            </w:r>
          </w:p>
        </w:tc>
        <w:tc>
          <w:tcPr>
            <w:tcW w:type="dxa" w:w="1656"/>
          </w:tcPr>
          <w:p>
            <w:pPr>
              <w:spacing w:before="40" w:after="40" w:line="240" w:lineRule="auto"/>
              <w:jc w:val="left"/>
            </w:pPr>
            <w:r/>
            <w:r>
              <w:rPr>
                <w:rFonts w:ascii="Times New Roman" w:hAnsi="Times New Roman" w:eastAsia="Times New Roman"/>
                <w:b w:val="0"/>
                <w:sz w:val="17"/>
              </w:rPr>
              <w:t>M. Prideaux</w:t>
            </w:r>
          </w:p>
        </w:tc>
        <w:tc>
          <w:tcPr>
            <w:tcW w:type="dxa" w:w="1944"/>
          </w:tcPr>
          <w:p>
            <w:pPr>
              <w:spacing w:before="40" w:after="40" w:line="240" w:lineRule="auto"/>
              <w:jc w:val="left"/>
            </w:pPr>
            <w:r/>
            <w:r>
              <w:rPr>
                <w:rFonts w:ascii="Times New Roman" w:hAnsi="Times New Roman" w:eastAsia="Times New Roman"/>
                <w:b w:val="0"/>
                <w:sz w:val="17"/>
              </w:rPr>
              <w:t>April 4, 2025</w:t>
            </w:r>
          </w:p>
        </w:tc>
      </w:tr>
      <w:tr>
        <w:trPr>
          <w:cantSplit w:val="true"/>
        </w:trPr>
        <w:tc>
          <w:tcPr>
            <w:tcW w:type="dxa" w:w="5760"/>
          </w:tcPr>
          <w:p>
            <w:pPr>
              <w:spacing w:before="40" w:after="40" w:line="240" w:lineRule="auto"/>
              <w:jc w:val="left"/>
            </w:pPr>
            <w:r/>
            <w:r>
              <w:rPr>
                <w:rFonts w:ascii="Times New Roman" w:hAnsi="Times New Roman" w:eastAsia="Times New Roman"/>
                <w:b w:val="0"/>
                <w:sz w:val="17"/>
              </w:rPr>
              <w:t>Raise Parcel Two coverage with Prestige Title; engage the appraisal reviewer</w:t>
            </w:r>
          </w:p>
        </w:tc>
        <w:tc>
          <w:tcPr>
            <w:tcW w:type="dxa" w:w="1656"/>
          </w:tcPr>
          <w:p>
            <w:pPr>
              <w:spacing w:before="40" w:after="40" w:line="240" w:lineRule="auto"/>
              <w:jc w:val="left"/>
            </w:pPr>
            <w:r/>
            <w:r>
              <w:rPr>
                <w:rFonts w:ascii="Times New Roman" w:hAnsi="Times New Roman" w:eastAsia="Times New Roman"/>
                <w:b w:val="0"/>
                <w:sz w:val="17"/>
              </w:rPr>
              <w:t>J. Vickers</w:t>
            </w:r>
          </w:p>
        </w:tc>
        <w:tc>
          <w:tcPr>
            <w:tcW w:type="dxa" w:w="1944"/>
          </w:tcPr>
          <w:p>
            <w:pPr>
              <w:spacing w:before="40" w:after="40" w:line="240" w:lineRule="auto"/>
              <w:jc w:val="left"/>
            </w:pPr>
            <w:r/>
            <w:r>
              <w:rPr>
                <w:rFonts w:ascii="Times New Roman" w:hAnsi="Times New Roman" w:eastAsia="Times New Roman"/>
                <w:b w:val="0"/>
                <w:sz w:val="17"/>
              </w:rPr>
              <w:t>April 4, 2025</w:t>
            </w:r>
          </w:p>
        </w:tc>
      </w:tr>
      <w:tr>
        <w:trPr>
          <w:cantSplit w:val="true"/>
        </w:trPr>
        <w:tc>
          <w:tcPr>
            <w:tcW w:type="dxa" w:w="5760"/>
          </w:tcPr>
          <w:p>
            <w:pPr>
              <w:spacing w:before="40" w:after="40" w:line="240" w:lineRule="auto"/>
              <w:jc w:val="left"/>
            </w:pPr>
            <w:r/>
            <w:r>
              <w:rPr>
                <w:rFonts w:ascii="Times New Roman" w:hAnsi="Times New Roman" w:eastAsia="Times New Roman"/>
                <w:b w:val="0"/>
                <w:sz w:val="17"/>
              </w:rPr>
              <w:t>Request the operating agreement amendment, estoppels, SNDAs, encroachment licence and Guarantor PFS</w:t>
            </w:r>
          </w:p>
        </w:tc>
        <w:tc>
          <w:tcPr>
            <w:tcW w:type="dxa" w:w="1656"/>
          </w:tcPr>
          <w:p>
            <w:pPr>
              <w:spacing w:before="40" w:after="40" w:line="240" w:lineRule="auto"/>
              <w:jc w:val="left"/>
            </w:pPr>
            <w:r/>
            <w:r>
              <w:rPr>
                <w:rFonts w:ascii="Times New Roman" w:hAnsi="Times New Roman" w:eastAsia="Times New Roman"/>
                <w:b w:val="0"/>
                <w:sz w:val="17"/>
              </w:rPr>
              <w:t>J. Vickers</w:t>
            </w:r>
          </w:p>
        </w:tc>
        <w:tc>
          <w:tcPr>
            <w:tcW w:type="dxa" w:w="1944"/>
          </w:tcPr>
          <w:p>
            <w:pPr>
              <w:spacing w:before="40" w:after="40" w:line="240" w:lineRule="auto"/>
              <w:jc w:val="left"/>
            </w:pPr>
            <w:r/>
            <w:r>
              <w:rPr>
                <w:rFonts w:ascii="Times New Roman" w:hAnsi="Times New Roman" w:eastAsia="Times New Roman"/>
                <w:b w:val="0"/>
                <w:sz w:val="17"/>
              </w:rPr>
              <w:t>April 4, 2025</w:t>
            </w:r>
          </w:p>
        </w:tc>
      </w:tr>
      <w:tr>
        <w:trPr>
          <w:cantSplit w:val="true"/>
        </w:trPr>
        <w:tc>
          <w:tcPr>
            <w:tcW w:type="dxa" w:w="5760"/>
          </w:tcPr>
          <w:p>
            <w:pPr>
              <w:spacing w:before="40" w:after="40" w:line="240" w:lineRule="auto"/>
              <w:jc w:val="left"/>
            </w:pPr>
            <w:r/>
            <w:r>
              <w:rPr>
                <w:rFonts w:ascii="Times New Roman" w:hAnsi="Times New Roman" w:eastAsia="Times New Roman"/>
                <w:b w:val="0"/>
                <w:sz w:val="17"/>
              </w:rPr>
              <w:t>Commission the local counsel note on Issue 30</w:t>
            </w:r>
          </w:p>
        </w:tc>
        <w:tc>
          <w:tcPr>
            <w:tcW w:type="dxa" w:w="1656"/>
          </w:tcPr>
          <w:p>
            <w:pPr>
              <w:spacing w:before="40" w:after="40" w:line="240" w:lineRule="auto"/>
              <w:jc w:val="left"/>
            </w:pPr>
            <w:r/>
            <w:r>
              <w:rPr>
                <w:rFonts w:ascii="Times New Roman" w:hAnsi="Times New Roman" w:eastAsia="Times New Roman"/>
                <w:b w:val="0"/>
                <w:sz w:val="17"/>
              </w:rPr>
              <w:t>C. Ashworth</w:t>
            </w:r>
          </w:p>
        </w:tc>
        <w:tc>
          <w:tcPr>
            <w:tcW w:type="dxa" w:w="1944"/>
          </w:tcPr>
          <w:p>
            <w:pPr>
              <w:spacing w:before="40" w:after="40" w:line="240" w:lineRule="auto"/>
              <w:jc w:val="left"/>
            </w:pPr>
            <w:r/>
            <w:r>
              <w:rPr>
                <w:rFonts w:ascii="Times New Roman" w:hAnsi="Times New Roman" w:eastAsia="Times New Roman"/>
                <w:b w:val="0"/>
                <w:sz w:val="17"/>
              </w:rPr>
              <w:t>April 9, 2025</w:t>
            </w:r>
          </w:p>
        </w:tc>
      </w:tr>
      <w:tr>
        <w:trPr>
          <w:cantSplit w:val="true"/>
        </w:trPr>
        <w:tc>
          <w:tcPr>
            <w:tcW w:type="dxa" w:w="5760"/>
          </w:tcPr>
          <w:p>
            <w:pPr>
              <w:spacing w:before="40" w:after="40" w:line="240" w:lineRule="auto"/>
              <w:jc w:val="left"/>
            </w:pPr>
            <w:r/>
            <w:r>
              <w:rPr>
                <w:rFonts w:ascii="Times New Roman" w:hAnsi="Times New Roman" w:eastAsia="Times New Roman"/>
                <w:b w:val="0"/>
                <w:sz w:val="17"/>
              </w:rPr>
              <w:t>Conform the draft to instructions and circulate the execution version</w:t>
            </w:r>
          </w:p>
        </w:tc>
        <w:tc>
          <w:tcPr>
            <w:tcW w:type="dxa" w:w="1656"/>
          </w:tcPr>
          <w:p>
            <w:pPr>
              <w:spacing w:before="40" w:after="40" w:line="240" w:lineRule="auto"/>
              <w:jc w:val="left"/>
            </w:pPr>
            <w:r/>
            <w:r>
              <w:rPr>
                <w:rFonts w:ascii="Times New Roman" w:hAnsi="Times New Roman" w:eastAsia="Times New Roman"/>
                <w:b w:val="0"/>
                <w:sz w:val="17"/>
              </w:rPr>
              <w:t>J. Vickers</w:t>
            </w:r>
          </w:p>
        </w:tc>
        <w:tc>
          <w:tcPr>
            <w:tcW w:type="dxa" w:w="1944"/>
          </w:tcPr>
          <w:p>
            <w:pPr>
              <w:spacing w:before="40" w:after="40" w:line="240" w:lineRule="auto"/>
              <w:jc w:val="left"/>
            </w:pPr>
            <w:r/>
            <w:r>
              <w:rPr>
                <w:rFonts w:ascii="Times New Roman" w:hAnsi="Times New Roman" w:eastAsia="Times New Roman"/>
                <w:b w:val="0"/>
                <w:sz w:val="17"/>
              </w:rPr>
              <w:t>April 11, 2025</w:t>
            </w:r>
          </w:p>
        </w:tc>
      </w:tr>
      <w:tr>
        <w:trPr>
          <w:cantSplit w:val="true"/>
        </w:trPr>
        <w:tc>
          <w:tcPr>
            <w:tcW w:type="dxa" w:w="5760"/>
          </w:tcPr>
          <w:p>
            <w:pPr>
              <w:spacing w:before="40" w:after="40" w:line="240" w:lineRule="auto"/>
              <w:jc w:val="left"/>
            </w:pPr>
            <w:r/>
            <w:r>
              <w:rPr>
                <w:rFonts w:ascii="Times New Roman" w:hAnsi="Times New Roman" w:eastAsia="Times New Roman"/>
                <w:b w:val="0"/>
                <w:sz w:val="17"/>
              </w:rPr>
              <w:t>Confirm the final closing date and conform defined dates; obtain survey re-certification</w:t>
            </w:r>
          </w:p>
        </w:tc>
        <w:tc>
          <w:tcPr>
            <w:tcW w:type="dxa" w:w="1656"/>
          </w:tcPr>
          <w:p>
            <w:pPr>
              <w:spacing w:before="40" w:after="40" w:line="240" w:lineRule="auto"/>
              <w:jc w:val="left"/>
            </w:pPr>
            <w:r/>
            <w:r>
              <w:rPr>
                <w:rFonts w:ascii="Times New Roman" w:hAnsi="Times New Roman" w:eastAsia="Times New Roman"/>
                <w:b w:val="0"/>
                <w:sz w:val="17"/>
              </w:rPr>
              <w:t>J. Vickers</w:t>
            </w:r>
          </w:p>
        </w:tc>
        <w:tc>
          <w:tcPr>
            <w:tcW w:type="dxa" w:w="1944"/>
          </w:tcPr>
          <w:p>
            <w:pPr>
              <w:spacing w:before="40" w:after="40" w:line="240" w:lineRule="auto"/>
              <w:jc w:val="left"/>
            </w:pPr>
            <w:r/>
            <w:r>
              <w:rPr>
                <w:rFonts w:ascii="Times New Roman" w:hAnsi="Times New Roman" w:eastAsia="Times New Roman"/>
                <w:b w:val="0"/>
                <w:sz w:val="17"/>
              </w:rPr>
              <w:t>3 days before closing</w:t>
            </w:r>
          </w:p>
        </w:tc>
      </w:tr>
    </w:tbl>
    <w:p>
      <w:pPr>
        <w:keepNext w:val="0"/>
        <w:spacing w:before="0" w:after="280" w:line="240" w:lineRule="auto"/>
        <w:ind w:left="0"/>
        <w:jc w:val="both"/>
      </w:pPr>
    </w:p>
    <w:p>
      <w:pPr>
        <w:keepNext w:val="0"/>
        <w:spacing w:before="0" w:after="360" w:line="240" w:lineRule="auto"/>
        <w:ind w:left="0"/>
        <w:jc w:val="both"/>
      </w:pPr>
      <w:r>
        <w:rPr>
          <w:rFonts w:ascii="Times New Roman" w:hAnsi="Times New Roman" w:eastAsia="Times New Roman"/>
          <w:b w:val="0"/>
          <w:i w:val="0"/>
          <w:sz w:val="22"/>
        </w:rPr>
        <w:t>We are available to discuss any of the foregoing at your convenience. Please direct instruction on the open items to the undersigned, copied to Ms. Ashworth.</w:t>
      </w:r>
    </w:p>
    <w:p>
      <w:pPr>
        <w:keepNext w:val="0"/>
        <w:spacing w:before="120" w:after="480" w:line="240" w:lineRule="auto"/>
        <w:ind w:left="0"/>
        <w:jc w:val="both"/>
      </w:pPr>
      <w:r>
        <w:rPr>
          <w:rFonts w:ascii="Times New Roman" w:hAnsi="Times New Roman" w:eastAsia="Times New Roman"/>
          <w:b w:val="0"/>
          <w:i w:val="0"/>
          <w:sz w:val="22"/>
        </w:rPr>
        <w:t>Respectfully submitted,</w:t>
      </w:r>
    </w:p>
    <w:p>
      <w:pPr>
        <w:keepNext w:val="0"/>
        <w:spacing w:before="0" w:after="0" w:line="240" w:lineRule="auto"/>
        <w:ind w:left="0"/>
        <w:jc w:val="left"/>
      </w:pPr>
      <w:r>
        <w:rPr>
          <w:rFonts w:ascii="Times New Roman" w:hAnsi="Times New Roman" w:eastAsia="Times New Roman"/>
          <w:b/>
          <w:i w:val="0"/>
          <w:sz w:val="22"/>
        </w:rPr>
        <w:t>Jordan Vickers</w:t>
      </w:r>
    </w:p>
    <w:p>
      <w:pPr>
        <w:keepNext w:val="0"/>
        <w:spacing w:before="0" w:after="0" w:line="240" w:lineRule="auto"/>
        <w:ind w:left="0"/>
        <w:jc w:val="left"/>
      </w:pPr>
      <w:r>
        <w:rPr>
          <w:rFonts w:ascii="Times New Roman" w:hAnsi="Times New Roman" w:eastAsia="Times New Roman"/>
          <w:b w:val="0"/>
          <w:i/>
          <w:sz w:val="20"/>
        </w:rPr>
        <w:t>Associate</w:t>
      </w:r>
    </w:p>
    <w:p>
      <w:pPr>
        <w:keepNext w:val="0"/>
        <w:spacing w:before="0" w:after="0" w:line="240" w:lineRule="auto"/>
        <w:ind w:left="0"/>
        <w:jc w:val="left"/>
      </w:pPr>
      <w:r>
        <w:rPr>
          <w:rFonts w:ascii="Times New Roman" w:hAnsi="Times New Roman" w:eastAsia="Times New Roman"/>
          <w:b w:val="0"/>
          <w:i w:val="0"/>
          <w:sz w:val="20"/>
        </w:rPr>
        <w:t>Fielding, Ashworth &amp; Cole LLP</w:t>
      </w:r>
    </w:p>
    <w:p>
      <w:pPr>
        <w:keepNext w:val="0"/>
        <w:spacing w:before="0" w:after="200" w:line="240" w:lineRule="auto"/>
        <w:ind w:left="0"/>
        <w:jc w:val="left"/>
      </w:pPr>
      <w:r>
        <w:rPr>
          <w:rFonts w:ascii="Times New Roman" w:hAnsi="Times New Roman" w:eastAsia="Times New Roman"/>
          <w:b w:val="0"/>
          <w:i w:val="0"/>
          <w:sz w:val="20"/>
        </w:rPr>
        <w:t>Charleston, South Carolina</w:t>
      </w:r>
    </w:p>
    <w:p>
      <w:pPr>
        <w:keepNext w:val="0"/>
        <w:spacing w:before="0" w:after="0" w:line="240" w:lineRule="auto"/>
        <w:ind w:left="0"/>
        <w:jc w:val="left"/>
      </w:pPr>
      <w:r>
        <w:rPr>
          <w:rFonts w:ascii="Times New Roman" w:hAnsi="Times New Roman" w:eastAsia="Times New Roman"/>
          <w:b w:val="0"/>
          <w:i/>
          <w:sz w:val="19"/>
        </w:rPr>
        <w:t>Reviewed by Catherine “Kit” Ashworth, Partner, Real Estate Practice Group Chair</w:t>
      </w:r>
    </w:p>
    <w:p>
      <w:pPr>
        <w:spacing w:before="280" w:after="80"/>
        <w:pBdr>
          <w:bottom w:val="single" w:sz="6" w:space="1" w:color="808080"/>
        </w:pBdr>
      </w:pPr>
    </w:p>
    <w:p>
      <w:pPr>
        <w:keepNext w:val="0"/>
        <w:spacing w:before="0" w:after="120" w:line="240" w:lineRule="auto"/>
        <w:ind w:left="0"/>
        <w:jc w:val="both"/>
      </w:pPr>
      <w:r>
        <w:rPr>
          <w:rFonts w:ascii="Times New Roman" w:hAnsi="Times New Roman" w:eastAsia="Times New Roman"/>
          <w:b w:val="0"/>
          <w:i/>
          <w:sz w:val="17"/>
        </w:rPr>
        <w:t>Attachment: Mortgage and Security Agreement (with Absolute Assignment of Leases, Rents and Profits; Security Agreement; and Fixture Filing), with Exhibits A–F.</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Times New Roman" w:hAnsi="Times New Roman" w:eastAsia="Times New Roman"/>
        <w:sz w:val="15"/>
      </w:rPr>
      <w:t xml:space="preserve">Drafting Issues Memorandum — CHB CRE Loan No. 2025-CHS-0047   |   Page </w:t>
    </w:r>
    <w:r>
      <w:rPr>
        <w:rFonts w:ascii="Times New Roman" w:hAnsi="Times New Roman" w:eastAsia="Times New Roman"/>
        <w:sz w:val="15"/>
      </w:rPr>
      <w:fldChar w:fldCharType="begin"/>
      <w:instrText xml:space="preserve">PAGE</w:instrText>
      <w:fldChar w:fldCharType="separate"/>
      <w:t>1</w:t>
      <w:fldChar w:fldCharType="end"/>
    </w:r>
    <w:r>
      <w:rPr>
        <w:rFonts w:ascii="Times New Roman" w:hAnsi="Times New Roman" w:eastAsia="Times New Roman"/>
        <w:sz w:val="15"/>
      </w:rPr>
      <w:t xml:space="preserve"> of </w:t>
    </w:r>
    <w:r>
      <w:rPr>
        <w:rFonts w:ascii="Times New Roman" w:hAnsi="Times New Roman" w:eastAsia="Times New Roman"/>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i/>
        <w:sz w:val="16"/>
      </w:rPr>
      <w:t>Privileged and Confidential — Attorney Work Product — CHB CRE Loan No. 2025-CHS-0047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