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80" w:line="240" w:lineRule="auto"/>
        <w:ind w:left="0"/>
        <w:jc w:val="center"/>
      </w:pPr>
      <w:r>
        <w:rPr>
          <w:rFonts w:ascii="Times New Roman" w:hAnsi="Times New Roman" w:cs="Times New Roman" w:eastAsia="Times New Roman"/>
          <w:b/>
          <w:i w:val="0"/>
          <w:caps/>
          <w:sz w:val="26"/>
          <w:u w:val="none"/>
        </w:rPr>
        <w:t>ISSUES MEMORANDUM</w:t>
      </w:r>
    </w:p>
    <w:p>
      <w:pPr>
        <w:keepNext w:val="0"/>
        <w:spacing w:before="0" w:after="160" w:line="240" w:lineRule="auto"/>
        <w:ind w:left="0"/>
        <w:jc w:val="center"/>
      </w:pPr>
      <w:r>
        <w:rPr>
          <w:rFonts w:ascii="Times New Roman" w:hAnsi="Times New Roman" w:cs="Times New Roman" w:eastAsia="Times New Roman"/>
          <w:b/>
          <w:i w:val="0"/>
          <w:sz w:val="24"/>
          <w:u w:val="none"/>
        </w:rPr>
        <w:t>FIELDING, ASHWORTH &amp; COLE LLP</w:t>
      </w:r>
      <w:r>
        <w:rPr>
          <w:rFonts w:ascii="Times New Roman" w:hAnsi="Times New Roman" w:cs="Times New Roman" w:eastAsia="Times New Roman"/>
          <w:b w:val="0"/>
          <w:i w:val="0"/>
          <w:sz w:val="24"/>
          <w:u w:val="none"/>
        </w:rPr>
        <w:t xml:space="preserve"> — Attorneys at Law — Charleston | Savannah</w:t>
      </w:r>
    </w:p>
    <w:p>
      <w:pPr>
        <w:keepNext/>
        <w:spacing w:before="0" w:after="200" w:line="240" w:lineRule="auto"/>
        <w:ind w:left="0"/>
        <w:jc w:val="center"/>
      </w:pPr>
      <w:r>
        <w:rPr>
          <w:rFonts w:ascii="Times New Roman" w:hAnsi="Times New Roman" w:cs="Times New Roman" w:eastAsia="Times New Roman"/>
          <w:b/>
          <w:i w:val="0"/>
          <w:sz w:val="22"/>
          <w:u w:val="none"/>
        </w:rPr>
        <w:t>PRIVILEGED AND CONFIDENTIAL — ATTORNEY WORK PRODUCT — PREPARED IN ANTICIPATION OF LITIGATION</w:t>
      </w:r>
    </w:p>
    <w:tbl>
      <w:tblPr>
        <w:tblStyle w:val="TableGrid"/>
        <w:tblW w:type="auto" w:w="0"/>
        <w:jc w:val="center"/>
        <w:tblLayout w:type="fixed"/>
        <w:tblLook w:firstColumn="1" w:firstRow="1" w:lastColumn="0" w:lastRow="0" w:noHBand="0" w:noVBand="1" w:val="04A0"/>
        <w:tblLayout w:type="fixed"/>
        <w:tblW w:w="9360" w:type="dxa"/>
        <w:tblCellMar>
          <w:left w:w="72" w:type="dxa"/>
          <w:right w:w="72" w:type="dxa"/>
          <w:top w:w="36" w:type="dxa"/>
          <w:bottom w:w="36" w:type="dxa"/>
        </w:tblCellMar>
      </w:tblPr>
      <w:tblGrid>
        <w:gridCol w:w="1651"/>
        <w:gridCol w:w="7708"/>
      </w:tblGrid>
      <w:tr>
        <w:tc>
          <w:tcPr>
            <w:tcW w:type="dxa" w:w="1652"/>
            <w:shd w:val="clear" w:color="auto" w:fill="D9D9D9"/>
          </w:tcPr>
          <w:p>
            <w:pPr>
              <w:spacing w:after="40" w:before="40" w:line="240" w:lineRule="auto"/>
              <w:jc w:val="left"/>
            </w:pPr>
            <w:r/>
            <w:r>
              <w:rPr>
                <w:rFonts w:ascii="Times New Roman" w:hAnsi="Times New Roman" w:cs="Times New Roman" w:eastAsia="Times New Roman"/>
                <w:b/>
                <w:i w:val="0"/>
                <w:sz w:val="18"/>
                <w:u w:val="none"/>
              </w:rPr>
              <w:t>TO:</w:t>
            </w:r>
          </w:p>
        </w:tc>
        <w:tc>
          <w:tcPr>
            <w:tcW w:type="dxa" w:w="7708"/>
            <w:shd w:val="clear" w:color="auto" w:fill="D9D9D9"/>
          </w:tcPr>
          <w:p>
            <w:pPr>
              <w:spacing w:after="40" w:before="40" w:line="240" w:lineRule="auto"/>
              <w:jc w:val="left"/>
            </w:pPr>
            <w:r/>
            <w:r>
              <w:rPr>
                <w:rFonts w:ascii="Times New Roman" w:hAnsi="Times New Roman" w:cs="Times New Roman" w:eastAsia="Times New Roman"/>
                <w:b/>
                <w:i w:val="0"/>
                <w:sz w:val="18"/>
                <w:u w:val="none"/>
              </w:rPr>
              <w:t>Catherine “Kit” Ashworth, Partner, Real Estate Practice Group Chair</w:t>
            </w:r>
          </w:p>
        </w:tc>
      </w:tr>
      <w:tr>
        <w:tc>
          <w:tcPr>
            <w:tcW w:type="dxa" w:w="1652"/>
          </w:tcPr>
          <w:p>
            <w:pPr>
              <w:spacing w:after="40" w:before="40" w:line="240" w:lineRule="auto"/>
              <w:jc w:val="left"/>
            </w:pPr>
            <w:r/>
            <w:r>
              <w:rPr>
                <w:rFonts w:ascii="Times New Roman" w:hAnsi="Times New Roman" w:cs="Times New Roman" w:eastAsia="Times New Roman"/>
                <w:b w:val="0"/>
                <w:i w:val="0"/>
                <w:sz w:val="18"/>
                <w:u w:val="none"/>
              </w:rPr>
              <w:t>FROM:</w:t>
            </w:r>
          </w:p>
        </w:tc>
        <w:tc>
          <w:tcPr>
            <w:tcW w:type="dxa" w:w="7708"/>
          </w:tcPr>
          <w:p>
            <w:pPr>
              <w:spacing w:after="40" w:before="40" w:line="240" w:lineRule="auto"/>
              <w:jc w:val="left"/>
            </w:pPr>
            <w:r/>
            <w:r>
              <w:rPr>
                <w:rFonts w:ascii="Times New Roman" w:hAnsi="Times New Roman" w:cs="Times New Roman" w:eastAsia="Times New Roman"/>
                <w:b w:val="0"/>
                <w:i w:val="0"/>
                <w:sz w:val="18"/>
                <w:u w:val="none"/>
              </w:rPr>
              <w:t>Jordan Vickers, Associate, Charleston Office</w:t>
            </w:r>
          </w:p>
        </w:tc>
      </w:tr>
      <w:tr>
        <w:tc>
          <w:tcPr>
            <w:tcW w:type="dxa" w:w="1652"/>
          </w:tcPr>
          <w:p>
            <w:pPr>
              <w:spacing w:after="40" w:before="40" w:line="240" w:lineRule="auto"/>
              <w:jc w:val="left"/>
            </w:pPr>
            <w:r/>
            <w:r>
              <w:rPr>
                <w:rFonts w:ascii="Times New Roman" w:hAnsi="Times New Roman" w:cs="Times New Roman" w:eastAsia="Times New Roman"/>
                <w:b w:val="0"/>
                <w:i w:val="0"/>
                <w:sz w:val="18"/>
                <w:u w:val="none"/>
              </w:rPr>
              <w:t>DATE:</w:t>
            </w:r>
          </w:p>
        </w:tc>
        <w:tc>
          <w:tcPr>
            <w:tcW w:type="dxa" w:w="7708"/>
          </w:tcPr>
          <w:p>
            <w:pPr>
              <w:spacing w:after="40" w:before="40" w:line="240" w:lineRule="auto"/>
              <w:jc w:val="left"/>
            </w:pPr>
            <w:r/>
            <w:r>
              <w:rPr>
                <w:rFonts w:ascii="Times New Roman" w:hAnsi="Times New Roman" w:cs="Times New Roman" w:eastAsia="Times New Roman"/>
                <w:b w:val="0"/>
                <w:i w:val="0"/>
                <w:sz w:val="18"/>
                <w:u w:val="none"/>
              </w:rPr>
              <w:t>March 28, 2025</w:t>
            </w:r>
          </w:p>
        </w:tc>
      </w:tr>
      <w:tr>
        <w:tc>
          <w:tcPr>
            <w:tcW w:type="dxa" w:w="1652"/>
          </w:tcPr>
          <w:p>
            <w:pPr>
              <w:spacing w:after="40" w:before="40" w:line="240" w:lineRule="auto"/>
              <w:jc w:val="left"/>
            </w:pPr>
            <w:r/>
            <w:r>
              <w:rPr>
                <w:rFonts w:ascii="Times New Roman" w:hAnsi="Times New Roman" w:cs="Times New Roman" w:eastAsia="Times New Roman"/>
                <w:b w:val="0"/>
                <w:i w:val="0"/>
                <w:sz w:val="18"/>
                <w:u w:val="none"/>
              </w:rPr>
              <w:t>RE:</w:t>
            </w:r>
          </w:p>
        </w:tc>
        <w:tc>
          <w:tcPr>
            <w:tcW w:type="dxa" w:w="7708"/>
          </w:tcPr>
          <w:p>
            <w:pPr>
              <w:spacing w:after="40" w:before="40" w:line="240" w:lineRule="auto"/>
              <w:jc w:val="left"/>
            </w:pPr>
            <w:r/>
            <w:r>
              <w:rPr>
                <w:rFonts w:ascii="Times New Roman" w:hAnsi="Times New Roman" w:cs="Times New Roman" w:eastAsia="Times New Roman"/>
                <w:b w:val="0"/>
                <w:i w:val="0"/>
                <w:sz w:val="18"/>
                <w:u w:val="none"/>
              </w:rPr>
              <w:t>Drafting Issues — Mortgage and Security Agreement — Calverley Heritage Bank / Palmetto Gateway Partners LLC, $14,750,000 (CHB CRE Loan No. 2025-CHS-0047), 520–534 King Street, Charleston, South Carolina 29403</w:t>
            </w:r>
          </w:p>
        </w:tc>
      </w:tr>
      <w:tr>
        <w:tc>
          <w:tcPr>
            <w:tcW w:type="dxa" w:w="1652"/>
          </w:tcPr>
          <w:p>
            <w:pPr>
              <w:spacing w:after="40" w:before="40" w:line="240" w:lineRule="auto"/>
              <w:jc w:val="left"/>
            </w:pPr>
            <w:r/>
            <w:r>
              <w:rPr>
                <w:rFonts w:ascii="Times New Roman" w:hAnsi="Times New Roman" w:cs="Times New Roman" w:eastAsia="Times New Roman"/>
                <w:b w:val="0"/>
                <w:i w:val="0"/>
                <w:sz w:val="18"/>
                <w:u w:val="none"/>
              </w:rPr>
              <w:t>CC:</w:t>
            </w:r>
          </w:p>
        </w:tc>
        <w:tc>
          <w:tcPr>
            <w:tcW w:type="dxa" w:w="7708"/>
          </w:tcPr>
          <w:p>
            <w:pPr>
              <w:spacing w:after="40" w:before="40" w:line="240" w:lineRule="auto"/>
              <w:jc w:val="left"/>
            </w:pPr>
            <w:r/>
            <w:r>
              <w:rPr>
                <w:rFonts w:ascii="Times New Roman" w:hAnsi="Times New Roman" w:cs="Times New Roman" w:eastAsia="Times New Roman"/>
                <w:b w:val="0"/>
                <w:i w:val="0"/>
                <w:sz w:val="18"/>
                <w:u w:val="none"/>
              </w:rPr>
              <w:t>File</w:t>
            </w:r>
          </w:p>
        </w:tc>
      </w:tr>
    </w:tbl>
    <w:p>
      <w:pPr>
        <w:keepNext w:val="0"/>
        <w:spacing w:before="0" w:after="40" w:line="240" w:lineRule="auto"/>
        <w:ind w:left="0"/>
        <w:jc w:val="both"/>
      </w:pPr>
    </w:p>
    <w:p>
      <w:pPr>
        <w:keepNext/>
        <w:spacing w:before="280" w:after="200" w:line="240" w:lineRule="auto"/>
        <w:ind w:left="0"/>
        <w:jc w:val="center"/>
      </w:pPr>
      <w:r>
        <w:rPr>
          <w:rFonts w:ascii="Times New Roman" w:hAnsi="Times New Roman" w:cs="Times New Roman" w:eastAsia="Times New Roman"/>
          <w:b/>
          <w:i w:val="0"/>
          <w:caps/>
          <w:sz w:val="24"/>
          <w:u w:val="none"/>
        </w:rPr>
        <w:t>1. PURPOSE AND SCOPE</w:t>
      </w:r>
    </w:p>
    <w:p>
      <w:pPr>
        <w:keepNext w:val="0"/>
        <w:spacing w:before="0" w:after="160" w:line="240" w:lineRule="auto"/>
        <w:ind w:left="0"/>
        <w:jc w:val="both"/>
      </w:pPr>
      <w:r>
        <w:rPr>
          <w:rFonts w:ascii="Times New Roman" w:hAnsi="Times New Roman" w:cs="Times New Roman" w:eastAsia="Times New Roman"/>
          <w:b w:val="0"/>
          <w:i w:val="0"/>
          <w:sz w:val="24"/>
          <w:u w:val="none"/>
        </w:rPr>
        <w:t>This memorandum accompanies the initial draft of the Mortgage, Assignment of Leases and Rents, Security Agreement and Fixture Filing (the “</w:t>
      </w:r>
      <w:r>
        <w:rPr>
          <w:rFonts w:ascii="Times New Roman" w:hAnsi="Times New Roman" w:cs="Times New Roman" w:eastAsia="Times New Roman"/>
          <w:b/>
          <w:i w:val="0"/>
          <w:sz w:val="24"/>
          <w:u w:val="none"/>
        </w:rPr>
        <w:t>Mortgage</w:t>
      </w:r>
      <w:r>
        <w:rPr>
          <w:rFonts w:ascii="Times New Roman" w:hAnsi="Times New Roman" w:cs="Times New Roman" w:eastAsia="Times New Roman"/>
          <w:b w:val="0"/>
          <w:i w:val="0"/>
          <w:sz w:val="24"/>
          <w:u w:val="none"/>
        </w:rPr>
        <w:t>”) prepared for Calverley Heritage Bank (the “</w:t>
      </w:r>
      <w:r>
        <w:rPr>
          <w:rFonts w:ascii="Times New Roman" w:hAnsi="Times New Roman" w:cs="Times New Roman" w:eastAsia="Times New Roman"/>
          <w:b/>
          <w:i w:val="0"/>
          <w:sz w:val="24"/>
          <w:u w:val="none"/>
        </w:rPr>
        <w:t>Lender</w:t>
      </w:r>
      <w:r>
        <w:rPr>
          <w:rFonts w:ascii="Times New Roman" w:hAnsi="Times New Roman" w:cs="Times New Roman" w:eastAsia="Times New Roman"/>
          <w:b w:val="0"/>
          <w:i w:val="0"/>
          <w:sz w:val="24"/>
          <w:u w:val="none"/>
        </w:rPr>
        <w:t>”) in connection with the $14,750,000 loan (the “</w:t>
      </w:r>
      <w:r>
        <w:rPr>
          <w:rFonts w:ascii="Times New Roman" w:hAnsi="Times New Roman" w:cs="Times New Roman" w:eastAsia="Times New Roman"/>
          <w:b/>
          <w:i w:val="0"/>
          <w:sz w:val="24"/>
          <w:u w:val="none"/>
        </w:rPr>
        <w:t>Loan</w:t>
      </w:r>
      <w:r>
        <w:rPr>
          <w:rFonts w:ascii="Times New Roman" w:hAnsi="Times New Roman" w:cs="Times New Roman" w:eastAsia="Times New Roman"/>
          <w:b w:val="0"/>
          <w:i w:val="0"/>
          <w:sz w:val="24"/>
          <w:u w:val="none"/>
        </w:rPr>
        <w:t>”) to Palmetto Gateway Partners LLC (the “</w:t>
      </w:r>
      <w:r>
        <w:rPr>
          <w:rFonts w:ascii="Times New Roman" w:hAnsi="Times New Roman" w:cs="Times New Roman" w:eastAsia="Times New Roman"/>
          <w:b/>
          <w:i w:val="0"/>
          <w:sz w:val="24"/>
          <w:u w:val="none"/>
        </w:rPr>
        <w:t>Borrower</w:t>
      </w:r>
      <w:r>
        <w:rPr>
          <w:rFonts w:ascii="Times New Roman" w:hAnsi="Times New Roman" w:cs="Times New Roman" w:eastAsia="Times New Roman"/>
          <w:b w:val="0"/>
          <w:i w:val="0"/>
          <w:sz w:val="24"/>
          <w:u w:val="none"/>
        </w:rPr>
        <w:t>”). The draft responds to your markup notes of March 18, 2025 and implements the Executed Term Sheet dated April 1, 2025 (Deal Reference CHB CRE Loan No. 2025-CHS-0047) (the “</w:t>
      </w:r>
      <w:r>
        <w:rPr>
          <w:rFonts w:ascii="Times New Roman" w:hAnsi="Times New Roman" w:cs="Times New Roman" w:eastAsia="Times New Roman"/>
          <w:b/>
          <w:i w:val="0"/>
          <w:sz w:val="24"/>
          <w:u w:val="none"/>
        </w:rPr>
        <w:t>Term Sheet</w:t>
      </w:r>
      <w:r>
        <w:rPr>
          <w:rFonts w:ascii="Times New Roman" w:hAnsi="Times New Roman" w:cs="Times New Roman" w:eastAsia="Times New Roman"/>
          <w:b w:val="0"/>
          <w:i w:val="0"/>
          <w:sz w:val="24"/>
          <w:u w:val="none"/>
        </w:rPr>
        <w:t>”).</w:t>
      </w:r>
    </w:p>
    <w:p>
      <w:pPr>
        <w:keepNext w:val="0"/>
        <w:spacing w:before="0" w:after="160" w:line="240" w:lineRule="auto"/>
        <w:ind w:left="0"/>
        <w:jc w:val="both"/>
      </w:pPr>
      <w:r>
        <w:rPr>
          <w:rFonts w:ascii="Times New Roman" w:hAnsi="Times New Roman" w:cs="Times New Roman" w:eastAsia="Times New Roman"/>
          <w:b w:val="0"/>
          <w:i w:val="0"/>
          <w:sz w:val="24"/>
          <w:u w:val="none"/>
        </w:rPr>
        <w:t>This memorandum records (a) the cross-document verification work performed on the record before drafting, including independent recomputation of every stated total, ratio, date interval, and threshold that the Mortgage or the closing depends upon; (b) each drafting issue identified, with the source of the proposition, the treatment adopted in the draft, and the action still required; (c) each point on which the record is internally inconsistent or in which your March 18 instructions depart from the binding Term Sheet, together with the resolution adopted and the instruction requested; and (d) the additional closing conditions that should be added to Section 12.1 of the Term Sheet.</w:t>
      </w:r>
    </w:p>
    <w:p>
      <w:pPr>
        <w:keepNext w:val="0"/>
        <w:spacing w:before="0" w:after="160" w:line="240" w:lineRule="auto"/>
        <w:ind w:left="0"/>
        <w:jc w:val="both"/>
      </w:pPr>
      <w:r>
        <w:rPr>
          <w:rFonts w:ascii="Times New Roman" w:hAnsi="Times New Roman" w:cs="Times New Roman" w:eastAsia="Times New Roman"/>
          <w:b/>
          <w:i w:val="0"/>
          <w:sz w:val="24"/>
          <w:u w:val="none"/>
        </w:rPr>
        <w:t>Hierarchy applied where sources conflict.</w:t>
      </w:r>
      <w:r>
        <w:rPr>
          <w:rFonts w:ascii="Times New Roman" w:hAnsi="Times New Roman" w:cs="Times New Roman" w:eastAsia="Times New Roman"/>
          <w:b w:val="0"/>
          <w:i w:val="0"/>
          <w:sz w:val="24"/>
          <w:u w:val="none"/>
        </w:rPr>
        <w:t xml:space="preserve"> The Term Sheet is an executed, binding commitment; the March 18 markup notes are internal drafting instructions directed to the template. Where the two conflict, the draft follows the Term Sheet and the divergence is flagged in Section 7 below, because the Term Sheet may not be materially departed from in the Loan Documents without Lender’s sign-off (Term Sheet § 14.4) and because the foreclosure, assignment-of-rents, prepayment, and financial covenant provisions must be enforceable as written rather than aspirational. Each such departure is identified so that you and Marcus Prideaux can confirm or reverse it before the draft is released on April 1.</w:t>
      </w:r>
    </w:p>
    <w:p>
      <w:pPr>
        <w:keepNext w:val="0"/>
        <w:spacing w:before="0" w:after="160" w:line="240" w:lineRule="auto"/>
        <w:ind w:left="0"/>
        <w:jc w:val="both"/>
      </w:pPr>
      <w:r>
        <w:rPr>
          <w:rFonts w:ascii="Times New Roman" w:hAnsi="Times New Roman" w:cs="Times New Roman" w:eastAsia="Times New Roman"/>
          <w:b/>
          <w:i w:val="0"/>
          <w:sz w:val="24"/>
          <w:u w:val="none"/>
        </w:rPr>
        <w:t>Conventions in the draft.</w:t>
      </w:r>
      <w:r>
        <w:rPr>
          <w:rFonts w:ascii="Times New Roman" w:hAnsi="Times New Roman" w:cs="Times New Roman" w:eastAsia="Times New Roman"/>
          <w:b w:val="0"/>
          <w:i w:val="0"/>
          <w:sz w:val="24"/>
          <w:u w:val="none"/>
        </w:rPr>
        <w:t xml:space="preserve"> The Mortgage is organized in eighteen Articles with five Exhibits. Bracketed items are deliberately left to be completed at or before recording: the closing date (drafted as “April [15], 2025” pending confirmation), the deed recording references in Exhibit A, the borrower’s counsel’s notice address, and the witness and notarial blocks. Exhibit A contains a drafting note recording that the plat-reference description must be replaced with the surveyor’s metes-and-bounds description conforming to the insured description before the instrument is recorded; that description cannot be drafted from the record available to us and should not be guessed. Section references in this memorandum to the Mortgage are to the draft as delivered with this memorandum.</w:t>
      </w:r>
    </w:p>
    <w:p>
      <w:pPr>
        <w:keepNext w:val="0"/>
        <w:spacing w:before="0" w:after="160" w:line="240" w:lineRule="auto"/>
        <w:ind w:left="0"/>
        <w:jc w:val="both"/>
      </w:pPr>
      <w:r>
        <w:rPr>
          <w:rFonts w:ascii="Times New Roman" w:hAnsi="Times New Roman" w:cs="Times New Roman" w:eastAsia="Times New Roman"/>
          <w:b/>
          <w:i w:val="0"/>
          <w:sz w:val="24"/>
          <w:u w:val="none"/>
        </w:rPr>
        <w:t>Scope limitation.</w:t>
      </w:r>
      <w:r>
        <w:rPr>
          <w:rFonts w:ascii="Times New Roman" w:hAnsi="Times New Roman" w:cs="Times New Roman" w:eastAsia="Times New Roman"/>
          <w:b w:val="0"/>
          <w:i w:val="0"/>
          <w:sz w:val="24"/>
          <w:u w:val="none"/>
        </w:rPr>
        <w:t xml:space="preserve"> This memorandum addresses the Mortgage only. It does not opine on the Note, Guaranty, Environmental Indemnity, or the title and survey matters beyond their effect on the Mortgage. Nothing herein is a legal opinion, and no conclusion on title, enforceability, or tax has been rendered.</w:t>
      </w:r>
    </w:p>
    <w:p>
      <w:pPr>
        <w:keepNext/>
        <w:spacing w:before="280" w:after="200" w:line="240" w:lineRule="auto"/>
        <w:ind w:left="0"/>
        <w:jc w:val="center"/>
      </w:pPr>
      <w:r>
        <w:rPr>
          <w:rFonts w:ascii="Times New Roman" w:hAnsi="Times New Roman" w:cs="Times New Roman" w:eastAsia="Times New Roman"/>
          <w:b/>
          <w:i w:val="0"/>
          <w:caps/>
          <w:sz w:val="24"/>
          <w:u w:val="none"/>
        </w:rPr>
        <w:t>2. TOP-RISK REGISTER</w:t>
      </w:r>
    </w:p>
    <w:p>
      <w:pPr>
        <w:keepNext w:val="0"/>
        <w:spacing w:before="0" w:after="160" w:line="240" w:lineRule="auto"/>
        <w:ind w:left="0"/>
        <w:jc w:val="both"/>
      </w:pPr>
      <w:r>
        <w:rPr>
          <w:rFonts w:ascii="Times New Roman" w:hAnsi="Times New Roman" w:cs="Times New Roman" w:eastAsia="Times New Roman"/>
          <w:b w:val="0"/>
          <w:i w:val="0"/>
          <w:sz w:val="24"/>
          <w:u w:val="none"/>
        </w:rPr>
        <w:t>The following register is ordered by risk to Lender. “Critical” means the issue can impair collateral coverage, enforceability, or the loan’s ability to perform as underwritten; “High” means the issue can delay closing or create a material uninsured or unaddressed exposure; “Medium” means the issue requires documentation or confirmation but is unlikely to change the economics of the transaction.</w:t>
      </w:r>
    </w:p>
    <w:tbl>
      <w:tblPr>
        <w:tblStyle w:val="TableGrid"/>
        <w:tblW w:type="auto" w:w="0"/>
        <w:jc w:val="center"/>
        <w:tblLayout w:type="fixed"/>
        <w:tblLook w:firstColumn="1" w:firstRow="1" w:lastColumn="0" w:lastRow="0" w:noHBand="0" w:noVBand="1" w:val="04A0"/>
        <w:tblLayout w:type="fixed"/>
        <w:tblW w:w="9360" w:type="dxa"/>
        <w:tblCellMar>
          <w:left w:w="72" w:type="dxa"/>
          <w:right w:w="72" w:type="dxa"/>
          <w:top w:w="36" w:type="dxa"/>
          <w:bottom w:w="36" w:type="dxa"/>
        </w:tblCellMar>
      </w:tblPr>
      <w:tblGrid>
        <w:gridCol w:w="676"/>
        <w:gridCol w:w="3110"/>
        <w:gridCol w:w="3110"/>
        <w:gridCol w:w="1487"/>
        <w:gridCol w:w="973"/>
      </w:tblGrid>
      <w:tr>
        <w:tc>
          <w:tcPr>
            <w:tcW w:type="dxa" w:w="676"/>
            <w:shd w:val="clear" w:color="auto" w:fill="D9D9D9"/>
          </w:tcPr>
          <w:p>
            <w:pPr>
              <w:spacing w:after="40" w:before="40" w:line="240" w:lineRule="auto"/>
              <w:jc w:val="left"/>
            </w:pPr>
            <w:r/>
            <w:r>
              <w:rPr>
                <w:rFonts w:ascii="Times New Roman" w:hAnsi="Times New Roman" w:cs="Times New Roman" w:eastAsia="Times New Roman"/>
                <w:b/>
                <w:i w:val="0"/>
                <w:sz w:val="18"/>
                <w:u w:val="none"/>
              </w:rPr>
              <w:t>#</w:t>
            </w:r>
          </w:p>
        </w:tc>
        <w:tc>
          <w:tcPr>
            <w:tcW w:type="dxa" w:w="3111"/>
            <w:shd w:val="clear" w:color="auto" w:fill="D9D9D9"/>
          </w:tcPr>
          <w:p>
            <w:pPr>
              <w:spacing w:after="40" w:before="40" w:line="240" w:lineRule="auto"/>
              <w:jc w:val="left"/>
            </w:pPr>
            <w:r/>
            <w:r>
              <w:rPr>
                <w:rFonts w:ascii="Times New Roman" w:hAnsi="Times New Roman" w:cs="Times New Roman" w:eastAsia="Times New Roman"/>
                <w:b/>
                <w:i w:val="0"/>
                <w:sz w:val="18"/>
                <w:u w:val="none"/>
              </w:rPr>
              <w:t>Issue</w:t>
            </w:r>
          </w:p>
        </w:tc>
        <w:tc>
          <w:tcPr>
            <w:tcW w:type="dxa" w:w="3111"/>
            <w:shd w:val="clear" w:color="auto" w:fill="D9D9D9"/>
          </w:tcPr>
          <w:p>
            <w:pPr>
              <w:spacing w:after="40" w:before="40" w:line="240" w:lineRule="auto"/>
              <w:jc w:val="left"/>
            </w:pPr>
            <w:r/>
            <w:r>
              <w:rPr>
                <w:rFonts w:ascii="Times New Roman" w:hAnsi="Times New Roman" w:cs="Times New Roman" w:eastAsia="Times New Roman"/>
                <w:b/>
                <w:i w:val="0"/>
                <w:sz w:val="18"/>
                <w:u w:val="none"/>
              </w:rPr>
              <w:t>Why it matters</w:t>
            </w:r>
          </w:p>
        </w:tc>
        <w:tc>
          <w:tcPr>
            <w:tcW w:type="dxa" w:w="1488"/>
            <w:shd w:val="clear" w:color="auto" w:fill="D9D9D9"/>
          </w:tcPr>
          <w:p>
            <w:pPr>
              <w:spacing w:after="40" w:before="40" w:line="240" w:lineRule="auto"/>
              <w:jc w:val="left"/>
            </w:pPr>
            <w:r/>
            <w:r>
              <w:rPr>
                <w:rFonts w:ascii="Times New Roman" w:hAnsi="Times New Roman" w:cs="Times New Roman" w:eastAsia="Times New Roman"/>
                <w:b/>
                <w:i w:val="0"/>
                <w:sz w:val="18"/>
                <w:u w:val="none"/>
              </w:rPr>
              <w:t>Required action</w:t>
            </w:r>
          </w:p>
        </w:tc>
        <w:tc>
          <w:tcPr>
            <w:tcW w:type="dxa" w:w="974"/>
            <w:shd w:val="clear" w:color="auto" w:fill="D9D9D9"/>
          </w:tcPr>
          <w:p>
            <w:pPr>
              <w:spacing w:after="40" w:before="40" w:line="240" w:lineRule="auto"/>
              <w:jc w:val="left"/>
            </w:pPr>
            <w:r/>
            <w:r>
              <w:rPr>
                <w:rFonts w:ascii="Times New Roman" w:hAnsi="Times New Roman" w:cs="Times New Roman" w:eastAsia="Times New Roman"/>
                <w:b/>
                <w:i w:val="0"/>
                <w:sz w:val="18"/>
                <w:u w:val="none"/>
              </w:rPr>
              <w:t>Sev.</w:t>
            </w:r>
          </w:p>
        </w:tc>
      </w:tr>
      <w:tr>
        <w:tc>
          <w:tcPr>
            <w:tcW w:type="dxa" w:w="676"/>
          </w:tcPr>
          <w:p>
            <w:pPr>
              <w:spacing w:after="40" w:before="40" w:line="240" w:lineRule="auto"/>
              <w:jc w:val="left"/>
            </w:pPr>
            <w:r/>
            <w:r>
              <w:rPr>
                <w:rFonts w:ascii="Times New Roman" w:hAnsi="Times New Roman" w:cs="Times New Roman" w:eastAsia="Times New Roman"/>
                <w:b w:val="0"/>
                <w:i w:val="0"/>
                <w:sz w:val="18"/>
                <w:u w:val="none"/>
              </w:rPr>
              <w:t>1</w:t>
            </w:r>
          </w:p>
        </w:tc>
        <w:tc>
          <w:tcPr>
            <w:tcW w:type="dxa" w:w="3111"/>
          </w:tcPr>
          <w:p>
            <w:pPr>
              <w:spacing w:after="40" w:before="40" w:line="240" w:lineRule="auto"/>
              <w:jc w:val="left"/>
            </w:pPr>
            <w:r/>
            <w:r>
              <w:rPr>
                <w:rFonts w:ascii="Times New Roman" w:hAnsi="Times New Roman" w:cs="Times New Roman" w:eastAsia="Times New Roman"/>
                <w:b w:val="0"/>
                <w:i w:val="0"/>
                <w:sz w:val="18"/>
                <w:u w:val="none"/>
              </w:rPr>
              <w:t>Debt service coverage covenant cannot be satisfied at any occupancy level reasonably projected (Section 4.3). Stabilized best-case NOI of $622,772 yields 0.72x on interest-only and 0.55x on amortizing debt service against a 1.25x covenant.</w:t>
            </w:r>
          </w:p>
        </w:tc>
        <w:tc>
          <w:tcPr>
            <w:tcW w:type="dxa" w:w="3111"/>
          </w:tcPr>
          <w:p>
            <w:pPr>
              <w:spacing w:after="40" w:before="40" w:line="240" w:lineRule="auto"/>
              <w:jc w:val="left"/>
            </w:pPr>
            <w:r/>
            <w:r>
              <w:rPr>
                <w:rFonts w:ascii="Times New Roman" w:hAnsi="Times New Roman" w:cs="Times New Roman" w:eastAsia="Times New Roman"/>
                <w:b w:val="0"/>
                <w:i w:val="0"/>
                <w:sz w:val="18"/>
                <w:u w:val="none"/>
              </w:rPr>
              <w:t>The DSCR covenant will be breached at the first test date. Either the loan is re-sized, the covenant re-set, the interest-only period extended, or credit support added.</w:t>
            </w:r>
          </w:p>
        </w:tc>
        <w:tc>
          <w:tcPr>
            <w:tcW w:type="dxa" w:w="1488"/>
          </w:tcPr>
          <w:p>
            <w:pPr>
              <w:spacing w:after="40" w:before="40" w:line="240" w:lineRule="auto"/>
              <w:jc w:val="left"/>
            </w:pPr>
            <w:r/>
            <w:r>
              <w:rPr>
                <w:rFonts w:ascii="Times New Roman" w:hAnsi="Times New Roman" w:cs="Times New Roman" w:eastAsia="Times New Roman"/>
                <w:b w:val="0"/>
                <w:i w:val="0"/>
                <w:sz w:val="18"/>
                <w:u w:val="none"/>
              </w:rPr>
              <w:t>Lender instruction before release</w:t>
            </w:r>
          </w:p>
        </w:tc>
        <w:tc>
          <w:tcPr>
            <w:tcW w:type="dxa" w:w="974"/>
          </w:tcPr>
          <w:p>
            <w:pPr>
              <w:spacing w:after="40" w:before="40" w:line="240" w:lineRule="auto"/>
              <w:jc w:val="left"/>
            </w:pPr>
            <w:r/>
            <w:r>
              <w:rPr>
                <w:rFonts w:ascii="Times New Roman" w:hAnsi="Times New Roman" w:cs="Times New Roman" w:eastAsia="Times New Roman"/>
                <w:b w:val="0"/>
                <w:i w:val="0"/>
                <w:sz w:val="18"/>
                <w:u w:val="none"/>
              </w:rPr>
              <w:t>Critical</w:t>
            </w:r>
          </w:p>
        </w:tc>
      </w:tr>
      <w:tr>
        <w:tc>
          <w:tcPr>
            <w:tcW w:type="dxa" w:w="676"/>
          </w:tcPr>
          <w:p>
            <w:pPr>
              <w:spacing w:after="40" w:before="40" w:line="240" w:lineRule="auto"/>
              <w:jc w:val="left"/>
            </w:pPr>
            <w:r/>
            <w:r>
              <w:rPr>
                <w:rFonts w:ascii="Times New Roman" w:hAnsi="Times New Roman" w:cs="Times New Roman" w:eastAsia="Times New Roman"/>
                <w:b w:val="0"/>
                <w:i w:val="0"/>
                <w:sz w:val="18"/>
                <w:u w:val="none"/>
              </w:rPr>
              <w:t>2</w:t>
            </w:r>
          </w:p>
        </w:tc>
        <w:tc>
          <w:tcPr>
            <w:tcW w:type="dxa" w:w="3111"/>
          </w:tcPr>
          <w:p>
            <w:pPr>
              <w:spacing w:after="40" w:before="40" w:line="240" w:lineRule="auto"/>
              <w:jc w:val="left"/>
            </w:pPr>
            <w:r/>
            <w:r>
              <w:rPr>
                <w:rFonts w:ascii="Times New Roman" w:hAnsi="Times New Roman" w:cs="Times New Roman" w:eastAsia="Times New Roman"/>
                <w:b w:val="0"/>
                <w:i w:val="0"/>
                <w:sz w:val="18"/>
                <w:u w:val="none"/>
              </w:rPr>
              <w:t>The appraisal’s income approach does not reconcile to its concluded values: stated NOI of $332,000–$345,000 (as-is) and $582,000–$592,000 (stabilized) implies cap rates of about 1.86% and 2.50% against stated value conclusions of $18,200,000 and $23,500,000 (Section 4.4).</w:t>
            </w:r>
          </w:p>
        </w:tc>
        <w:tc>
          <w:tcPr>
            <w:tcW w:type="dxa" w:w="3111"/>
          </w:tcPr>
          <w:p>
            <w:pPr>
              <w:spacing w:after="40" w:before="40" w:line="240" w:lineRule="auto"/>
              <w:jc w:val="left"/>
            </w:pPr>
            <w:r/>
            <w:r>
              <w:rPr>
                <w:rFonts w:ascii="Times New Roman" w:hAnsi="Times New Roman" w:cs="Times New Roman" w:eastAsia="Times New Roman"/>
                <w:b w:val="0"/>
                <w:i w:val="0"/>
                <w:sz w:val="18"/>
                <w:u w:val="none"/>
              </w:rPr>
              <w:t>Values are supportable only on the sales comparison approach. Loan sizing, LTV compliance, and the appraisal’s FIRREA/USPAP conformity are all affected.</w:t>
            </w:r>
          </w:p>
        </w:tc>
        <w:tc>
          <w:tcPr>
            <w:tcW w:type="dxa" w:w="1488"/>
          </w:tcPr>
          <w:p>
            <w:pPr>
              <w:spacing w:after="40" w:before="40" w:line="240" w:lineRule="auto"/>
              <w:jc w:val="left"/>
            </w:pPr>
            <w:r/>
            <w:r>
              <w:rPr>
                <w:rFonts w:ascii="Times New Roman" w:hAnsi="Times New Roman" w:cs="Times New Roman" w:eastAsia="Times New Roman"/>
                <w:b w:val="0"/>
                <w:i w:val="0"/>
                <w:sz w:val="18"/>
                <w:u w:val="none"/>
              </w:rPr>
              <w:t>Obtain independent appraisal review and a corrected or re-certified report</w:t>
            </w:r>
          </w:p>
        </w:tc>
        <w:tc>
          <w:tcPr>
            <w:tcW w:type="dxa" w:w="974"/>
          </w:tcPr>
          <w:p>
            <w:pPr>
              <w:spacing w:after="40" w:before="40" w:line="240" w:lineRule="auto"/>
              <w:jc w:val="left"/>
            </w:pPr>
            <w:r/>
            <w:r>
              <w:rPr>
                <w:rFonts w:ascii="Times New Roman" w:hAnsi="Times New Roman" w:cs="Times New Roman" w:eastAsia="Times New Roman"/>
                <w:b w:val="0"/>
                <w:i w:val="0"/>
                <w:sz w:val="18"/>
                <w:u w:val="none"/>
              </w:rPr>
              <w:t>Critical</w:t>
            </w:r>
          </w:p>
        </w:tc>
      </w:tr>
      <w:tr>
        <w:tc>
          <w:tcPr>
            <w:tcW w:type="dxa" w:w="676"/>
          </w:tcPr>
          <w:p>
            <w:pPr>
              <w:spacing w:after="40" w:before="40" w:line="240" w:lineRule="auto"/>
              <w:jc w:val="left"/>
            </w:pPr>
            <w:r/>
            <w:r>
              <w:rPr>
                <w:rFonts w:ascii="Times New Roman" w:hAnsi="Times New Roman" w:cs="Times New Roman" w:eastAsia="Times New Roman"/>
                <w:b w:val="0"/>
                <w:i w:val="0"/>
                <w:sz w:val="18"/>
                <w:u w:val="none"/>
              </w:rPr>
              <w:t>3</w:t>
            </w:r>
          </w:p>
        </w:tc>
        <w:tc>
          <w:tcPr>
            <w:tcW w:type="dxa" w:w="3111"/>
          </w:tcPr>
          <w:p>
            <w:pPr>
              <w:spacing w:after="40" w:before="40" w:line="240" w:lineRule="auto"/>
              <w:jc w:val="left"/>
            </w:pPr>
            <w:r/>
            <w:r>
              <w:rPr>
                <w:rFonts w:ascii="Times New Roman" w:hAnsi="Times New Roman" w:cs="Times New Roman" w:eastAsia="Times New Roman"/>
                <w:b w:val="0"/>
                <w:i w:val="0"/>
                <w:sz w:val="18"/>
                <w:u w:val="none"/>
              </w:rPr>
              <w:t>Unfunded sources-and-uses gap of not less than $352,075 before third-party closing costs: $12,500,000 initial advance plus $5,300,000 of equity exactly equals the $17,800,000 purchase price, leaving no equity for the $150,000 TI/LC reserve, the $147,500 origination fee, or the $54,575 recording tax (Section 4.5).</w:t>
            </w:r>
          </w:p>
        </w:tc>
        <w:tc>
          <w:tcPr>
            <w:tcW w:type="dxa" w:w="3111"/>
          </w:tcPr>
          <w:p>
            <w:pPr>
              <w:spacing w:after="40" w:before="40" w:line="240" w:lineRule="auto"/>
              <w:jc w:val="left"/>
            </w:pPr>
            <w:r/>
            <w:r>
              <w:rPr>
                <w:rFonts w:ascii="Times New Roman" w:hAnsi="Times New Roman" w:cs="Times New Roman" w:eastAsia="Times New Roman"/>
                <w:b w:val="0"/>
                <w:i w:val="0"/>
                <w:sz w:val="18"/>
                <w:u w:val="none"/>
              </w:rPr>
              <w:t>Borrower cannot close as structured absent additional equity or a reduction in uses. Any shortfall is a lender exposure.</w:t>
            </w:r>
          </w:p>
        </w:tc>
        <w:tc>
          <w:tcPr>
            <w:tcW w:type="dxa" w:w="1488"/>
          </w:tcPr>
          <w:p>
            <w:pPr>
              <w:spacing w:after="40" w:before="40" w:line="240" w:lineRule="auto"/>
              <w:jc w:val="left"/>
            </w:pPr>
            <w:r/>
            <w:r>
              <w:rPr>
                <w:rFonts w:ascii="Times New Roman" w:hAnsi="Times New Roman" w:cs="Times New Roman" w:eastAsia="Times New Roman"/>
                <w:b w:val="0"/>
                <w:i w:val="0"/>
                <w:sz w:val="18"/>
                <w:u w:val="none"/>
              </w:rPr>
              <w:t>Require a closing statement and proof of funds; confirm additional equity</w:t>
            </w:r>
          </w:p>
        </w:tc>
        <w:tc>
          <w:tcPr>
            <w:tcW w:type="dxa" w:w="974"/>
          </w:tcPr>
          <w:p>
            <w:pPr>
              <w:spacing w:after="40" w:before="40" w:line="240" w:lineRule="auto"/>
              <w:jc w:val="left"/>
            </w:pPr>
            <w:r/>
            <w:r>
              <w:rPr>
                <w:rFonts w:ascii="Times New Roman" w:hAnsi="Times New Roman" w:cs="Times New Roman" w:eastAsia="Times New Roman"/>
                <w:b w:val="0"/>
                <w:i w:val="0"/>
                <w:sz w:val="18"/>
                <w:u w:val="none"/>
              </w:rPr>
              <w:t>Critical</w:t>
            </w:r>
          </w:p>
        </w:tc>
      </w:tr>
      <w:tr>
        <w:tc>
          <w:tcPr>
            <w:tcW w:type="dxa" w:w="676"/>
          </w:tcPr>
          <w:p>
            <w:pPr>
              <w:spacing w:after="40" w:before="40" w:line="240" w:lineRule="auto"/>
              <w:jc w:val="left"/>
            </w:pPr>
            <w:r/>
            <w:r>
              <w:rPr>
                <w:rFonts w:ascii="Times New Roman" w:hAnsi="Times New Roman" w:cs="Times New Roman" w:eastAsia="Times New Roman"/>
                <w:b w:val="0"/>
                <w:i w:val="0"/>
                <w:sz w:val="18"/>
                <w:u w:val="none"/>
              </w:rPr>
              <w:t>4</w:t>
            </w:r>
          </w:p>
        </w:tc>
        <w:tc>
          <w:tcPr>
            <w:tcW w:type="dxa" w:w="3111"/>
          </w:tcPr>
          <w:p>
            <w:pPr>
              <w:spacing w:after="40" w:before="40" w:line="240" w:lineRule="auto"/>
              <w:jc w:val="left"/>
            </w:pPr>
            <w:r/>
            <w:r>
              <w:rPr>
                <w:rFonts w:ascii="Times New Roman" w:hAnsi="Times New Roman" w:cs="Times New Roman" w:eastAsia="Times New Roman"/>
                <w:b w:val="0"/>
                <w:i w:val="0"/>
                <w:sz w:val="18"/>
                <w:u w:val="none"/>
              </w:rPr>
              <w:t>Occupancy is 56.13% (17,400 of 31,000 SF), not the 68% (21,400 SF) stated in the Term Sheet and the appraisal; the Term Sheet’s own paragraph contains both 68% and 43.9% vacancy (Section 4.2).</w:t>
            </w:r>
          </w:p>
        </w:tc>
        <w:tc>
          <w:tcPr>
            <w:tcW w:type="dxa" w:w="3111"/>
          </w:tcPr>
          <w:p>
            <w:pPr>
              <w:spacing w:after="40" w:before="40" w:line="240" w:lineRule="auto"/>
              <w:jc w:val="left"/>
            </w:pPr>
            <w:r/>
            <w:r>
              <w:rPr>
                <w:rFonts w:ascii="Times New Roman" w:hAnsi="Times New Roman" w:cs="Times New Roman" w:eastAsia="Times New Roman"/>
                <w:b w:val="0"/>
                <w:i w:val="0"/>
                <w:sz w:val="18"/>
                <w:u w:val="none"/>
              </w:rPr>
              <w:t>Lease-up risk, as-is NOI, the stabilization timetable, and the DSCR analysis all rest on an overstated base.</w:t>
            </w:r>
          </w:p>
        </w:tc>
        <w:tc>
          <w:tcPr>
            <w:tcW w:type="dxa" w:w="1488"/>
          </w:tcPr>
          <w:p>
            <w:pPr>
              <w:spacing w:after="40" w:before="40" w:line="240" w:lineRule="auto"/>
              <w:jc w:val="left"/>
            </w:pPr>
            <w:r/>
            <w:r>
              <w:rPr>
                <w:rFonts w:ascii="Times New Roman" w:hAnsi="Times New Roman" w:cs="Times New Roman" w:eastAsia="Times New Roman"/>
                <w:b w:val="0"/>
                <w:i w:val="0"/>
                <w:sz w:val="18"/>
                <w:u w:val="none"/>
              </w:rPr>
              <w:t>Correct the Rent Roll certification and interrogate the appraisal and underwriting</w:t>
            </w:r>
          </w:p>
        </w:tc>
        <w:tc>
          <w:tcPr>
            <w:tcW w:type="dxa" w:w="974"/>
          </w:tcPr>
          <w:p>
            <w:pPr>
              <w:spacing w:after="40" w:before="40" w:line="240" w:lineRule="auto"/>
              <w:jc w:val="left"/>
            </w:pPr>
            <w:r/>
            <w:r>
              <w:rPr>
                <w:rFonts w:ascii="Times New Roman" w:hAnsi="Times New Roman" w:cs="Times New Roman" w:eastAsia="Times New Roman"/>
                <w:b w:val="0"/>
                <w:i w:val="0"/>
                <w:sz w:val="18"/>
                <w:u w:val="none"/>
              </w:rPr>
              <w:t>Critical</w:t>
            </w:r>
          </w:p>
        </w:tc>
      </w:tr>
      <w:tr>
        <w:tc>
          <w:tcPr>
            <w:tcW w:type="dxa" w:w="676"/>
          </w:tcPr>
          <w:p>
            <w:pPr>
              <w:spacing w:after="40" w:before="40" w:line="240" w:lineRule="auto"/>
              <w:jc w:val="left"/>
            </w:pPr>
            <w:r/>
            <w:r>
              <w:rPr>
                <w:rFonts w:ascii="Times New Roman" w:hAnsi="Times New Roman" w:cs="Times New Roman" w:eastAsia="Times New Roman"/>
                <w:b w:val="0"/>
                <w:i w:val="0"/>
                <w:sz w:val="18"/>
                <w:u w:val="none"/>
              </w:rPr>
              <w:t>5</w:t>
            </w:r>
          </w:p>
        </w:tc>
        <w:tc>
          <w:tcPr>
            <w:tcW w:type="dxa" w:w="3111"/>
          </w:tcPr>
          <w:p>
            <w:pPr>
              <w:spacing w:after="40" w:before="40" w:line="240" w:lineRule="auto"/>
              <w:jc w:val="left"/>
            </w:pPr>
            <w:r/>
            <w:r>
              <w:rPr>
                <w:rFonts w:ascii="Times New Roman" w:hAnsi="Times New Roman" w:cs="Times New Roman" w:eastAsia="Times New Roman"/>
                <w:b w:val="0"/>
                <w:i w:val="0"/>
                <w:sz w:val="18"/>
                <w:u w:val="none"/>
              </w:rPr>
              <w:t>Anson Lane strip (Parcel Two) was conveyed by quitclaim deed only, and the Title Insurer reserves the right to require additional premium and may limit coverage; the strip provides rear access and loading (Section 5.A1).</w:t>
            </w:r>
          </w:p>
        </w:tc>
        <w:tc>
          <w:tcPr>
            <w:tcW w:type="dxa" w:w="3111"/>
          </w:tcPr>
          <w:p>
            <w:pPr>
              <w:spacing w:after="40" w:before="40" w:line="240" w:lineRule="auto"/>
              <w:jc w:val="left"/>
            </w:pPr>
            <w:r/>
            <w:r>
              <w:rPr>
                <w:rFonts w:ascii="Times New Roman" w:hAnsi="Times New Roman" w:cs="Times New Roman" w:eastAsia="Times New Roman"/>
                <w:b w:val="0"/>
                <w:i w:val="0"/>
                <w:sz w:val="18"/>
                <w:u w:val="none"/>
              </w:rPr>
              <w:t>A title failure in Parcel Two impairs access and the approved site plan, and would leave part of the collateral uninsured.</w:t>
            </w:r>
          </w:p>
        </w:tc>
        <w:tc>
          <w:tcPr>
            <w:tcW w:type="dxa" w:w="1488"/>
          </w:tcPr>
          <w:p>
            <w:pPr>
              <w:spacing w:after="40" w:before="40" w:line="240" w:lineRule="auto"/>
              <w:jc w:val="left"/>
            </w:pPr>
            <w:r/>
            <w:r>
              <w:rPr>
                <w:rFonts w:ascii="Times New Roman" w:hAnsi="Times New Roman" w:cs="Times New Roman" w:eastAsia="Times New Roman"/>
                <w:b w:val="0"/>
                <w:i w:val="0"/>
                <w:sz w:val="18"/>
                <w:u w:val="none"/>
              </w:rPr>
              <w:t>Written coverage confirmation and affirmative endorsement before closing</w:t>
            </w:r>
          </w:p>
        </w:tc>
        <w:tc>
          <w:tcPr>
            <w:tcW w:type="dxa" w:w="974"/>
          </w:tcPr>
          <w:p>
            <w:pPr>
              <w:spacing w:after="40" w:before="40" w:line="240" w:lineRule="auto"/>
              <w:jc w:val="left"/>
            </w:pPr>
            <w:r/>
            <w:r>
              <w:rPr>
                <w:rFonts w:ascii="Times New Roman" w:hAnsi="Times New Roman" w:cs="Times New Roman" w:eastAsia="Times New Roman"/>
                <w:b w:val="0"/>
                <w:i w:val="0"/>
                <w:sz w:val="18"/>
                <w:u w:val="none"/>
              </w:rPr>
              <w:t>High</w:t>
            </w:r>
          </w:p>
        </w:tc>
      </w:tr>
      <w:tr>
        <w:tc>
          <w:tcPr>
            <w:tcW w:type="dxa" w:w="676"/>
          </w:tcPr>
          <w:p>
            <w:pPr>
              <w:spacing w:after="40" w:before="40" w:line="240" w:lineRule="auto"/>
              <w:jc w:val="left"/>
            </w:pPr>
            <w:r/>
            <w:r>
              <w:rPr>
                <w:rFonts w:ascii="Times New Roman" w:hAnsi="Times New Roman" w:cs="Times New Roman" w:eastAsia="Times New Roman"/>
                <w:b w:val="0"/>
                <w:i w:val="0"/>
                <w:sz w:val="18"/>
                <w:u w:val="none"/>
              </w:rPr>
              <w:t>6</w:t>
            </w:r>
          </w:p>
        </w:tc>
        <w:tc>
          <w:tcPr>
            <w:tcW w:type="dxa" w:w="3111"/>
          </w:tcPr>
          <w:p>
            <w:pPr>
              <w:spacing w:after="40" w:before="40" w:line="240" w:lineRule="auto"/>
              <w:jc w:val="left"/>
            </w:pPr>
            <w:r/>
            <w:r>
              <w:rPr>
                <w:rFonts w:ascii="Times New Roman" w:hAnsi="Times New Roman" w:cs="Times New Roman" w:eastAsia="Times New Roman"/>
                <w:b w:val="0"/>
                <w:i w:val="0"/>
                <w:sz w:val="18"/>
                <w:u w:val="none"/>
              </w:rPr>
              <w:t>The Renovation Budget carries only $100,000 of contingency (3.17% of a $3.15 million renovation of a 1952 building with façade restoration), the Renovation Holdback is fully drawn at month 14 with $0 remaining, and Borrower’s $900,000 equity is scheduled to be fully deployed (Section 5.F1).</w:t>
            </w:r>
          </w:p>
        </w:tc>
        <w:tc>
          <w:tcPr>
            <w:tcW w:type="dxa" w:w="3111"/>
          </w:tcPr>
          <w:p>
            <w:pPr>
              <w:spacing w:after="40" w:before="40" w:line="240" w:lineRule="auto"/>
              <w:jc w:val="left"/>
            </w:pPr>
            <w:r/>
            <w:r>
              <w:rPr>
                <w:rFonts w:ascii="Times New Roman" w:hAnsi="Times New Roman" w:cs="Times New Roman" w:eastAsia="Times New Roman"/>
                <w:b w:val="0"/>
                <w:i w:val="0"/>
                <w:sz w:val="18"/>
                <w:u w:val="none"/>
              </w:rPr>
              <w:t>Any overrun falls on Lender or on the Completion Guaranty. The Completion Guaranty language in the Term Sheet (“within the approved renovation budget”) may be read to cap Guarantor’s exposure.</w:t>
            </w:r>
          </w:p>
        </w:tc>
        <w:tc>
          <w:tcPr>
            <w:tcW w:type="dxa" w:w="1488"/>
          </w:tcPr>
          <w:p>
            <w:pPr>
              <w:spacing w:after="40" w:before="40" w:line="240" w:lineRule="auto"/>
              <w:jc w:val="left"/>
            </w:pPr>
            <w:r/>
            <w:r>
              <w:rPr>
                <w:rFonts w:ascii="Times New Roman" w:hAnsi="Times New Roman" w:cs="Times New Roman" w:eastAsia="Times New Roman"/>
                <w:b w:val="0"/>
                <w:i w:val="0"/>
                <w:sz w:val="18"/>
                <w:u w:val="none"/>
              </w:rPr>
              <w:t>Increase contingency or obtain a written confirmation that the Completion Guaranty is uncapped</w:t>
            </w:r>
          </w:p>
        </w:tc>
        <w:tc>
          <w:tcPr>
            <w:tcW w:type="dxa" w:w="974"/>
          </w:tcPr>
          <w:p>
            <w:pPr>
              <w:spacing w:after="40" w:before="40" w:line="240" w:lineRule="auto"/>
              <w:jc w:val="left"/>
            </w:pPr>
            <w:r/>
            <w:r>
              <w:rPr>
                <w:rFonts w:ascii="Times New Roman" w:hAnsi="Times New Roman" w:cs="Times New Roman" w:eastAsia="Times New Roman"/>
                <w:b w:val="0"/>
                <w:i w:val="0"/>
                <w:sz w:val="18"/>
                <w:u w:val="none"/>
              </w:rPr>
              <w:t>High</w:t>
            </w:r>
          </w:p>
        </w:tc>
      </w:tr>
      <w:tr>
        <w:tc>
          <w:tcPr>
            <w:tcW w:type="dxa" w:w="676"/>
          </w:tcPr>
          <w:p>
            <w:pPr>
              <w:spacing w:after="40" w:before="40" w:line="240" w:lineRule="auto"/>
              <w:jc w:val="left"/>
            </w:pPr>
            <w:r/>
            <w:r>
              <w:rPr>
                <w:rFonts w:ascii="Times New Roman" w:hAnsi="Times New Roman" w:cs="Times New Roman" w:eastAsia="Times New Roman"/>
                <w:b w:val="0"/>
                <w:i w:val="0"/>
                <w:sz w:val="18"/>
                <w:u w:val="none"/>
              </w:rPr>
              <w:t>7</w:t>
            </w:r>
          </w:p>
        </w:tc>
        <w:tc>
          <w:tcPr>
            <w:tcW w:type="dxa" w:w="3111"/>
          </w:tcPr>
          <w:p>
            <w:pPr>
              <w:spacing w:after="40" w:before="40" w:line="240" w:lineRule="auto"/>
              <w:jc w:val="left"/>
            </w:pPr>
            <w:r/>
            <w:r>
              <w:rPr>
                <w:rFonts w:ascii="Times New Roman" w:hAnsi="Times New Roman" w:cs="Times New Roman" w:eastAsia="Times New Roman"/>
                <w:b w:val="0"/>
                <w:i w:val="0"/>
                <w:sz w:val="18"/>
                <w:u w:val="none"/>
              </w:rPr>
              <w:t>The draw schedule does not tie to the budget: borrower equity totals $905,000 against a $900,000 allocation; HVAC is over-allocated by $50,000 and the elevator under-allocated by $50,000; no 10% retainage is reflected (Section 4.7).</w:t>
            </w:r>
          </w:p>
        </w:tc>
        <w:tc>
          <w:tcPr>
            <w:tcW w:type="dxa" w:w="3111"/>
          </w:tcPr>
          <w:p>
            <w:pPr>
              <w:spacing w:after="40" w:before="40" w:line="240" w:lineRule="auto"/>
              <w:jc w:val="left"/>
            </w:pPr>
            <w:r/>
            <w:r>
              <w:rPr>
                <w:rFonts w:ascii="Times New Roman" w:hAnsi="Times New Roman" w:cs="Times New Roman" w:eastAsia="Times New Roman"/>
                <w:b w:val="0"/>
                <w:i w:val="0"/>
                <w:sz w:val="18"/>
                <w:u w:val="none"/>
              </w:rPr>
              <w:t>Lender could be asked to fund the elevator scope shortfall, and the retainage mechanic in the Mortgage is inconsistent with the schedule Borrower will submit draws against.</w:t>
            </w:r>
          </w:p>
        </w:tc>
        <w:tc>
          <w:tcPr>
            <w:tcW w:type="dxa" w:w="1488"/>
          </w:tcPr>
          <w:p>
            <w:pPr>
              <w:spacing w:after="40" w:before="40" w:line="240" w:lineRule="auto"/>
              <w:jc w:val="left"/>
            </w:pPr>
            <w:r/>
            <w:r>
              <w:rPr>
                <w:rFonts w:ascii="Times New Roman" w:hAnsi="Times New Roman" w:cs="Times New Roman" w:eastAsia="Times New Roman"/>
                <w:b w:val="0"/>
                <w:i w:val="0"/>
                <w:sz w:val="18"/>
                <w:u w:val="none"/>
              </w:rPr>
              <w:t>Require a corrected, retainage-compliant draw schedule as a closing condition</w:t>
            </w:r>
          </w:p>
        </w:tc>
        <w:tc>
          <w:tcPr>
            <w:tcW w:type="dxa" w:w="974"/>
          </w:tcPr>
          <w:p>
            <w:pPr>
              <w:spacing w:after="40" w:before="40" w:line="240" w:lineRule="auto"/>
              <w:jc w:val="left"/>
            </w:pPr>
            <w:r/>
            <w:r>
              <w:rPr>
                <w:rFonts w:ascii="Times New Roman" w:hAnsi="Times New Roman" w:cs="Times New Roman" w:eastAsia="Times New Roman"/>
                <w:b w:val="0"/>
                <w:i w:val="0"/>
                <w:sz w:val="18"/>
                <w:u w:val="none"/>
              </w:rPr>
              <w:t>High</w:t>
            </w:r>
          </w:p>
        </w:tc>
      </w:tr>
      <w:tr>
        <w:tc>
          <w:tcPr>
            <w:tcW w:type="dxa" w:w="676"/>
          </w:tcPr>
          <w:p>
            <w:pPr>
              <w:spacing w:after="40" w:before="40" w:line="240" w:lineRule="auto"/>
              <w:jc w:val="left"/>
            </w:pPr>
            <w:r/>
            <w:r>
              <w:rPr>
                <w:rFonts w:ascii="Times New Roman" w:hAnsi="Times New Roman" w:cs="Times New Roman" w:eastAsia="Times New Roman"/>
                <w:b w:val="0"/>
                <w:i w:val="0"/>
                <w:sz w:val="18"/>
                <w:u w:val="none"/>
              </w:rPr>
              <w:t>8</w:t>
            </w:r>
          </w:p>
        </w:tc>
        <w:tc>
          <w:tcPr>
            <w:tcW w:type="dxa" w:w="3111"/>
          </w:tcPr>
          <w:p>
            <w:pPr>
              <w:spacing w:after="40" w:before="40" w:line="240" w:lineRule="auto"/>
              <w:jc w:val="left"/>
            </w:pPr>
            <w:r/>
            <w:r>
              <w:rPr>
                <w:rFonts w:ascii="Times New Roman" w:hAnsi="Times New Roman" w:cs="Times New Roman" w:eastAsia="Times New Roman"/>
                <w:b w:val="0"/>
                <w:i w:val="0"/>
                <w:sz w:val="18"/>
                <w:u w:val="none"/>
              </w:rPr>
              <w:t>The Operating Agreement contains none of the single-purpose entity provisions the Loan requires, the bankruptcy decision is not a Major Decision (so GDG can file unilaterally), and the 75% Major Decision threshold means GDG alone cannot authorize this loan (Sections 5.D1–D3).</w:t>
            </w:r>
          </w:p>
        </w:tc>
        <w:tc>
          <w:tcPr>
            <w:tcW w:type="dxa" w:w="3111"/>
          </w:tcPr>
          <w:p>
            <w:pPr>
              <w:spacing w:after="40" w:before="40" w:line="240" w:lineRule="auto"/>
              <w:jc w:val="left"/>
            </w:pPr>
            <w:r/>
            <w:r>
              <w:rPr>
                <w:rFonts w:ascii="Times New Roman" w:hAnsi="Times New Roman" w:cs="Times New Roman" w:eastAsia="Times New Roman"/>
                <w:b w:val="0"/>
                <w:i w:val="0"/>
                <w:sz w:val="18"/>
                <w:u w:val="none"/>
              </w:rPr>
              <w:t>Bankruptcy remoteness is unavailable until the Operating Agreement is amended; the Mortgage’s authority representation depends on 75% member approval that is not yet documented.</w:t>
            </w:r>
          </w:p>
        </w:tc>
        <w:tc>
          <w:tcPr>
            <w:tcW w:type="dxa" w:w="1488"/>
          </w:tcPr>
          <w:p>
            <w:pPr>
              <w:spacing w:after="40" w:before="40" w:line="240" w:lineRule="auto"/>
              <w:jc w:val="left"/>
            </w:pPr>
            <w:r/>
            <w:r>
              <w:rPr>
                <w:rFonts w:ascii="Times New Roman" w:hAnsi="Times New Roman" w:cs="Times New Roman" w:eastAsia="Times New Roman"/>
                <w:b w:val="0"/>
                <w:i w:val="0"/>
                <w:sz w:val="18"/>
                <w:u w:val="none"/>
              </w:rPr>
              <w:t>Operating Agreement Amendment and 75% member consent as conditions precedent</w:t>
            </w:r>
          </w:p>
        </w:tc>
        <w:tc>
          <w:tcPr>
            <w:tcW w:type="dxa" w:w="974"/>
          </w:tcPr>
          <w:p>
            <w:pPr>
              <w:spacing w:after="40" w:before="40" w:line="240" w:lineRule="auto"/>
              <w:jc w:val="left"/>
            </w:pPr>
            <w:r/>
            <w:r>
              <w:rPr>
                <w:rFonts w:ascii="Times New Roman" w:hAnsi="Times New Roman" w:cs="Times New Roman" w:eastAsia="Times New Roman"/>
                <w:b w:val="0"/>
                <w:i w:val="0"/>
                <w:sz w:val="18"/>
                <w:u w:val="none"/>
              </w:rPr>
              <w:t>High</w:t>
            </w:r>
          </w:p>
        </w:tc>
      </w:tr>
      <w:tr>
        <w:tc>
          <w:tcPr>
            <w:tcW w:type="dxa" w:w="676"/>
          </w:tcPr>
          <w:p>
            <w:pPr>
              <w:spacing w:after="40" w:before="40" w:line="240" w:lineRule="auto"/>
              <w:jc w:val="left"/>
            </w:pPr>
            <w:r/>
            <w:r>
              <w:rPr>
                <w:rFonts w:ascii="Times New Roman" w:hAnsi="Times New Roman" w:cs="Times New Roman" w:eastAsia="Times New Roman"/>
                <w:b w:val="0"/>
                <w:i w:val="0"/>
                <w:sz w:val="18"/>
                <w:u w:val="none"/>
              </w:rPr>
              <w:t>9</w:t>
            </w:r>
          </w:p>
        </w:tc>
        <w:tc>
          <w:tcPr>
            <w:tcW w:type="dxa" w:w="3111"/>
          </w:tcPr>
          <w:p>
            <w:pPr>
              <w:spacing w:after="40" w:before="40" w:line="240" w:lineRule="auto"/>
              <w:jc w:val="left"/>
            </w:pPr>
            <w:r/>
            <w:r>
              <w:rPr>
                <w:rFonts w:ascii="Times New Roman" w:hAnsi="Times New Roman" w:cs="Times New Roman" w:eastAsia="Times New Roman"/>
                <w:b w:val="0"/>
                <w:i w:val="0"/>
                <w:sz w:val="18"/>
                <w:u w:val="none"/>
              </w:rPr>
              <w:t>The Land Use Restriction on Lot 7 is an uninsurable title exception: no residential use of Bay 1, vapor barrier maintenance and inspection, and protection of the SCDHEC No Further Action status (Section 5.H1).</w:t>
            </w:r>
          </w:p>
        </w:tc>
        <w:tc>
          <w:tcPr>
            <w:tcW w:type="dxa" w:w="3111"/>
          </w:tcPr>
          <w:p>
            <w:pPr>
              <w:spacing w:after="40" w:before="40" w:line="240" w:lineRule="auto"/>
              <w:jc w:val="left"/>
            </w:pPr>
            <w:r/>
            <w:r>
              <w:rPr>
                <w:rFonts w:ascii="Times New Roman" w:hAnsi="Times New Roman" w:cs="Times New Roman" w:eastAsia="Times New Roman"/>
                <w:b w:val="0"/>
                <w:i w:val="0"/>
                <w:sz w:val="18"/>
                <w:u w:val="none"/>
              </w:rPr>
              <w:t>Breach can reopen the SCDHEC file, expose Borrower and Lender to CERCLA liability, and impair the NFA determination that underpins the as-is value.</w:t>
            </w:r>
          </w:p>
        </w:tc>
        <w:tc>
          <w:tcPr>
            <w:tcW w:type="dxa" w:w="1488"/>
          </w:tcPr>
          <w:p>
            <w:pPr>
              <w:spacing w:after="40" w:before="40" w:line="240" w:lineRule="auto"/>
              <w:jc w:val="left"/>
            </w:pPr>
            <w:r/>
            <w:r>
              <w:rPr>
                <w:rFonts w:ascii="Times New Roman" w:hAnsi="Times New Roman" w:cs="Times New Roman" w:eastAsia="Times New Roman"/>
                <w:b w:val="0"/>
                <w:i w:val="0"/>
                <w:sz w:val="18"/>
                <w:u w:val="none"/>
              </w:rPr>
              <w:t>Specific covenants and an Event of Default were drafted; confirm against your “standard provisions” note</w:t>
            </w:r>
          </w:p>
        </w:tc>
        <w:tc>
          <w:tcPr>
            <w:tcW w:type="dxa" w:w="974"/>
          </w:tcPr>
          <w:p>
            <w:pPr>
              <w:spacing w:after="40" w:before="40" w:line="240" w:lineRule="auto"/>
              <w:jc w:val="left"/>
            </w:pPr>
            <w:r/>
            <w:r>
              <w:rPr>
                <w:rFonts w:ascii="Times New Roman" w:hAnsi="Times New Roman" w:cs="Times New Roman" w:eastAsia="Times New Roman"/>
                <w:b w:val="0"/>
                <w:i w:val="0"/>
                <w:sz w:val="18"/>
                <w:u w:val="none"/>
              </w:rPr>
              <w:t>High</w:t>
            </w:r>
          </w:p>
        </w:tc>
      </w:tr>
      <w:tr>
        <w:tc>
          <w:tcPr>
            <w:tcW w:type="dxa" w:w="676"/>
          </w:tcPr>
          <w:p>
            <w:pPr>
              <w:spacing w:after="40" w:before="40" w:line="240" w:lineRule="auto"/>
              <w:jc w:val="left"/>
            </w:pPr>
            <w:r/>
            <w:r>
              <w:rPr>
                <w:rFonts w:ascii="Times New Roman" w:hAnsi="Times New Roman" w:cs="Times New Roman" w:eastAsia="Times New Roman"/>
                <w:b w:val="0"/>
                <w:i w:val="0"/>
                <w:sz w:val="18"/>
                <w:u w:val="none"/>
              </w:rPr>
              <w:t>10</w:t>
            </w:r>
          </w:p>
        </w:tc>
        <w:tc>
          <w:tcPr>
            <w:tcW w:type="dxa" w:w="3111"/>
          </w:tcPr>
          <w:p>
            <w:pPr>
              <w:spacing w:after="40" w:before="40" w:line="240" w:lineRule="auto"/>
              <w:jc w:val="left"/>
            </w:pPr>
            <w:r/>
            <w:r>
              <w:rPr>
                <w:rFonts w:ascii="Times New Roman" w:hAnsi="Times New Roman" w:cs="Times New Roman" w:eastAsia="Times New Roman"/>
                <w:b w:val="0"/>
                <w:i w:val="0"/>
                <w:sz w:val="18"/>
                <w:u w:val="none"/>
              </w:rPr>
              <w:t>The Lowcountry Provisions lease has no assignment or subletting clause, no estoppel obligation, and no SNDA provision, yet estoppels and SNDAs are closing conditions (Sections 5.B2–B3).</w:t>
            </w:r>
          </w:p>
        </w:tc>
        <w:tc>
          <w:tcPr>
            <w:tcW w:type="dxa" w:w="3111"/>
          </w:tcPr>
          <w:p>
            <w:pPr>
              <w:spacing w:after="40" w:before="40" w:line="240" w:lineRule="auto"/>
              <w:jc w:val="left"/>
            </w:pPr>
            <w:r/>
            <w:r>
              <w:rPr>
                <w:rFonts w:ascii="Times New Roman" w:hAnsi="Times New Roman" w:cs="Times New Roman" w:eastAsia="Times New Roman"/>
                <w:b w:val="0"/>
                <w:i w:val="0"/>
                <w:sz w:val="18"/>
                <w:u w:val="none"/>
              </w:rPr>
              <w:t>A refusal by that Tenant defeats a stated condition precedent and deprives Lender of its rent-enforcement evidence at the worst moment.</w:t>
            </w:r>
          </w:p>
        </w:tc>
        <w:tc>
          <w:tcPr>
            <w:tcW w:type="dxa" w:w="1488"/>
          </w:tcPr>
          <w:p>
            <w:pPr>
              <w:spacing w:after="40" w:before="40" w:line="240" w:lineRule="auto"/>
              <w:jc w:val="left"/>
            </w:pPr>
            <w:r/>
            <w:r>
              <w:rPr>
                <w:rFonts w:ascii="Times New Roman" w:hAnsi="Times New Roman" w:cs="Times New Roman" w:eastAsia="Times New Roman"/>
                <w:b w:val="0"/>
                <w:i w:val="0"/>
                <w:sz w:val="18"/>
                <w:u w:val="none"/>
              </w:rPr>
              <w:t>Obtain the estoppel and SNDA before closing; do not waive</w:t>
            </w:r>
          </w:p>
        </w:tc>
        <w:tc>
          <w:tcPr>
            <w:tcW w:type="dxa" w:w="974"/>
          </w:tcPr>
          <w:p>
            <w:pPr>
              <w:spacing w:after="40" w:before="40" w:line="240" w:lineRule="auto"/>
              <w:jc w:val="left"/>
            </w:pPr>
            <w:r/>
            <w:r>
              <w:rPr>
                <w:rFonts w:ascii="Times New Roman" w:hAnsi="Times New Roman" w:cs="Times New Roman" w:eastAsia="Times New Roman"/>
                <w:b w:val="0"/>
                <w:i w:val="0"/>
                <w:sz w:val="18"/>
                <w:u w:val="none"/>
              </w:rPr>
              <w:t>High</w:t>
            </w:r>
          </w:p>
        </w:tc>
      </w:tr>
      <w:tr>
        <w:tc>
          <w:tcPr>
            <w:tcW w:type="dxa" w:w="676"/>
          </w:tcPr>
          <w:p>
            <w:pPr>
              <w:spacing w:after="40" w:before="40" w:line="240" w:lineRule="auto"/>
              <w:jc w:val="left"/>
            </w:pPr>
            <w:r/>
            <w:r>
              <w:rPr>
                <w:rFonts w:ascii="Times New Roman" w:hAnsi="Times New Roman" w:cs="Times New Roman" w:eastAsia="Times New Roman"/>
                <w:b w:val="0"/>
                <w:i w:val="0"/>
                <w:sz w:val="18"/>
                <w:u w:val="none"/>
              </w:rPr>
              <w:t>11</w:t>
            </w:r>
          </w:p>
        </w:tc>
        <w:tc>
          <w:tcPr>
            <w:tcW w:type="dxa" w:w="3111"/>
          </w:tcPr>
          <w:p>
            <w:pPr>
              <w:spacing w:after="40" w:before="40" w:line="240" w:lineRule="auto"/>
              <w:jc w:val="left"/>
            </w:pPr>
            <w:r/>
            <w:r>
              <w:rPr>
                <w:rFonts w:ascii="Times New Roman" w:hAnsi="Times New Roman" w:cs="Times New Roman" w:eastAsia="Times New Roman"/>
                <w:b w:val="0"/>
                <w:i w:val="0"/>
                <w:sz w:val="18"/>
                <w:u w:val="none"/>
              </w:rPr>
              <w:t>A right of first refusal held by Harmon &amp; Wren over Bay 2 does not appear in the Term Sheet’s tenancy table and was not addressed in the March 18 notes; an exclusive grocery use also burdens Bay 2 and Bay 3 (Sections 5.B4–B5).</w:t>
            </w:r>
          </w:p>
        </w:tc>
        <w:tc>
          <w:tcPr>
            <w:tcW w:type="dxa" w:w="3111"/>
          </w:tcPr>
          <w:p>
            <w:pPr>
              <w:spacing w:after="40" w:before="40" w:line="240" w:lineRule="auto"/>
              <w:jc w:val="left"/>
            </w:pPr>
            <w:r/>
            <w:r>
              <w:rPr>
                <w:rFonts w:ascii="Times New Roman" w:hAnsi="Times New Roman" w:cs="Times New Roman" w:eastAsia="Times New Roman"/>
                <w:b w:val="0"/>
                <w:i w:val="0"/>
                <w:sz w:val="18"/>
                <w:u w:val="none"/>
              </w:rPr>
              <w:t>Lease-up of the vacant space — on which the as-stabilized value depends — is constrained by rights Lender has not evaluated.</w:t>
            </w:r>
          </w:p>
        </w:tc>
        <w:tc>
          <w:tcPr>
            <w:tcW w:type="dxa" w:w="1488"/>
          </w:tcPr>
          <w:p>
            <w:pPr>
              <w:spacing w:after="40" w:before="40" w:line="240" w:lineRule="auto"/>
              <w:jc w:val="left"/>
            </w:pPr>
            <w:r/>
            <w:r>
              <w:rPr>
                <w:rFonts w:ascii="Times New Roman" w:hAnsi="Times New Roman" w:cs="Times New Roman" w:eastAsia="Times New Roman"/>
                <w:b w:val="0"/>
                <w:i w:val="0"/>
                <w:sz w:val="18"/>
                <w:u w:val="none"/>
              </w:rPr>
              <w:t>Disclose and analyze; require estoppel acknowledgment; consent rights over waivers</w:t>
            </w:r>
          </w:p>
        </w:tc>
        <w:tc>
          <w:tcPr>
            <w:tcW w:type="dxa" w:w="974"/>
          </w:tcPr>
          <w:p>
            <w:pPr>
              <w:spacing w:after="40" w:before="40" w:line="240" w:lineRule="auto"/>
              <w:jc w:val="left"/>
            </w:pPr>
            <w:r/>
            <w:r>
              <w:rPr>
                <w:rFonts w:ascii="Times New Roman" w:hAnsi="Times New Roman" w:cs="Times New Roman" w:eastAsia="Times New Roman"/>
                <w:b w:val="0"/>
                <w:i w:val="0"/>
                <w:sz w:val="18"/>
                <w:u w:val="none"/>
              </w:rPr>
              <w:t>Medium</w:t>
            </w:r>
          </w:p>
        </w:tc>
      </w:tr>
      <w:tr>
        <w:tc>
          <w:tcPr>
            <w:tcW w:type="dxa" w:w="676"/>
          </w:tcPr>
          <w:p>
            <w:pPr>
              <w:spacing w:after="40" w:before="40" w:line="240" w:lineRule="auto"/>
              <w:jc w:val="left"/>
            </w:pPr>
            <w:r/>
            <w:r>
              <w:rPr>
                <w:rFonts w:ascii="Times New Roman" w:hAnsi="Times New Roman" w:cs="Times New Roman" w:eastAsia="Times New Roman"/>
                <w:b w:val="0"/>
                <w:i w:val="0"/>
                <w:sz w:val="18"/>
                <w:u w:val="none"/>
              </w:rPr>
              <w:t>12</w:t>
            </w:r>
          </w:p>
        </w:tc>
        <w:tc>
          <w:tcPr>
            <w:tcW w:type="dxa" w:w="3111"/>
          </w:tcPr>
          <w:p>
            <w:pPr>
              <w:spacing w:after="40" w:before="40" w:line="240" w:lineRule="auto"/>
              <w:jc w:val="left"/>
            </w:pPr>
            <w:r/>
            <w:r>
              <w:rPr>
                <w:rFonts w:ascii="Times New Roman" w:hAnsi="Times New Roman" w:cs="Times New Roman" w:eastAsia="Times New Roman"/>
                <w:b w:val="0"/>
                <w:i w:val="0"/>
                <w:sz w:val="18"/>
                <w:u w:val="none"/>
              </w:rPr>
              <w:t>Term Sheet internal conflicts: “full recourse personal guaranty” versus non-recourse with carve-outs (§ 5.5); 68% versus 43.9% vacancy (§ 2.3); DSCR first test date of April 15, 2027 versus July 15, 2027 (§ 7.1); DSCR failure “without cure” versus the Section 11.2 cure schedule (§ 11.1(i)); net worth covenant imposed on Borrower rather than Guarantor (§ 7.2 versus the March 18 note) (Sections 4.9, 5.E2, 5.E5).</w:t>
            </w:r>
          </w:p>
        </w:tc>
        <w:tc>
          <w:tcPr>
            <w:tcW w:type="dxa" w:w="3111"/>
          </w:tcPr>
          <w:p>
            <w:pPr>
              <w:spacing w:after="40" w:before="40" w:line="240" w:lineRule="auto"/>
              <w:jc w:val="left"/>
            </w:pPr>
            <w:r/>
            <w:r>
              <w:rPr>
                <w:rFonts w:ascii="Times New Roman" w:hAnsi="Times New Roman" w:cs="Times New Roman" w:eastAsia="Times New Roman"/>
                <w:b w:val="0"/>
                <w:i w:val="0"/>
                <w:sz w:val="18"/>
                <w:u w:val="none"/>
              </w:rPr>
              <w:t>Each conflict is a potential dispute or an unenforceable provision; several favor Borrower if litigated.</w:t>
            </w:r>
          </w:p>
        </w:tc>
        <w:tc>
          <w:tcPr>
            <w:tcW w:type="dxa" w:w="1488"/>
          </w:tcPr>
          <w:p>
            <w:pPr>
              <w:spacing w:after="40" w:before="40" w:line="240" w:lineRule="auto"/>
              <w:jc w:val="left"/>
            </w:pPr>
            <w:r/>
            <w:r>
              <w:rPr>
                <w:rFonts w:ascii="Times New Roman" w:hAnsi="Times New Roman" w:cs="Times New Roman" w:eastAsia="Times New Roman"/>
                <w:b w:val="0"/>
                <w:i w:val="0"/>
                <w:sz w:val="18"/>
                <w:u w:val="none"/>
              </w:rPr>
              <w:t>Confirm Lender’s position on each; conform before release</w:t>
            </w:r>
          </w:p>
        </w:tc>
        <w:tc>
          <w:tcPr>
            <w:tcW w:type="dxa" w:w="974"/>
          </w:tcPr>
          <w:p>
            <w:pPr>
              <w:spacing w:after="40" w:before="40" w:line="240" w:lineRule="auto"/>
              <w:jc w:val="left"/>
            </w:pPr>
            <w:r/>
            <w:r>
              <w:rPr>
                <w:rFonts w:ascii="Times New Roman" w:hAnsi="Times New Roman" w:cs="Times New Roman" w:eastAsia="Times New Roman"/>
                <w:b w:val="0"/>
                <w:i w:val="0"/>
                <w:sz w:val="18"/>
                <w:u w:val="none"/>
              </w:rPr>
              <w:t>Medium</w:t>
            </w:r>
          </w:p>
        </w:tc>
      </w:tr>
    </w:tbl>
    <w:p>
      <w:pPr>
        <w:keepNext w:val="0"/>
        <w:spacing w:before="0" w:after="40" w:line="240" w:lineRule="auto"/>
        <w:ind w:left="0"/>
        <w:jc w:val="both"/>
      </w:pPr>
    </w:p>
    <w:p>
      <w:pPr>
        <w:keepNext/>
        <w:spacing w:before="280" w:after="200" w:line="240" w:lineRule="auto"/>
        <w:ind w:left="0"/>
        <w:jc w:val="center"/>
      </w:pPr>
      <w:r>
        <w:rPr>
          <w:rFonts w:ascii="Times New Roman" w:hAnsi="Times New Roman" w:cs="Times New Roman" w:eastAsia="Times New Roman"/>
          <w:b/>
          <w:i w:val="0"/>
          <w:caps/>
          <w:sz w:val="24"/>
          <w:u w:val="none"/>
        </w:rPr>
        <w:t>3. RECORD INVENTORY</w:t>
      </w:r>
    </w:p>
    <w:p>
      <w:pPr>
        <w:keepNext/>
        <w:spacing w:before="200" w:after="120" w:line="240" w:lineRule="auto"/>
        <w:ind w:left="0"/>
        <w:jc w:val="left"/>
      </w:pPr>
      <w:r>
        <w:rPr>
          <w:rFonts w:ascii="Times New Roman" w:hAnsi="Times New Roman" w:cs="Times New Roman" w:eastAsia="Times New Roman"/>
          <w:b/>
          <w:i w:val="0"/>
          <w:sz w:val="24"/>
          <w:u w:val="none"/>
        </w:rPr>
        <w:t>3.1 Documents Reviewed in Full.</w:t>
      </w:r>
    </w:p>
    <w:tbl>
      <w:tblPr>
        <w:tblStyle w:val="TableGrid"/>
        <w:tblW w:type="auto" w:w="0"/>
        <w:jc w:val="center"/>
        <w:tblLayout w:type="fixed"/>
        <w:tblLook w:firstColumn="1" w:firstRow="1" w:lastColumn="0" w:lastRow="0" w:noHBand="0" w:noVBand="1" w:val="04A0"/>
        <w:tblLayout w:type="fixed"/>
        <w:tblW w:w="9360" w:type="dxa"/>
        <w:tblCellMar>
          <w:left w:w="72" w:type="dxa"/>
          <w:right w:w="72" w:type="dxa"/>
          <w:top w:w="36" w:type="dxa"/>
          <w:bottom w:w="36" w:type="dxa"/>
        </w:tblCellMar>
      </w:tblPr>
      <w:tblGrid>
        <w:gridCol w:w="3578"/>
        <w:gridCol w:w="5781"/>
      </w:tblGrid>
      <w:tr>
        <w:tc>
          <w:tcPr>
            <w:tcW w:type="dxa" w:w="3579"/>
            <w:shd w:val="clear" w:color="auto" w:fill="D9D9D9"/>
          </w:tcPr>
          <w:p>
            <w:pPr>
              <w:spacing w:after="40" w:before="40" w:line="240" w:lineRule="auto"/>
              <w:jc w:val="left"/>
            </w:pPr>
            <w:r/>
            <w:r>
              <w:rPr>
                <w:rFonts w:ascii="Times New Roman" w:hAnsi="Times New Roman" w:cs="Times New Roman" w:eastAsia="Times New Roman"/>
                <w:b/>
                <w:i w:val="0"/>
                <w:sz w:val="18"/>
                <w:u w:val="none"/>
              </w:rPr>
              <w:t>Document</w:t>
            </w:r>
          </w:p>
        </w:tc>
        <w:tc>
          <w:tcPr>
            <w:tcW w:type="dxa" w:w="5781"/>
            <w:shd w:val="clear" w:color="auto" w:fill="D9D9D9"/>
          </w:tcPr>
          <w:p>
            <w:pPr>
              <w:spacing w:after="40" w:before="40" w:line="240" w:lineRule="auto"/>
              <w:jc w:val="left"/>
            </w:pPr>
            <w:r/>
            <w:r>
              <w:rPr>
                <w:rFonts w:ascii="Times New Roman" w:hAnsi="Times New Roman" w:cs="Times New Roman" w:eastAsia="Times New Roman"/>
                <w:b/>
                <w:i w:val="0"/>
                <w:sz w:val="18"/>
                <w:u w:val="none"/>
              </w:rPr>
              <w:t>Notes</w:t>
            </w:r>
          </w:p>
        </w:tc>
      </w:tr>
      <w:tr>
        <w:tc>
          <w:tcPr>
            <w:tcW w:type="dxa" w:w="3579"/>
          </w:tcPr>
          <w:p>
            <w:pPr>
              <w:spacing w:after="40" w:before="40" w:line="240" w:lineRule="auto"/>
              <w:jc w:val="left"/>
            </w:pPr>
            <w:r/>
            <w:r>
              <w:rPr>
                <w:rFonts w:ascii="Times New Roman" w:hAnsi="Times New Roman" w:cs="Times New Roman" w:eastAsia="Times New Roman"/>
                <w:b w:val="0"/>
                <w:i w:val="0"/>
                <w:sz w:val="18"/>
                <w:u w:val="none"/>
              </w:rPr>
              <w:t>Executed Term Sheet, April 1, 2025 (CHB CRE Loan No. 2025-CHS-0047)</w:t>
            </w:r>
          </w:p>
        </w:tc>
        <w:tc>
          <w:tcPr>
            <w:tcW w:type="dxa" w:w="5781"/>
          </w:tcPr>
          <w:p>
            <w:pPr>
              <w:spacing w:after="40" w:before="40" w:line="240" w:lineRule="auto"/>
              <w:jc w:val="left"/>
            </w:pPr>
            <w:r/>
            <w:r>
              <w:rPr>
                <w:rFonts w:ascii="Times New Roman" w:hAnsi="Times New Roman" w:cs="Times New Roman" w:eastAsia="Times New Roman"/>
                <w:b w:val="0"/>
                <w:i w:val="0"/>
                <w:sz w:val="18"/>
                <w:u w:val="none"/>
              </w:rPr>
              <w:t>Binding commitment; 15 sections plus Exhibits A and B</w:t>
            </w:r>
          </w:p>
        </w:tc>
      </w:tr>
      <w:tr>
        <w:tc>
          <w:tcPr>
            <w:tcW w:type="dxa" w:w="3579"/>
          </w:tcPr>
          <w:p>
            <w:pPr>
              <w:spacing w:after="40" w:before="40" w:line="240" w:lineRule="auto"/>
              <w:jc w:val="left"/>
            </w:pPr>
            <w:r/>
            <w:r>
              <w:rPr>
                <w:rFonts w:ascii="Times New Roman" w:hAnsi="Times New Roman" w:cs="Times New Roman" w:eastAsia="Times New Roman"/>
                <w:b w:val="0"/>
                <w:i w:val="0"/>
                <w:sz w:val="18"/>
                <w:u w:val="none"/>
              </w:rPr>
              <w:t>Commitment for Title Insurance No. PT-2025-04-1178, effective February 28, 2025 (Commonwealth National Title Underwriters Inc. / Prestige Title &amp; Settlement Services LLC)</w:t>
            </w:r>
          </w:p>
        </w:tc>
        <w:tc>
          <w:tcPr>
            <w:tcW w:type="dxa" w:w="5781"/>
          </w:tcPr>
          <w:p>
            <w:pPr>
              <w:spacing w:after="40" w:before="40" w:line="240" w:lineRule="auto"/>
              <w:jc w:val="left"/>
            </w:pPr>
            <w:r/>
            <w:r>
              <w:rPr>
                <w:rFonts w:ascii="Times New Roman" w:hAnsi="Times New Roman" w:cs="Times New Roman" w:eastAsia="Times New Roman"/>
                <w:b w:val="0"/>
                <w:i w:val="0"/>
                <w:sz w:val="18"/>
                <w:u w:val="none"/>
              </w:rPr>
              <w:t>Schedules A and B, vesting chain notes, closer’s notes</w:t>
            </w:r>
          </w:p>
        </w:tc>
      </w:tr>
      <w:tr>
        <w:tc>
          <w:tcPr>
            <w:tcW w:type="dxa" w:w="3579"/>
          </w:tcPr>
          <w:p>
            <w:pPr>
              <w:spacing w:after="40" w:before="40" w:line="240" w:lineRule="auto"/>
              <w:jc w:val="left"/>
            </w:pPr>
            <w:r/>
            <w:r>
              <w:rPr>
                <w:rFonts w:ascii="Times New Roman" w:hAnsi="Times New Roman" w:cs="Times New Roman" w:eastAsia="Times New Roman"/>
                <w:b w:val="0"/>
                <w:i w:val="0"/>
                <w:sz w:val="18"/>
                <w:u w:val="none"/>
              </w:rPr>
              <w:t>Redacted Summary of Amended and Restated Operating Agreement of Palmetto Gateway Partners LLC (effective January 12, 2024, amended through March 1, 2025), prepared by Cartwright &amp; Lyons LLP</w:t>
            </w:r>
          </w:p>
        </w:tc>
        <w:tc>
          <w:tcPr>
            <w:tcW w:type="dxa" w:w="5781"/>
          </w:tcPr>
          <w:p>
            <w:pPr>
              <w:spacing w:after="40" w:before="40" w:line="240" w:lineRule="auto"/>
              <w:jc w:val="left"/>
            </w:pPr>
            <w:r/>
            <w:r>
              <w:rPr>
                <w:rFonts w:ascii="Times New Roman" w:hAnsi="Times New Roman" w:cs="Times New Roman" w:eastAsia="Times New Roman"/>
                <w:b w:val="0"/>
                <w:i w:val="0"/>
                <w:sz w:val="18"/>
                <w:u w:val="none"/>
              </w:rPr>
              <w:t>Redacted; not a substitute for the full agreement</w:t>
            </w:r>
          </w:p>
        </w:tc>
      </w:tr>
      <w:tr>
        <w:tc>
          <w:tcPr>
            <w:tcW w:type="dxa" w:w="3579"/>
          </w:tcPr>
          <w:p>
            <w:pPr>
              <w:spacing w:after="40" w:before="40" w:line="240" w:lineRule="auto"/>
              <w:jc w:val="left"/>
            </w:pPr>
            <w:r/>
            <w:r>
              <w:rPr>
                <w:rFonts w:ascii="Times New Roman" w:hAnsi="Times New Roman" w:cs="Times New Roman" w:eastAsia="Times New Roman"/>
                <w:b w:val="0"/>
                <w:i w:val="0"/>
                <w:sz w:val="18"/>
                <w:u w:val="none"/>
              </w:rPr>
              <w:t>Phase I Environmental Site Assessment Executive Summary, Clearfield Environmental Consulting LLC, Report No. CLR-2025-0119, January 28, 2025</w:t>
            </w:r>
          </w:p>
        </w:tc>
        <w:tc>
          <w:tcPr>
            <w:tcW w:type="dxa" w:w="5781"/>
          </w:tcPr>
          <w:p>
            <w:pPr>
              <w:spacing w:after="40" w:before="40" w:line="240" w:lineRule="auto"/>
              <w:jc w:val="left"/>
            </w:pPr>
            <w:r/>
            <w:r>
              <w:rPr>
                <w:rFonts w:ascii="Times New Roman" w:hAnsi="Times New Roman" w:cs="Times New Roman" w:eastAsia="Times New Roman"/>
                <w:b w:val="0"/>
                <w:i w:val="0"/>
                <w:sz w:val="18"/>
                <w:u w:val="none"/>
              </w:rPr>
              <w:t>CREC on Lot 7; LUR; NFA letter</w:t>
            </w:r>
          </w:p>
        </w:tc>
      </w:tr>
      <w:tr>
        <w:tc>
          <w:tcPr>
            <w:tcW w:type="dxa" w:w="3579"/>
          </w:tcPr>
          <w:p>
            <w:pPr>
              <w:spacing w:after="40" w:before="40" w:line="240" w:lineRule="auto"/>
              <w:jc w:val="left"/>
            </w:pPr>
            <w:r/>
            <w:r>
              <w:rPr>
                <w:rFonts w:ascii="Times New Roman" w:hAnsi="Times New Roman" w:cs="Times New Roman" w:eastAsia="Times New Roman"/>
                <w:b w:val="0"/>
                <w:i w:val="0"/>
                <w:sz w:val="18"/>
                <w:u w:val="none"/>
              </w:rPr>
              <w:t>Appraisal Summary Report, Pinnacle Valuation Services LLC, File No. PVS-2025-0214-CHS, February 14, 2025</w:t>
            </w:r>
          </w:p>
        </w:tc>
        <w:tc>
          <w:tcPr>
            <w:tcW w:type="dxa" w:w="5781"/>
          </w:tcPr>
          <w:p>
            <w:pPr>
              <w:spacing w:after="40" w:before="40" w:line="240" w:lineRule="auto"/>
              <w:jc w:val="left"/>
            </w:pPr>
            <w:r/>
            <w:r>
              <w:rPr>
                <w:rFonts w:ascii="Times New Roman" w:hAnsi="Times New Roman" w:cs="Times New Roman" w:eastAsia="Times New Roman"/>
                <w:b w:val="0"/>
                <w:i w:val="0"/>
                <w:sz w:val="18"/>
                <w:u w:val="none"/>
              </w:rPr>
              <w:t>As-is $18,200,000; as-stabilized $23,500,000</w:t>
            </w:r>
          </w:p>
        </w:tc>
      </w:tr>
      <w:tr>
        <w:tc>
          <w:tcPr>
            <w:tcW w:type="dxa" w:w="3579"/>
          </w:tcPr>
          <w:p>
            <w:pPr>
              <w:spacing w:after="40" w:before="40" w:line="240" w:lineRule="auto"/>
              <w:jc w:val="left"/>
            </w:pPr>
            <w:r/>
            <w:r>
              <w:rPr>
                <w:rFonts w:ascii="Times New Roman" w:hAnsi="Times New Roman" w:cs="Times New Roman" w:eastAsia="Times New Roman"/>
                <w:b w:val="0"/>
                <w:i w:val="0"/>
                <w:sz w:val="18"/>
                <w:u w:val="none"/>
              </w:rPr>
              <w:t>Rent Roll and Lease Abstracts</w:t>
            </w:r>
          </w:p>
        </w:tc>
        <w:tc>
          <w:tcPr>
            <w:tcW w:type="dxa" w:w="5781"/>
          </w:tcPr>
          <w:p>
            <w:pPr>
              <w:spacing w:after="40" w:before="40" w:line="240" w:lineRule="auto"/>
              <w:jc w:val="left"/>
            </w:pPr>
            <w:r/>
            <w:r>
              <w:rPr>
                <w:rFonts w:ascii="Times New Roman" w:hAnsi="Times New Roman" w:cs="Times New Roman" w:eastAsia="Times New Roman"/>
                <w:b w:val="0"/>
                <w:i w:val="0"/>
                <w:sz w:val="18"/>
                <w:u w:val="none"/>
              </w:rPr>
              <w:t>Three sheets: Summary, Lease Abstracts, Vacancy Schedule (including DSCR analysis)</w:t>
            </w:r>
          </w:p>
        </w:tc>
      </w:tr>
      <w:tr>
        <w:tc>
          <w:tcPr>
            <w:tcW w:type="dxa" w:w="3579"/>
          </w:tcPr>
          <w:p>
            <w:pPr>
              <w:spacing w:after="40" w:before="40" w:line="240" w:lineRule="auto"/>
              <w:jc w:val="left"/>
            </w:pPr>
            <w:r/>
            <w:r>
              <w:rPr>
                <w:rFonts w:ascii="Times New Roman" w:hAnsi="Times New Roman" w:cs="Times New Roman" w:eastAsia="Times New Roman"/>
                <w:b w:val="0"/>
                <w:i w:val="0"/>
                <w:sz w:val="18"/>
                <w:u w:val="none"/>
              </w:rPr>
              <w:t>Renovation Budget and Draw Schedule</w:t>
            </w:r>
          </w:p>
        </w:tc>
        <w:tc>
          <w:tcPr>
            <w:tcW w:type="dxa" w:w="5781"/>
          </w:tcPr>
          <w:p>
            <w:pPr>
              <w:spacing w:after="40" w:before="40" w:line="240" w:lineRule="auto"/>
              <w:jc w:val="left"/>
            </w:pPr>
            <w:r/>
            <w:r>
              <w:rPr>
                <w:rFonts w:ascii="Times New Roman" w:hAnsi="Times New Roman" w:cs="Times New Roman" w:eastAsia="Times New Roman"/>
                <w:b w:val="0"/>
                <w:i w:val="0"/>
                <w:sz w:val="18"/>
                <w:u w:val="none"/>
              </w:rPr>
              <w:t>Two sheets: Budget Detail, Draw Schedule</w:t>
            </w:r>
          </w:p>
        </w:tc>
      </w:tr>
      <w:tr>
        <w:tc>
          <w:tcPr>
            <w:tcW w:type="dxa" w:w="3579"/>
          </w:tcPr>
          <w:p>
            <w:pPr>
              <w:spacing w:after="40" w:before="40" w:line="240" w:lineRule="auto"/>
              <w:jc w:val="left"/>
            </w:pPr>
            <w:r/>
            <w:r>
              <w:rPr>
                <w:rFonts w:ascii="Times New Roman" w:hAnsi="Times New Roman" w:cs="Times New Roman" w:eastAsia="Times New Roman"/>
                <w:b w:val="0"/>
                <w:i w:val="0"/>
                <w:sz w:val="18"/>
                <w:u w:val="none"/>
              </w:rPr>
              <w:t>Fielding, Ashworth &amp; Cole LLP internal markup notes, March 18, 2025</w:t>
            </w:r>
          </w:p>
        </w:tc>
        <w:tc>
          <w:tcPr>
            <w:tcW w:type="dxa" w:w="5781"/>
          </w:tcPr>
          <w:p>
            <w:pPr>
              <w:spacing w:after="40" w:before="40" w:line="240" w:lineRule="auto"/>
              <w:jc w:val="left"/>
            </w:pPr>
            <w:r/>
            <w:r>
              <w:rPr>
                <w:rFonts w:ascii="Times New Roman" w:hAnsi="Times New Roman" w:cs="Times New Roman" w:eastAsia="Times New Roman"/>
                <w:b w:val="0"/>
                <w:i w:val="0"/>
                <w:sz w:val="18"/>
                <w:u w:val="none"/>
              </w:rPr>
              <w:t>Drafting instructions</w:t>
            </w:r>
          </w:p>
        </w:tc>
      </w:tr>
    </w:tbl>
    <w:p>
      <w:pPr>
        <w:keepNext w:val="0"/>
        <w:spacing w:before="0" w:after="40" w:line="240" w:lineRule="auto"/>
        <w:ind w:left="0"/>
        <w:jc w:val="both"/>
      </w:pPr>
    </w:p>
    <w:p>
      <w:pPr>
        <w:keepNext/>
        <w:spacing w:before="200" w:after="120" w:line="240" w:lineRule="auto"/>
        <w:ind w:left="0"/>
        <w:jc w:val="left"/>
      </w:pPr>
      <w:r>
        <w:rPr>
          <w:rFonts w:ascii="Times New Roman" w:hAnsi="Times New Roman" w:cs="Times New Roman" w:eastAsia="Times New Roman"/>
          <w:b/>
          <w:i w:val="0"/>
          <w:sz w:val="24"/>
          <w:u w:val="none"/>
        </w:rPr>
        <w:t>3.2 Documents Referenced in the Record but Not Provided.</w:t>
      </w:r>
      <w:r>
        <w:rPr>
          <w:rFonts w:ascii="Times New Roman" w:hAnsi="Times New Roman" w:cs="Times New Roman" w:eastAsia="Times New Roman"/>
          <w:b w:val="0"/>
          <w:i w:val="0"/>
          <w:sz w:val="24"/>
          <w:u w:val="none"/>
        </w:rPr>
        <w:t xml:space="preserve">   The following instruments are referred to in the record and are material to the draft, but were not in the materials furnished for review. Each should be obtained before the draft is released or, at the latest, before closing.</w:t>
      </w:r>
    </w:p>
    <w:p>
      <w:pPr>
        <w:keepNext w:val="0"/>
        <w:spacing w:before="0" w:after="100" w:line="240" w:lineRule="auto"/>
        <w:ind w:left="403" w:hanging="403"/>
        <w:jc w:val="both"/>
      </w:pPr>
      <w:r>
        <w:rPr>
          <w:rFonts w:ascii="Times New Roman" w:hAnsi="Times New Roman" w:cs="Times New Roman" w:eastAsia="Times New Roman"/>
          <w:b w:val="0"/>
          <w:i w:val="0"/>
          <w:sz w:val="23"/>
          <w:u w:val="none"/>
        </w:rPr>
        <w:t>• Purchase and sale agreement for the Property (purchase price $17,800,000). Needed to confirm the closing mechanics, prorations, security deposit credits, and the deed to be recorded simultaneously with the Mortgage.</w:t>
      </w:r>
    </w:p>
    <w:p>
      <w:pPr>
        <w:keepNext w:val="0"/>
        <w:spacing w:before="0" w:after="100" w:line="240" w:lineRule="auto"/>
        <w:ind w:left="403" w:hanging="403"/>
        <w:jc w:val="both"/>
      </w:pPr>
      <w:r>
        <w:rPr>
          <w:rFonts w:ascii="Times New Roman" w:hAnsi="Times New Roman" w:cs="Times New Roman" w:eastAsia="Times New Roman"/>
          <w:b w:val="0"/>
          <w:i w:val="0"/>
          <w:sz w:val="23"/>
          <w:u w:val="none"/>
        </w:rPr>
        <w:t>• Executed Construction Contract with Beaufort Builders Group LLC (contract sum $2,850,000, SC-GC-47921), including all schedules and exhibits. The Term Sheet makes delivery a closing condition (§ 12.1(l)) and the Mortgage assigns Borrower’s interest in it as collateral.</w:t>
      </w:r>
    </w:p>
    <w:p>
      <w:pPr>
        <w:keepNext w:val="0"/>
        <w:spacing w:before="0" w:after="100" w:line="240" w:lineRule="auto"/>
        <w:ind w:left="403" w:hanging="403"/>
        <w:jc w:val="both"/>
      </w:pPr>
      <w:r>
        <w:rPr>
          <w:rFonts w:ascii="Times New Roman" w:hAnsi="Times New Roman" w:cs="Times New Roman" w:eastAsia="Times New Roman"/>
          <w:b w:val="0"/>
          <w:i w:val="0"/>
          <w:sz w:val="23"/>
          <w:u w:val="none"/>
        </w:rPr>
        <w:t>• The full, unredacted Operating Agreement and the March 1, 2025 amendment. The redacted summary itself states that compliance with single-purpose entity requirements “cannot be confirmed on the basis of this Redacted Summary alone.”</w:t>
      </w:r>
    </w:p>
    <w:p>
      <w:pPr>
        <w:keepNext w:val="0"/>
        <w:spacing w:before="0" w:after="100" w:line="240" w:lineRule="auto"/>
        <w:ind w:left="403" w:hanging="403"/>
        <w:jc w:val="both"/>
      </w:pPr>
      <w:r>
        <w:rPr>
          <w:rFonts w:ascii="Times New Roman" w:hAnsi="Times New Roman" w:cs="Times New Roman" w:eastAsia="Times New Roman"/>
          <w:b w:val="0"/>
          <w:i w:val="0"/>
          <w:sz w:val="23"/>
          <w:u w:val="none"/>
        </w:rPr>
        <w:t>• The three Leases (Lowcountry Provisions, Harmon &amp; Wren including the September 1, 2023 First Amendment, and Tidemark) and the Rent Roll certification.</w:t>
      </w:r>
    </w:p>
    <w:p>
      <w:pPr>
        <w:keepNext w:val="0"/>
        <w:spacing w:before="0" w:after="100" w:line="240" w:lineRule="auto"/>
        <w:ind w:left="403" w:hanging="403"/>
        <w:jc w:val="both"/>
      </w:pPr>
      <w:r>
        <w:rPr>
          <w:rFonts w:ascii="Times New Roman" w:hAnsi="Times New Roman" w:cs="Times New Roman" w:eastAsia="Times New Roman"/>
          <w:b w:val="0"/>
          <w:i w:val="0"/>
          <w:sz w:val="23"/>
          <w:u w:val="none"/>
        </w:rPr>
        <w:t>• The ALTA/NSPS Survey by Cartwright Land Surveying LLC dated January 15, 2025 (recorded Plat Book 64, Page 91) in certified form.</w:t>
      </w:r>
    </w:p>
    <w:p>
      <w:pPr>
        <w:keepNext w:val="0"/>
        <w:spacing w:before="0" w:after="100" w:line="240" w:lineRule="auto"/>
        <w:ind w:left="403" w:hanging="403"/>
        <w:jc w:val="both"/>
      </w:pPr>
      <w:r>
        <w:rPr>
          <w:rFonts w:ascii="Times New Roman" w:hAnsi="Times New Roman" w:cs="Times New Roman" w:eastAsia="Times New Roman"/>
          <w:b w:val="0"/>
          <w:i w:val="0"/>
          <w:sz w:val="23"/>
          <w:u w:val="none"/>
        </w:rPr>
        <w:t>• The complete SCDHEC file for Site ID No. SC-29403-0772, including the NFA letter with all conditions and attachments, and the recorded LUR (Deed Book 1203, Page 89).</w:t>
      </w:r>
    </w:p>
    <w:p>
      <w:pPr>
        <w:keepNext w:val="0"/>
        <w:spacing w:before="0" w:after="100" w:line="240" w:lineRule="auto"/>
        <w:ind w:left="403" w:hanging="403"/>
        <w:jc w:val="both"/>
      </w:pPr>
      <w:r>
        <w:rPr>
          <w:rFonts w:ascii="Times New Roman" w:hAnsi="Times New Roman" w:cs="Times New Roman" w:eastAsia="Times New Roman"/>
          <w:b w:val="0"/>
          <w:i w:val="0"/>
          <w:sz w:val="23"/>
          <w:u w:val="none"/>
        </w:rPr>
        <w:t>• The full Phase I ESA report (only the executive summary was provided) and the January 22, 2025 correspondence documenting Lender’s waiver of the Phase II ESA.</w:t>
      </w:r>
    </w:p>
    <w:p>
      <w:pPr>
        <w:keepNext w:val="0"/>
        <w:spacing w:before="0" w:after="100" w:line="240" w:lineRule="auto"/>
        <w:ind w:left="403" w:hanging="403"/>
        <w:jc w:val="both"/>
      </w:pPr>
      <w:r>
        <w:rPr>
          <w:rFonts w:ascii="Times New Roman" w:hAnsi="Times New Roman" w:cs="Times New Roman" w:eastAsia="Times New Roman"/>
          <w:b w:val="0"/>
          <w:i w:val="0"/>
          <w:sz w:val="23"/>
          <w:u w:val="none"/>
        </w:rPr>
        <w:t>• The form of Note, Guaranty, and Environmental Indemnity. The Mortgage cross-references terms (Note Rate conventions, Guaranty components) that must match.</w:t>
      </w:r>
    </w:p>
    <w:p>
      <w:pPr>
        <w:keepNext w:val="0"/>
        <w:spacing w:before="0" w:after="100" w:line="240" w:lineRule="auto"/>
        <w:ind w:left="403" w:hanging="403"/>
        <w:jc w:val="both"/>
      </w:pPr>
      <w:r>
        <w:rPr>
          <w:rFonts w:ascii="Times New Roman" w:hAnsi="Times New Roman" w:cs="Times New Roman" w:eastAsia="Times New Roman"/>
          <w:b w:val="0"/>
          <w:i w:val="0"/>
          <w:sz w:val="23"/>
          <w:u w:val="none"/>
        </w:rPr>
        <w:t>• The forms of tenant estoppel certificate and SNDA.</w:t>
      </w:r>
    </w:p>
    <w:p>
      <w:pPr>
        <w:keepNext w:val="0"/>
        <w:spacing w:before="0" w:after="100" w:line="240" w:lineRule="auto"/>
        <w:ind w:left="403" w:hanging="403"/>
        <w:jc w:val="both"/>
      </w:pPr>
      <w:r>
        <w:rPr>
          <w:rFonts w:ascii="Times New Roman" w:hAnsi="Times New Roman" w:cs="Times New Roman" w:eastAsia="Times New Roman"/>
          <w:b w:val="0"/>
          <w:i w:val="0"/>
          <w:sz w:val="23"/>
          <w:u w:val="none"/>
        </w:rPr>
        <w:t>• The purchase-money or other title documents evidencing Borrower’s acquisition (General Warranty Deed from Hampstead Village Holdings LLC), which has not yet been delivered.</w:t>
      </w:r>
    </w:p>
    <w:p>
      <w:pPr>
        <w:keepNext/>
        <w:spacing w:before="280" w:after="200" w:line="240" w:lineRule="auto"/>
        <w:ind w:left="0"/>
        <w:jc w:val="center"/>
      </w:pPr>
      <w:r>
        <w:rPr>
          <w:rFonts w:ascii="Times New Roman" w:hAnsi="Times New Roman" w:cs="Times New Roman" w:eastAsia="Times New Roman"/>
          <w:b/>
          <w:i w:val="0"/>
          <w:caps/>
          <w:sz w:val="24"/>
          <w:u w:val="none"/>
        </w:rPr>
        <w:t>4. CROSS-DOCUMENT VERIFICATION AND RECOMPUTATION</w:t>
      </w:r>
    </w:p>
    <w:p>
      <w:pPr>
        <w:keepNext w:val="0"/>
        <w:spacing w:before="0" w:after="160" w:line="240" w:lineRule="auto"/>
        <w:ind w:left="0"/>
        <w:jc w:val="both"/>
      </w:pPr>
      <w:r>
        <w:rPr>
          <w:rFonts w:ascii="Times New Roman" w:hAnsi="Times New Roman" w:cs="Times New Roman" w:eastAsia="Times New Roman"/>
          <w:b w:val="0"/>
          <w:i w:val="0"/>
          <w:sz w:val="24"/>
          <w:u w:val="none"/>
        </w:rPr>
        <w:t>Every total, ratio, date interval, and threshold stated in the Term Sheet, Rent Roll, Appraisal, budget, and draw schedule was recomputed from its component inputs rather than accepted from the summary. Results follow. Figures marked “verified” reconcile exactly; figures marked “does not reconcile” are carried into the detailed issues in Section 5 and, where the difference affects the Mortgage, are addressed in the draft.</w:t>
      </w:r>
    </w:p>
    <w:p>
      <w:pPr>
        <w:keepNext/>
        <w:spacing w:before="200" w:after="120" w:line="240" w:lineRule="auto"/>
        <w:ind w:left="0"/>
        <w:jc w:val="left"/>
      </w:pPr>
      <w:r>
        <w:rPr>
          <w:rFonts w:ascii="Times New Roman" w:hAnsi="Times New Roman" w:cs="Times New Roman" w:eastAsia="Times New Roman"/>
          <w:b/>
          <w:i w:val="0"/>
          <w:sz w:val="24"/>
          <w:u w:val="none"/>
        </w:rPr>
        <w:t>4.1 Loan Sizing and Ratios.</w:t>
      </w:r>
    </w:p>
    <w:tbl>
      <w:tblPr>
        <w:tblStyle w:val="TableGrid"/>
        <w:tblW w:type="auto" w:w="0"/>
        <w:jc w:val="center"/>
        <w:tblLayout w:type="fixed"/>
        <w:tblLook w:firstColumn="1" w:firstRow="1" w:lastColumn="0" w:lastRow="0" w:noHBand="0" w:noVBand="1" w:val="04A0"/>
        <w:tblLayout w:type="fixed"/>
        <w:tblW w:w="9360" w:type="dxa"/>
        <w:tblCellMar>
          <w:left w:w="72" w:type="dxa"/>
          <w:right w:w="72" w:type="dxa"/>
          <w:top w:w="36" w:type="dxa"/>
          <w:bottom w:w="36" w:type="dxa"/>
        </w:tblCellMar>
      </w:tblPr>
      <w:tblGrid>
        <w:gridCol w:w="4129"/>
        <w:gridCol w:w="2752"/>
        <w:gridCol w:w="2477"/>
      </w:tblGrid>
      <w:tr>
        <w:tc>
          <w:tcPr>
            <w:tcW w:type="dxa" w:w="4129"/>
            <w:shd w:val="clear" w:color="auto" w:fill="D9D9D9"/>
          </w:tcPr>
          <w:p>
            <w:pPr>
              <w:spacing w:after="40" w:before="40" w:line="240" w:lineRule="auto"/>
              <w:jc w:val="left"/>
            </w:pPr>
            <w:r/>
            <w:r>
              <w:rPr>
                <w:rFonts w:ascii="Times New Roman" w:hAnsi="Times New Roman" w:cs="Times New Roman" w:eastAsia="Times New Roman"/>
                <w:b/>
                <w:i w:val="0"/>
                <w:sz w:val="18"/>
                <w:u w:val="none"/>
              </w:rPr>
              <w:t>Metric</w:t>
            </w:r>
          </w:p>
        </w:tc>
        <w:tc>
          <w:tcPr>
            <w:tcW w:type="dxa" w:w="2753"/>
            <w:shd w:val="clear" w:color="auto" w:fill="D9D9D9"/>
          </w:tcPr>
          <w:p>
            <w:pPr>
              <w:spacing w:after="40" w:before="40" w:line="240" w:lineRule="auto"/>
              <w:jc w:val="left"/>
            </w:pPr>
            <w:r/>
            <w:r>
              <w:rPr>
                <w:rFonts w:ascii="Times New Roman" w:hAnsi="Times New Roman" w:cs="Times New Roman" w:eastAsia="Times New Roman"/>
                <w:b/>
                <w:i w:val="0"/>
                <w:sz w:val="18"/>
                <w:u w:val="none"/>
              </w:rPr>
              <w:t>Recomputation</w:t>
            </w:r>
          </w:p>
        </w:tc>
        <w:tc>
          <w:tcPr>
            <w:tcW w:type="dxa" w:w="2478"/>
            <w:shd w:val="clear" w:color="auto" w:fill="D9D9D9"/>
          </w:tcPr>
          <w:p>
            <w:pPr>
              <w:spacing w:after="40" w:before="40" w:line="240" w:lineRule="auto"/>
              <w:jc w:val="left"/>
            </w:pPr>
            <w:r/>
            <w:r>
              <w:rPr>
                <w:rFonts w:ascii="Times New Roman" w:hAnsi="Times New Roman" w:cs="Times New Roman" w:eastAsia="Times New Roman"/>
                <w:b/>
                <w:i w:val="0"/>
                <w:sz w:val="18"/>
                <w:u w:val="none"/>
              </w:rPr>
              <w:t>Result</w:t>
            </w:r>
          </w:p>
        </w:tc>
      </w:tr>
      <w:tr>
        <w:tc>
          <w:tcPr>
            <w:tcW w:type="dxa" w:w="4129"/>
          </w:tcPr>
          <w:p>
            <w:pPr>
              <w:spacing w:after="40" w:before="40" w:line="240" w:lineRule="auto"/>
              <w:jc w:val="left"/>
            </w:pPr>
            <w:r/>
            <w:r>
              <w:rPr>
                <w:rFonts w:ascii="Times New Roman" w:hAnsi="Times New Roman" w:cs="Times New Roman" w:eastAsia="Times New Roman"/>
                <w:b w:val="0"/>
                <w:i w:val="0"/>
                <w:sz w:val="18"/>
                <w:u w:val="none"/>
              </w:rPr>
              <w:t>Loan amount</w:t>
            </w:r>
          </w:p>
        </w:tc>
        <w:tc>
          <w:tcPr>
            <w:tcW w:type="dxa" w:w="2753"/>
          </w:tcPr>
          <w:p>
            <w:pPr>
              <w:spacing w:after="40" w:before="40" w:line="240" w:lineRule="auto"/>
              <w:jc w:val="left"/>
            </w:pPr>
            <w:r/>
            <w:r>
              <w:rPr>
                <w:rFonts w:ascii="Times New Roman" w:hAnsi="Times New Roman" w:cs="Times New Roman" w:eastAsia="Times New Roman"/>
                <w:b w:val="0"/>
                <w:i w:val="0"/>
                <w:sz w:val="18"/>
                <w:u w:val="none"/>
              </w:rPr>
              <w:t>Stated</w:t>
            </w:r>
          </w:p>
        </w:tc>
        <w:tc>
          <w:tcPr>
            <w:tcW w:type="dxa" w:w="2478"/>
          </w:tcPr>
          <w:p>
            <w:pPr>
              <w:spacing w:after="40" w:before="40" w:line="240" w:lineRule="auto"/>
              <w:jc w:val="left"/>
            </w:pPr>
            <w:r/>
            <w:r>
              <w:rPr>
                <w:rFonts w:ascii="Times New Roman" w:hAnsi="Times New Roman" w:cs="Times New Roman" w:eastAsia="Times New Roman"/>
                <w:b w:val="0"/>
                <w:i w:val="0"/>
                <w:sz w:val="18"/>
                <w:u w:val="none"/>
              </w:rPr>
              <w:t>$14,750,000 — verified</w:t>
            </w:r>
          </w:p>
        </w:tc>
      </w:tr>
      <w:tr>
        <w:tc>
          <w:tcPr>
            <w:tcW w:type="dxa" w:w="4129"/>
          </w:tcPr>
          <w:p>
            <w:pPr>
              <w:spacing w:after="40" w:before="40" w:line="240" w:lineRule="auto"/>
              <w:jc w:val="left"/>
            </w:pPr>
            <w:r/>
            <w:r>
              <w:rPr>
                <w:rFonts w:ascii="Times New Roman" w:hAnsi="Times New Roman" w:cs="Times New Roman" w:eastAsia="Times New Roman"/>
                <w:b w:val="0"/>
                <w:i w:val="0"/>
                <w:sz w:val="18"/>
                <w:u w:val="none"/>
              </w:rPr>
              <w:t>Initial advance + Renovation Holdback</w:t>
            </w:r>
          </w:p>
        </w:tc>
        <w:tc>
          <w:tcPr>
            <w:tcW w:type="dxa" w:w="2753"/>
          </w:tcPr>
          <w:p>
            <w:pPr>
              <w:spacing w:after="40" w:before="40" w:line="240" w:lineRule="auto"/>
              <w:jc w:val="left"/>
            </w:pPr>
            <w:r/>
            <w:r>
              <w:rPr>
                <w:rFonts w:ascii="Times New Roman" w:hAnsi="Times New Roman" w:cs="Times New Roman" w:eastAsia="Times New Roman"/>
                <w:b w:val="0"/>
                <w:i w:val="0"/>
                <w:sz w:val="18"/>
                <w:u w:val="none"/>
              </w:rPr>
              <w:t>$12,500,000 + $2,250,000</w:t>
            </w:r>
          </w:p>
        </w:tc>
        <w:tc>
          <w:tcPr>
            <w:tcW w:type="dxa" w:w="2478"/>
          </w:tcPr>
          <w:p>
            <w:pPr>
              <w:spacing w:after="40" w:before="40" w:line="240" w:lineRule="auto"/>
              <w:jc w:val="left"/>
            </w:pPr>
            <w:r/>
            <w:r>
              <w:rPr>
                <w:rFonts w:ascii="Times New Roman" w:hAnsi="Times New Roman" w:cs="Times New Roman" w:eastAsia="Times New Roman"/>
                <w:b w:val="0"/>
                <w:i w:val="0"/>
                <w:sz w:val="18"/>
                <w:u w:val="none"/>
              </w:rPr>
              <w:t>$14,750,000 — verified</w:t>
            </w:r>
          </w:p>
        </w:tc>
      </w:tr>
      <w:tr>
        <w:tc>
          <w:tcPr>
            <w:tcW w:type="dxa" w:w="4129"/>
          </w:tcPr>
          <w:p>
            <w:pPr>
              <w:spacing w:after="40" w:before="40" w:line="240" w:lineRule="auto"/>
              <w:jc w:val="left"/>
            </w:pPr>
            <w:r/>
            <w:r>
              <w:rPr>
                <w:rFonts w:ascii="Times New Roman" w:hAnsi="Times New Roman" w:cs="Times New Roman" w:eastAsia="Times New Roman"/>
                <w:b w:val="0"/>
                <w:i w:val="0"/>
                <w:sz w:val="18"/>
                <w:u w:val="none"/>
              </w:rPr>
              <w:t>Loan-to-Value (as-is)</w:t>
            </w:r>
          </w:p>
        </w:tc>
        <w:tc>
          <w:tcPr>
            <w:tcW w:type="dxa" w:w="2753"/>
          </w:tcPr>
          <w:p>
            <w:pPr>
              <w:spacing w:after="40" w:before="40" w:line="240" w:lineRule="auto"/>
              <w:jc w:val="left"/>
            </w:pPr>
            <w:r/>
            <w:r>
              <w:rPr>
                <w:rFonts w:ascii="Times New Roman" w:hAnsi="Times New Roman" w:cs="Times New Roman" w:eastAsia="Times New Roman"/>
                <w:b w:val="0"/>
                <w:i w:val="0"/>
                <w:sz w:val="18"/>
                <w:u w:val="none"/>
              </w:rPr>
              <w:t>$14,750,000 ÷ $18,200,000</w:t>
            </w:r>
          </w:p>
        </w:tc>
        <w:tc>
          <w:tcPr>
            <w:tcW w:type="dxa" w:w="2478"/>
          </w:tcPr>
          <w:p>
            <w:pPr>
              <w:spacing w:after="40" w:before="40" w:line="240" w:lineRule="auto"/>
              <w:jc w:val="left"/>
            </w:pPr>
            <w:r/>
            <w:r>
              <w:rPr>
                <w:rFonts w:ascii="Times New Roman" w:hAnsi="Times New Roman" w:cs="Times New Roman" w:eastAsia="Times New Roman"/>
                <w:b w:val="0"/>
                <w:i w:val="0"/>
                <w:sz w:val="18"/>
                <w:u w:val="none"/>
              </w:rPr>
              <w:t>81.04% — verified (Term Sheet rounds to “approximately 81%”)</w:t>
            </w:r>
          </w:p>
        </w:tc>
      </w:tr>
      <w:tr>
        <w:tc>
          <w:tcPr>
            <w:tcW w:type="dxa" w:w="4129"/>
          </w:tcPr>
          <w:p>
            <w:pPr>
              <w:spacing w:after="40" w:before="40" w:line="240" w:lineRule="auto"/>
              <w:jc w:val="left"/>
            </w:pPr>
            <w:r/>
            <w:r>
              <w:rPr>
                <w:rFonts w:ascii="Times New Roman" w:hAnsi="Times New Roman" w:cs="Times New Roman" w:eastAsia="Times New Roman"/>
                <w:b w:val="0"/>
                <w:i w:val="0"/>
                <w:sz w:val="18"/>
                <w:u w:val="none"/>
              </w:rPr>
              <w:t>Loan-to-Value (as-stabilized)</w:t>
            </w:r>
          </w:p>
        </w:tc>
        <w:tc>
          <w:tcPr>
            <w:tcW w:type="dxa" w:w="2753"/>
          </w:tcPr>
          <w:p>
            <w:pPr>
              <w:spacing w:after="40" w:before="40" w:line="240" w:lineRule="auto"/>
              <w:jc w:val="left"/>
            </w:pPr>
            <w:r/>
            <w:r>
              <w:rPr>
                <w:rFonts w:ascii="Times New Roman" w:hAnsi="Times New Roman" w:cs="Times New Roman" w:eastAsia="Times New Roman"/>
                <w:b w:val="0"/>
                <w:i w:val="0"/>
                <w:sz w:val="18"/>
                <w:u w:val="none"/>
              </w:rPr>
              <w:t>$14,750,000 ÷ $23,500,000</w:t>
            </w:r>
          </w:p>
        </w:tc>
        <w:tc>
          <w:tcPr>
            <w:tcW w:type="dxa" w:w="2478"/>
          </w:tcPr>
          <w:p>
            <w:pPr>
              <w:spacing w:after="40" w:before="40" w:line="240" w:lineRule="auto"/>
              <w:jc w:val="left"/>
            </w:pPr>
            <w:r/>
            <w:r>
              <w:rPr>
                <w:rFonts w:ascii="Times New Roman" w:hAnsi="Times New Roman" w:cs="Times New Roman" w:eastAsia="Times New Roman"/>
                <w:b w:val="0"/>
                <w:i w:val="0"/>
                <w:sz w:val="18"/>
                <w:u w:val="none"/>
              </w:rPr>
              <w:t>62.77% — verified</w:t>
            </w:r>
          </w:p>
        </w:tc>
      </w:tr>
      <w:tr>
        <w:tc>
          <w:tcPr>
            <w:tcW w:type="dxa" w:w="4129"/>
          </w:tcPr>
          <w:p>
            <w:pPr>
              <w:spacing w:after="40" w:before="40" w:line="240" w:lineRule="auto"/>
              <w:jc w:val="left"/>
            </w:pPr>
            <w:r/>
            <w:r>
              <w:rPr>
                <w:rFonts w:ascii="Times New Roman" w:hAnsi="Times New Roman" w:cs="Times New Roman" w:eastAsia="Times New Roman"/>
                <w:b w:val="0"/>
                <w:i w:val="0"/>
                <w:sz w:val="18"/>
                <w:u w:val="none"/>
              </w:rPr>
              <w:t>Loan-to-Cost</w:t>
            </w:r>
          </w:p>
        </w:tc>
        <w:tc>
          <w:tcPr>
            <w:tcW w:type="dxa" w:w="2753"/>
          </w:tcPr>
          <w:p>
            <w:pPr>
              <w:spacing w:after="40" w:before="40" w:line="240" w:lineRule="auto"/>
              <w:jc w:val="left"/>
            </w:pPr>
            <w:r/>
            <w:r>
              <w:rPr>
                <w:rFonts w:ascii="Times New Roman" w:hAnsi="Times New Roman" w:cs="Times New Roman" w:eastAsia="Times New Roman"/>
                <w:b w:val="0"/>
                <w:i w:val="0"/>
                <w:sz w:val="18"/>
                <w:u w:val="none"/>
              </w:rPr>
              <w:t>$14,750,000 ÷ $20,950,000</w:t>
            </w:r>
          </w:p>
        </w:tc>
        <w:tc>
          <w:tcPr>
            <w:tcW w:type="dxa" w:w="2478"/>
          </w:tcPr>
          <w:p>
            <w:pPr>
              <w:spacing w:after="40" w:before="40" w:line="240" w:lineRule="auto"/>
              <w:jc w:val="left"/>
            </w:pPr>
            <w:r/>
            <w:r>
              <w:rPr>
                <w:rFonts w:ascii="Times New Roman" w:hAnsi="Times New Roman" w:cs="Times New Roman" w:eastAsia="Times New Roman"/>
                <w:b w:val="0"/>
                <w:i w:val="0"/>
                <w:sz w:val="18"/>
                <w:u w:val="none"/>
              </w:rPr>
              <w:t>70.41% — verified on the stated cost base; see 4.5</w:t>
            </w:r>
          </w:p>
        </w:tc>
      </w:tr>
      <w:tr>
        <w:tc>
          <w:tcPr>
            <w:tcW w:type="dxa" w:w="4129"/>
          </w:tcPr>
          <w:p>
            <w:pPr>
              <w:spacing w:after="40" w:before="40" w:line="240" w:lineRule="auto"/>
              <w:jc w:val="left"/>
            </w:pPr>
            <w:r/>
            <w:r>
              <w:rPr>
                <w:rFonts w:ascii="Times New Roman" w:hAnsi="Times New Roman" w:cs="Times New Roman" w:eastAsia="Times New Roman"/>
                <w:b w:val="0"/>
                <w:i w:val="0"/>
                <w:sz w:val="18"/>
                <w:u w:val="none"/>
              </w:rPr>
              <w:t>Total Project Cost</w:t>
            </w:r>
          </w:p>
        </w:tc>
        <w:tc>
          <w:tcPr>
            <w:tcW w:type="dxa" w:w="2753"/>
          </w:tcPr>
          <w:p>
            <w:pPr>
              <w:spacing w:after="40" w:before="40" w:line="240" w:lineRule="auto"/>
              <w:jc w:val="left"/>
            </w:pPr>
            <w:r/>
            <w:r>
              <w:rPr>
                <w:rFonts w:ascii="Times New Roman" w:hAnsi="Times New Roman" w:cs="Times New Roman" w:eastAsia="Times New Roman"/>
                <w:b w:val="0"/>
                <w:i w:val="0"/>
                <w:sz w:val="18"/>
                <w:u w:val="none"/>
              </w:rPr>
              <w:t>$17,800,000 purchase price + $3,150,000 renovation</w:t>
            </w:r>
          </w:p>
        </w:tc>
        <w:tc>
          <w:tcPr>
            <w:tcW w:type="dxa" w:w="2478"/>
          </w:tcPr>
          <w:p>
            <w:pPr>
              <w:spacing w:after="40" w:before="40" w:line="240" w:lineRule="auto"/>
              <w:jc w:val="left"/>
            </w:pPr>
            <w:r/>
            <w:r>
              <w:rPr>
                <w:rFonts w:ascii="Times New Roman" w:hAnsi="Times New Roman" w:cs="Times New Roman" w:eastAsia="Times New Roman"/>
                <w:b w:val="0"/>
                <w:i w:val="0"/>
                <w:sz w:val="18"/>
                <w:u w:val="none"/>
              </w:rPr>
              <w:t>$20,950,000 — verified</w:t>
            </w:r>
          </w:p>
        </w:tc>
      </w:tr>
      <w:tr>
        <w:tc>
          <w:tcPr>
            <w:tcW w:type="dxa" w:w="4129"/>
          </w:tcPr>
          <w:p>
            <w:pPr>
              <w:spacing w:after="40" w:before="40" w:line="240" w:lineRule="auto"/>
              <w:jc w:val="left"/>
            </w:pPr>
            <w:r/>
            <w:r>
              <w:rPr>
                <w:rFonts w:ascii="Times New Roman" w:hAnsi="Times New Roman" w:cs="Times New Roman" w:eastAsia="Times New Roman"/>
                <w:b w:val="0"/>
                <w:i w:val="0"/>
                <w:sz w:val="18"/>
                <w:u w:val="none"/>
              </w:rPr>
              <w:t>Borrower equity percentage</w:t>
            </w:r>
          </w:p>
        </w:tc>
        <w:tc>
          <w:tcPr>
            <w:tcW w:type="dxa" w:w="2753"/>
          </w:tcPr>
          <w:p>
            <w:pPr>
              <w:spacing w:after="40" w:before="40" w:line="240" w:lineRule="auto"/>
              <w:jc w:val="left"/>
            </w:pPr>
            <w:r/>
            <w:r>
              <w:rPr>
                <w:rFonts w:ascii="Times New Roman" w:hAnsi="Times New Roman" w:cs="Times New Roman" w:eastAsia="Times New Roman"/>
                <w:b w:val="0"/>
                <w:i w:val="0"/>
                <w:sz w:val="18"/>
                <w:u w:val="none"/>
              </w:rPr>
              <w:t>$6,200,000 ÷ $20,950,000</w:t>
            </w:r>
          </w:p>
        </w:tc>
        <w:tc>
          <w:tcPr>
            <w:tcW w:type="dxa" w:w="2478"/>
          </w:tcPr>
          <w:p>
            <w:pPr>
              <w:spacing w:after="40" w:before="40" w:line="240" w:lineRule="auto"/>
              <w:jc w:val="left"/>
            </w:pPr>
            <w:r/>
            <w:r>
              <w:rPr>
                <w:rFonts w:ascii="Times New Roman" w:hAnsi="Times New Roman" w:cs="Times New Roman" w:eastAsia="Times New Roman"/>
                <w:b w:val="0"/>
                <w:i w:val="0"/>
                <w:sz w:val="18"/>
                <w:u w:val="none"/>
              </w:rPr>
              <w:t>29.59% — verified on the stated cost base; see 4.5</w:t>
            </w:r>
          </w:p>
        </w:tc>
      </w:tr>
      <w:tr>
        <w:tc>
          <w:tcPr>
            <w:tcW w:type="dxa" w:w="4129"/>
          </w:tcPr>
          <w:p>
            <w:pPr>
              <w:spacing w:after="40" w:before="40" w:line="240" w:lineRule="auto"/>
              <w:jc w:val="left"/>
            </w:pPr>
            <w:r/>
            <w:r>
              <w:rPr>
                <w:rFonts w:ascii="Times New Roman" w:hAnsi="Times New Roman" w:cs="Times New Roman" w:eastAsia="Times New Roman"/>
                <w:b w:val="0"/>
                <w:i w:val="0"/>
                <w:sz w:val="18"/>
                <w:u w:val="none"/>
              </w:rPr>
              <w:t>Loan per square foot</w:t>
            </w:r>
          </w:p>
        </w:tc>
        <w:tc>
          <w:tcPr>
            <w:tcW w:type="dxa" w:w="2753"/>
          </w:tcPr>
          <w:p>
            <w:pPr>
              <w:spacing w:after="40" w:before="40" w:line="240" w:lineRule="auto"/>
              <w:jc w:val="left"/>
            </w:pPr>
            <w:r/>
            <w:r>
              <w:rPr>
                <w:rFonts w:ascii="Times New Roman" w:hAnsi="Times New Roman" w:cs="Times New Roman" w:eastAsia="Times New Roman"/>
                <w:b w:val="0"/>
                <w:i w:val="0"/>
                <w:sz w:val="18"/>
                <w:u w:val="none"/>
              </w:rPr>
              <w:t>$14,750,000 ÷ 31,000 SF</w:t>
            </w:r>
          </w:p>
        </w:tc>
        <w:tc>
          <w:tcPr>
            <w:tcW w:type="dxa" w:w="2478"/>
          </w:tcPr>
          <w:p>
            <w:pPr>
              <w:spacing w:after="40" w:before="40" w:line="240" w:lineRule="auto"/>
              <w:jc w:val="left"/>
            </w:pPr>
            <w:r/>
            <w:r>
              <w:rPr>
                <w:rFonts w:ascii="Times New Roman" w:hAnsi="Times New Roman" w:cs="Times New Roman" w:eastAsia="Times New Roman"/>
                <w:b w:val="0"/>
                <w:i w:val="0"/>
                <w:sz w:val="18"/>
                <w:u w:val="none"/>
              </w:rPr>
              <w:t>$475.81/SF</w:t>
            </w:r>
          </w:p>
        </w:tc>
      </w:tr>
      <w:tr>
        <w:tc>
          <w:tcPr>
            <w:tcW w:type="dxa" w:w="4129"/>
          </w:tcPr>
          <w:p>
            <w:pPr>
              <w:spacing w:after="40" w:before="40" w:line="240" w:lineRule="auto"/>
              <w:jc w:val="left"/>
            </w:pPr>
            <w:r/>
            <w:r>
              <w:rPr>
                <w:rFonts w:ascii="Times New Roman" w:hAnsi="Times New Roman" w:cs="Times New Roman" w:eastAsia="Times New Roman"/>
                <w:b w:val="0"/>
                <w:i w:val="0"/>
                <w:sz w:val="18"/>
                <w:u w:val="none"/>
              </w:rPr>
              <w:t>As-is value per square foot</w:t>
            </w:r>
          </w:p>
        </w:tc>
        <w:tc>
          <w:tcPr>
            <w:tcW w:type="dxa" w:w="2753"/>
          </w:tcPr>
          <w:p>
            <w:pPr>
              <w:spacing w:after="40" w:before="40" w:line="240" w:lineRule="auto"/>
              <w:jc w:val="left"/>
            </w:pPr>
            <w:r/>
            <w:r>
              <w:rPr>
                <w:rFonts w:ascii="Times New Roman" w:hAnsi="Times New Roman" w:cs="Times New Roman" w:eastAsia="Times New Roman"/>
                <w:b w:val="0"/>
                <w:i w:val="0"/>
                <w:sz w:val="18"/>
                <w:u w:val="none"/>
              </w:rPr>
              <w:t>$18,200,000 ÷ 31,000 SF</w:t>
            </w:r>
          </w:p>
        </w:tc>
        <w:tc>
          <w:tcPr>
            <w:tcW w:type="dxa" w:w="2478"/>
          </w:tcPr>
          <w:p>
            <w:pPr>
              <w:spacing w:after="40" w:before="40" w:line="240" w:lineRule="auto"/>
              <w:jc w:val="left"/>
            </w:pPr>
            <w:r/>
            <w:r>
              <w:rPr>
                <w:rFonts w:ascii="Times New Roman" w:hAnsi="Times New Roman" w:cs="Times New Roman" w:eastAsia="Times New Roman"/>
                <w:b w:val="0"/>
                <w:i w:val="0"/>
                <w:sz w:val="18"/>
                <w:u w:val="none"/>
              </w:rPr>
              <w:t>$587.10/SF — verified (Appraisal states $587)</w:t>
            </w:r>
          </w:p>
        </w:tc>
      </w:tr>
      <w:tr>
        <w:tc>
          <w:tcPr>
            <w:tcW w:type="dxa" w:w="4129"/>
          </w:tcPr>
          <w:p>
            <w:pPr>
              <w:spacing w:after="40" w:before="40" w:line="240" w:lineRule="auto"/>
              <w:jc w:val="left"/>
            </w:pPr>
            <w:r/>
            <w:r>
              <w:rPr>
                <w:rFonts w:ascii="Times New Roman" w:hAnsi="Times New Roman" w:cs="Times New Roman" w:eastAsia="Times New Roman"/>
                <w:b w:val="0"/>
                <w:i w:val="0"/>
                <w:sz w:val="18"/>
                <w:u w:val="none"/>
              </w:rPr>
              <w:t>As-stabilized value per square foot</w:t>
            </w:r>
          </w:p>
        </w:tc>
        <w:tc>
          <w:tcPr>
            <w:tcW w:type="dxa" w:w="2753"/>
          </w:tcPr>
          <w:p>
            <w:pPr>
              <w:spacing w:after="40" w:before="40" w:line="240" w:lineRule="auto"/>
              <w:jc w:val="left"/>
            </w:pPr>
            <w:r/>
            <w:r>
              <w:rPr>
                <w:rFonts w:ascii="Times New Roman" w:hAnsi="Times New Roman" w:cs="Times New Roman" w:eastAsia="Times New Roman"/>
                <w:b w:val="0"/>
                <w:i w:val="0"/>
                <w:sz w:val="18"/>
                <w:u w:val="none"/>
              </w:rPr>
              <w:t>$23,500,000 ÷ 31,000 SF</w:t>
            </w:r>
          </w:p>
        </w:tc>
        <w:tc>
          <w:tcPr>
            <w:tcW w:type="dxa" w:w="2478"/>
          </w:tcPr>
          <w:p>
            <w:pPr>
              <w:spacing w:after="40" w:before="40" w:line="240" w:lineRule="auto"/>
              <w:jc w:val="left"/>
            </w:pPr>
            <w:r/>
            <w:r>
              <w:rPr>
                <w:rFonts w:ascii="Times New Roman" w:hAnsi="Times New Roman" w:cs="Times New Roman" w:eastAsia="Times New Roman"/>
                <w:b w:val="0"/>
                <w:i w:val="0"/>
                <w:sz w:val="18"/>
                <w:u w:val="none"/>
              </w:rPr>
              <w:t>$758.06/SF — verified (Appraisal states $758)</w:t>
            </w:r>
          </w:p>
        </w:tc>
      </w:tr>
      <w:tr>
        <w:tc>
          <w:tcPr>
            <w:tcW w:type="dxa" w:w="4129"/>
          </w:tcPr>
          <w:p>
            <w:pPr>
              <w:spacing w:after="40" w:before="40" w:line="240" w:lineRule="auto"/>
              <w:jc w:val="left"/>
            </w:pPr>
            <w:r/>
            <w:r>
              <w:rPr>
                <w:rFonts w:ascii="Times New Roman" w:hAnsi="Times New Roman" w:cs="Times New Roman" w:eastAsia="Times New Roman"/>
                <w:b w:val="0"/>
                <w:i w:val="0"/>
                <w:sz w:val="18"/>
                <w:u w:val="none"/>
              </w:rPr>
              <w:t>Purchase price per square foot</w:t>
            </w:r>
          </w:p>
        </w:tc>
        <w:tc>
          <w:tcPr>
            <w:tcW w:type="dxa" w:w="2753"/>
          </w:tcPr>
          <w:p>
            <w:pPr>
              <w:spacing w:after="40" w:before="40" w:line="240" w:lineRule="auto"/>
              <w:jc w:val="left"/>
            </w:pPr>
            <w:r/>
            <w:r>
              <w:rPr>
                <w:rFonts w:ascii="Times New Roman" w:hAnsi="Times New Roman" w:cs="Times New Roman" w:eastAsia="Times New Roman"/>
                <w:b w:val="0"/>
                <w:i w:val="0"/>
                <w:sz w:val="18"/>
                <w:u w:val="none"/>
              </w:rPr>
              <w:t>$17,800,000 ÷ 31,000 SF</w:t>
            </w:r>
          </w:p>
        </w:tc>
        <w:tc>
          <w:tcPr>
            <w:tcW w:type="dxa" w:w="2478"/>
          </w:tcPr>
          <w:p>
            <w:pPr>
              <w:spacing w:after="40" w:before="40" w:line="240" w:lineRule="auto"/>
              <w:jc w:val="left"/>
            </w:pPr>
            <w:r/>
            <w:r>
              <w:rPr>
                <w:rFonts w:ascii="Times New Roman" w:hAnsi="Times New Roman" w:cs="Times New Roman" w:eastAsia="Times New Roman"/>
                <w:b w:val="0"/>
                <w:i w:val="0"/>
                <w:sz w:val="18"/>
                <w:u w:val="none"/>
              </w:rPr>
              <w:t>$574.19/SF</w:t>
            </w:r>
          </w:p>
        </w:tc>
      </w:tr>
      <w:tr>
        <w:tc>
          <w:tcPr>
            <w:tcW w:type="dxa" w:w="4129"/>
          </w:tcPr>
          <w:p>
            <w:pPr>
              <w:spacing w:after="40" w:before="40" w:line="240" w:lineRule="auto"/>
              <w:jc w:val="left"/>
            </w:pPr>
            <w:r/>
            <w:r>
              <w:rPr>
                <w:rFonts w:ascii="Times New Roman" w:hAnsi="Times New Roman" w:cs="Times New Roman" w:eastAsia="Times New Roman"/>
                <w:b w:val="0"/>
                <w:i w:val="0"/>
                <w:sz w:val="18"/>
                <w:u w:val="none"/>
              </w:rPr>
              <w:t>Land area</w:t>
            </w:r>
          </w:p>
        </w:tc>
        <w:tc>
          <w:tcPr>
            <w:tcW w:type="dxa" w:w="2753"/>
          </w:tcPr>
          <w:p>
            <w:pPr>
              <w:spacing w:after="40" w:before="40" w:line="240" w:lineRule="auto"/>
              <w:jc w:val="left"/>
            </w:pPr>
            <w:r/>
            <w:r>
              <w:rPr>
                <w:rFonts w:ascii="Times New Roman" w:hAnsi="Times New Roman" w:cs="Times New Roman" w:eastAsia="Times New Roman"/>
                <w:b w:val="0"/>
                <w:i w:val="0"/>
                <w:sz w:val="18"/>
                <w:u w:val="none"/>
              </w:rPr>
              <w:t>0.38 acre × 43,560 SF</w:t>
            </w:r>
          </w:p>
        </w:tc>
        <w:tc>
          <w:tcPr>
            <w:tcW w:type="dxa" w:w="2478"/>
          </w:tcPr>
          <w:p>
            <w:pPr>
              <w:spacing w:after="40" w:before="40" w:line="240" w:lineRule="auto"/>
              <w:jc w:val="left"/>
            </w:pPr>
            <w:r/>
            <w:r>
              <w:rPr>
                <w:rFonts w:ascii="Times New Roman" w:hAnsi="Times New Roman" w:cs="Times New Roman" w:eastAsia="Times New Roman"/>
                <w:b w:val="0"/>
                <w:i w:val="0"/>
                <w:sz w:val="18"/>
                <w:u w:val="none"/>
              </w:rPr>
              <w:t>16,552.8 SF — verified (16,553 SF stated)</w:t>
            </w:r>
          </w:p>
        </w:tc>
      </w:tr>
      <w:tr>
        <w:tc>
          <w:tcPr>
            <w:tcW w:type="dxa" w:w="4129"/>
          </w:tcPr>
          <w:p>
            <w:pPr>
              <w:spacing w:after="40" w:before="40" w:line="240" w:lineRule="auto"/>
              <w:jc w:val="left"/>
            </w:pPr>
            <w:r/>
            <w:r>
              <w:rPr>
                <w:rFonts w:ascii="Times New Roman" w:hAnsi="Times New Roman" w:cs="Times New Roman" w:eastAsia="Times New Roman"/>
                <w:b w:val="0"/>
                <w:i w:val="0"/>
                <w:sz w:val="18"/>
                <w:u w:val="none"/>
              </w:rPr>
              <w:t>Origination fee</w:t>
            </w:r>
          </w:p>
        </w:tc>
        <w:tc>
          <w:tcPr>
            <w:tcW w:type="dxa" w:w="2753"/>
          </w:tcPr>
          <w:p>
            <w:pPr>
              <w:spacing w:after="40" w:before="40" w:line="240" w:lineRule="auto"/>
              <w:jc w:val="left"/>
            </w:pPr>
            <w:r/>
            <w:r>
              <w:rPr>
                <w:rFonts w:ascii="Times New Roman" w:hAnsi="Times New Roman" w:cs="Times New Roman" w:eastAsia="Times New Roman"/>
                <w:b w:val="0"/>
                <w:i w:val="0"/>
                <w:sz w:val="18"/>
                <w:u w:val="none"/>
              </w:rPr>
              <w:t>1.00% × $14,750,000</w:t>
            </w:r>
          </w:p>
        </w:tc>
        <w:tc>
          <w:tcPr>
            <w:tcW w:type="dxa" w:w="2478"/>
          </w:tcPr>
          <w:p>
            <w:pPr>
              <w:spacing w:after="40" w:before="40" w:line="240" w:lineRule="auto"/>
              <w:jc w:val="left"/>
            </w:pPr>
            <w:r/>
            <w:r>
              <w:rPr>
                <w:rFonts w:ascii="Times New Roman" w:hAnsi="Times New Roman" w:cs="Times New Roman" w:eastAsia="Times New Roman"/>
                <w:b w:val="0"/>
                <w:i w:val="0"/>
                <w:sz w:val="18"/>
                <w:u w:val="none"/>
              </w:rPr>
              <w:t>$147,500 — verified</w:t>
            </w:r>
          </w:p>
        </w:tc>
      </w:tr>
      <w:tr>
        <w:tc>
          <w:tcPr>
            <w:tcW w:type="dxa" w:w="4129"/>
          </w:tcPr>
          <w:p>
            <w:pPr>
              <w:spacing w:after="40" w:before="40" w:line="240" w:lineRule="auto"/>
              <w:jc w:val="left"/>
            </w:pPr>
            <w:r/>
            <w:r>
              <w:rPr>
                <w:rFonts w:ascii="Times New Roman" w:hAnsi="Times New Roman" w:cs="Times New Roman" w:eastAsia="Times New Roman"/>
                <w:b w:val="0"/>
                <w:i w:val="0"/>
                <w:sz w:val="18"/>
                <w:u w:val="none"/>
              </w:rPr>
              <w:t>Capital replacement reserve</w:t>
            </w:r>
          </w:p>
        </w:tc>
        <w:tc>
          <w:tcPr>
            <w:tcW w:type="dxa" w:w="2753"/>
          </w:tcPr>
          <w:p>
            <w:pPr>
              <w:spacing w:after="40" w:before="40" w:line="240" w:lineRule="auto"/>
              <w:jc w:val="left"/>
            </w:pPr>
            <w:r/>
            <w:r>
              <w:rPr>
                <w:rFonts w:ascii="Times New Roman" w:hAnsi="Times New Roman" w:cs="Times New Roman" w:eastAsia="Times New Roman"/>
                <w:b w:val="0"/>
                <w:i w:val="0"/>
                <w:sz w:val="18"/>
                <w:u w:val="none"/>
              </w:rPr>
              <w:t>$0.25 × 31,000 SF = $7,750 ÷ 12</w:t>
            </w:r>
          </w:p>
        </w:tc>
        <w:tc>
          <w:tcPr>
            <w:tcW w:type="dxa" w:w="2478"/>
          </w:tcPr>
          <w:p>
            <w:pPr>
              <w:spacing w:after="40" w:before="40" w:line="240" w:lineRule="auto"/>
              <w:jc w:val="left"/>
            </w:pPr>
            <w:r/>
            <w:r>
              <w:rPr>
                <w:rFonts w:ascii="Times New Roman" w:hAnsi="Times New Roman" w:cs="Times New Roman" w:eastAsia="Times New Roman"/>
                <w:b w:val="0"/>
                <w:i w:val="0"/>
                <w:sz w:val="18"/>
                <w:u w:val="none"/>
              </w:rPr>
              <w:t>$645.83 — verified</w:t>
            </w:r>
          </w:p>
        </w:tc>
      </w:tr>
      <w:tr>
        <w:tc>
          <w:tcPr>
            <w:tcW w:type="dxa" w:w="4129"/>
          </w:tcPr>
          <w:p>
            <w:pPr>
              <w:spacing w:after="40" w:before="40" w:line="240" w:lineRule="auto"/>
              <w:jc w:val="left"/>
            </w:pPr>
            <w:r/>
            <w:r>
              <w:rPr>
                <w:rFonts w:ascii="Times New Roman" w:hAnsi="Times New Roman" w:cs="Times New Roman" w:eastAsia="Times New Roman"/>
                <w:b w:val="0"/>
                <w:i w:val="0"/>
                <w:sz w:val="18"/>
                <w:u w:val="none"/>
              </w:rPr>
              <w:t>Renovation Holdback as percentage of budget</w:t>
            </w:r>
          </w:p>
        </w:tc>
        <w:tc>
          <w:tcPr>
            <w:tcW w:type="dxa" w:w="2753"/>
          </w:tcPr>
          <w:p>
            <w:pPr>
              <w:spacing w:after="40" w:before="40" w:line="240" w:lineRule="auto"/>
              <w:jc w:val="left"/>
            </w:pPr>
            <w:r/>
            <w:r>
              <w:rPr>
                <w:rFonts w:ascii="Times New Roman" w:hAnsi="Times New Roman" w:cs="Times New Roman" w:eastAsia="Times New Roman"/>
                <w:b w:val="0"/>
                <w:i w:val="0"/>
                <w:sz w:val="18"/>
                <w:u w:val="none"/>
              </w:rPr>
              <w:t>$2,250,000 ÷ $3,150,000</w:t>
            </w:r>
          </w:p>
        </w:tc>
        <w:tc>
          <w:tcPr>
            <w:tcW w:type="dxa" w:w="2478"/>
          </w:tcPr>
          <w:p>
            <w:pPr>
              <w:spacing w:after="40" w:before="40" w:line="240" w:lineRule="auto"/>
              <w:jc w:val="left"/>
            </w:pPr>
            <w:r/>
            <w:r>
              <w:rPr>
                <w:rFonts w:ascii="Times New Roman" w:hAnsi="Times New Roman" w:cs="Times New Roman" w:eastAsia="Times New Roman"/>
                <w:b w:val="0"/>
                <w:i w:val="0"/>
                <w:sz w:val="18"/>
                <w:u w:val="none"/>
              </w:rPr>
              <w:t>71.43% — verified</w:t>
            </w:r>
          </w:p>
        </w:tc>
      </w:tr>
      <w:tr>
        <w:tc>
          <w:tcPr>
            <w:tcW w:type="dxa" w:w="4129"/>
          </w:tcPr>
          <w:p>
            <w:pPr>
              <w:spacing w:after="40" w:before="40" w:line="240" w:lineRule="auto"/>
              <w:jc w:val="left"/>
            </w:pPr>
            <w:r/>
            <w:r>
              <w:rPr>
                <w:rFonts w:ascii="Times New Roman" w:hAnsi="Times New Roman" w:cs="Times New Roman" w:eastAsia="Times New Roman"/>
                <w:b w:val="0"/>
                <w:i w:val="0"/>
                <w:sz w:val="18"/>
                <w:u w:val="none"/>
              </w:rPr>
              <w:t>Borrower renovation equity as percentage</w:t>
            </w:r>
          </w:p>
        </w:tc>
        <w:tc>
          <w:tcPr>
            <w:tcW w:type="dxa" w:w="2753"/>
          </w:tcPr>
          <w:p>
            <w:pPr>
              <w:spacing w:after="40" w:before="40" w:line="240" w:lineRule="auto"/>
              <w:jc w:val="left"/>
            </w:pPr>
            <w:r/>
            <w:r>
              <w:rPr>
                <w:rFonts w:ascii="Times New Roman" w:hAnsi="Times New Roman" w:cs="Times New Roman" w:eastAsia="Times New Roman"/>
                <w:b w:val="0"/>
                <w:i w:val="0"/>
                <w:sz w:val="18"/>
                <w:u w:val="none"/>
              </w:rPr>
              <w:t>$900,000 ÷ $3,150,000</w:t>
            </w:r>
          </w:p>
        </w:tc>
        <w:tc>
          <w:tcPr>
            <w:tcW w:type="dxa" w:w="2478"/>
          </w:tcPr>
          <w:p>
            <w:pPr>
              <w:spacing w:after="40" w:before="40" w:line="240" w:lineRule="auto"/>
              <w:jc w:val="left"/>
            </w:pPr>
            <w:r/>
            <w:r>
              <w:rPr>
                <w:rFonts w:ascii="Times New Roman" w:hAnsi="Times New Roman" w:cs="Times New Roman" w:eastAsia="Times New Roman"/>
                <w:b w:val="0"/>
                <w:i w:val="0"/>
                <w:sz w:val="18"/>
                <w:u w:val="none"/>
              </w:rPr>
              <w:t>28.57% — verified</w:t>
            </w:r>
          </w:p>
        </w:tc>
      </w:tr>
      <w:tr>
        <w:tc>
          <w:tcPr>
            <w:tcW w:type="dxa" w:w="4129"/>
          </w:tcPr>
          <w:p>
            <w:pPr>
              <w:spacing w:after="40" w:before="40" w:line="240" w:lineRule="auto"/>
              <w:jc w:val="left"/>
            </w:pPr>
            <w:r/>
            <w:r>
              <w:rPr>
                <w:rFonts w:ascii="Times New Roman" w:hAnsi="Times New Roman" w:cs="Times New Roman" w:eastAsia="Times New Roman"/>
                <w:b w:val="0"/>
                <w:i w:val="0"/>
                <w:sz w:val="18"/>
                <w:u w:val="none"/>
              </w:rPr>
              <w:t>Construction Contract excess over Holdback</w:t>
            </w:r>
          </w:p>
        </w:tc>
        <w:tc>
          <w:tcPr>
            <w:tcW w:type="dxa" w:w="2753"/>
          </w:tcPr>
          <w:p>
            <w:pPr>
              <w:spacing w:after="40" w:before="40" w:line="240" w:lineRule="auto"/>
              <w:jc w:val="left"/>
            </w:pPr>
            <w:r/>
            <w:r>
              <w:rPr>
                <w:rFonts w:ascii="Times New Roman" w:hAnsi="Times New Roman" w:cs="Times New Roman" w:eastAsia="Times New Roman"/>
                <w:b w:val="0"/>
                <w:i w:val="0"/>
                <w:sz w:val="18"/>
                <w:u w:val="none"/>
              </w:rPr>
              <w:t>$2,850,000 − $2,250,000</w:t>
            </w:r>
          </w:p>
        </w:tc>
        <w:tc>
          <w:tcPr>
            <w:tcW w:type="dxa" w:w="2478"/>
          </w:tcPr>
          <w:p>
            <w:pPr>
              <w:spacing w:after="40" w:before="40" w:line="240" w:lineRule="auto"/>
              <w:jc w:val="left"/>
            </w:pPr>
            <w:r/>
            <w:r>
              <w:rPr>
                <w:rFonts w:ascii="Times New Roman" w:hAnsi="Times New Roman" w:cs="Times New Roman" w:eastAsia="Times New Roman"/>
                <w:b w:val="0"/>
                <w:i w:val="0"/>
                <w:sz w:val="18"/>
                <w:u w:val="none"/>
              </w:rPr>
              <w:t>$600,000 — verified; Borrower must fund</w:t>
            </w:r>
          </w:p>
        </w:tc>
      </w:tr>
    </w:tbl>
    <w:p>
      <w:pPr>
        <w:keepNext w:val="0"/>
        <w:spacing w:before="0" w:after="40" w:line="240" w:lineRule="auto"/>
        <w:ind w:left="0"/>
        <w:jc w:val="both"/>
      </w:pPr>
    </w:p>
    <w:p>
      <w:pPr>
        <w:keepNext/>
        <w:spacing w:before="200" w:after="120" w:line="240" w:lineRule="auto"/>
        <w:ind w:left="0"/>
        <w:jc w:val="left"/>
      </w:pPr>
      <w:r>
        <w:rPr>
          <w:rFonts w:ascii="Times New Roman" w:hAnsi="Times New Roman" w:cs="Times New Roman" w:eastAsia="Times New Roman"/>
          <w:b/>
          <w:i w:val="0"/>
          <w:sz w:val="24"/>
          <w:u w:val="none"/>
        </w:rPr>
        <w:t>4.2 Occupancy and In-Place Rent.</w:t>
      </w:r>
      <w:r>
        <w:rPr>
          <w:rFonts w:ascii="Times New Roman" w:hAnsi="Times New Roman" w:cs="Times New Roman" w:eastAsia="Times New Roman"/>
          <w:b w:val="0"/>
          <w:i w:val="0"/>
          <w:sz w:val="24"/>
          <w:u w:val="none"/>
        </w:rPr>
        <w:t xml:space="preserve">   The occupancy and rent figures stated in the Term Sheet and the Appraisal do not reconcile to the Rent Roll or to the Leases. Recomputation is as follows.</w:t>
      </w:r>
    </w:p>
    <w:tbl>
      <w:tblPr>
        <w:tblStyle w:val="TableGrid"/>
        <w:tblW w:type="auto" w:w="0"/>
        <w:jc w:val="center"/>
        <w:tblLayout w:type="fixed"/>
        <w:tblLook w:firstColumn="1" w:firstRow="1" w:lastColumn="0" w:lastRow="0" w:noHBand="0" w:noVBand="1" w:val="04A0"/>
        <w:tblLayout w:type="fixed"/>
        <w:tblW w:w="9360" w:type="dxa"/>
        <w:tblCellMar>
          <w:left w:w="72" w:type="dxa"/>
          <w:right w:w="72" w:type="dxa"/>
          <w:top w:w="36" w:type="dxa"/>
          <w:bottom w:w="36" w:type="dxa"/>
        </w:tblCellMar>
      </w:tblPr>
      <w:tblGrid>
        <w:gridCol w:w="3441"/>
        <w:gridCol w:w="3303"/>
        <w:gridCol w:w="2615"/>
      </w:tblGrid>
      <w:tr>
        <w:tc>
          <w:tcPr>
            <w:tcW w:type="dxa" w:w="3441"/>
            <w:shd w:val="clear" w:color="auto" w:fill="D9D9D9"/>
          </w:tcPr>
          <w:p>
            <w:pPr>
              <w:spacing w:after="40" w:before="40" w:line="240" w:lineRule="auto"/>
              <w:jc w:val="left"/>
            </w:pPr>
            <w:r/>
            <w:r>
              <w:rPr>
                <w:rFonts w:ascii="Times New Roman" w:hAnsi="Times New Roman" w:cs="Times New Roman" w:eastAsia="Times New Roman"/>
                <w:b/>
                <w:i w:val="0"/>
                <w:sz w:val="18"/>
                <w:u w:val="none"/>
              </w:rPr>
              <w:t>Item</w:t>
            </w:r>
          </w:p>
        </w:tc>
        <w:tc>
          <w:tcPr>
            <w:tcW w:type="dxa" w:w="3304"/>
            <w:shd w:val="clear" w:color="auto" w:fill="D9D9D9"/>
          </w:tcPr>
          <w:p>
            <w:pPr>
              <w:spacing w:after="40" w:before="40" w:line="240" w:lineRule="auto"/>
              <w:jc w:val="left"/>
            </w:pPr>
            <w:r/>
            <w:r>
              <w:rPr>
                <w:rFonts w:ascii="Times New Roman" w:hAnsi="Times New Roman" w:cs="Times New Roman" w:eastAsia="Times New Roman"/>
                <w:b/>
                <w:i w:val="0"/>
                <w:sz w:val="18"/>
                <w:u w:val="none"/>
              </w:rPr>
              <w:t>Recomputation</w:t>
            </w:r>
          </w:p>
        </w:tc>
        <w:tc>
          <w:tcPr>
            <w:tcW w:type="dxa" w:w="2615"/>
            <w:shd w:val="clear" w:color="auto" w:fill="D9D9D9"/>
          </w:tcPr>
          <w:p>
            <w:pPr>
              <w:spacing w:after="40" w:before="40" w:line="240" w:lineRule="auto"/>
              <w:jc w:val="left"/>
            </w:pPr>
            <w:r/>
            <w:r>
              <w:rPr>
                <w:rFonts w:ascii="Times New Roman" w:hAnsi="Times New Roman" w:cs="Times New Roman" w:eastAsia="Times New Roman"/>
                <w:b/>
                <w:i w:val="0"/>
                <w:sz w:val="18"/>
                <w:u w:val="none"/>
              </w:rPr>
              <w:t>Result</w:t>
            </w:r>
          </w:p>
        </w:tc>
      </w:tr>
      <w:tr>
        <w:tc>
          <w:tcPr>
            <w:tcW w:type="dxa" w:w="3441"/>
          </w:tcPr>
          <w:p>
            <w:pPr>
              <w:spacing w:after="40" w:before="40" w:line="240" w:lineRule="auto"/>
              <w:jc w:val="left"/>
            </w:pPr>
            <w:r/>
            <w:r>
              <w:rPr>
                <w:rFonts w:ascii="Times New Roman" w:hAnsi="Times New Roman" w:cs="Times New Roman" w:eastAsia="Times New Roman"/>
                <w:b w:val="0"/>
                <w:i w:val="0"/>
                <w:sz w:val="18"/>
                <w:u w:val="none"/>
              </w:rPr>
              <w:t>Occupied area</w:t>
            </w:r>
          </w:p>
        </w:tc>
        <w:tc>
          <w:tcPr>
            <w:tcW w:type="dxa" w:w="3304"/>
          </w:tcPr>
          <w:p>
            <w:pPr>
              <w:spacing w:after="40" w:before="40" w:line="240" w:lineRule="auto"/>
              <w:jc w:val="left"/>
            </w:pPr>
            <w:r/>
            <w:r>
              <w:rPr>
                <w:rFonts w:ascii="Times New Roman" w:hAnsi="Times New Roman" w:cs="Times New Roman" w:eastAsia="Times New Roman"/>
                <w:b w:val="0"/>
                <w:i w:val="0"/>
                <w:sz w:val="18"/>
                <w:u w:val="none"/>
              </w:rPr>
              <w:t>3,800 (Bay 1) + 3,800 (Bay 3) + 9,800 (Suite A)</w:t>
            </w:r>
          </w:p>
        </w:tc>
        <w:tc>
          <w:tcPr>
            <w:tcW w:type="dxa" w:w="2615"/>
          </w:tcPr>
          <w:p>
            <w:pPr>
              <w:spacing w:after="40" w:before="40" w:line="240" w:lineRule="auto"/>
              <w:jc w:val="left"/>
            </w:pPr>
            <w:r/>
            <w:r>
              <w:rPr>
                <w:rFonts w:ascii="Times New Roman" w:hAnsi="Times New Roman" w:cs="Times New Roman" w:eastAsia="Times New Roman"/>
                <w:b w:val="0"/>
                <w:i w:val="0"/>
                <w:sz w:val="18"/>
                <w:u w:val="none"/>
              </w:rPr>
              <w:t>17,400 SF</w:t>
            </w:r>
          </w:p>
        </w:tc>
      </w:tr>
      <w:tr>
        <w:tc>
          <w:tcPr>
            <w:tcW w:type="dxa" w:w="3441"/>
          </w:tcPr>
          <w:p>
            <w:pPr>
              <w:spacing w:after="40" w:before="40" w:line="240" w:lineRule="auto"/>
              <w:jc w:val="left"/>
            </w:pPr>
            <w:r/>
            <w:r>
              <w:rPr>
                <w:rFonts w:ascii="Times New Roman" w:hAnsi="Times New Roman" w:cs="Times New Roman" w:eastAsia="Times New Roman"/>
                <w:b w:val="0"/>
                <w:i w:val="0"/>
                <w:sz w:val="18"/>
                <w:u w:val="none"/>
              </w:rPr>
              <w:t>Vacant area</w:t>
            </w:r>
          </w:p>
        </w:tc>
        <w:tc>
          <w:tcPr>
            <w:tcW w:type="dxa" w:w="3304"/>
          </w:tcPr>
          <w:p>
            <w:pPr>
              <w:spacing w:after="40" w:before="40" w:line="240" w:lineRule="auto"/>
              <w:jc w:val="left"/>
            </w:pPr>
            <w:r/>
            <w:r>
              <w:rPr>
                <w:rFonts w:ascii="Times New Roman" w:hAnsi="Times New Roman" w:cs="Times New Roman" w:eastAsia="Times New Roman"/>
                <w:b w:val="0"/>
                <w:i w:val="0"/>
                <w:sz w:val="18"/>
                <w:u w:val="none"/>
              </w:rPr>
              <w:t>3,800 (Bay 2) + 9,800 (Suite B)</w:t>
            </w:r>
          </w:p>
        </w:tc>
        <w:tc>
          <w:tcPr>
            <w:tcW w:type="dxa" w:w="2615"/>
          </w:tcPr>
          <w:p>
            <w:pPr>
              <w:spacing w:after="40" w:before="40" w:line="240" w:lineRule="auto"/>
              <w:jc w:val="left"/>
            </w:pPr>
            <w:r/>
            <w:r>
              <w:rPr>
                <w:rFonts w:ascii="Times New Roman" w:hAnsi="Times New Roman" w:cs="Times New Roman" w:eastAsia="Times New Roman"/>
                <w:b w:val="0"/>
                <w:i w:val="0"/>
                <w:sz w:val="18"/>
                <w:u w:val="none"/>
              </w:rPr>
              <w:t>13,600 SF</w:t>
            </w:r>
          </w:p>
        </w:tc>
      </w:tr>
      <w:tr>
        <w:tc>
          <w:tcPr>
            <w:tcW w:type="dxa" w:w="3441"/>
          </w:tcPr>
          <w:p>
            <w:pPr>
              <w:spacing w:after="40" w:before="40" w:line="240" w:lineRule="auto"/>
              <w:jc w:val="left"/>
            </w:pPr>
            <w:r/>
            <w:r>
              <w:rPr>
                <w:rFonts w:ascii="Times New Roman" w:hAnsi="Times New Roman" w:cs="Times New Roman" w:eastAsia="Times New Roman"/>
                <w:b w:val="0"/>
                <w:i w:val="0"/>
                <w:sz w:val="18"/>
                <w:u w:val="none"/>
              </w:rPr>
              <w:t>Occupancy</w:t>
            </w:r>
          </w:p>
        </w:tc>
        <w:tc>
          <w:tcPr>
            <w:tcW w:type="dxa" w:w="3304"/>
          </w:tcPr>
          <w:p>
            <w:pPr>
              <w:spacing w:after="40" w:before="40" w:line="240" w:lineRule="auto"/>
              <w:jc w:val="left"/>
            </w:pPr>
            <w:r/>
            <w:r>
              <w:rPr>
                <w:rFonts w:ascii="Times New Roman" w:hAnsi="Times New Roman" w:cs="Times New Roman" w:eastAsia="Times New Roman"/>
                <w:b w:val="0"/>
                <w:i w:val="0"/>
                <w:sz w:val="18"/>
                <w:u w:val="none"/>
              </w:rPr>
              <w:t>17,400 ÷ 31,000</w:t>
            </w:r>
          </w:p>
        </w:tc>
        <w:tc>
          <w:tcPr>
            <w:tcW w:type="dxa" w:w="2615"/>
          </w:tcPr>
          <w:p>
            <w:pPr>
              <w:spacing w:after="40" w:before="40" w:line="240" w:lineRule="auto"/>
              <w:jc w:val="left"/>
            </w:pPr>
            <w:r/>
            <w:r>
              <w:rPr>
                <w:rFonts w:ascii="Times New Roman" w:hAnsi="Times New Roman" w:cs="Times New Roman" w:eastAsia="Times New Roman"/>
                <w:b/>
                <w:i w:val="0"/>
                <w:sz w:val="18"/>
                <w:u w:val="none"/>
              </w:rPr>
              <w:t>56.13%</w:t>
            </w:r>
            <w:r>
              <w:rPr>
                <w:rFonts w:ascii="Times New Roman" w:hAnsi="Times New Roman" w:cs="Times New Roman" w:eastAsia="Times New Roman"/>
                <w:b w:val="0"/>
                <w:i w:val="0"/>
                <w:sz w:val="18"/>
                <w:u w:val="none"/>
              </w:rPr>
              <w:t xml:space="preserve"> (Rent Roll states 56.13%; Term Sheet and Appraisal state 68%)</w:t>
            </w:r>
          </w:p>
        </w:tc>
      </w:tr>
      <w:tr>
        <w:tc>
          <w:tcPr>
            <w:tcW w:type="dxa" w:w="3441"/>
          </w:tcPr>
          <w:p>
            <w:pPr>
              <w:spacing w:after="40" w:before="40" w:line="240" w:lineRule="auto"/>
              <w:jc w:val="left"/>
            </w:pPr>
            <w:r/>
            <w:r>
              <w:rPr>
                <w:rFonts w:ascii="Times New Roman" w:hAnsi="Times New Roman" w:cs="Times New Roman" w:eastAsia="Times New Roman"/>
                <w:b w:val="0"/>
                <w:i w:val="0"/>
                <w:sz w:val="18"/>
                <w:u w:val="none"/>
              </w:rPr>
              <w:t>Vacancy</w:t>
            </w:r>
          </w:p>
        </w:tc>
        <w:tc>
          <w:tcPr>
            <w:tcW w:type="dxa" w:w="3304"/>
          </w:tcPr>
          <w:p>
            <w:pPr>
              <w:spacing w:after="40" w:before="40" w:line="240" w:lineRule="auto"/>
              <w:jc w:val="left"/>
            </w:pPr>
            <w:r/>
            <w:r>
              <w:rPr>
                <w:rFonts w:ascii="Times New Roman" w:hAnsi="Times New Roman" w:cs="Times New Roman" w:eastAsia="Times New Roman"/>
                <w:b w:val="0"/>
                <w:i w:val="0"/>
                <w:sz w:val="18"/>
                <w:u w:val="none"/>
              </w:rPr>
              <w:t>13,600 ÷ 31,000</w:t>
            </w:r>
          </w:p>
        </w:tc>
        <w:tc>
          <w:tcPr>
            <w:tcW w:type="dxa" w:w="2615"/>
          </w:tcPr>
          <w:p>
            <w:pPr>
              <w:spacing w:after="40" w:before="40" w:line="240" w:lineRule="auto"/>
              <w:jc w:val="left"/>
            </w:pPr>
            <w:r/>
            <w:r>
              <w:rPr>
                <w:rFonts w:ascii="Times New Roman" w:hAnsi="Times New Roman" w:cs="Times New Roman" w:eastAsia="Times New Roman"/>
                <w:b w:val="0"/>
                <w:i w:val="0"/>
                <w:sz w:val="18"/>
                <w:u w:val="none"/>
              </w:rPr>
              <w:t>43.87% (Term Sheet § 2.3 states 43.9% in the same paragraph as 68% occupancy — internally contradictory)</w:t>
            </w:r>
          </w:p>
        </w:tc>
      </w:tr>
      <w:tr>
        <w:tc>
          <w:tcPr>
            <w:tcW w:type="dxa" w:w="3441"/>
          </w:tcPr>
          <w:p>
            <w:pPr>
              <w:spacing w:after="40" w:before="40" w:line="240" w:lineRule="auto"/>
              <w:jc w:val="left"/>
            </w:pPr>
            <w:r/>
            <w:r>
              <w:rPr>
                <w:rFonts w:ascii="Times New Roman" w:hAnsi="Times New Roman" w:cs="Times New Roman" w:eastAsia="Times New Roman"/>
                <w:b w:val="0"/>
                <w:i w:val="0"/>
                <w:sz w:val="18"/>
                <w:u w:val="none"/>
              </w:rPr>
              <w:t>“In-place” base rent in Rent Roll</w:t>
            </w:r>
          </w:p>
        </w:tc>
        <w:tc>
          <w:tcPr>
            <w:tcW w:type="dxa" w:w="3304"/>
          </w:tcPr>
          <w:p>
            <w:pPr>
              <w:spacing w:after="40" w:before="40" w:line="240" w:lineRule="auto"/>
              <w:jc w:val="left"/>
            </w:pPr>
            <w:r/>
            <w:r>
              <w:rPr>
                <w:rFonts w:ascii="Times New Roman" w:hAnsi="Times New Roman" w:cs="Times New Roman" w:eastAsia="Times New Roman"/>
                <w:b w:val="0"/>
                <w:i w:val="0"/>
                <w:sz w:val="18"/>
                <w:u w:val="none"/>
              </w:rPr>
              <w:t>$108,300 + $91,200 + $215,600</w:t>
            </w:r>
          </w:p>
        </w:tc>
        <w:tc>
          <w:tcPr>
            <w:tcW w:type="dxa" w:w="2615"/>
          </w:tcPr>
          <w:p>
            <w:pPr>
              <w:spacing w:after="40" w:before="40" w:line="240" w:lineRule="auto"/>
              <w:jc w:val="left"/>
            </w:pPr>
            <w:r/>
            <w:r>
              <w:rPr>
                <w:rFonts w:ascii="Times New Roman" w:hAnsi="Times New Roman" w:cs="Times New Roman" w:eastAsia="Times New Roman"/>
                <w:b w:val="0"/>
                <w:i w:val="0"/>
                <w:sz w:val="18"/>
                <w:u w:val="none"/>
              </w:rPr>
              <w:t>$415,100 — arithmetic verified, but the inputs are stale (see next row)</w:t>
            </w:r>
          </w:p>
        </w:tc>
      </w:tr>
      <w:tr>
        <w:tc>
          <w:tcPr>
            <w:tcW w:type="dxa" w:w="3441"/>
          </w:tcPr>
          <w:p>
            <w:pPr>
              <w:spacing w:after="40" w:before="40" w:line="240" w:lineRule="auto"/>
              <w:jc w:val="left"/>
            </w:pPr>
            <w:r/>
            <w:r>
              <w:rPr>
                <w:rFonts w:ascii="Times New Roman" w:hAnsi="Times New Roman" w:cs="Times New Roman" w:eastAsia="Times New Roman"/>
                <w:b w:val="0"/>
                <w:i w:val="0"/>
                <w:sz w:val="18"/>
                <w:u w:val="none"/>
              </w:rPr>
              <w:t>Contractual rent at closing</w:t>
            </w:r>
          </w:p>
        </w:tc>
        <w:tc>
          <w:tcPr>
            <w:tcW w:type="dxa" w:w="3304"/>
          </w:tcPr>
          <w:p>
            <w:pPr>
              <w:spacing w:after="40" w:before="40" w:line="240" w:lineRule="auto"/>
              <w:jc w:val="left"/>
            </w:pPr>
            <w:r/>
            <w:r>
              <w:rPr>
                <w:rFonts w:ascii="Times New Roman" w:hAnsi="Times New Roman" w:cs="Times New Roman" w:eastAsia="Times New Roman"/>
                <w:b w:val="0"/>
                <w:i w:val="0"/>
                <w:sz w:val="18"/>
                <w:u w:val="none"/>
              </w:rPr>
              <w:t>Lowcountry: 3,800 × ($28.50 × 1.03) = $111,549; Harmon &amp; Wren: 3,800 × ($24.00 × 1.025²) = $95,817; Tidemark: $215,600</w:t>
            </w:r>
          </w:p>
        </w:tc>
        <w:tc>
          <w:tcPr>
            <w:tcW w:type="dxa" w:w="2615"/>
          </w:tcPr>
          <w:p>
            <w:pPr>
              <w:spacing w:after="40" w:before="40" w:line="240" w:lineRule="auto"/>
              <w:jc w:val="left"/>
            </w:pPr>
            <w:r/>
            <w:r>
              <w:rPr>
                <w:rFonts w:ascii="Times New Roman" w:hAnsi="Times New Roman" w:cs="Times New Roman" w:eastAsia="Times New Roman"/>
                <w:b/>
                <w:i w:val="0"/>
                <w:sz w:val="18"/>
                <w:u w:val="none"/>
              </w:rPr>
              <w:t>$422,966</w:t>
            </w:r>
            <w:r>
              <w:rPr>
                <w:rFonts w:ascii="Times New Roman" w:hAnsi="Times New Roman" w:cs="Times New Roman" w:eastAsia="Times New Roman"/>
                <w:b w:val="0"/>
                <w:i w:val="0"/>
                <w:sz w:val="18"/>
                <w:u w:val="none"/>
              </w:rPr>
              <w:t xml:space="preserve"> — $7,866 (1.9%) above the stated $415,100</w:t>
            </w:r>
          </w:p>
        </w:tc>
      </w:tr>
      <w:tr>
        <w:tc>
          <w:tcPr>
            <w:tcW w:type="dxa" w:w="3441"/>
          </w:tcPr>
          <w:p>
            <w:pPr>
              <w:spacing w:after="40" w:before="40" w:line="240" w:lineRule="auto"/>
              <w:jc w:val="left"/>
            </w:pPr>
            <w:r/>
            <w:r>
              <w:rPr>
                <w:rFonts w:ascii="Times New Roman" w:hAnsi="Times New Roman" w:cs="Times New Roman" w:eastAsia="Times New Roman"/>
                <w:b w:val="0"/>
                <w:i w:val="0"/>
                <w:sz w:val="18"/>
                <w:u w:val="none"/>
              </w:rPr>
              <w:t>Contractual rent from July 1, 2025</w:t>
            </w:r>
          </w:p>
        </w:tc>
        <w:tc>
          <w:tcPr>
            <w:tcW w:type="dxa" w:w="3304"/>
          </w:tcPr>
          <w:p>
            <w:pPr>
              <w:spacing w:after="40" w:before="40" w:line="240" w:lineRule="auto"/>
              <w:jc w:val="left"/>
            </w:pPr>
            <w:r/>
            <w:r>
              <w:rPr>
                <w:rFonts w:ascii="Times New Roman" w:hAnsi="Times New Roman" w:cs="Times New Roman" w:eastAsia="Times New Roman"/>
                <w:b w:val="0"/>
                <w:i w:val="0"/>
                <w:sz w:val="18"/>
                <w:u w:val="none"/>
              </w:rPr>
              <w:t>Harmon &amp; Wren escalates to $25.845/SF = $98,212</w:t>
            </w:r>
          </w:p>
        </w:tc>
        <w:tc>
          <w:tcPr>
            <w:tcW w:type="dxa" w:w="2615"/>
          </w:tcPr>
          <w:p>
            <w:pPr>
              <w:spacing w:after="40" w:before="40" w:line="240" w:lineRule="auto"/>
              <w:jc w:val="left"/>
            </w:pPr>
            <w:r/>
            <w:r>
              <w:rPr>
                <w:rFonts w:ascii="Times New Roman" w:hAnsi="Times New Roman" w:cs="Times New Roman" w:eastAsia="Times New Roman"/>
                <w:b w:val="0"/>
                <w:i w:val="0"/>
                <w:sz w:val="18"/>
                <w:u w:val="none"/>
              </w:rPr>
              <w:t>$425,361</w:t>
            </w:r>
          </w:p>
        </w:tc>
      </w:tr>
      <w:tr>
        <w:tc>
          <w:tcPr>
            <w:tcW w:type="dxa" w:w="3441"/>
          </w:tcPr>
          <w:p>
            <w:pPr>
              <w:spacing w:after="40" w:before="40" w:line="240" w:lineRule="auto"/>
              <w:jc w:val="left"/>
            </w:pPr>
            <w:r/>
            <w:r>
              <w:rPr>
                <w:rFonts w:ascii="Times New Roman" w:hAnsi="Times New Roman" w:cs="Times New Roman" w:eastAsia="Times New Roman"/>
                <w:b w:val="0"/>
                <w:i w:val="0"/>
                <w:sz w:val="18"/>
                <w:u w:val="none"/>
              </w:rPr>
              <w:t>Weighted average rent/SF</w:t>
            </w:r>
          </w:p>
        </w:tc>
        <w:tc>
          <w:tcPr>
            <w:tcW w:type="dxa" w:w="3304"/>
          </w:tcPr>
          <w:p>
            <w:pPr>
              <w:spacing w:after="40" w:before="40" w:line="240" w:lineRule="auto"/>
              <w:jc w:val="left"/>
            </w:pPr>
            <w:r/>
            <w:r>
              <w:rPr>
                <w:rFonts w:ascii="Times New Roman" w:hAnsi="Times New Roman" w:cs="Times New Roman" w:eastAsia="Times New Roman"/>
                <w:b w:val="0"/>
                <w:i w:val="0"/>
                <w:sz w:val="18"/>
                <w:u w:val="none"/>
              </w:rPr>
              <w:t>$415,100 ÷ 17,400 = $23.86; $415,100 ÷ 21,400 = $19.40</w:t>
            </w:r>
          </w:p>
        </w:tc>
        <w:tc>
          <w:tcPr>
            <w:tcW w:type="dxa" w:w="2615"/>
          </w:tcPr>
          <w:p>
            <w:pPr>
              <w:spacing w:after="40" w:before="40" w:line="240" w:lineRule="auto"/>
              <w:jc w:val="left"/>
            </w:pPr>
            <w:r/>
            <w:r>
              <w:rPr>
                <w:rFonts w:ascii="Times New Roman" w:hAnsi="Times New Roman" w:cs="Times New Roman" w:eastAsia="Times New Roman"/>
                <w:b w:val="0"/>
                <w:i w:val="0"/>
                <w:sz w:val="18"/>
                <w:u w:val="none"/>
              </w:rPr>
              <w:t>Rent Roll’s $23.86 is correct; the Appraisal’s $19.40 is computed on the erroneous 21,400 SF occupied figure</w:t>
            </w:r>
          </w:p>
        </w:tc>
      </w:tr>
      <w:tr>
        <w:tc>
          <w:tcPr>
            <w:tcW w:type="dxa" w:w="3441"/>
          </w:tcPr>
          <w:p>
            <w:pPr>
              <w:spacing w:after="40" w:before="40" w:line="240" w:lineRule="auto"/>
              <w:jc w:val="left"/>
            </w:pPr>
            <w:r/>
            <w:r>
              <w:rPr>
                <w:rFonts w:ascii="Times New Roman" w:hAnsi="Times New Roman" w:cs="Times New Roman" w:eastAsia="Times New Roman"/>
                <w:b w:val="0"/>
                <w:i w:val="0"/>
                <w:sz w:val="18"/>
                <w:u w:val="none"/>
              </w:rPr>
              <w:t>Security deposits</w:t>
            </w:r>
          </w:p>
        </w:tc>
        <w:tc>
          <w:tcPr>
            <w:tcW w:type="dxa" w:w="3304"/>
          </w:tcPr>
          <w:p>
            <w:pPr>
              <w:spacing w:after="40" w:before="40" w:line="240" w:lineRule="auto"/>
              <w:jc w:val="left"/>
            </w:pPr>
            <w:r/>
            <w:r>
              <w:rPr>
                <w:rFonts w:ascii="Times New Roman" w:hAnsi="Times New Roman" w:cs="Times New Roman" w:eastAsia="Times New Roman"/>
                <w:b w:val="0"/>
                <w:i w:val="0"/>
                <w:sz w:val="18"/>
                <w:u w:val="none"/>
              </w:rPr>
              <w:t>$18,050 + $15,200 + $35,933</w:t>
            </w:r>
          </w:p>
        </w:tc>
        <w:tc>
          <w:tcPr>
            <w:tcW w:type="dxa" w:w="2615"/>
          </w:tcPr>
          <w:p>
            <w:pPr>
              <w:spacing w:after="40" w:before="40" w:line="240" w:lineRule="auto"/>
              <w:jc w:val="left"/>
            </w:pPr>
            <w:r/>
            <w:r>
              <w:rPr>
                <w:rFonts w:ascii="Times New Roman" w:hAnsi="Times New Roman" w:cs="Times New Roman" w:eastAsia="Times New Roman"/>
                <w:b w:val="0"/>
                <w:i w:val="0"/>
                <w:sz w:val="18"/>
                <w:u w:val="none"/>
              </w:rPr>
              <w:t>$69,183 — verified</w:t>
            </w:r>
          </w:p>
        </w:tc>
      </w:tr>
      <w:tr>
        <w:tc>
          <w:tcPr>
            <w:tcW w:type="dxa" w:w="3441"/>
          </w:tcPr>
          <w:p>
            <w:pPr>
              <w:spacing w:after="40" w:before="40" w:line="240" w:lineRule="auto"/>
              <w:jc w:val="left"/>
            </w:pPr>
            <w:r/>
            <w:r>
              <w:rPr>
                <w:rFonts w:ascii="Times New Roman" w:hAnsi="Times New Roman" w:cs="Times New Roman" w:eastAsia="Times New Roman"/>
                <w:b w:val="0"/>
                <w:i w:val="0"/>
                <w:sz w:val="18"/>
                <w:u w:val="none"/>
              </w:rPr>
              <w:t>Escalation check, Lowcountry</w:t>
            </w:r>
          </w:p>
        </w:tc>
        <w:tc>
          <w:tcPr>
            <w:tcW w:type="dxa" w:w="3304"/>
          </w:tcPr>
          <w:p>
            <w:pPr>
              <w:spacing w:after="40" w:before="40" w:line="240" w:lineRule="auto"/>
              <w:jc w:val="left"/>
            </w:pPr>
            <w:r/>
            <w:r>
              <w:rPr>
                <w:rFonts w:ascii="Times New Roman" w:hAnsi="Times New Roman" w:cs="Times New Roman" w:eastAsia="Times New Roman"/>
                <w:b w:val="0"/>
                <w:i w:val="0"/>
                <w:sz w:val="18"/>
                <w:u w:val="none"/>
              </w:rPr>
              <w:t>$28.50 → Jan. 1, 2025 at 3% = $29.355/SF</w:t>
            </w:r>
          </w:p>
        </w:tc>
        <w:tc>
          <w:tcPr>
            <w:tcW w:type="dxa" w:w="2615"/>
          </w:tcPr>
          <w:p>
            <w:pPr>
              <w:spacing w:after="40" w:before="40" w:line="240" w:lineRule="auto"/>
              <w:jc w:val="left"/>
            </w:pPr>
            <w:r/>
            <w:r>
              <w:rPr>
                <w:rFonts w:ascii="Times New Roman" w:hAnsi="Times New Roman" w:cs="Times New Roman" w:eastAsia="Times New Roman"/>
                <w:b w:val="0"/>
                <w:i w:val="0"/>
                <w:sz w:val="18"/>
                <w:u w:val="none"/>
              </w:rPr>
              <w:t>Rent Roll’s schedule agrees; its “current” column does not</w:t>
            </w:r>
          </w:p>
        </w:tc>
      </w:tr>
      <w:tr>
        <w:tc>
          <w:tcPr>
            <w:tcW w:type="dxa" w:w="3441"/>
          </w:tcPr>
          <w:p>
            <w:pPr>
              <w:spacing w:after="40" w:before="40" w:line="240" w:lineRule="auto"/>
              <w:jc w:val="left"/>
            </w:pPr>
            <w:r/>
            <w:r>
              <w:rPr>
                <w:rFonts w:ascii="Times New Roman" w:hAnsi="Times New Roman" w:cs="Times New Roman" w:eastAsia="Times New Roman"/>
                <w:b w:val="0"/>
                <w:i w:val="0"/>
                <w:sz w:val="18"/>
                <w:u w:val="none"/>
              </w:rPr>
              <w:t>Escalation check, Harmon &amp; Wren</w:t>
            </w:r>
          </w:p>
        </w:tc>
        <w:tc>
          <w:tcPr>
            <w:tcW w:type="dxa" w:w="3304"/>
          </w:tcPr>
          <w:p>
            <w:pPr>
              <w:spacing w:after="40" w:before="40" w:line="240" w:lineRule="auto"/>
              <w:jc w:val="left"/>
            </w:pPr>
            <w:r/>
            <w:r>
              <w:rPr>
                <w:rFonts w:ascii="Times New Roman" w:hAnsi="Times New Roman" w:cs="Times New Roman" w:eastAsia="Times New Roman"/>
                <w:b w:val="0"/>
                <w:i w:val="0"/>
                <w:sz w:val="18"/>
                <w:u w:val="none"/>
              </w:rPr>
              <w:t>$24.00 → 7/1/2023 at 2.5% = $24.60; 7/1/2024 = $25.215/SF</w:t>
            </w:r>
          </w:p>
        </w:tc>
        <w:tc>
          <w:tcPr>
            <w:tcW w:type="dxa" w:w="2615"/>
          </w:tcPr>
          <w:p>
            <w:pPr>
              <w:spacing w:after="40" w:before="40" w:line="240" w:lineRule="auto"/>
              <w:jc w:val="left"/>
            </w:pPr>
            <w:r/>
            <w:r>
              <w:rPr>
                <w:rFonts w:ascii="Times New Roman" w:hAnsi="Times New Roman" w:cs="Times New Roman" w:eastAsia="Times New Roman"/>
                <w:b w:val="0"/>
                <w:i w:val="0"/>
                <w:sz w:val="18"/>
                <w:u w:val="none"/>
              </w:rPr>
              <w:t>Rent Roll’s schedule agrees; its “current” column does not</w:t>
            </w:r>
          </w:p>
        </w:tc>
      </w:tr>
    </w:tbl>
    <w:p>
      <w:pPr>
        <w:keepNext w:val="0"/>
        <w:spacing w:before="0" w:after="40" w:line="240" w:lineRule="auto"/>
        <w:ind w:left="0"/>
        <w:jc w:val="both"/>
      </w:pPr>
    </w:p>
    <w:p>
      <w:pPr>
        <w:keepNext w:val="0"/>
        <w:spacing w:before="0" w:after="160" w:line="240" w:lineRule="auto"/>
        <w:ind w:left="0"/>
        <w:jc w:val="both"/>
      </w:pPr>
      <w:r>
        <w:rPr>
          <w:rFonts w:ascii="Times New Roman" w:hAnsi="Times New Roman" w:cs="Times New Roman" w:eastAsia="Times New Roman"/>
          <w:b w:val="0"/>
          <w:i w:val="0"/>
          <w:sz w:val="24"/>
          <w:u w:val="none"/>
        </w:rPr>
        <w:t>The consequence is not merely clerical. The appraisal’s as-is net operating income, its vacancy and credit loss deduction, and the Term Sheet’s description of the collateral’s income profile are each built on an occupied area of 21,400 SF that does not exist. The Mortgage addresses the point directly: Section 5.5 requires a reconciliation schedule to be delivered at closing and requires the quarterly rent rolls to reconcile to the closing Rent Roll, so that the discrepancy is on the record rather than surfacing in a later estoppel.</w:t>
      </w:r>
    </w:p>
    <w:p>
      <w:pPr>
        <w:keepNext/>
        <w:spacing w:before="200" w:after="120" w:line="240" w:lineRule="auto"/>
        <w:ind w:left="0"/>
        <w:jc w:val="left"/>
      </w:pPr>
      <w:r>
        <w:rPr>
          <w:rFonts w:ascii="Times New Roman" w:hAnsi="Times New Roman" w:cs="Times New Roman" w:eastAsia="Times New Roman"/>
          <w:b/>
          <w:i w:val="0"/>
          <w:sz w:val="24"/>
          <w:u w:val="none"/>
        </w:rPr>
        <w:t>4.3 Debt Service and Debt Service Coverage.</w:t>
      </w:r>
      <w:r>
        <w:rPr>
          <w:rFonts w:ascii="Times New Roman" w:hAnsi="Times New Roman" w:cs="Times New Roman" w:eastAsia="Times New Roman"/>
          <w:b w:val="0"/>
          <w:i w:val="0"/>
          <w:sz w:val="24"/>
          <w:u w:val="none"/>
        </w:rPr>
        <w:t xml:space="preserve">   The Note Rate floor of 3.00% applies to the SOFR component, so at current market levels the Note Rate is 5.85% per annum (3.00% + 2.85%). Debt service and coverage recompute as follows.</w:t>
      </w:r>
    </w:p>
    <w:tbl>
      <w:tblPr>
        <w:tblStyle w:val="TableGrid"/>
        <w:tblW w:type="auto" w:w="0"/>
        <w:jc w:val="center"/>
        <w:tblLayout w:type="fixed"/>
        <w:tblLook w:firstColumn="1" w:firstRow="1" w:lastColumn="0" w:lastRow="0" w:noHBand="0" w:noVBand="1" w:val="04A0"/>
        <w:tblLayout w:type="fixed"/>
        <w:tblW w:w="9360" w:type="dxa"/>
        <w:tblCellMar>
          <w:left w:w="72" w:type="dxa"/>
          <w:right w:w="72" w:type="dxa"/>
          <w:top w:w="36" w:type="dxa"/>
          <w:bottom w:w="36" w:type="dxa"/>
        </w:tblCellMar>
      </w:tblPr>
      <w:tblGrid>
        <w:gridCol w:w="3991"/>
        <w:gridCol w:w="3028"/>
        <w:gridCol w:w="2339"/>
      </w:tblGrid>
      <w:tr>
        <w:tc>
          <w:tcPr>
            <w:tcW w:type="dxa" w:w="3992"/>
            <w:shd w:val="clear" w:color="auto" w:fill="D9D9D9"/>
          </w:tcPr>
          <w:p>
            <w:pPr>
              <w:spacing w:after="40" w:before="40" w:line="240" w:lineRule="auto"/>
              <w:jc w:val="left"/>
            </w:pPr>
            <w:r/>
            <w:r>
              <w:rPr>
                <w:rFonts w:ascii="Times New Roman" w:hAnsi="Times New Roman" w:cs="Times New Roman" w:eastAsia="Times New Roman"/>
                <w:b/>
                <w:i w:val="0"/>
                <w:sz w:val="18"/>
                <w:u w:val="none"/>
              </w:rPr>
              <w:t>Item</w:t>
            </w:r>
          </w:p>
        </w:tc>
        <w:tc>
          <w:tcPr>
            <w:tcW w:type="dxa" w:w="3028"/>
            <w:shd w:val="clear" w:color="auto" w:fill="D9D9D9"/>
          </w:tcPr>
          <w:p>
            <w:pPr>
              <w:spacing w:after="40" w:before="40" w:line="240" w:lineRule="auto"/>
              <w:jc w:val="left"/>
            </w:pPr>
            <w:r/>
            <w:r>
              <w:rPr>
                <w:rFonts w:ascii="Times New Roman" w:hAnsi="Times New Roman" w:cs="Times New Roman" w:eastAsia="Times New Roman"/>
                <w:b/>
                <w:i w:val="0"/>
                <w:sz w:val="18"/>
                <w:u w:val="none"/>
              </w:rPr>
              <w:t>Recomputation</w:t>
            </w:r>
          </w:p>
        </w:tc>
        <w:tc>
          <w:tcPr>
            <w:tcW w:type="dxa" w:w="2340"/>
            <w:shd w:val="clear" w:color="auto" w:fill="D9D9D9"/>
          </w:tcPr>
          <w:p>
            <w:pPr>
              <w:spacing w:after="40" w:before="40" w:line="240" w:lineRule="auto"/>
              <w:jc w:val="left"/>
            </w:pPr>
            <w:r/>
            <w:r>
              <w:rPr>
                <w:rFonts w:ascii="Times New Roman" w:hAnsi="Times New Roman" w:cs="Times New Roman" w:eastAsia="Times New Roman"/>
                <w:b/>
                <w:i w:val="0"/>
                <w:sz w:val="18"/>
                <w:u w:val="none"/>
              </w:rPr>
              <w:t>Result</w:t>
            </w:r>
          </w:p>
        </w:tc>
      </w:tr>
      <w:tr>
        <w:tc>
          <w:tcPr>
            <w:tcW w:type="dxa" w:w="3992"/>
          </w:tcPr>
          <w:p>
            <w:pPr>
              <w:spacing w:after="40" w:before="40" w:line="240" w:lineRule="auto"/>
              <w:jc w:val="left"/>
            </w:pPr>
            <w:r/>
            <w:r>
              <w:rPr>
                <w:rFonts w:ascii="Times New Roman" w:hAnsi="Times New Roman" w:cs="Times New Roman" w:eastAsia="Times New Roman"/>
                <w:b w:val="0"/>
                <w:i w:val="0"/>
                <w:sz w:val="18"/>
                <w:u w:val="none"/>
              </w:rPr>
              <w:t>Interest-only annual interest</w:t>
            </w:r>
          </w:p>
        </w:tc>
        <w:tc>
          <w:tcPr>
            <w:tcW w:type="dxa" w:w="3028"/>
          </w:tcPr>
          <w:p>
            <w:pPr>
              <w:spacing w:after="40" w:before="40" w:line="240" w:lineRule="auto"/>
              <w:jc w:val="left"/>
            </w:pPr>
            <w:r/>
            <w:r>
              <w:rPr>
                <w:rFonts w:ascii="Times New Roman" w:hAnsi="Times New Roman" w:cs="Times New Roman" w:eastAsia="Times New Roman"/>
                <w:b w:val="0"/>
                <w:i w:val="0"/>
                <w:sz w:val="18"/>
                <w:u w:val="none"/>
              </w:rPr>
              <w:t>$14,750,000 × 5.85%</w:t>
            </w:r>
          </w:p>
        </w:tc>
        <w:tc>
          <w:tcPr>
            <w:tcW w:type="dxa" w:w="2340"/>
          </w:tcPr>
          <w:p>
            <w:pPr>
              <w:spacing w:after="40" w:before="40" w:line="240" w:lineRule="auto"/>
              <w:jc w:val="left"/>
            </w:pPr>
            <w:r/>
            <w:r>
              <w:rPr>
                <w:rFonts w:ascii="Times New Roman" w:hAnsi="Times New Roman" w:cs="Times New Roman" w:eastAsia="Times New Roman"/>
                <w:b w:val="0"/>
                <w:i w:val="0"/>
                <w:sz w:val="18"/>
                <w:u w:val="none"/>
              </w:rPr>
              <w:t>$862,875.00</w:t>
            </w:r>
          </w:p>
        </w:tc>
      </w:tr>
      <w:tr>
        <w:tc>
          <w:tcPr>
            <w:tcW w:type="dxa" w:w="3992"/>
          </w:tcPr>
          <w:p>
            <w:pPr>
              <w:spacing w:after="40" w:before="40" w:line="240" w:lineRule="auto"/>
              <w:jc w:val="left"/>
            </w:pPr>
            <w:r/>
            <w:r>
              <w:rPr>
                <w:rFonts w:ascii="Times New Roman" w:hAnsi="Times New Roman" w:cs="Times New Roman" w:eastAsia="Times New Roman"/>
                <w:b w:val="0"/>
                <w:i w:val="0"/>
                <w:sz w:val="18"/>
                <w:u w:val="none"/>
              </w:rPr>
              <w:t>Interest-only monthly interest</w:t>
            </w:r>
          </w:p>
        </w:tc>
        <w:tc>
          <w:tcPr>
            <w:tcW w:type="dxa" w:w="3028"/>
          </w:tcPr>
          <w:p>
            <w:pPr>
              <w:spacing w:after="40" w:before="40" w:line="240" w:lineRule="auto"/>
              <w:jc w:val="left"/>
            </w:pPr>
            <w:r/>
            <w:r>
              <w:rPr>
                <w:rFonts w:ascii="Times New Roman" w:hAnsi="Times New Roman" w:cs="Times New Roman" w:eastAsia="Times New Roman"/>
                <w:b w:val="0"/>
                <w:i w:val="0"/>
                <w:sz w:val="18"/>
                <w:u w:val="none"/>
              </w:rPr>
              <w:t>$862,875 ÷ 12</w:t>
            </w:r>
          </w:p>
        </w:tc>
        <w:tc>
          <w:tcPr>
            <w:tcW w:type="dxa" w:w="2340"/>
          </w:tcPr>
          <w:p>
            <w:pPr>
              <w:spacing w:after="40" w:before="40" w:line="240" w:lineRule="auto"/>
              <w:jc w:val="left"/>
            </w:pPr>
            <w:r/>
            <w:r>
              <w:rPr>
                <w:rFonts w:ascii="Times New Roman" w:hAnsi="Times New Roman" w:cs="Times New Roman" w:eastAsia="Times New Roman"/>
                <w:b w:val="0"/>
                <w:i w:val="0"/>
                <w:sz w:val="18"/>
                <w:u w:val="none"/>
              </w:rPr>
              <w:t>$71,906.25</w:t>
            </w:r>
          </w:p>
        </w:tc>
      </w:tr>
      <w:tr>
        <w:tc>
          <w:tcPr>
            <w:tcW w:type="dxa" w:w="3992"/>
          </w:tcPr>
          <w:p>
            <w:pPr>
              <w:spacing w:after="40" w:before="40" w:line="240" w:lineRule="auto"/>
              <w:jc w:val="left"/>
            </w:pPr>
            <w:r/>
            <w:r>
              <w:rPr>
                <w:rFonts w:ascii="Times New Roman" w:hAnsi="Times New Roman" w:cs="Times New Roman" w:eastAsia="Times New Roman"/>
                <w:b w:val="0"/>
                <w:i w:val="0"/>
                <w:sz w:val="18"/>
                <w:u w:val="none"/>
              </w:rPr>
              <w:t>Amortizing monthly payment (25 years, 5.85%)</w:t>
            </w:r>
          </w:p>
        </w:tc>
        <w:tc>
          <w:tcPr>
            <w:tcW w:type="dxa" w:w="3028"/>
          </w:tcPr>
          <w:p>
            <w:pPr>
              <w:spacing w:after="40" w:before="40" w:line="240" w:lineRule="auto"/>
              <w:jc w:val="left"/>
            </w:pPr>
            <w:r/>
            <w:r>
              <w:rPr>
                <w:rFonts w:ascii="Times New Roman" w:hAnsi="Times New Roman" w:cs="Times New Roman" w:eastAsia="Times New Roman"/>
                <w:b w:val="0"/>
                <w:i w:val="0"/>
                <w:sz w:val="18"/>
                <w:u w:val="none"/>
              </w:rPr>
              <w:t>$14,750,000 × 0.00635143</w:t>
            </w:r>
          </w:p>
        </w:tc>
        <w:tc>
          <w:tcPr>
            <w:tcW w:type="dxa" w:w="2340"/>
          </w:tcPr>
          <w:p>
            <w:pPr>
              <w:spacing w:after="40" w:before="40" w:line="240" w:lineRule="auto"/>
              <w:jc w:val="left"/>
            </w:pPr>
            <w:r/>
            <w:r>
              <w:rPr>
                <w:rFonts w:ascii="Times New Roman" w:hAnsi="Times New Roman" w:cs="Times New Roman" w:eastAsia="Times New Roman"/>
                <w:b w:val="0"/>
                <w:i w:val="0"/>
                <w:sz w:val="18"/>
                <w:u w:val="none"/>
              </w:rPr>
              <w:t>$93,686.61 (Rent Roll states $93,500; the Rent Roll’s annual $1,122,000 is $2,239 below the correct $1,124,239 — immaterial to the conclusion)</w:t>
            </w:r>
          </w:p>
        </w:tc>
      </w:tr>
      <w:tr>
        <w:tc>
          <w:tcPr>
            <w:tcW w:type="dxa" w:w="3992"/>
          </w:tcPr>
          <w:p>
            <w:pPr>
              <w:spacing w:after="40" w:before="40" w:line="240" w:lineRule="auto"/>
              <w:jc w:val="left"/>
            </w:pPr>
            <w:r/>
            <w:r>
              <w:rPr>
                <w:rFonts w:ascii="Times New Roman" w:hAnsi="Times New Roman" w:cs="Times New Roman" w:eastAsia="Times New Roman"/>
                <w:b w:val="0"/>
                <w:i w:val="0"/>
                <w:sz w:val="18"/>
                <w:u w:val="none"/>
              </w:rPr>
              <w:t>Annual amortizing debt service</w:t>
            </w:r>
          </w:p>
        </w:tc>
        <w:tc>
          <w:tcPr>
            <w:tcW w:type="dxa" w:w="3028"/>
          </w:tcPr>
          <w:p>
            <w:pPr>
              <w:spacing w:after="40" w:before="40" w:line="240" w:lineRule="auto"/>
              <w:jc w:val="left"/>
            </w:pPr>
            <w:r/>
            <w:r>
              <w:rPr>
                <w:rFonts w:ascii="Times New Roman" w:hAnsi="Times New Roman" w:cs="Times New Roman" w:eastAsia="Times New Roman"/>
                <w:b w:val="0"/>
                <w:i w:val="0"/>
                <w:sz w:val="18"/>
                <w:u w:val="none"/>
              </w:rPr>
              <w:t>$93,686.61 × 12</w:t>
            </w:r>
          </w:p>
        </w:tc>
        <w:tc>
          <w:tcPr>
            <w:tcW w:type="dxa" w:w="2340"/>
          </w:tcPr>
          <w:p>
            <w:pPr>
              <w:spacing w:after="40" w:before="40" w:line="240" w:lineRule="auto"/>
              <w:jc w:val="left"/>
            </w:pPr>
            <w:r/>
            <w:r>
              <w:rPr>
                <w:rFonts w:ascii="Times New Roman" w:hAnsi="Times New Roman" w:cs="Times New Roman" w:eastAsia="Times New Roman"/>
                <w:b w:val="0"/>
                <w:i w:val="0"/>
                <w:sz w:val="18"/>
                <w:u w:val="none"/>
              </w:rPr>
              <w:t>$1,124,239.30</w:t>
            </w:r>
          </w:p>
        </w:tc>
      </w:tr>
      <w:tr>
        <w:tc>
          <w:tcPr>
            <w:tcW w:type="dxa" w:w="3992"/>
          </w:tcPr>
          <w:p>
            <w:pPr>
              <w:spacing w:after="40" w:before="40" w:line="240" w:lineRule="auto"/>
              <w:jc w:val="left"/>
            </w:pPr>
            <w:r/>
            <w:r>
              <w:rPr>
                <w:rFonts w:ascii="Times New Roman" w:hAnsi="Times New Roman" w:cs="Times New Roman" w:eastAsia="Times New Roman"/>
                <w:b w:val="0"/>
                <w:i w:val="0"/>
                <w:sz w:val="18"/>
                <w:u w:val="none"/>
              </w:rPr>
              <w:t>Rent Roll interest figure</w:t>
            </w:r>
          </w:p>
        </w:tc>
        <w:tc>
          <w:tcPr>
            <w:tcW w:type="dxa" w:w="3028"/>
          </w:tcPr>
          <w:p>
            <w:pPr>
              <w:spacing w:after="40" w:before="40" w:line="240" w:lineRule="auto"/>
              <w:jc w:val="left"/>
            </w:pPr>
            <w:r/>
            <w:r>
              <w:rPr>
                <w:rFonts w:ascii="Times New Roman" w:hAnsi="Times New Roman" w:cs="Times New Roman" w:eastAsia="Times New Roman"/>
                <w:b w:val="0"/>
                <w:i w:val="0"/>
                <w:sz w:val="18"/>
                <w:u w:val="none"/>
              </w:rPr>
              <w:t>Stated $863,375</w:t>
            </w:r>
          </w:p>
        </w:tc>
        <w:tc>
          <w:tcPr>
            <w:tcW w:type="dxa" w:w="2340"/>
          </w:tcPr>
          <w:p>
            <w:pPr>
              <w:spacing w:after="40" w:before="40" w:line="240" w:lineRule="auto"/>
              <w:jc w:val="left"/>
            </w:pPr>
            <w:r/>
            <w:r>
              <w:rPr>
                <w:rFonts w:ascii="Times New Roman" w:hAnsi="Times New Roman" w:cs="Times New Roman" w:eastAsia="Times New Roman"/>
                <w:b w:val="0"/>
                <w:i w:val="0"/>
                <w:sz w:val="18"/>
                <w:u w:val="none"/>
              </w:rPr>
              <w:t>Arithmetically incorrect; correct figure is $862,875 (a $500 overstatement)</w:t>
            </w:r>
          </w:p>
        </w:tc>
      </w:tr>
      <w:tr>
        <w:tc>
          <w:tcPr>
            <w:tcW w:type="dxa" w:w="3992"/>
          </w:tcPr>
          <w:p>
            <w:pPr>
              <w:spacing w:after="40" w:before="40" w:line="240" w:lineRule="auto"/>
              <w:jc w:val="left"/>
            </w:pPr>
            <w:r/>
            <w:r>
              <w:rPr>
                <w:rFonts w:ascii="Times New Roman" w:hAnsi="Times New Roman" w:cs="Times New Roman" w:eastAsia="Times New Roman"/>
                <w:b w:val="0"/>
                <w:i w:val="0"/>
                <w:sz w:val="18"/>
                <w:u w:val="none"/>
              </w:rPr>
              <w:t>DSCR at in-place NOI ($320,100)</w:t>
            </w:r>
          </w:p>
        </w:tc>
        <w:tc>
          <w:tcPr>
            <w:tcW w:type="dxa" w:w="3028"/>
          </w:tcPr>
          <w:p>
            <w:pPr>
              <w:spacing w:after="40" w:before="40" w:line="240" w:lineRule="auto"/>
              <w:jc w:val="left"/>
            </w:pPr>
            <w:r/>
            <w:r>
              <w:rPr>
                <w:rFonts w:ascii="Times New Roman" w:hAnsi="Times New Roman" w:cs="Times New Roman" w:eastAsia="Times New Roman"/>
                <w:b w:val="0"/>
                <w:i w:val="0"/>
                <w:sz w:val="18"/>
                <w:u w:val="none"/>
              </w:rPr>
              <w:t>Interest-only: $320,100 ÷ $862,875; amortizing: $320,100 ÷ $1,124,239</w:t>
            </w:r>
          </w:p>
        </w:tc>
        <w:tc>
          <w:tcPr>
            <w:tcW w:type="dxa" w:w="2340"/>
          </w:tcPr>
          <w:p>
            <w:pPr>
              <w:spacing w:after="40" w:before="40" w:line="240" w:lineRule="auto"/>
              <w:jc w:val="left"/>
            </w:pPr>
            <w:r/>
            <w:r>
              <w:rPr>
                <w:rFonts w:ascii="Times New Roman" w:hAnsi="Times New Roman" w:cs="Times New Roman" w:eastAsia="Times New Roman"/>
                <w:b/>
                <w:i w:val="0"/>
                <w:sz w:val="18"/>
                <w:u w:val="none"/>
              </w:rPr>
              <w:t>0.37x / 0.28x</w:t>
            </w:r>
          </w:p>
        </w:tc>
      </w:tr>
      <w:tr>
        <w:tc>
          <w:tcPr>
            <w:tcW w:type="dxa" w:w="3992"/>
          </w:tcPr>
          <w:p>
            <w:pPr>
              <w:spacing w:after="40" w:before="40" w:line="240" w:lineRule="auto"/>
              <w:jc w:val="left"/>
            </w:pPr>
            <w:r/>
            <w:r>
              <w:rPr>
                <w:rFonts w:ascii="Times New Roman" w:hAnsi="Times New Roman" w:cs="Times New Roman" w:eastAsia="Times New Roman"/>
                <w:b w:val="0"/>
                <w:i w:val="0"/>
                <w:sz w:val="18"/>
                <w:u w:val="none"/>
              </w:rPr>
              <w:t>DSCR at stabilized best-case NOI ($622,772)</w:t>
            </w:r>
          </w:p>
        </w:tc>
        <w:tc>
          <w:tcPr>
            <w:tcW w:type="dxa" w:w="3028"/>
          </w:tcPr>
          <w:p>
            <w:pPr>
              <w:spacing w:after="40" w:before="40" w:line="240" w:lineRule="auto"/>
              <w:jc w:val="left"/>
            </w:pPr>
            <w:r/>
            <w:r>
              <w:rPr>
                <w:rFonts w:ascii="Times New Roman" w:hAnsi="Times New Roman" w:cs="Times New Roman" w:eastAsia="Times New Roman"/>
                <w:b w:val="0"/>
                <w:i w:val="0"/>
                <w:sz w:val="18"/>
                <w:u w:val="none"/>
              </w:rPr>
              <w:t>$622,772 ÷ $862,875; $622,772 ÷ $1,124,239</w:t>
            </w:r>
          </w:p>
        </w:tc>
        <w:tc>
          <w:tcPr>
            <w:tcW w:type="dxa" w:w="2340"/>
          </w:tcPr>
          <w:p>
            <w:pPr>
              <w:spacing w:after="40" w:before="40" w:line="240" w:lineRule="auto"/>
              <w:jc w:val="left"/>
            </w:pPr>
            <w:r/>
            <w:r>
              <w:rPr>
                <w:rFonts w:ascii="Times New Roman" w:hAnsi="Times New Roman" w:cs="Times New Roman" w:eastAsia="Times New Roman"/>
                <w:b/>
                <w:i w:val="0"/>
                <w:sz w:val="18"/>
                <w:u w:val="none"/>
              </w:rPr>
              <w:t>0.72x / 0.55x</w:t>
            </w:r>
          </w:p>
        </w:tc>
      </w:tr>
      <w:tr>
        <w:tc>
          <w:tcPr>
            <w:tcW w:type="dxa" w:w="3992"/>
          </w:tcPr>
          <w:p>
            <w:pPr>
              <w:spacing w:after="40" w:before="40" w:line="240" w:lineRule="auto"/>
              <w:jc w:val="left"/>
            </w:pPr>
            <w:r/>
            <w:r>
              <w:rPr>
                <w:rFonts w:ascii="Times New Roman" w:hAnsi="Times New Roman" w:cs="Times New Roman" w:eastAsia="Times New Roman"/>
                <w:b w:val="0"/>
                <w:i w:val="0"/>
                <w:sz w:val="18"/>
                <w:u w:val="none"/>
              </w:rPr>
              <w:t>DSCR at Appraisal stabilized NOI ($592,000)</w:t>
            </w:r>
          </w:p>
        </w:tc>
        <w:tc>
          <w:tcPr>
            <w:tcW w:type="dxa" w:w="3028"/>
          </w:tcPr>
          <w:p>
            <w:pPr>
              <w:spacing w:after="40" w:before="40" w:line="240" w:lineRule="auto"/>
              <w:jc w:val="left"/>
            </w:pPr>
            <w:r/>
            <w:r>
              <w:rPr>
                <w:rFonts w:ascii="Times New Roman" w:hAnsi="Times New Roman" w:cs="Times New Roman" w:eastAsia="Times New Roman"/>
                <w:b w:val="0"/>
                <w:i w:val="0"/>
                <w:sz w:val="18"/>
                <w:u w:val="none"/>
              </w:rPr>
              <w:t>$592,000 ÷ $862,875; $592,000 ÷ $1,124,239</w:t>
            </w:r>
          </w:p>
        </w:tc>
        <w:tc>
          <w:tcPr>
            <w:tcW w:type="dxa" w:w="2340"/>
          </w:tcPr>
          <w:p>
            <w:pPr>
              <w:spacing w:after="40" w:before="40" w:line="240" w:lineRule="auto"/>
              <w:jc w:val="left"/>
            </w:pPr>
            <w:r/>
            <w:r>
              <w:rPr>
                <w:rFonts w:ascii="Times New Roman" w:hAnsi="Times New Roman" w:cs="Times New Roman" w:eastAsia="Times New Roman"/>
                <w:b/>
                <w:i w:val="0"/>
                <w:sz w:val="18"/>
                <w:u w:val="none"/>
              </w:rPr>
              <w:t>0.69x / 0.53x</w:t>
            </w:r>
          </w:p>
        </w:tc>
      </w:tr>
      <w:tr>
        <w:tc>
          <w:tcPr>
            <w:tcW w:type="dxa" w:w="3992"/>
          </w:tcPr>
          <w:p>
            <w:pPr>
              <w:spacing w:after="40" w:before="40" w:line="240" w:lineRule="auto"/>
              <w:jc w:val="left"/>
            </w:pPr>
            <w:r/>
            <w:r>
              <w:rPr>
                <w:rFonts w:ascii="Times New Roman" w:hAnsi="Times New Roman" w:cs="Times New Roman" w:eastAsia="Times New Roman"/>
                <w:b w:val="0"/>
                <w:i w:val="0"/>
                <w:sz w:val="18"/>
                <w:u w:val="none"/>
              </w:rPr>
              <w:t>NOI required for 1.25x</w:t>
            </w:r>
          </w:p>
        </w:tc>
        <w:tc>
          <w:tcPr>
            <w:tcW w:type="dxa" w:w="3028"/>
          </w:tcPr>
          <w:p>
            <w:pPr>
              <w:spacing w:after="40" w:before="40" w:line="240" w:lineRule="auto"/>
              <w:jc w:val="left"/>
            </w:pPr>
            <w:r/>
            <w:r>
              <w:rPr>
                <w:rFonts w:ascii="Times New Roman" w:hAnsi="Times New Roman" w:cs="Times New Roman" w:eastAsia="Times New Roman"/>
                <w:b w:val="0"/>
                <w:i w:val="0"/>
                <w:sz w:val="18"/>
                <w:u w:val="none"/>
              </w:rPr>
              <w:t>1.25 × $862,875; 1.25 × $1,124,239</w:t>
            </w:r>
          </w:p>
        </w:tc>
        <w:tc>
          <w:tcPr>
            <w:tcW w:type="dxa" w:w="2340"/>
          </w:tcPr>
          <w:p>
            <w:pPr>
              <w:spacing w:after="40" w:before="40" w:line="240" w:lineRule="auto"/>
              <w:jc w:val="left"/>
            </w:pPr>
            <w:r/>
            <w:r>
              <w:rPr>
                <w:rFonts w:ascii="Times New Roman" w:hAnsi="Times New Roman" w:cs="Times New Roman" w:eastAsia="Times New Roman"/>
                <w:b w:val="0"/>
                <w:i w:val="0"/>
                <w:sz w:val="18"/>
                <w:u w:val="none"/>
              </w:rPr>
              <w:t>$1,078,594 (interest-only) / $1,405,299 (amortizing)</w:t>
            </w:r>
          </w:p>
        </w:tc>
      </w:tr>
      <w:tr>
        <w:tc>
          <w:tcPr>
            <w:tcW w:type="dxa" w:w="3992"/>
          </w:tcPr>
          <w:p>
            <w:pPr>
              <w:spacing w:after="40" w:before="40" w:line="240" w:lineRule="auto"/>
              <w:jc w:val="left"/>
            </w:pPr>
            <w:r/>
            <w:r>
              <w:rPr>
                <w:rFonts w:ascii="Times New Roman" w:hAnsi="Times New Roman" w:cs="Times New Roman" w:eastAsia="Times New Roman"/>
                <w:b w:val="0"/>
                <w:i w:val="0"/>
                <w:sz w:val="18"/>
                <w:u w:val="none"/>
              </w:rPr>
              <w:t>Required NOI as a percentage of the stabilized best-case NOI</w:t>
            </w:r>
          </w:p>
        </w:tc>
        <w:tc>
          <w:tcPr>
            <w:tcW w:type="dxa" w:w="3028"/>
          </w:tcPr>
          <w:p>
            <w:pPr>
              <w:spacing w:after="40" w:before="40" w:line="240" w:lineRule="auto"/>
              <w:jc w:val="left"/>
            </w:pPr>
            <w:r/>
            <w:r>
              <w:rPr>
                <w:rFonts w:ascii="Times New Roman" w:hAnsi="Times New Roman" w:cs="Times New Roman" w:eastAsia="Times New Roman"/>
                <w:b w:val="0"/>
                <w:i w:val="0"/>
                <w:sz w:val="18"/>
                <w:u w:val="none"/>
              </w:rPr>
              <w:t>$1,078,594 ÷ $622,772; $1,405,299 ÷ $622,772</w:t>
            </w:r>
          </w:p>
        </w:tc>
        <w:tc>
          <w:tcPr>
            <w:tcW w:type="dxa" w:w="2340"/>
          </w:tcPr>
          <w:p>
            <w:pPr>
              <w:spacing w:after="40" w:before="40" w:line="240" w:lineRule="auto"/>
              <w:jc w:val="left"/>
            </w:pPr>
            <w:r/>
            <w:r>
              <w:rPr>
                <w:rFonts w:ascii="Times New Roman" w:hAnsi="Times New Roman" w:cs="Times New Roman" w:eastAsia="Times New Roman"/>
                <w:b w:val="0"/>
                <w:i w:val="0"/>
                <w:sz w:val="18"/>
                <w:u w:val="none"/>
              </w:rPr>
              <w:t>173% / 226%</w:t>
            </w:r>
          </w:p>
        </w:tc>
      </w:tr>
      <w:tr>
        <w:tc>
          <w:tcPr>
            <w:tcW w:type="dxa" w:w="3992"/>
          </w:tcPr>
          <w:p>
            <w:pPr>
              <w:spacing w:after="40" w:before="40" w:line="240" w:lineRule="auto"/>
              <w:jc w:val="left"/>
            </w:pPr>
            <w:r/>
            <w:r>
              <w:rPr>
                <w:rFonts w:ascii="Times New Roman" w:hAnsi="Times New Roman" w:cs="Times New Roman" w:eastAsia="Times New Roman"/>
                <w:b w:val="0"/>
                <w:i w:val="0"/>
                <w:sz w:val="18"/>
                <w:u w:val="none"/>
              </w:rPr>
              <w:t>Required NOI as a percentage of stabilized potential gross income</w:t>
            </w:r>
          </w:p>
        </w:tc>
        <w:tc>
          <w:tcPr>
            <w:tcW w:type="dxa" w:w="3028"/>
          </w:tcPr>
          <w:p>
            <w:pPr>
              <w:spacing w:after="40" w:before="40" w:line="240" w:lineRule="auto"/>
              <w:jc w:val="left"/>
            </w:pPr>
            <w:r/>
            <w:r>
              <w:rPr>
                <w:rFonts w:ascii="Times New Roman" w:hAnsi="Times New Roman" w:cs="Times New Roman" w:eastAsia="Times New Roman"/>
                <w:b w:val="0"/>
                <w:i w:val="0"/>
                <w:sz w:val="18"/>
                <w:u w:val="none"/>
              </w:rPr>
              <w:t>$1,405,299 ÷ $728,400</w:t>
            </w:r>
          </w:p>
        </w:tc>
        <w:tc>
          <w:tcPr>
            <w:tcW w:type="dxa" w:w="2340"/>
          </w:tcPr>
          <w:p>
            <w:pPr>
              <w:spacing w:after="40" w:before="40" w:line="240" w:lineRule="auto"/>
              <w:jc w:val="left"/>
            </w:pPr>
            <w:r/>
            <w:r>
              <w:rPr>
                <w:rFonts w:ascii="Times New Roman" w:hAnsi="Times New Roman" w:cs="Times New Roman" w:eastAsia="Times New Roman"/>
                <w:b/>
                <w:i w:val="0"/>
                <w:sz w:val="18"/>
                <w:u w:val="none"/>
              </w:rPr>
              <w:t>193% — arithmetically impossible at 100% occupancy</w:t>
            </w:r>
          </w:p>
        </w:tc>
      </w:tr>
    </w:tbl>
    <w:p>
      <w:pPr>
        <w:keepNext w:val="0"/>
        <w:spacing w:before="0" w:after="40" w:line="240" w:lineRule="auto"/>
        <w:ind w:left="0"/>
        <w:jc w:val="both"/>
      </w:pPr>
    </w:p>
    <w:p>
      <w:pPr>
        <w:keepNext w:val="0"/>
        <w:spacing w:before="0" w:after="160" w:line="240" w:lineRule="auto"/>
        <w:ind w:left="0"/>
        <w:jc w:val="both"/>
      </w:pPr>
      <w:r>
        <w:rPr>
          <w:rFonts w:ascii="Times New Roman" w:hAnsi="Times New Roman" w:cs="Times New Roman" w:eastAsia="Times New Roman"/>
          <w:b w:val="0"/>
          <w:i w:val="0"/>
          <w:sz w:val="24"/>
          <w:u w:val="none"/>
        </w:rPr>
        <w:t>The conclusion is unavoidable: the 1.25x DSCR covenant required by Term Sheet § 7.1 cannot be satisfied at the first test date or at any later date on the income the Property can generate at market rents, even assuming full occupancy, zero vacancy, and zero operating expenses. A 1.25x covenant on fully amortizing debt service of $1,124,239 requires NOI of $1,405,299, which exceeds the Property’s total potential gross income of $728,400 at the Appraisal’s own stabilized rents. The covenant, as drafted, is a scheduled default.</w:t>
      </w:r>
    </w:p>
    <w:p>
      <w:pPr>
        <w:keepNext w:val="0"/>
        <w:spacing w:before="0" w:after="160" w:line="240" w:lineRule="auto"/>
        <w:ind w:left="0"/>
        <w:jc w:val="both"/>
      </w:pPr>
      <w:r>
        <w:rPr>
          <w:rFonts w:ascii="Times New Roman" w:hAnsi="Times New Roman" w:cs="Times New Roman" w:eastAsia="Times New Roman"/>
          <w:b w:val="0"/>
          <w:i w:val="0"/>
          <w:sz w:val="24"/>
          <w:u w:val="none"/>
        </w:rPr>
        <w:t>The draft implements Term Sheet § 7.1 as written (Section 14.1), because Lender is entitled to the benefit of its bargain and because the definition of Annual Debt Service must be fixed before closing. But we recommend that Lender choose one of the following before the draft is released: (a) re-size the Loan; (b) reduce the covenant to a level the asset can support (a 1.00x covenant on interest-only debt service would require NOI of $862,875, still above the stabilized projection); (c) extend the interest-only period beyond month 24; (d) defer the first test date; or (e) convert the covenant into a cash-management trigger (see Section 8, item 1). Drafting an unsatisfiable covenant exposes Lender to a borrower argument that the covenant was commercially unreasonable, and it will produce a documented default at the first test date that Lender may not wish to enforce.</w:t>
      </w:r>
    </w:p>
    <w:p>
      <w:pPr>
        <w:keepNext/>
        <w:spacing w:before="200" w:after="120" w:line="240" w:lineRule="auto"/>
        <w:ind w:left="0"/>
        <w:jc w:val="left"/>
      </w:pPr>
      <w:r>
        <w:rPr>
          <w:rFonts w:ascii="Times New Roman" w:hAnsi="Times New Roman" w:cs="Times New Roman" w:eastAsia="Times New Roman"/>
          <w:b/>
          <w:i w:val="0"/>
          <w:sz w:val="24"/>
          <w:u w:val="none"/>
        </w:rPr>
        <w:t>4.4 Appraisal Reconciliation.</w:t>
      </w:r>
      <w:r>
        <w:rPr>
          <w:rFonts w:ascii="Times New Roman" w:hAnsi="Times New Roman" w:cs="Times New Roman" w:eastAsia="Times New Roman"/>
          <w:b w:val="0"/>
          <w:i w:val="0"/>
          <w:sz w:val="24"/>
          <w:u w:val="none"/>
        </w:rPr>
        <w:t xml:space="preserve">   The Appraisal’s income capitalization conclusions do not reconcile to its value conclusions. Applying the Appraisal’s own stated net operating income to its own stated capitalization rates produces values approximately one-third and one-half of the concluded values.</w:t>
      </w:r>
    </w:p>
    <w:tbl>
      <w:tblPr>
        <w:tblStyle w:val="TableGrid"/>
        <w:tblW w:type="auto" w:w="0"/>
        <w:jc w:val="center"/>
        <w:tblLayout w:type="fixed"/>
        <w:tblLook w:firstColumn="1" w:firstRow="1" w:lastColumn="0" w:lastRow="0" w:noHBand="0" w:noVBand="1" w:val="04A0"/>
        <w:tblLayout w:type="fixed"/>
        <w:tblW w:w="9360" w:type="dxa"/>
        <w:tblCellMar>
          <w:left w:w="72" w:type="dxa"/>
          <w:right w:w="72" w:type="dxa"/>
          <w:top w:w="36" w:type="dxa"/>
          <w:bottom w:w="36" w:type="dxa"/>
        </w:tblCellMar>
      </w:tblPr>
      <w:tblGrid>
        <w:gridCol w:w="3854"/>
        <w:gridCol w:w="2890"/>
        <w:gridCol w:w="2615"/>
      </w:tblGrid>
      <w:tr>
        <w:tc>
          <w:tcPr>
            <w:tcW w:type="dxa" w:w="3854"/>
            <w:shd w:val="clear" w:color="auto" w:fill="D9D9D9"/>
          </w:tcPr>
          <w:p>
            <w:pPr>
              <w:spacing w:after="40" w:before="40" w:line="240" w:lineRule="auto"/>
              <w:jc w:val="left"/>
            </w:pPr>
            <w:r/>
            <w:r>
              <w:rPr>
                <w:rFonts w:ascii="Times New Roman" w:hAnsi="Times New Roman" w:cs="Times New Roman" w:eastAsia="Times New Roman"/>
                <w:b/>
                <w:i w:val="0"/>
                <w:sz w:val="18"/>
                <w:u w:val="none"/>
              </w:rPr>
              <w:t>Test</w:t>
            </w:r>
          </w:p>
        </w:tc>
        <w:tc>
          <w:tcPr>
            <w:tcW w:type="dxa" w:w="2891"/>
            <w:shd w:val="clear" w:color="auto" w:fill="D9D9D9"/>
          </w:tcPr>
          <w:p>
            <w:pPr>
              <w:spacing w:after="40" w:before="40" w:line="240" w:lineRule="auto"/>
              <w:jc w:val="left"/>
            </w:pPr>
            <w:r/>
            <w:r>
              <w:rPr>
                <w:rFonts w:ascii="Times New Roman" w:hAnsi="Times New Roman" w:cs="Times New Roman" w:eastAsia="Times New Roman"/>
                <w:b/>
                <w:i w:val="0"/>
                <w:sz w:val="18"/>
                <w:u w:val="none"/>
              </w:rPr>
              <w:t>Recomputation</w:t>
            </w:r>
          </w:p>
        </w:tc>
        <w:tc>
          <w:tcPr>
            <w:tcW w:type="dxa" w:w="2615"/>
            <w:shd w:val="clear" w:color="auto" w:fill="D9D9D9"/>
          </w:tcPr>
          <w:p>
            <w:pPr>
              <w:spacing w:after="40" w:before="40" w:line="240" w:lineRule="auto"/>
              <w:jc w:val="left"/>
            </w:pPr>
            <w:r/>
            <w:r>
              <w:rPr>
                <w:rFonts w:ascii="Times New Roman" w:hAnsi="Times New Roman" w:cs="Times New Roman" w:eastAsia="Times New Roman"/>
                <w:b/>
                <w:i w:val="0"/>
                <w:sz w:val="18"/>
                <w:u w:val="none"/>
              </w:rPr>
              <w:t>Result</w:t>
            </w:r>
          </w:p>
        </w:tc>
      </w:tr>
      <w:tr>
        <w:tc>
          <w:tcPr>
            <w:tcW w:type="dxa" w:w="3854"/>
          </w:tcPr>
          <w:p>
            <w:pPr>
              <w:spacing w:after="40" w:before="40" w:line="240" w:lineRule="auto"/>
              <w:jc w:val="left"/>
            </w:pPr>
            <w:r/>
            <w:r>
              <w:rPr>
                <w:rFonts w:ascii="Times New Roman" w:hAnsi="Times New Roman" w:cs="Times New Roman" w:eastAsia="Times New Roman"/>
                <w:b w:val="0"/>
                <w:i w:val="0"/>
                <w:sz w:val="18"/>
                <w:u w:val="none"/>
              </w:rPr>
              <w:t>As-is value on the Appraisal’s income approach</w:t>
            </w:r>
          </w:p>
        </w:tc>
        <w:tc>
          <w:tcPr>
            <w:tcW w:type="dxa" w:w="2891"/>
          </w:tcPr>
          <w:p>
            <w:pPr>
              <w:spacing w:after="40" w:before="40" w:line="240" w:lineRule="auto"/>
              <w:jc w:val="left"/>
            </w:pPr>
            <w:r/>
            <w:r>
              <w:rPr>
                <w:rFonts w:ascii="Times New Roman" w:hAnsi="Times New Roman" w:cs="Times New Roman" w:eastAsia="Times New Roman"/>
                <w:b w:val="0"/>
                <w:i w:val="0"/>
                <w:sz w:val="18"/>
                <w:u w:val="none"/>
              </w:rPr>
              <w:t>NOI $332,000–$345,000 ÷ 6.25%</w:t>
            </w:r>
          </w:p>
        </w:tc>
        <w:tc>
          <w:tcPr>
            <w:tcW w:type="dxa" w:w="2615"/>
          </w:tcPr>
          <w:p>
            <w:pPr>
              <w:spacing w:after="40" w:before="40" w:line="240" w:lineRule="auto"/>
              <w:jc w:val="left"/>
            </w:pPr>
            <w:r/>
            <w:r>
              <w:rPr>
                <w:rFonts w:ascii="Times New Roman" w:hAnsi="Times New Roman" w:cs="Times New Roman" w:eastAsia="Times New Roman"/>
                <w:b w:val="0"/>
                <w:i w:val="0"/>
                <w:sz w:val="18"/>
                <w:u w:val="none"/>
              </w:rPr>
              <w:t>$5,312,000–$5,520,000 (concluded: $18,200,000)</w:t>
            </w:r>
          </w:p>
        </w:tc>
      </w:tr>
      <w:tr>
        <w:tc>
          <w:tcPr>
            <w:tcW w:type="dxa" w:w="3854"/>
          </w:tcPr>
          <w:p>
            <w:pPr>
              <w:spacing w:after="40" w:before="40" w:line="240" w:lineRule="auto"/>
              <w:jc w:val="left"/>
            </w:pPr>
            <w:r/>
            <w:r>
              <w:rPr>
                <w:rFonts w:ascii="Times New Roman" w:hAnsi="Times New Roman" w:cs="Times New Roman" w:eastAsia="Times New Roman"/>
                <w:b w:val="0"/>
                <w:i w:val="0"/>
                <w:sz w:val="18"/>
                <w:u w:val="none"/>
              </w:rPr>
              <w:t>Implied as-is capitalization rate on the concluded value</w:t>
            </w:r>
          </w:p>
        </w:tc>
        <w:tc>
          <w:tcPr>
            <w:tcW w:type="dxa" w:w="2891"/>
          </w:tcPr>
          <w:p>
            <w:pPr>
              <w:spacing w:after="40" w:before="40" w:line="240" w:lineRule="auto"/>
              <w:jc w:val="left"/>
            </w:pPr>
            <w:r/>
            <w:r>
              <w:rPr>
                <w:rFonts w:ascii="Times New Roman" w:hAnsi="Times New Roman" w:cs="Times New Roman" w:eastAsia="Times New Roman"/>
                <w:b w:val="0"/>
                <w:i w:val="0"/>
                <w:sz w:val="18"/>
                <w:u w:val="none"/>
              </w:rPr>
              <w:t>$332,000–$345,000 ÷ $18,200,000</w:t>
            </w:r>
          </w:p>
        </w:tc>
        <w:tc>
          <w:tcPr>
            <w:tcW w:type="dxa" w:w="2615"/>
          </w:tcPr>
          <w:p>
            <w:pPr>
              <w:spacing w:after="40" w:before="40" w:line="240" w:lineRule="auto"/>
              <w:jc w:val="left"/>
            </w:pPr>
            <w:r/>
            <w:r>
              <w:rPr>
                <w:rFonts w:ascii="Times New Roman" w:hAnsi="Times New Roman" w:cs="Times New Roman" w:eastAsia="Times New Roman"/>
                <w:b/>
                <w:i w:val="0"/>
                <w:sz w:val="18"/>
                <w:u w:val="none"/>
              </w:rPr>
              <w:t>1.82%–1.90%</w:t>
            </w:r>
            <w:r>
              <w:rPr>
                <w:rFonts w:ascii="Times New Roman" w:hAnsi="Times New Roman" w:cs="Times New Roman" w:eastAsia="Times New Roman"/>
                <w:b w:val="0"/>
                <w:i w:val="0"/>
                <w:sz w:val="18"/>
                <w:u w:val="none"/>
              </w:rPr>
              <w:t xml:space="preserve"> (Appraisal selects 6.25%)</w:t>
            </w:r>
          </w:p>
        </w:tc>
      </w:tr>
      <w:tr>
        <w:tc>
          <w:tcPr>
            <w:tcW w:type="dxa" w:w="3854"/>
          </w:tcPr>
          <w:p>
            <w:pPr>
              <w:spacing w:after="40" w:before="40" w:line="240" w:lineRule="auto"/>
              <w:jc w:val="left"/>
            </w:pPr>
            <w:r/>
            <w:r>
              <w:rPr>
                <w:rFonts w:ascii="Times New Roman" w:hAnsi="Times New Roman" w:cs="Times New Roman" w:eastAsia="Times New Roman"/>
                <w:b w:val="0"/>
                <w:i w:val="0"/>
                <w:sz w:val="18"/>
                <w:u w:val="none"/>
              </w:rPr>
              <w:t>As-stabilized value on the Appraisal’s income approach</w:t>
            </w:r>
          </w:p>
        </w:tc>
        <w:tc>
          <w:tcPr>
            <w:tcW w:type="dxa" w:w="2891"/>
          </w:tcPr>
          <w:p>
            <w:pPr>
              <w:spacing w:after="40" w:before="40" w:line="240" w:lineRule="auto"/>
              <w:jc w:val="left"/>
            </w:pPr>
            <w:r/>
            <w:r>
              <w:rPr>
                <w:rFonts w:ascii="Times New Roman" w:hAnsi="Times New Roman" w:cs="Times New Roman" w:eastAsia="Times New Roman"/>
                <w:b w:val="0"/>
                <w:i w:val="0"/>
                <w:sz w:val="18"/>
                <w:u w:val="none"/>
              </w:rPr>
              <w:t>NOI $582,000–$592,000 ÷ 5.85%</w:t>
            </w:r>
          </w:p>
        </w:tc>
        <w:tc>
          <w:tcPr>
            <w:tcW w:type="dxa" w:w="2615"/>
          </w:tcPr>
          <w:p>
            <w:pPr>
              <w:spacing w:after="40" w:before="40" w:line="240" w:lineRule="auto"/>
              <w:jc w:val="left"/>
            </w:pPr>
            <w:r/>
            <w:r>
              <w:rPr>
                <w:rFonts w:ascii="Times New Roman" w:hAnsi="Times New Roman" w:cs="Times New Roman" w:eastAsia="Times New Roman"/>
                <w:b w:val="0"/>
                <w:i w:val="0"/>
                <w:sz w:val="18"/>
                <w:u w:val="none"/>
              </w:rPr>
              <w:t>$9,948,718–$10,119,658 (concluded: $23,500,000)</w:t>
            </w:r>
          </w:p>
        </w:tc>
      </w:tr>
      <w:tr>
        <w:tc>
          <w:tcPr>
            <w:tcW w:type="dxa" w:w="3854"/>
          </w:tcPr>
          <w:p>
            <w:pPr>
              <w:spacing w:after="40" w:before="40" w:line="240" w:lineRule="auto"/>
              <w:jc w:val="left"/>
            </w:pPr>
            <w:r/>
            <w:r>
              <w:rPr>
                <w:rFonts w:ascii="Times New Roman" w:hAnsi="Times New Roman" w:cs="Times New Roman" w:eastAsia="Times New Roman"/>
                <w:b w:val="0"/>
                <w:i w:val="0"/>
                <w:sz w:val="18"/>
                <w:u w:val="none"/>
              </w:rPr>
              <w:t>Implied stabilized capitalization rate on the concluded value</w:t>
            </w:r>
          </w:p>
        </w:tc>
        <w:tc>
          <w:tcPr>
            <w:tcW w:type="dxa" w:w="2891"/>
          </w:tcPr>
          <w:p>
            <w:pPr>
              <w:spacing w:after="40" w:before="40" w:line="240" w:lineRule="auto"/>
              <w:jc w:val="left"/>
            </w:pPr>
            <w:r/>
            <w:r>
              <w:rPr>
                <w:rFonts w:ascii="Times New Roman" w:hAnsi="Times New Roman" w:cs="Times New Roman" w:eastAsia="Times New Roman"/>
                <w:b w:val="0"/>
                <w:i w:val="0"/>
                <w:sz w:val="18"/>
                <w:u w:val="none"/>
              </w:rPr>
              <w:t>$582,000–$592,000 ÷ $23,500,000</w:t>
            </w:r>
          </w:p>
        </w:tc>
        <w:tc>
          <w:tcPr>
            <w:tcW w:type="dxa" w:w="2615"/>
          </w:tcPr>
          <w:p>
            <w:pPr>
              <w:spacing w:after="40" w:before="40" w:line="240" w:lineRule="auto"/>
              <w:jc w:val="left"/>
            </w:pPr>
            <w:r/>
            <w:r>
              <w:rPr>
                <w:rFonts w:ascii="Times New Roman" w:hAnsi="Times New Roman" w:cs="Times New Roman" w:eastAsia="Times New Roman"/>
                <w:b/>
                <w:i w:val="0"/>
                <w:sz w:val="18"/>
                <w:u w:val="none"/>
              </w:rPr>
              <w:t>2.48%–2.52%</w:t>
            </w:r>
            <w:r>
              <w:rPr>
                <w:rFonts w:ascii="Times New Roman" w:hAnsi="Times New Roman" w:cs="Times New Roman" w:eastAsia="Times New Roman"/>
                <w:b w:val="0"/>
                <w:i w:val="0"/>
                <w:sz w:val="18"/>
                <w:u w:val="none"/>
              </w:rPr>
              <w:t xml:space="preserve"> (Appraisal selects 5.85%)</w:t>
            </w:r>
          </w:p>
        </w:tc>
      </w:tr>
      <w:tr>
        <w:tc>
          <w:tcPr>
            <w:tcW w:type="dxa" w:w="3854"/>
          </w:tcPr>
          <w:p>
            <w:pPr>
              <w:spacing w:after="40" w:before="40" w:line="240" w:lineRule="auto"/>
              <w:jc w:val="left"/>
            </w:pPr>
            <w:r/>
            <w:r>
              <w:rPr>
                <w:rFonts w:ascii="Times New Roman" w:hAnsi="Times New Roman" w:cs="Times New Roman" w:eastAsia="Times New Roman"/>
                <w:b w:val="0"/>
                <w:i w:val="0"/>
                <w:sz w:val="18"/>
                <w:u w:val="none"/>
              </w:rPr>
              <w:t>NOI that would be required to support $23,500,000 at 5.85%</w:t>
            </w:r>
          </w:p>
        </w:tc>
        <w:tc>
          <w:tcPr>
            <w:tcW w:type="dxa" w:w="2891"/>
          </w:tcPr>
          <w:p>
            <w:pPr>
              <w:spacing w:after="40" w:before="40" w:line="240" w:lineRule="auto"/>
              <w:jc w:val="left"/>
            </w:pPr>
            <w:r/>
            <w:r>
              <w:rPr>
                <w:rFonts w:ascii="Times New Roman" w:hAnsi="Times New Roman" w:cs="Times New Roman" w:eastAsia="Times New Roman"/>
                <w:b w:val="0"/>
                <w:i w:val="0"/>
                <w:sz w:val="18"/>
                <w:u w:val="none"/>
              </w:rPr>
              <w:t>$23,500,000 × 5.85%</w:t>
            </w:r>
          </w:p>
        </w:tc>
        <w:tc>
          <w:tcPr>
            <w:tcW w:type="dxa" w:w="2615"/>
          </w:tcPr>
          <w:p>
            <w:pPr>
              <w:spacing w:after="40" w:before="40" w:line="240" w:lineRule="auto"/>
              <w:jc w:val="left"/>
            </w:pPr>
            <w:r/>
            <w:r>
              <w:rPr>
                <w:rFonts w:ascii="Times New Roman" w:hAnsi="Times New Roman" w:cs="Times New Roman" w:eastAsia="Times New Roman"/>
                <w:b w:val="0"/>
                <w:i w:val="0"/>
                <w:sz w:val="18"/>
                <w:u w:val="none"/>
              </w:rPr>
              <w:t>$1,374,750 — equal to 189% of total potential gross income of $728,400, which is not attainable</w:t>
            </w:r>
          </w:p>
        </w:tc>
      </w:tr>
      <w:tr>
        <w:tc>
          <w:tcPr>
            <w:tcW w:type="dxa" w:w="3854"/>
          </w:tcPr>
          <w:p>
            <w:pPr>
              <w:spacing w:after="40" w:before="40" w:line="240" w:lineRule="auto"/>
              <w:jc w:val="left"/>
            </w:pPr>
            <w:r/>
            <w:r>
              <w:rPr>
                <w:rFonts w:ascii="Times New Roman" w:hAnsi="Times New Roman" w:cs="Times New Roman" w:eastAsia="Times New Roman"/>
                <w:b w:val="0"/>
                <w:i w:val="0"/>
                <w:sz w:val="18"/>
                <w:u w:val="none"/>
              </w:rPr>
              <w:t>Comparable sales cross-check</w:t>
            </w:r>
          </w:p>
        </w:tc>
        <w:tc>
          <w:tcPr>
            <w:tcW w:type="dxa" w:w="2891"/>
          </w:tcPr>
          <w:p>
            <w:pPr>
              <w:spacing w:after="40" w:before="40" w:line="240" w:lineRule="auto"/>
              <w:jc w:val="left"/>
            </w:pPr>
            <w:r/>
            <w:r>
              <w:rPr>
                <w:rFonts w:ascii="Times New Roman" w:hAnsi="Times New Roman" w:cs="Times New Roman" w:eastAsia="Times New Roman"/>
                <w:b w:val="0"/>
                <w:i w:val="0"/>
                <w:sz w:val="18"/>
                <w:u w:val="none"/>
              </w:rPr>
              <w:t>$550–$620/SF × 31,000 SF</w:t>
            </w:r>
          </w:p>
        </w:tc>
        <w:tc>
          <w:tcPr>
            <w:tcW w:type="dxa" w:w="2615"/>
          </w:tcPr>
          <w:p>
            <w:pPr>
              <w:spacing w:after="40" w:before="40" w:line="240" w:lineRule="auto"/>
              <w:jc w:val="left"/>
            </w:pPr>
            <w:r/>
            <w:r>
              <w:rPr>
                <w:rFonts w:ascii="Times New Roman" w:hAnsi="Times New Roman" w:cs="Times New Roman" w:eastAsia="Times New Roman"/>
                <w:b w:val="0"/>
                <w:i w:val="0"/>
                <w:sz w:val="18"/>
                <w:u w:val="none"/>
              </w:rPr>
              <w:t>$17,050,000–$19,220,000 — supports the as-is value, does not support $758/SF as-stabilized (22%–38% above the highest comparable)</w:t>
            </w:r>
          </w:p>
        </w:tc>
      </w:tr>
    </w:tbl>
    <w:p>
      <w:pPr>
        <w:keepNext w:val="0"/>
        <w:spacing w:before="0" w:after="40" w:line="240" w:lineRule="auto"/>
        <w:ind w:left="0"/>
        <w:jc w:val="both"/>
      </w:pPr>
    </w:p>
    <w:p>
      <w:pPr>
        <w:keepNext w:val="0"/>
        <w:spacing w:before="0" w:after="160" w:line="240" w:lineRule="auto"/>
        <w:ind w:left="0"/>
        <w:jc w:val="both"/>
      </w:pPr>
      <w:r>
        <w:rPr>
          <w:rFonts w:ascii="Times New Roman" w:hAnsi="Times New Roman" w:cs="Times New Roman" w:eastAsia="Times New Roman"/>
          <w:b w:val="0"/>
          <w:i w:val="0"/>
          <w:sz w:val="24"/>
          <w:u w:val="none"/>
        </w:rPr>
        <w:t xml:space="preserve">Only the sales comparison approach supports the concluded values; the income approach, as presented, is internally inconsistent. This matters to us in three ways. First, the as-stabilized value underwrites the 62.77% LTV that justifies the Loan. Second, the same income figures generate the DSCR analysis in 4.3, so the coverage failure and the appraisal inconsistency have a common cause. Third, Lender is a state-chartered bank insured by the FDIC and is subject to the appraisal requirements of FIRREA and its implementing regulations, including an independent appraisal review function; a report with this defect should not pass review uncorrected. </w:t>
      </w:r>
      <w:r>
        <w:rPr>
          <w:rFonts w:ascii="Times New Roman" w:hAnsi="Times New Roman" w:cs="Times New Roman" w:eastAsia="Times New Roman"/>
          <w:b/>
          <w:i w:val="0"/>
          <w:sz w:val="24"/>
          <w:u w:val="none"/>
        </w:rPr>
        <w:t>Action:</w:t>
      </w:r>
      <w:r>
        <w:rPr>
          <w:rFonts w:ascii="Times New Roman" w:hAnsi="Times New Roman" w:cs="Times New Roman" w:eastAsia="Times New Roman"/>
          <w:b w:val="0"/>
          <w:i w:val="0"/>
          <w:sz w:val="24"/>
          <w:u w:val="none"/>
        </w:rPr>
        <w:t xml:space="preserve"> require a corrected or supplemental report reconciling the income approach, or at minimum a written explanation from Pinnacle Valuation Services LLC, plus Lender’s independent review, before closing. The Mortgage (Section 14.5) requires Borrower to cooperate with and pay for appraisal updates; it cannot cure a defective appraisal, so this is a pre-closing item.</w:t>
      </w:r>
    </w:p>
    <w:p>
      <w:pPr>
        <w:keepNext/>
        <w:spacing w:before="200" w:after="120" w:line="240" w:lineRule="auto"/>
        <w:ind w:left="0"/>
        <w:jc w:val="left"/>
      </w:pPr>
      <w:r>
        <w:rPr>
          <w:rFonts w:ascii="Times New Roman" w:hAnsi="Times New Roman" w:cs="Times New Roman" w:eastAsia="Times New Roman"/>
          <w:b/>
          <w:i w:val="0"/>
          <w:sz w:val="24"/>
          <w:u w:val="none"/>
        </w:rPr>
        <w:t>4.5 Sources and Uses; the Closing-Cost Gap.</w:t>
      </w:r>
      <w:r>
        <w:rPr>
          <w:rFonts w:ascii="Times New Roman" w:hAnsi="Times New Roman" w:cs="Times New Roman" w:eastAsia="Times New Roman"/>
          <w:b w:val="0"/>
          <w:i w:val="0"/>
          <w:sz w:val="24"/>
          <w:u w:val="none"/>
        </w:rPr>
        <w:t xml:space="preserve">   The Term Sheet’s “Total Project Cost” of $20,950,000 comprises only the purchase price and the renovation budget. It excludes the TI/LC reserve deposit, the origination fee, the South Carolina recording tax on the Mortgage, and every third-party closing cost, all of which Borrower is required to pay.</w:t>
      </w:r>
    </w:p>
    <w:tbl>
      <w:tblPr>
        <w:tblStyle w:val="TableGrid"/>
        <w:tblW w:type="auto" w:w="0"/>
        <w:jc w:val="center"/>
        <w:tblLayout w:type="fixed"/>
        <w:tblLook w:firstColumn="1" w:firstRow="1" w:lastColumn="0" w:lastRow="0" w:noHBand="0" w:noVBand="1" w:val="04A0"/>
        <w:tblLayout w:type="fixed"/>
        <w:tblW w:w="9360" w:type="dxa"/>
        <w:tblCellMar>
          <w:left w:w="72" w:type="dxa"/>
          <w:right w:w="72" w:type="dxa"/>
          <w:top w:w="36" w:type="dxa"/>
          <w:bottom w:w="36" w:type="dxa"/>
        </w:tblCellMar>
      </w:tblPr>
      <w:tblGrid>
        <w:gridCol w:w="4129"/>
        <w:gridCol w:w="2615"/>
        <w:gridCol w:w="2615"/>
      </w:tblGrid>
      <w:tr>
        <w:tc>
          <w:tcPr>
            <w:tcW w:type="dxa" w:w="4129"/>
            <w:shd w:val="clear" w:color="auto" w:fill="D9D9D9"/>
          </w:tcPr>
          <w:p>
            <w:pPr>
              <w:spacing w:after="40" w:before="40" w:line="240" w:lineRule="auto"/>
              <w:jc w:val="left"/>
            </w:pPr>
            <w:r/>
            <w:r>
              <w:rPr>
                <w:rFonts w:ascii="Times New Roman" w:hAnsi="Times New Roman" w:cs="Times New Roman" w:eastAsia="Times New Roman"/>
                <w:b/>
                <w:i w:val="0"/>
                <w:sz w:val="18"/>
                <w:u w:val="none"/>
              </w:rPr>
              <w:t>Uses of Funds</w:t>
            </w:r>
          </w:p>
        </w:tc>
        <w:tc>
          <w:tcPr>
            <w:tcW w:type="dxa" w:w="2615"/>
            <w:shd w:val="clear" w:color="auto" w:fill="D9D9D9"/>
          </w:tcPr>
          <w:p>
            <w:pPr>
              <w:spacing w:after="40" w:before="40" w:line="240" w:lineRule="auto"/>
              <w:jc w:val="left"/>
            </w:pPr>
            <w:r/>
            <w:r>
              <w:rPr>
                <w:rFonts w:ascii="Times New Roman" w:hAnsi="Times New Roman" w:cs="Times New Roman" w:eastAsia="Times New Roman"/>
                <w:b/>
                <w:i w:val="0"/>
                <w:sz w:val="18"/>
                <w:u w:val="none"/>
              </w:rPr>
              <w:t>Amount</w:t>
            </w:r>
          </w:p>
        </w:tc>
        <w:tc>
          <w:tcPr>
            <w:tcW w:type="dxa" w:w="2615"/>
            <w:shd w:val="clear" w:color="auto" w:fill="D9D9D9"/>
          </w:tcPr>
          <w:p>
            <w:pPr>
              <w:spacing w:after="40" w:before="40" w:line="240" w:lineRule="auto"/>
              <w:jc w:val="left"/>
            </w:pPr>
            <w:r/>
            <w:r>
              <w:rPr>
                <w:rFonts w:ascii="Times New Roman" w:hAnsi="Times New Roman" w:cs="Times New Roman" w:eastAsia="Times New Roman"/>
                <w:b/>
                <w:i w:val="0"/>
                <w:sz w:val="18"/>
                <w:u w:val="none"/>
              </w:rPr>
              <w:t>Source</w:t>
            </w:r>
          </w:p>
        </w:tc>
      </w:tr>
      <w:tr>
        <w:tc>
          <w:tcPr>
            <w:tcW w:type="dxa" w:w="4129"/>
          </w:tcPr>
          <w:p>
            <w:pPr>
              <w:spacing w:after="40" w:before="40" w:line="240" w:lineRule="auto"/>
              <w:jc w:val="left"/>
            </w:pPr>
            <w:r/>
            <w:r>
              <w:rPr>
                <w:rFonts w:ascii="Times New Roman" w:hAnsi="Times New Roman" w:cs="Times New Roman" w:eastAsia="Times New Roman"/>
                <w:b w:val="0"/>
                <w:i w:val="0"/>
                <w:sz w:val="18"/>
                <w:u w:val="none"/>
              </w:rPr>
              <w:t>Purchase price</w:t>
            </w:r>
          </w:p>
        </w:tc>
        <w:tc>
          <w:tcPr>
            <w:tcW w:type="dxa" w:w="2615"/>
          </w:tcPr>
          <w:p>
            <w:pPr>
              <w:spacing w:after="40" w:before="40" w:line="240" w:lineRule="auto"/>
              <w:jc w:val="left"/>
            </w:pPr>
            <w:r/>
            <w:r>
              <w:rPr>
                <w:rFonts w:ascii="Times New Roman" w:hAnsi="Times New Roman" w:cs="Times New Roman" w:eastAsia="Times New Roman"/>
                <w:b w:val="0"/>
                <w:i w:val="0"/>
                <w:sz w:val="18"/>
                <w:u w:val="none"/>
              </w:rPr>
              <w:t>$17,800,000</w:t>
            </w:r>
          </w:p>
        </w:tc>
        <w:tc>
          <w:tcPr>
            <w:tcW w:type="dxa" w:w="2615"/>
          </w:tcPr>
          <w:p>
            <w:pPr>
              <w:spacing w:after="40" w:before="40" w:line="240" w:lineRule="auto"/>
              <w:jc w:val="left"/>
            </w:pPr>
            <w:r/>
            <w:r>
              <w:rPr>
                <w:rFonts w:ascii="Times New Roman" w:hAnsi="Times New Roman" w:cs="Times New Roman" w:eastAsia="Times New Roman"/>
                <w:b w:val="0"/>
                <w:i w:val="0"/>
                <w:sz w:val="18"/>
                <w:u w:val="none"/>
              </w:rPr>
              <w:t>Loan and equity</w:t>
            </w:r>
          </w:p>
        </w:tc>
      </w:tr>
      <w:tr>
        <w:tc>
          <w:tcPr>
            <w:tcW w:type="dxa" w:w="4129"/>
          </w:tcPr>
          <w:p>
            <w:pPr>
              <w:spacing w:after="40" w:before="40" w:line="240" w:lineRule="auto"/>
              <w:jc w:val="left"/>
            </w:pPr>
            <w:r/>
            <w:r>
              <w:rPr>
                <w:rFonts w:ascii="Times New Roman" w:hAnsi="Times New Roman" w:cs="Times New Roman" w:eastAsia="Times New Roman"/>
                <w:b w:val="0"/>
                <w:i w:val="0"/>
                <w:sz w:val="18"/>
                <w:u w:val="none"/>
              </w:rPr>
              <w:t>Renovation budget</w:t>
            </w:r>
          </w:p>
        </w:tc>
        <w:tc>
          <w:tcPr>
            <w:tcW w:type="dxa" w:w="2615"/>
          </w:tcPr>
          <w:p>
            <w:pPr>
              <w:spacing w:after="40" w:before="40" w:line="240" w:lineRule="auto"/>
              <w:jc w:val="left"/>
            </w:pPr>
            <w:r/>
            <w:r>
              <w:rPr>
                <w:rFonts w:ascii="Times New Roman" w:hAnsi="Times New Roman" w:cs="Times New Roman" w:eastAsia="Times New Roman"/>
                <w:b w:val="0"/>
                <w:i w:val="0"/>
                <w:sz w:val="18"/>
                <w:u w:val="none"/>
              </w:rPr>
              <w:t>$3,150,000</w:t>
            </w:r>
          </w:p>
        </w:tc>
        <w:tc>
          <w:tcPr>
            <w:tcW w:type="dxa" w:w="2615"/>
          </w:tcPr>
          <w:p>
            <w:pPr>
              <w:spacing w:after="40" w:before="40" w:line="240" w:lineRule="auto"/>
              <w:jc w:val="left"/>
            </w:pPr>
            <w:r/>
            <w:r>
              <w:rPr>
                <w:rFonts w:ascii="Times New Roman" w:hAnsi="Times New Roman" w:cs="Times New Roman" w:eastAsia="Times New Roman"/>
                <w:b w:val="0"/>
                <w:i w:val="0"/>
                <w:sz w:val="18"/>
                <w:u w:val="none"/>
              </w:rPr>
              <w:t>Holdback $2,250,000; equity $900,000</w:t>
            </w:r>
          </w:p>
        </w:tc>
      </w:tr>
      <w:tr>
        <w:tc>
          <w:tcPr>
            <w:tcW w:type="dxa" w:w="4129"/>
          </w:tcPr>
          <w:p>
            <w:pPr>
              <w:spacing w:after="40" w:before="40" w:line="240" w:lineRule="auto"/>
              <w:jc w:val="left"/>
            </w:pPr>
            <w:r/>
            <w:r>
              <w:rPr>
                <w:rFonts w:ascii="Times New Roman" w:hAnsi="Times New Roman" w:cs="Times New Roman" w:eastAsia="Times New Roman"/>
                <w:b w:val="0"/>
                <w:i w:val="0"/>
                <w:sz w:val="18"/>
                <w:u w:val="none"/>
              </w:rPr>
              <w:t>Subtotal — “Total Project Cost” as defined</w:t>
            </w:r>
          </w:p>
        </w:tc>
        <w:tc>
          <w:tcPr>
            <w:tcW w:type="dxa" w:w="2615"/>
          </w:tcPr>
          <w:p>
            <w:pPr>
              <w:spacing w:after="40" w:before="40" w:line="240" w:lineRule="auto"/>
              <w:jc w:val="left"/>
            </w:pPr>
            <w:r/>
            <w:r>
              <w:rPr>
                <w:rFonts w:ascii="Times New Roman" w:hAnsi="Times New Roman" w:cs="Times New Roman" w:eastAsia="Times New Roman"/>
                <w:b w:val="0"/>
                <w:i w:val="0"/>
                <w:sz w:val="18"/>
                <w:u w:val="none"/>
              </w:rPr>
              <w:t>$20,950,000</w:t>
            </w:r>
          </w:p>
        </w:tc>
        <w:tc>
          <w:tcPr>
            <w:tcW w:type="dxa" w:w="2615"/>
          </w:tcPr>
          <w:p>
            <w:pPr>
              <w:spacing w:after="40" w:before="40" w:line="240" w:lineRule="auto"/>
              <w:jc w:val="left"/>
            </w:pPr>
            <w:r/>
            <w:r>
              <w:rPr>
                <w:rFonts w:ascii="Times New Roman" w:hAnsi="Times New Roman" w:cs="Times New Roman" w:eastAsia="Times New Roman"/>
                <w:b w:val="0"/>
                <w:i w:val="0"/>
                <w:sz w:val="18"/>
                <w:u w:val="none"/>
              </w:rPr>
              <w:t>Loan $14,750,000 + equity $6,200,000 = $20,950,000</w:t>
            </w:r>
          </w:p>
        </w:tc>
      </w:tr>
      <w:tr>
        <w:tc>
          <w:tcPr>
            <w:tcW w:type="dxa" w:w="4129"/>
          </w:tcPr>
          <w:p>
            <w:pPr>
              <w:spacing w:after="40" w:before="40" w:line="240" w:lineRule="auto"/>
              <w:jc w:val="left"/>
            </w:pPr>
            <w:r/>
            <w:r>
              <w:rPr>
                <w:rFonts w:ascii="Times New Roman" w:hAnsi="Times New Roman" w:cs="Times New Roman" w:eastAsia="Times New Roman"/>
                <w:b w:val="0"/>
                <w:i w:val="0"/>
                <w:sz w:val="18"/>
                <w:u w:val="none"/>
              </w:rPr>
              <w:t>TI/LC Reserve deposit at closing (Term Sheet § 6.3)</w:t>
            </w:r>
          </w:p>
        </w:tc>
        <w:tc>
          <w:tcPr>
            <w:tcW w:type="dxa" w:w="2615"/>
          </w:tcPr>
          <w:p>
            <w:pPr>
              <w:spacing w:after="40" w:before="40" w:line="240" w:lineRule="auto"/>
              <w:jc w:val="left"/>
            </w:pPr>
            <w:r/>
            <w:r>
              <w:rPr>
                <w:rFonts w:ascii="Times New Roman" w:hAnsi="Times New Roman" w:cs="Times New Roman" w:eastAsia="Times New Roman"/>
                <w:b w:val="0"/>
                <w:i w:val="0"/>
                <w:sz w:val="18"/>
                <w:u w:val="none"/>
              </w:rPr>
              <w:t>$150,000</w:t>
            </w:r>
          </w:p>
        </w:tc>
        <w:tc>
          <w:tcPr>
            <w:tcW w:type="dxa" w:w="2615"/>
          </w:tcPr>
          <w:p>
            <w:pPr>
              <w:spacing w:after="40" w:before="40" w:line="240" w:lineRule="auto"/>
              <w:jc w:val="left"/>
            </w:pPr>
            <w:r/>
            <w:r>
              <w:rPr>
                <w:rFonts w:ascii="Times New Roman" w:hAnsi="Times New Roman" w:cs="Times New Roman" w:eastAsia="Times New Roman"/>
                <w:b w:val="0"/>
                <w:i w:val="0"/>
                <w:sz w:val="18"/>
                <w:u w:val="none"/>
              </w:rPr>
              <w:t>Not funded by the stated sources</w:t>
            </w:r>
          </w:p>
        </w:tc>
      </w:tr>
      <w:tr>
        <w:tc>
          <w:tcPr>
            <w:tcW w:type="dxa" w:w="4129"/>
          </w:tcPr>
          <w:p>
            <w:pPr>
              <w:spacing w:after="40" w:before="40" w:line="240" w:lineRule="auto"/>
              <w:jc w:val="left"/>
            </w:pPr>
            <w:r/>
            <w:r>
              <w:rPr>
                <w:rFonts w:ascii="Times New Roman" w:hAnsi="Times New Roman" w:cs="Times New Roman" w:eastAsia="Times New Roman"/>
                <w:b w:val="0"/>
                <w:i w:val="0"/>
                <w:sz w:val="18"/>
                <w:u w:val="none"/>
              </w:rPr>
              <w:t>Origination fee (Term Sheet § 13.1)</w:t>
            </w:r>
          </w:p>
        </w:tc>
        <w:tc>
          <w:tcPr>
            <w:tcW w:type="dxa" w:w="2615"/>
          </w:tcPr>
          <w:p>
            <w:pPr>
              <w:spacing w:after="40" w:before="40" w:line="240" w:lineRule="auto"/>
              <w:jc w:val="left"/>
            </w:pPr>
            <w:r/>
            <w:r>
              <w:rPr>
                <w:rFonts w:ascii="Times New Roman" w:hAnsi="Times New Roman" w:cs="Times New Roman" w:eastAsia="Times New Roman"/>
                <w:b w:val="0"/>
                <w:i w:val="0"/>
                <w:sz w:val="18"/>
                <w:u w:val="none"/>
              </w:rPr>
              <w:t>$147,500</w:t>
            </w:r>
          </w:p>
        </w:tc>
        <w:tc>
          <w:tcPr>
            <w:tcW w:type="dxa" w:w="2615"/>
          </w:tcPr>
          <w:p>
            <w:pPr>
              <w:spacing w:after="40" w:before="40" w:line="240" w:lineRule="auto"/>
              <w:jc w:val="left"/>
            </w:pPr>
            <w:r/>
            <w:r>
              <w:rPr>
                <w:rFonts w:ascii="Times New Roman" w:hAnsi="Times New Roman" w:cs="Times New Roman" w:eastAsia="Times New Roman"/>
                <w:b w:val="0"/>
                <w:i w:val="0"/>
                <w:sz w:val="18"/>
                <w:u w:val="none"/>
              </w:rPr>
              <w:t>Not funded by the stated sources</w:t>
            </w:r>
          </w:p>
        </w:tc>
      </w:tr>
      <w:tr>
        <w:tc>
          <w:tcPr>
            <w:tcW w:type="dxa" w:w="4129"/>
          </w:tcPr>
          <w:p>
            <w:pPr>
              <w:spacing w:after="40" w:before="40" w:line="240" w:lineRule="auto"/>
              <w:jc w:val="left"/>
            </w:pPr>
            <w:r/>
            <w:r>
              <w:rPr>
                <w:rFonts w:ascii="Times New Roman" w:hAnsi="Times New Roman" w:cs="Times New Roman" w:eastAsia="Times New Roman"/>
                <w:b w:val="0"/>
                <w:i w:val="0"/>
                <w:sz w:val="18"/>
                <w:u w:val="none"/>
              </w:rPr>
              <w:t>South Carolina documentary stamp tax on the Mortgage</w:t>
            </w:r>
          </w:p>
        </w:tc>
        <w:tc>
          <w:tcPr>
            <w:tcW w:type="dxa" w:w="2615"/>
          </w:tcPr>
          <w:p>
            <w:pPr>
              <w:spacing w:after="40" w:before="40" w:line="240" w:lineRule="auto"/>
              <w:jc w:val="left"/>
            </w:pPr>
            <w:r/>
            <w:r>
              <w:rPr>
                <w:rFonts w:ascii="Times New Roman" w:hAnsi="Times New Roman" w:cs="Times New Roman" w:eastAsia="Times New Roman"/>
                <w:b w:val="0"/>
                <w:i w:val="0"/>
                <w:sz w:val="18"/>
                <w:u w:val="none"/>
              </w:rPr>
              <w:t>$54,575</w:t>
            </w:r>
          </w:p>
        </w:tc>
        <w:tc>
          <w:tcPr>
            <w:tcW w:type="dxa" w:w="2615"/>
          </w:tcPr>
          <w:p>
            <w:pPr>
              <w:spacing w:after="40" w:before="40" w:line="240" w:lineRule="auto"/>
              <w:jc w:val="left"/>
            </w:pPr>
            <w:r/>
            <w:r>
              <w:rPr>
                <w:rFonts w:ascii="Times New Roman" w:hAnsi="Times New Roman" w:cs="Times New Roman" w:eastAsia="Times New Roman"/>
                <w:b w:val="0"/>
                <w:i w:val="0"/>
                <w:sz w:val="18"/>
                <w:u w:val="none"/>
              </w:rPr>
              <w:t>Not funded by the stated sources</w:t>
            </w:r>
          </w:p>
        </w:tc>
      </w:tr>
      <w:tr>
        <w:tc>
          <w:tcPr>
            <w:tcW w:type="dxa" w:w="4129"/>
          </w:tcPr>
          <w:p>
            <w:pPr>
              <w:spacing w:after="40" w:before="40" w:line="240" w:lineRule="auto"/>
              <w:jc w:val="left"/>
            </w:pPr>
            <w:r/>
            <w:r>
              <w:rPr>
                <w:rFonts w:ascii="Times New Roman" w:hAnsi="Times New Roman" w:cs="Times New Roman" w:eastAsia="Times New Roman"/>
                <w:b w:val="0"/>
                <w:i w:val="0"/>
                <w:sz w:val="18"/>
                <w:u w:val="none"/>
              </w:rPr>
              <w:t>Title premium and endorsements (Term Sheet § 13.2(d))</w:t>
            </w:r>
          </w:p>
        </w:tc>
        <w:tc>
          <w:tcPr>
            <w:tcW w:type="dxa" w:w="2615"/>
          </w:tcPr>
          <w:p>
            <w:pPr>
              <w:spacing w:after="40" w:before="40" w:line="240" w:lineRule="auto"/>
              <w:jc w:val="left"/>
            </w:pPr>
            <w:r/>
            <w:r>
              <w:rPr>
                <w:rFonts w:ascii="Times New Roman" w:hAnsi="Times New Roman" w:cs="Times New Roman" w:eastAsia="Times New Roman"/>
                <w:b w:val="0"/>
                <w:i w:val="0"/>
                <w:sz w:val="18"/>
                <w:u w:val="none"/>
              </w:rPr>
              <w:t>Not quantified</w:t>
            </w:r>
          </w:p>
        </w:tc>
        <w:tc>
          <w:tcPr>
            <w:tcW w:type="dxa" w:w="2615"/>
          </w:tcPr>
          <w:p>
            <w:pPr>
              <w:spacing w:after="40" w:before="40" w:line="240" w:lineRule="auto"/>
              <w:jc w:val="left"/>
            </w:pPr>
            <w:r/>
            <w:r>
              <w:rPr>
                <w:rFonts w:ascii="Times New Roman" w:hAnsi="Times New Roman" w:cs="Times New Roman" w:eastAsia="Times New Roman"/>
                <w:b w:val="0"/>
                <w:i w:val="0"/>
                <w:sz w:val="18"/>
                <w:u w:val="none"/>
              </w:rPr>
              <w:t>Not funded by the stated sources</w:t>
            </w:r>
          </w:p>
        </w:tc>
      </w:tr>
      <w:tr>
        <w:tc>
          <w:tcPr>
            <w:tcW w:type="dxa" w:w="4129"/>
          </w:tcPr>
          <w:p>
            <w:pPr>
              <w:spacing w:after="40" w:before="40" w:line="240" w:lineRule="auto"/>
              <w:jc w:val="left"/>
            </w:pPr>
            <w:r/>
            <w:r>
              <w:rPr>
                <w:rFonts w:ascii="Times New Roman" w:hAnsi="Times New Roman" w:cs="Times New Roman" w:eastAsia="Times New Roman"/>
                <w:b w:val="0"/>
                <w:i w:val="0"/>
                <w:sz w:val="18"/>
                <w:u w:val="none"/>
              </w:rPr>
              <w:t>Lender’s legal fees, survey, appraisal, Phase I, UCC searches, inspection fees (Term Sheet § 13.2)</w:t>
            </w:r>
          </w:p>
        </w:tc>
        <w:tc>
          <w:tcPr>
            <w:tcW w:type="dxa" w:w="2615"/>
          </w:tcPr>
          <w:p>
            <w:pPr>
              <w:spacing w:after="40" w:before="40" w:line="240" w:lineRule="auto"/>
              <w:jc w:val="left"/>
            </w:pPr>
            <w:r/>
            <w:r>
              <w:rPr>
                <w:rFonts w:ascii="Times New Roman" w:hAnsi="Times New Roman" w:cs="Times New Roman" w:eastAsia="Times New Roman"/>
                <w:b w:val="0"/>
                <w:i w:val="0"/>
                <w:sz w:val="18"/>
                <w:u w:val="none"/>
              </w:rPr>
              <w:t>Not quantified</w:t>
            </w:r>
          </w:p>
        </w:tc>
        <w:tc>
          <w:tcPr>
            <w:tcW w:type="dxa" w:w="2615"/>
          </w:tcPr>
          <w:p>
            <w:pPr>
              <w:spacing w:after="40" w:before="40" w:line="240" w:lineRule="auto"/>
              <w:jc w:val="left"/>
            </w:pPr>
            <w:r/>
            <w:r>
              <w:rPr>
                <w:rFonts w:ascii="Times New Roman" w:hAnsi="Times New Roman" w:cs="Times New Roman" w:eastAsia="Times New Roman"/>
                <w:b w:val="0"/>
                <w:i w:val="0"/>
                <w:sz w:val="18"/>
                <w:u w:val="none"/>
              </w:rPr>
              <w:t>Not funded by the stated sources</w:t>
            </w:r>
          </w:p>
        </w:tc>
      </w:tr>
      <w:tr>
        <w:tc>
          <w:tcPr>
            <w:tcW w:type="dxa" w:w="4129"/>
          </w:tcPr>
          <w:p>
            <w:pPr>
              <w:spacing w:after="40" w:before="40" w:line="240" w:lineRule="auto"/>
              <w:jc w:val="left"/>
            </w:pPr>
            <w:r/>
            <w:r>
              <w:rPr>
                <w:rFonts w:ascii="Times New Roman" w:hAnsi="Times New Roman" w:cs="Times New Roman" w:eastAsia="Times New Roman"/>
                <w:b/>
                <w:i w:val="0"/>
                <w:sz w:val="18"/>
                <w:u w:val="none"/>
              </w:rPr>
              <w:t>Quantified gap</w:t>
            </w:r>
          </w:p>
        </w:tc>
        <w:tc>
          <w:tcPr>
            <w:tcW w:type="dxa" w:w="2615"/>
          </w:tcPr>
          <w:p>
            <w:pPr>
              <w:spacing w:after="40" w:before="40" w:line="240" w:lineRule="auto"/>
              <w:jc w:val="left"/>
            </w:pPr>
            <w:r/>
            <w:r>
              <w:rPr>
                <w:rFonts w:ascii="Times New Roman" w:hAnsi="Times New Roman" w:cs="Times New Roman" w:eastAsia="Times New Roman"/>
                <w:b/>
                <w:i w:val="0"/>
                <w:sz w:val="18"/>
                <w:u w:val="none"/>
              </w:rPr>
              <w:t>$352,075 before third-party closing costs</w:t>
            </w:r>
          </w:p>
        </w:tc>
        <w:tc>
          <w:tcPr>
            <w:tcW w:type="dxa" w:w="2615"/>
          </w:tcPr>
          <w:p>
            <w:pPr>
              <w:spacing w:after="40" w:before="40" w:line="240" w:lineRule="auto"/>
              <w:jc w:val="left"/>
            </w:pPr>
            <w:r/>
          </w:p>
        </w:tc>
      </w:tr>
    </w:tbl>
    <w:p>
      <w:pPr>
        <w:keepNext w:val="0"/>
        <w:spacing w:before="0" w:after="40" w:line="240" w:lineRule="auto"/>
        <w:ind w:left="0"/>
        <w:jc w:val="both"/>
      </w:pPr>
    </w:p>
    <w:p>
      <w:pPr>
        <w:keepNext w:val="0"/>
        <w:spacing w:before="0" w:after="160" w:line="240" w:lineRule="auto"/>
        <w:ind w:left="0"/>
        <w:jc w:val="both"/>
      </w:pPr>
      <w:r>
        <w:rPr>
          <w:rFonts w:ascii="Times New Roman" w:hAnsi="Times New Roman" w:cs="Times New Roman" w:eastAsia="Times New Roman"/>
          <w:b w:val="0"/>
          <w:i w:val="0"/>
          <w:sz w:val="24"/>
          <w:u w:val="none"/>
        </w:rPr>
        <w:t xml:space="preserve">The gap is structural, not a matter of estimate. The Initial Advance of $12,500,000 plus the portion of Borrower’s equity not committed to the renovation ($6,200,000 − $900,000 = $5,300,000) equals exactly $17,800,000, the purchase price. There is therefore no equity left for the $150,000 reserve, the $147,500 origination fee, the $54,575 recording tax, or any third-party cost, and the $900,000 renovation equity is already committed to the renovation. Either Borrower closes with additional equity of at least $352,075 plus third-party costs, or Lender reduces one of the uses, or the Initial Advance is increased (which would change the Loan amount and the recording tax). Related ratios are also affected: measured against a corrected cost base of $21,302,075 (excluding the unquantified items), Borrower’s equity is 29.11% and loan-to-cost is 69.24%, rather than 29.59% and 70.41%. </w:t>
      </w:r>
      <w:r>
        <w:rPr>
          <w:rFonts w:ascii="Times New Roman" w:hAnsi="Times New Roman" w:cs="Times New Roman" w:eastAsia="Times New Roman"/>
          <w:b/>
          <w:i w:val="0"/>
          <w:sz w:val="24"/>
          <w:u w:val="none"/>
        </w:rPr>
        <w:t>Action:</w:t>
      </w:r>
      <w:r>
        <w:rPr>
          <w:rFonts w:ascii="Times New Roman" w:hAnsi="Times New Roman" w:cs="Times New Roman" w:eastAsia="Times New Roman"/>
          <w:b w:val="0"/>
          <w:i w:val="0"/>
          <w:sz w:val="24"/>
          <w:u w:val="none"/>
        </w:rPr>
        <w:t xml:space="preserve"> require a certified closing statement and evidence of funds, and confirm with Marcus how the reserve and closing costs are intended to be funded. This is a closing-blocking issue if unaddressed.</w:t>
      </w:r>
    </w:p>
    <w:p>
      <w:pPr>
        <w:keepNext/>
        <w:spacing w:before="200" w:after="120" w:line="240" w:lineRule="auto"/>
        <w:ind w:left="0"/>
        <w:jc w:val="left"/>
      </w:pPr>
      <w:r>
        <w:rPr>
          <w:rFonts w:ascii="Times New Roman" w:hAnsi="Times New Roman" w:cs="Times New Roman" w:eastAsia="Times New Roman"/>
          <w:b/>
          <w:i w:val="0"/>
          <w:sz w:val="24"/>
          <w:u w:val="none"/>
        </w:rPr>
        <w:t>4.6 Fees, Taxes, and Charges.</w:t>
      </w:r>
    </w:p>
    <w:tbl>
      <w:tblPr>
        <w:tblStyle w:val="TableGrid"/>
        <w:tblW w:type="auto" w:w="0"/>
        <w:jc w:val="center"/>
        <w:tblLayout w:type="fixed"/>
        <w:tblLook w:firstColumn="1" w:firstRow="1" w:lastColumn="0" w:lastRow="0" w:noHBand="0" w:noVBand="1" w:val="04A0"/>
        <w:tblLayout w:type="fixed"/>
        <w:tblW w:w="9360" w:type="dxa"/>
        <w:tblCellMar>
          <w:left w:w="72" w:type="dxa"/>
          <w:right w:w="72" w:type="dxa"/>
          <w:top w:w="36" w:type="dxa"/>
          <w:bottom w:w="36" w:type="dxa"/>
        </w:tblCellMar>
      </w:tblPr>
      <w:tblGrid>
        <w:gridCol w:w="3578"/>
        <w:gridCol w:w="3028"/>
        <w:gridCol w:w="2752"/>
      </w:tblGrid>
      <w:tr>
        <w:tc>
          <w:tcPr>
            <w:tcW w:type="dxa" w:w="3579"/>
            <w:shd w:val="clear" w:color="auto" w:fill="D9D9D9"/>
          </w:tcPr>
          <w:p>
            <w:pPr>
              <w:spacing w:after="40" w:before="40" w:line="240" w:lineRule="auto"/>
              <w:jc w:val="left"/>
            </w:pPr>
            <w:r/>
            <w:r>
              <w:rPr>
                <w:rFonts w:ascii="Times New Roman" w:hAnsi="Times New Roman" w:cs="Times New Roman" w:eastAsia="Times New Roman"/>
                <w:b/>
                <w:i w:val="0"/>
                <w:sz w:val="18"/>
                <w:u w:val="none"/>
              </w:rPr>
              <w:t>Item</w:t>
            </w:r>
          </w:p>
        </w:tc>
        <w:tc>
          <w:tcPr>
            <w:tcW w:type="dxa" w:w="3028"/>
            <w:shd w:val="clear" w:color="auto" w:fill="D9D9D9"/>
          </w:tcPr>
          <w:p>
            <w:pPr>
              <w:spacing w:after="40" w:before="40" w:line="240" w:lineRule="auto"/>
              <w:jc w:val="left"/>
            </w:pPr>
            <w:r/>
            <w:r>
              <w:rPr>
                <w:rFonts w:ascii="Times New Roman" w:hAnsi="Times New Roman" w:cs="Times New Roman" w:eastAsia="Times New Roman"/>
                <w:b/>
                <w:i w:val="0"/>
                <w:sz w:val="18"/>
                <w:u w:val="none"/>
              </w:rPr>
              <w:t>Recomputation</w:t>
            </w:r>
          </w:p>
        </w:tc>
        <w:tc>
          <w:tcPr>
            <w:tcW w:type="dxa" w:w="2753"/>
            <w:shd w:val="clear" w:color="auto" w:fill="D9D9D9"/>
          </w:tcPr>
          <w:p>
            <w:pPr>
              <w:spacing w:after="40" w:before="40" w:line="240" w:lineRule="auto"/>
              <w:jc w:val="left"/>
            </w:pPr>
            <w:r/>
            <w:r>
              <w:rPr>
                <w:rFonts w:ascii="Times New Roman" w:hAnsi="Times New Roman" w:cs="Times New Roman" w:eastAsia="Times New Roman"/>
                <w:b/>
                <w:i w:val="0"/>
                <w:sz w:val="18"/>
                <w:u w:val="none"/>
              </w:rPr>
              <w:t>Result</w:t>
            </w:r>
          </w:p>
        </w:tc>
      </w:tr>
      <w:tr>
        <w:tc>
          <w:tcPr>
            <w:tcW w:type="dxa" w:w="3579"/>
          </w:tcPr>
          <w:p>
            <w:pPr>
              <w:spacing w:after="40" w:before="40" w:line="240" w:lineRule="auto"/>
              <w:jc w:val="left"/>
            </w:pPr>
            <w:r/>
            <w:r>
              <w:rPr>
                <w:rFonts w:ascii="Times New Roman" w:hAnsi="Times New Roman" w:cs="Times New Roman" w:eastAsia="Times New Roman"/>
                <w:b w:val="0"/>
                <w:i w:val="0"/>
                <w:sz w:val="18"/>
                <w:u w:val="none"/>
              </w:rPr>
              <w:t>South Carolina documentary stamp tax on the Mortgage</w:t>
            </w:r>
          </w:p>
        </w:tc>
        <w:tc>
          <w:tcPr>
            <w:tcW w:type="dxa" w:w="3028"/>
          </w:tcPr>
          <w:p>
            <w:pPr>
              <w:spacing w:after="40" w:before="40" w:line="240" w:lineRule="auto"/>
              <w:jc w:val="left"/>
            </w:pPr>
            <w:r/>
            <w:r>
              <w:rPr>
                <w:rFonts w:ascii="Times New Roman" w:hAnsi="Times New Roman" w:cs="Times New Roman" w:eastAsia="Times New Roman"/>
                <w:b w:val="0"/>
                <w:i w:val="0"/>
                <w:sz w:val="18"/>
                <w:u w:val="none"/>
              </w:rPr>
              <w:t>$14,750,000 ÷ $500 × $1.85 (= 0.37%)</w:t>
            </w:r>
          </w:p>
        </w:tc>
        <w:tc>
          <w:tcPr>
            <w:tcW w:type="dxa" w:w="2753"/>
          </w:tcPr>
          <w:p>
            <w:pPr>
              <w:spacing w:after="40" w:before="40" w:line="240" w:lineRule="auto"/>
              <w:jc w:val="left"/>
            </w:pPr>
            <w:r/>
            <w:r>
              <w:rPr>
                <w:rFonts w:ascii="Times New Roman" w:hAnsi="Times New Roman" w:cs="Times New Roman" w:eastAsia="Times New Roman"/>
                <w:b w:val="0"/>
                <w:i w:val="0"/>
                <w:sz w:val="18"/>
                <w:u w:val="none"/>
              </w:rPr>
              <w:t>$54,575.00 — verified; the March 18 note’s figure is correct</w:t>
            </w:r>
          </w:p>
        </w:tc>
      </w:tr>
      <w:tr>
        <w:tc>
          <w:tcPr>
            <w:tcW w:type="dxa" w:w="3579"/>
          </w:tcPr>
          <w:p>
            <w:pPr>
              <w:spacing w:after="40" w:before="40" w:line="240" w:lineRule="auto"/>
              <w:jc w:val="left"/>
            </w:pPr>
            <w:r/>
            <w:r>
              <w:rPr>
                <w:rFonts w:ascii="Times New Roman" w:hAnsi="Times New Roman" w:cs="Times New Roman" w:eastAsia="Times New Roman"/>
                <w:b w:val="0"/>
                <w:i w:val="0"/>
                <w:sz w:val="18"/>
                <w:u w:val="none"/>
              </w:rPr>
              <w:t>Late charge</w:t>
            </w:r>
          </w:p>
        </w:tc>
        <w:tc>
          <w:tcPr>
            <w:tcW w:type="dxa" w:w="3028"/>
          </w:tcPr>
          <w:p>
            <w:pPr>
              <w:spacing w:after="40" w:before="40" w:line="240" w:lineRule="auto"/>
              <w:jc w:val="left"/>
            </w:pPr>
            <w:r/>
            <w:r>
              <w:rPr>
                <w:rFonts w:ascii="Times New Roman" w:hAnsi="Times New Roman" w:cs="Times New Roman" w:eastAsia="Times New Roman"/>
                <w:b w:val="0"/>
                <w:i w:val="0"/>
                <w:sz w:val="18"/>
                <w:u w:val="none"/>
              </w:rPr>
              <w:t>5.00% of any installment not received within 10 calendar days</w:t>
            </w:r>
          </w:p>
        </w:tc>
        <w:tc>
          <w:tcPr>
            <w:tcW w:type="dxa" w:w="2753"/>
          </w:tcPr>
          <w:p>
            <w:pPr>
              <w:spacing w:after="40" w:before="40" w:line="240" w:lineRule="auto"/>
              <w:jc w:val="left"/>
            </w:pPr>
            <w:r/>
            <w:r>
              <w:rPr>
                <w:rFonts w:ascii="Times New Roman" w:hAnsi="Times New Roman" w:cs="Times New Roman" w:eastAsia="Times New Roman"/>
                <w:b w:val="0"/>
                <w:i w:val="0"/>
                <w:sz w:val="18"/>
                <w:u w:val="none"/>
              </w:rPr>
              <w:t>Verified as a percentage; note that 5.00% of a monthly installment exceeds the administrative cost it is said to compensate, which is the standard attack on liquidated damages</w:t>
            </w:r>
          </w:p>
        </w:tc>
      </w:tr>
      <w:tr>
        <w:tc>
          <w:tcPr>
            <w:tcW w:type="dxa" w:w="3579"/>
          </w:tcPr>
          <w:p>
            <w:pPr>
              <w:spacing w:after="40" w:before="40" w:line="240" w:lineRule="auto"/>
              <w:jc w:val="left"/>
            </w:pPr>
            <w:r/>
            <w:r>
              <w:rPr>
                <w:rFonts w:ascii="Times New Roman" w:hAnsi="Times New Roman" w:cs="Times New Roman" w:eastAsia="Times New Roman"/>
                <w:b w:val="0"/>
                <w:i w:val="0"/>
                <w:sz w:val="18"/>
                <w:u w:val="none"/>
              </w:rPr>
              <w:t>Default Rate</w:t>
            </w:r>
          </w:p>
        </w:tc>
        <w:tc>
          <w:tcPr>
            <w:tcW w:type="dxa" w:w="3028"/>
          </w:tcPr>
          <w:p>
            <w:pPr>
              <w:spacing w:after="40" w:before="40" w:line="240" w:lineRule="auto"/>
              <w:jc w:val="left"/>
            </w:pPr>
            <w:r/>
            <w:r>
              <w:rPr>
                <w:rFonts w:ascii="Times New Roman" w:hAnsi="Times New Roman" w:cs="Times New Roman" w:eastAsia="Times New Roman"/>
                <w:b w:val="0"/>
                <w:i w:val="0"/>
                <w:sz w:val="18"/>
                <w:u w:val="none"/>
              </w:rPr>
              <w:t>5.85% + 5.00%</w:t>
            </w:r>
          </w:p>
        </w:tc>
        <w:tc>
          <w:tcPr>
            <w:tcW w:type="dxa" w:w="2753"/>
          </w:tcPr>
          <w:p>
            <w:pPr>
              <w:spacing w:after="40" w:before="40" w:line="240" w:lineRule="auto"/>
              <w:jc w:val="left"/>
            </w:pPr>
            <w:r/>
            <w:r>
              <w:rPr>
                <w:rFonts w:ascii="Times New Roman" w:hAnsi="Times New Roman" w:cs="Times New Roman" w:eastAsia="Times New Roman"/>
                <w:b w:val="0"/>
                <w:i w:val="0"/>
                <w:sz w:val="18"/>
                <w:u w:val="none"/>
              </w:rPr>
              <w:t>10.85% per annum — confirm against the maximum lawful rate (see Section 5.C8)</w:t>
            </w:r>
          </w:p>
        </w:tc>
      </w:tr>
      <w:tr>
        <w:tc>
          <w:tcPr>
            <w:tcW w:type="dxa" w:w="3579"/>
          </w:tcPr>
          <w:p>
            <w:pPr>
              <w:spacing w:after="40" w:before="40" w:line="240" w:lineRule="auto"/>
              <w:jc w:val="left"/>
            </w:pPr>
            <w:r/>
            <w:r>
              <w:rPr>
                <w:rFonts w:ascii="Times New Roman" w:hAnsi="Times New Roman" w:cs="Times New Roman" w:eastAsia="Times New Roman"/>
                <w:b w:val="0"/>
                <w:i w:val="0"/>
                <w:sz w:val="18"/>
                <w:u w:val="none"/>
              </w:rPr>
              <w:t>Delinquency exposure</w:t>
            </w:r>
          </w:p>
        </w:tc>
        <w:tc>
          <w:tcPr>
            <w:tcW w:type="dxa" w:w="3028"/>
          </w:tcPr>
          <w:p>
            <w:pPr>
              <w:spacing w:after="40" w:before="40" w:line="240" w:lineRule="auto"/>
              <w:jc w:val="left"/>
            </w:pPr>
            <w:r/>
            <w:r>
              <w:rPr>
                <w:rFonts w:ascii="Times New Roman" w:hAnsi="Times New Roman" w:cs="Times New Roman" w:eastAsia="Times New Roman"/>
                <w:b w:val="0"/>
                <w:i w:val="0"/>
                <w:sz w:val="18"/>
                <w:u w:val="none"/>
              </w:rPr>
              <w:t>Monthly interest of $71,906.25; a single missed payment produces a $3,595.31 late charge, and interest at the Default Rate adds about $61,458 per month ($737,500 per annum) on the outstanding balance</w:t>
            </w:r>
          </w:p>
        </w:tc>
        <w:tc>
          <w:tcPr>
            <w:tcW w:type="dxa" w:w="2753"/>
          </w:tcPr>
          <w:p>
            <w:pPr>
              <w:spacing w:after="40" w:before="40" w:line="240" w:lineRule="auto"/>
              <w:jc w:val="left"/>
            </w:pPr>
            <w:r/>
            <w:r>
              <w:rPr>
                <w:rFonts w:ascii="Times New Roman" w:hAnsi="Times New Roman" w:cs="Times New Roman" w:eastAsia="Times New Roman"/>
                <w:b w:val="0"/>
                <w:i w:val="0"/>
                <w:sz w:val="18"/>
                <w:u w:val="none"/>
              </w:rPr>
              <w:t>—</w:t>
            </w:r>
          </w:p>
        </w:tc>
      </w:tr>
    </w:tbl>
    <w:p>
      <w:pPr>
        <w:keepNext w:val="0"/>
        <w:spacing w:before="0" w:after="40" w:line="240" w:lineRule="auto"/>
        <w:ind w:left="0"/>
        <w:jc w:val="both"/>
      </w:pPr>
    </w:p>
    <w:p>
      <w:pPr>
        <w:keepNext/>
        <w:spacing w:before="200" w:after="120" w:line="240" w:lineRule="auto"/>
        <w:ind w:left="0"/>
        <w:jc w:val="left"/>
      </w:pPr>
      <w:r>
        <w:rPr>
          <w:rFonts w:ascii="Times New Roman" w:hAnsi="Times New Roman" w:cs="Times New Roman" w:eastAsia="Times New Roman"/>
          <w:b/>
          <w:i w:val="0"/>
          <w:sz w:val="24"/>
          <w:u w:val="none"/>
        </w:rPr>
        <w:t>4.7 Renovation Budget, Contingency, and Draw Schedule.</w:t>
      </w:r>
      <w:r>
        <w:rPr>
          <w:rFonts w:ascii="Times New Roman" w:hAnsi="Times New Roman" w:cs="Times New Roman" w:eastAsia="Times New Roman"/>
          <w:b w:val="0"/>
          <w:i w:val="0"/>
          <w:sz w:val="24"/>
          <w:u w:val="none"/>
        </w:rPr>
        <w:t xml:space="preserve">   The budget’s internal arithmetic reconciles; the draw schedule does not reconcile to the budget.</w:t>
      </w:r>
    </w:p>
    <w:tbl>
      <w:tblPr>
        <w:tblStyle w:val="TableGrid"/>
        <w:tblW w:type="auto" w:w="0"/>
        <w:jc w:val="center"/>
        <w:tblLayout w:type="fixed"/>
        <w:tblLook w:firstColumn="1" w:firstRow="1" w:lastColumn="0" w:lastRow="0" w:noHBand="0" w:noVBand="1" w:val="04A0"/>
        <w:tblLayout w:type="fixed"/>
        <w:tblW w:w="9360" w:type="dxa"/>
        <w:tblCellMar>
          <w:left w:w="72" w:type="dxa"/>
          <w:right w:w="72" w:type="dxa"/>
          <w:top w:w="36" w:type="dxa"/>
          <w:bottom w:w="36" w:type="dxa"/>
        </w:tblCellMar>
      </w:tblPr>
      <w:tblGrid>
        <w:gridCol w:w="3480"/>
        <w:gridCol w:w="2039"/>
        <w:gridCol w:w="2039"/>
        <w:gridCol w:w="1800"/>
      </w:tblGrid>
      <w:tr>
        <w:tc>
          <w:tcPr>
            <w:tcW w:type="dxa" w:w="3480"/>
            <w:shd w:val="clear" w:color="auto" w:fill="D9D9D9"/>
          </w:tcPr>
          <w:p>
            <w:pPr>
              <w:spacing w:after="40" w:before="40" w:line="240" w:lineRule="auto"/>
              <w:jc w:val="left"/>
            </w:pPr>
            <w:r/>
            <w:r>
              <w:rPr>
                <w:rFonts w:ascii="Times New Roman" w:hAnsi="Times New Roman" w:cs="Times New Roman" w:eastAsia="Times New Roman"/>
                <w:b/>
                <w:i w:val="0"/>
                <w:sz w:val="18"/>
                <w:u w:val="none"/>
              </w:rPr>
              <w:t>Test</w:t>
            </w:r>
          </w:p>
        </w:tc>
        <w:tc>
          <w:tcPr>
            <w:tcW w:type="dxa" w:w="2040"/>
            <w:shd w:val="clear" w:color="auto" w:fill="D9D9D9"/>
          </w:tcPr>
          <w:p>
            <w:pPr>
              <w:spacing w:after="40" w:before="40" w:line="240" w:lineRule="auto"/>
              <w:jc w:val="left"/>
            </w:pPr>
            <w:r/>
            <w:r>
              <w:rPr>
                <w:rFonts w:ascii="Times New Roman" w:hAnsi="Times New Roman" w:cs="Times New Roman" w:eastAsia="Times New Roman"/>
                <w:b/>
                <w:i w:val="0"/>
                <w:sz w:val="18"/>
                <w:u w:val="none"/>
              </w:rPr>
              <w:t>Budget</w:t>
            </w:r>
          </w:p>
        </w:tc>
        <w:tc>
          <w:tcPr>
            <w:tcW w:type="dxa" w:w="2040"/>
            <w:shd w:val="clear" w:color="auto" w:fill="D9D9D9"/>
          </w:tcPr>
          <w:p>
            <w:pPr>
              <w:spacing w:after="40" w:before="40" w:line="240" w:lineRule="auto"/>
              <w:jc w:val="left"/>
            </w:pPr>
            <w:r/>
            <w:r>
              <w:rPr>
                <w:rFonts w:ascii="Times New Roman" w:hAnsi="Times New Roman" w:cs="Times New Roman" w:eastAsia="Times New Roman"/>
                <w:b/>
                <w:i w:val="0"/>
                <w:sz w:val="18"/>
                <w:u w:val="none"/>
              </w:rPr>
              <w:t>Draw Schedule</w:t>
            </w:r>
          </w:p>
        </w:tc>
        <w:tc>
          <w:tcPr>
            <w:tcW w:type="dxa" w:w="1800"/>
            <w:shd w:val="clear" w:color="auto" w:fill="D9D9D9"/>
          </w:tcPr>
          <w:p>
            <w:pPr>
              <w:spacing w:after="40" w:before="40" w:line="240" w:lineRule="auto"/>
              <w:jc w:val="left"/>
            </w:pPr>
            <w:r/>
            <w:r>
              <w:rPr>
                <w:rFonts w:ascii="Times New Roman" w:hAnsi="Times New Roman" w:cs="Times New Roman" w:eastAsia="Times New Roman"/>
                <w:b/>
                <w:i w:val="0"/>
                <w:sz w:val="18"/>
                <w:u w:val="none"/>
              </w:rPr>
              <w:t>Result</w:t>
            </w:r>
          </w:p>
        </w:tc>
      </w:tr>
      <w:tr>
        <w:tc>
          <w:tcPr>
            <w:tcW w:type="dxa" w:w="3480"/>
          </w:tcPr>
          <w:p>
            <w:pPr>
              <w:spacing w:after="40" w:before="40" w:line="240" w:lineRule="auto"/>
              <w:jc w:val="left"/>
            </w:pPr>
            <w:r/>
            <w:r>
              <w:rPr>
                <w:rFonts w:ascii="Times New Roman" w:hAnsi="Times New Roman" w:cs="Times New Roman" w:eastAsia="Times New Roman"/>
                <w:b w:val="0"/>
                <w:i w:val="0"/>
                <w:sz w:val="18"/>
                <w:u w:val="none"/>
              </w:rPr>
              <w:t>HVAC — Lender</w:t>
            </w:r>
          </w:p>
        </w:tc>
        <w:tc>
          <w:tcPr>
            <w:tcW w:type="dxa" w:w="2040"/>
          </w:tcPr>
          <w:p>
            <w:pPr>
              <w:spacing w:after="40" w:before="40" w:line="240" w:lineRule="auto"/>
              <w:jc w:val="left"/>
            </w:pPr>
            <w:r/>
            <w:r>
              <w:rPr>
                <w:rFonts w:ascii="Times New Roman" w:hAnsi="Times New Roman" w:cs="Times New Roman" w:eastAsia="Times New Roman"/>
                <w:b w:val="0"/>
                <w:i w:val="0"/>
                <w:sz w:val="18"/>
                <w:u w:val="none"/>
              </w:rPr>
              <w:t>$850,000</w:t>
            </w:r>
          </w:p>
        </w:tc>
        <w:tc>
          <w:tcPr>
            <w:tcW w:type="dxa" w:w="2040"/>
          </w:tcPr>
          <w:p>
            <w:pPr>
              <w:spacing w:after="40" w:before="40" w:line="240" w:lineRule="auto"/>
              <w:jc w:val="left"/>
            </w:pPr>
            <w:r/>
            <w:r>
              <w:rPr>
                <w:rFonts w:ascii="Times New Roman" w:hAnsi="Times New Roman" w:cs="Times New Roman" w:eastAsia="Times New Roman"/>
                <w:b w:val="0"/>
                <w:i w:val="0"/>
                <w:sz w:val="18"/>
                <w:u w:val="none"/>
              </w:rPr>
              <w:t>$900,000</w:t>
            </w:r>
          </w:p>
        </w:tc>
        <w:tc>
          <w:tcPr>
            <w:tcW w:type="dxa" w:w="1800"/>
          </w:tcPr>
          <w:p>
            <w:pPr>
              <w:spacing w:after="40" w:before="40" w:line="240" w:lineRule="auto"/>
              <w:jc w:val="left"/>
            </w:pPr>
            <w:r/>
            <w:r>
              <w:rPr>
                <w:rFonts w:ascii="Times New Roman" w:hAnsi="Times New Roman" w:cs="Times New Roman" w:eastAsia="Times New Roman"/>
                <w:b/>
                <w:i w:val="0"/>
                <w:sz w:val="18"/>
                <w:u w:val="none"/>
              </w:rPr>
              <w:t>+$50,000 over budget</w:t>
            </w:r>
          </w:p>
        </w:tc>
      </w:tr>
      <w:tr>
        <w:tc>
          <w:tcPr>
            <w:tcW w:type="dxa" w:w="3480"/>
          </w:tcPr>
          <w:p>
            <w:pPr>
              <w:spacing w:after="40" w:before="40" w:line="240" w:lineRule="auto"/>
              <w:jc w:val="left"/>
            </w:pPr>
            <w:r/>
            <w:r>
              <w:rPr>
                <w:rFonts w:ascii="Times New Roman" w:hAnsi="Times New Roman" w:cs="Times New Roman" w:eastAsia="Times New Roman"/>
                <w:b w:val="0"/>
                <w:i w:val="0"/>
                <w:sz w:val="18"/>
                <w:u w:val="none"/>
              </w:rPr>
              <w:t>Elevator — Lender</w:t>
            </w:r>
          </w:p>
        </w:tc>
        <w:tc>
          <w:tcPr>
            <w:tcW w:type="dxa" w:w="2040"/>
          </w:tcPr>
          <w:p>
            <w:pPr>
              <w:spacing w:after="40" w:before="40" w:line="240" w:lineRule="auto"/>
              <w:jc w:val="left"/>
            </w:pPr>
            <w:r/>
            <w:r>
              <w:rPr>
                <w:rFonts w:ascii="Times New Roman" w:hAnsi="Times New Roman" w:cs="Times New Roman" w:eastAsia="Times New Roman"/>
                <w:b w:val="0"/>
                <w:i w:val="0"/>
                <w:sz w:val="18"/>
                <w:u w:val="none"/>
              </w:rPr>
              <w:t>$375,000</w:t>
            </w:r>
          </w:p>
        </w:tc>
        <w:tc>
          <w:tcPr>
            <w:tcW w:type="dxa" w:w="2040"/>
          </w:tcPr>
          <w:p>
            <w:pPr>
              <w:spacing w:after="40" w:before="40" w:line="240" w:lineRule="auto"/>
              <w:jc w:val="left"/>
            </w:pPr>
            <w:r/>
            <w:r>
              <w:rPr>
                <w:rFonts w:ascii="Times New Roman" w:hAnsi="Times New Roman" w:cs="Times New Roman" w:eastAsia="Times New Roman"/>
                <w:b w:val="0"/>
                <w:i w:val="0"/>
                <w:sz w:val="18"/>
                <w:u w:val="none"/>
              </w:rPr>
              <w:t>$325,000</w:t>
            </w:r>
          </w:p>
        </w:tc>
        <w:tc>
          <w:tcPr>
            <w:tcW w:type="dxa" w:w="1800"/>
          </w:tcPr>
          <w:p>
            <w:pPr>
              <w:spacing w:after="40" w:before="40" w:line="240" w:lineRule="auto"/>
              <w:jc w:val="left"/>
            </w:pPr>
            <w:r/>
            <w:r>
              <w:rPr>
                <w:rFonts w:ascii="Times New Roman" w:hAnsi="Times New Roman" w:cs="Times New Roman" w:eastAsia="Times New Roman"/>
                <w:b/>
                <w:i w:val="0"/>
                <w:sz w:val="18"/>
                <w:u w:val="none"/>
              </w:rPr>
              <w:t>−$50,000 under budget</w:t>
            </w:r>
          </w:p>
        </w:tc>
      </w:tr>
      <w:tr>
        <w:tc>
          <w:tcPr>
            <w:tcW w:type="dxa" w:w="3480"/>
          </w:tcPr>
          <w:p>
            <w:pPr>
              <w:spacing w:after="40" w:before="40" w:line="240" w:lineRule="auto"/>
              <w:jc w:val="left"/>
            </w:pPr>
            <w:r/>
            <w:r>
              <w:rPr>
                <w:rFonts w:ascii="Times New Roman" w:hAnsi="Times New Roman" w:cs="Times New Roman" w:eastAsia="Times New Roman"/>
                <w:b w:val="0"/>
                <w:i w:val="0"/>
                <w:sz w:val="18"/>
                <w:u w:val="none"/>
              </w:rPr>
              <w:t>Façade — Lender</w:t>
            </w:r>
          </w:p>
        </w:tc>
        <w:tc>
          <w:tcPr>
            <w:tcW w:type="dxa" w:w="2040"/>
          </w:tcPr>
          <w:p>
            <w:pPr>
              <w:spacing w:after="40" w:before="40" w:line="240" w:lineRule="auto"/>
              <w:jc w:val="left"/>
            </w:pPr>
            <w:r/>
            <w:r>
              <w:rPr>
                <w:rFonts w:ascii="Times New Roman" w:hAnsi="Times New Roman" w:cs="Times New Roman" w:eastAsia="Times New Roman"/>
                <w:b w:val="0"/>
                <w:i w:val="0"/>
                <w:sz w:val="18"/>
                <w:u w:val="none"/>
              </w:rPr>
              <w:t>$425,000</w:t>
            </w:r>
          </w:p>
        </w:tc>
        <w:tc>
          <w:tcPr>
            <w:tcW w:type="dxa" w:w="2040"/>
          </w:tcPr>
          <w:p>
            <w:pPr>
              <w:spacing w:after="40" w:before="40" w:line="240" w:lineRule="auto"/>
              <w:jc w:val="left"/>
            </w:pPr>
            <w:r/>
            <w:r>
              <w:rPr>
                <w:rFonts w:ascii="Times New Roman" w:hAnsi="Times New Roman" w:cs="Times New Roman" w:eastAsia="Times New Roman"/>
                <w:b w:val="0"/>
                <w:i w:val="0"/>
                <w:sz w:val="18"/>
                <w:u w:val="none"/>
              </w:rPr>
              <w:t>$425,000</w:t>
            </w:r>
          </w:p>
        </w:tc>
        <w:tc>
          <w:tcPr>
            <w:tcW w:type="dxa" w:w="1800"/>
          </w:tcPr>
          <w:p>
            <w:pPr>
              <w:spacing w:after="40" w:before="40" w:line="240" w:lineRule="auto"/>
              <w:jc w:val="left"/>
            </w:pPr>
            <w:r/>
            <w:r>
              <w:rPr>
                <w:rFonts w:ascii="Times New Roman" w:hAnsi="Times New Roman" w:cs="Times New Roman" w:eastAsia="Times New Roman"/>
                <w:b w:val="0"/>
                <w:i w:val="0"/>
                <w:sz w:val="18"/>
                <w:u w:val="none"/>
              </w:rPr>
              <w:t>Reconciles</w:t>
            </w:r>
          </w:p>
        </w:tc>
      </w:tr>
      <w:tr>
        <w:tc>
          <w:tcPr>
            <w:tcW w:type="dxa" w:w="3480"/>
          </w:tcPr>
          <w:p>
            <w:pPr>
              <w:spacing w:after="40" w:before="40" w:line="240" w:lineRule="auto"/>
              <w:jc w:val="left"/>
            </w:pPr>
            <w:r/>
            <w:r>
              <w:rPr>
                <w:rFonts w:ascii="Times New Roman" w:hAnsi="Times New Roman" w:cs="Times New Roman" w:eastAsia="Times New Roman"/>
                <w:b w:val="0"/>
                <w:i w:val="0"/>
                <w:sz w:val="18"/>
                <w:u w:val="none"/>
              </w:rPr>
              <w:t>TI allowances — Lender</w:t>
            </w:r>
          </w:p>
        </w:tc>
        <w:tc>
          <w:tcPr>
            <w:tcW w:type="dxa" w:w="2040"/>
          </w:tcPr>
          <w:p>
            <w:pPr>
              <w:spacing w:after="40" w:before="40" w:line="240" w:lineRule="auto"/>
              <w:jc w:val="left"/>
            </w:pPr>
            <w:r/>
            <w:r>
              <w:rPr>
                <w:rFonts w:ascii="Times New Roman" w:hAnsi="Times New Roman" w:cs="Times New Roman" w:eastAsia="Times New Roman"/>
                <w:b w:val="0"/>
                <w:i w:val="0"/>
                <w:sz w:val="18"/>
                <w:u w:val="none"/>
              </w:rPr>
              <w:t>$450,000</w:t>
            </w:r>
          </w:p>
        </w:tc>
        <w:tc>
          <w:tcPr>
            <w:tcW w:type="dxa" w:w="2040"/>
          </w:tcPr>
          <w:p>
            <w:pPr>
              <w:spacing w:after="40" w:before="40" w:line="240" w:lineRule="auto"/>
              <w:jc w:val="left"/>
            </w:pPr>
            <w:r/>
            <w:r>
              <w:rPr>
                <w:rFonts w:ascii="Times New Roman" w:hAnsi="Times New Roman" w:cs="Times New Roman" w:eastAsia="Times New Roman"/>
                <w:b w:val="0"/>
                <w:i w:val="0"/>
                <w:sz w:val="18"/>
                <w:u w:val="none"/>
              </w:rPr>
              <w:t>$450,000</w:t>
            </w:r>
          </w:p>
        </w:tc>
        <w:tc>
          <w:tcPr>
            <w:tcW w:type="dxa" w:w="1800"/>
          </w:tcPr>
          <w:p>
            <w:pPr>
              <w:spacing w:after="40" w:before="40" w:line="240" w:lineRule="auto"/>
              <w:jc w:val="left"/>
            </w:pPr>
            <w:r/>
            <w:r>
              <w:rPr>
                <w:rFonts w:ascii="Times New Roman" w:hAnsi="Times New Roman" w:cs="Times New Roman" w:eastAsia="Times New Roman"/>
                <w:b w:val="0"/>
                <w:i w:val="0"/>
                <w:sz w:val="18"/>
                <w:u w:val="none"/>
              </w:rPr>
              <w:t>Reconciles</w:t>
            </w:r>
          </w:p>
        </w:tc>
      </w:tr>
      <w:tr>
        <w:tc>
          <w:tcPr>
            <w:tcW w:type="dxa" w:w="3480"/>
          </w:tcPr>
          <w:p>
            <w:pPr>
              <w:spacing w:after="40" w:before="40" w:line="240" w:lineRule="auto"/>
              <w:jc w:val="left"/>
            </w:pPr>
            <w:r/>
            <w:r>
              <w:rPr>
                <w:rFonts w:ascii="Times New Roman" w:hAnsi="Times New Roman" w:cs="Times New Roman" w:eastAsia="Times New Roman"/>
                <w:b w:val="0"/>
                <w:i w:val="0"/>
                <w:sz w:val="18"/>
                <w:u w:val="none"/>
              </w:rPr>
              <w:t>Soft costs — Lender</w:t>
            </w:r>
          </w:p>
        </w:tc>
        <w:tc>
          <w:tcPr>
            <w:tcW w:type="dxa" w:w="2040"/>
          </w:tcPr>
          <w:p>
            <w:pPr>
              <w:spacing w:after="40" w:before="40" w:line="240" w:lineRule="auto"/>
              <w:jc w:val="left"/>
            </w:pPr>
            <w:r/>
            <w:r>
              <w:rPr>
                <w:rFonts w:ascii="Times New Roman" w:hAnsi="Times New Roman" w:cs="Times New Roman" w:eastAsia="Times New Roman"/>
                <w:b w:val="0"/>
                <w:i w:val="0"/>
                <w:sz w:val="18"/>
                <w:u w:val="none"/>
              </w:rPr>
              <w:t>$150,000</w:t>
            </w:r>
          </w:p>
        </w:tc>
        <w:tc>
          <w:tcPr>
            <w:tcW w:type="dxa" w:w="2040"/>
          </w:tcPr>
          <w:p>
            <w:pPr>
              <w:spacing w:after="40" w:before="40" w:line="240" w:lineRule="auto"/>
              <w:jc w:val="left"/>
            </w:pPr>
            <w:r/>
            <w:r>
              <w:rPr>
                <w:rFonts w:ascii="Times New Roman" w:hAnsi="Times New Roman" w:cs="Times New Roman" w:eastAsia="Times New Roman"/>
                <w:b w:val="0"/>
                <w:i w:val="0"/>
                <w:sz w:val="18"/>
                <w:u w:val="none"/>
              </w:rPr>
              <w:t>$150,000</w:t>
            </w:r>
          </w:p>
        </w:tc>
        <w:tc>
          <w:tcPr>
            <w:tcW w:type="dxa" w:w="1800"/>
          </w:tcPr>
          <w:p>
            <w:pPr>
              <w:spacing w:after="40" w:before="40" w:line="240" w:lineRule="auto"/>
              <w:jc w:val="left"/>
            </w:pPr>
            <w:r/>
            <w:r>
              <w:rPr>
                <w:rFonts w:ascii="Times New Roman" w:hAnsi="Times New Roman" w:cs="Times New Roman" w:eastAsia="Times New Roman"/>
                <w:b w:val="0"/>
                <w:i w:val="0"/>
                <w:sz w:val="18"/>
                <w:u w:val="none"/>
              </w:rPr>
              <w:t>Reconciles</w:t>
            </w:r>
          </w:p>
        </w:tc>
      </w:tr>
      <w:tr>
        <w:tc>
          <w:tcPr>
            <w:tcW w:type="dxa" w:w="3480"/>
          </w:tcPr>
          <w:p>
            <w:pPr>
              <w:spacing w:after="40" w:before="40" w:line="240" w:lineRule="auto"/>
              <w:jc w:val="left"/>
            </w:pPr>
            <w:r/>
            <w:r>
              <w:rPr>
                <w:rFonts w:ascii="Times New Roman" w:hAnsi="Times New Roman" w:cs="Times New Roman" w:eastAsia="Times New Roman"/>
                <w:b w:val="0"/>
                <w:i w:val="0"/>
                <w:sz w:val="18"/>
                <w:u w:val="none"/>
              </w:rPr>
              <w:t>Total Lender (Holdback)</w:t>
            </w:r>
          </w:p>
        </w:tc>
        <w:tc>
          <w:tcPr>
            <w:tcW w:type="dxa" w:w="2040"/>
          </w:tcPr>
          <w:p>
            <w:pPr>
              <w:spacing w:after="40" w:before="40" w:line="240" w:lineRule="auto"/>
              <w:jc w:val="left"/>
            </w:pPr>
            <w:r/>
            <w:r>
              <w:rPr>
                <w:rFonts w:ascii="Times New Roman" w:hAnsi="Times New Roman" w:cs="Times New Roman" w:eastAsia="Times New Roman"/>
                <w:b w:val="0"/>
                <w:i w:val="0"/>
                <w:sz w:val="18"/>
                <w:u w:val="none"/>
              </w:rPr>
              <w:t>$2,250,000</w:t>
            </w:r>
          </w:p>
        </w:tc>
        <w:tc>
          <w:tcPr>
            <w:tcW w:type="dxa" w:w="2040"/>
          </w:tcPr>
          <w:p>
            <w:pPr>
              <w:spacing w:after="40" w:before="40" w:line="240" w:lineRule="auto"/>
              <w:jc w:val="left"/>
            </w:pPr>
            <w:r/>
            <w:r>
              <w:rPr>
                <w:rFonts w:ascii="Times New Roman" w:hAnsi="Times New Roman" w:cs="Times New Roman" w:eastAsia="Times New Roman"/>
                <w:b w:val="0"/>
                <w:i w:val="0"/>
                <w:sz w:val="18"/>
                <w:u w:val="none"/>
              </w:rPr>
              <w:t>$2,250,000</w:t>
            </w:r>
          </w:p>
        </w:tc>
        <w:tc>
          <w:tcPr>
            <w:tcW w:type="dxa" w:w="1800"/>
          </w:tcPr>
          <w:p>
            <w:pPr>
              <w:spacing w:after="40" w:before="40" w:line="240" w:lineRule="auto"/>
              <w:jc w:val="left"/>
            </w:pPr>
            <w:r/>
            <w:r>
              <w:rPr>
                <w:rFonts w:ascii="Times New Roman" w:hAnsi="Times New Roman" w:cs="Times New Roman" w:eastAsia="Times New Roman"/>
                <w:b w:val="0"/>
                <w:i w:val="0"/>
                <w:sz w:val="18"/>
                <w:u w:val="none"/>
              </w:rPr>
              <w:t>Reconciles in total only</w:t>
            </w:r>
          </w:p>
        </w:tc>
      </w:tr>
      <w:tr>
        <w:tc>
          <w:tcPr>
            <w:tcW w:type="dxa" w:w="3480"/>
          </w:tcPr>
          <w:p>
            <w:pPr>
              <w:spacing w:after="40" w:before="40" w:line="240" w:lineRule="auto"/>
              <w:jc w:val="left"/>
            </w:pPr>
            <w:r/>
            <w:r>
              <w:rPr>
                <w:rFonts w:ascii="Times New Roman" w:hAnsi="Times New Roman" w:cs="Times New Roman" w:eastAsia="Times New Roman"/>
                <w:b w:val="0"/>
                <w:i w:val="0"/>
                <w:sz w:val="18"/>
                <w:u w:val="none"/>
              </w:rPr>
              <w:t>HVAC — Borrower equity</w:t>
            </w:r>
          </w:p>
        </w:tc>
        <w:tc>
          <w:tcPr>
            <w:tcW w:type="dxa" w:w="2040"/>
          </w:tcPr>
          <w:p>
            <w:pPr>
              <w:spacing w:after="40" w:before="40" w:line="240" w:lineRule="auto"/>
              <w:jc w:val="left"/>
            </w:pPr>
            <w:r/>
            <w:r>
              <w:rPr>
                <w:rFonts w:ascii="Times New Roman" w:hAnsi="Times New Roman" w:cs="Times New Roman" w:eastAsia="Times New Roman"/>
                <w:b w:val="0"/>
                <w:i w:val="0"/>
                <w:sz w:val="18"/>
                <w:u w:val="none"/>
              </w:rPr>
              <w:t>$350,000</w:t>
            </w:r>
          </w:p>
        </w:tc>
        <w:tc>
          <w:tcPr>
            <w:tcW w:type="dxa" w:w="2040"/>
          </w:tcPr>
          <w:p>
            <w:pPr>
              <w:spacing w:after="40" w:before="40" w:line="240" w:lineRule="auto"/>
              <w:jc w:val="left"/>
            </w:pPr>
            <w:r/>
            <w:r>
              <w:rPr>
                <w:rFonts w:ascii="Times New Roman" w:hAnsi="Times New Roman" w:cs="Times New Roman" w:eastAsia="Times New Roman"/>
                <w:b w:val="0"/>
                <w:i w:val="0"/>
                <w:sz w:val="18"/>
                <w:u w:val="none"/>
              </w:rPr>
              <w:t>$350,000</w:t>
            </w:r>
          </w:p>
        </w:tc>
        <w:tc>
          <w:tcPr>
            <w:tcW w:type="dxa" w:w="1800"/>
          </w:tcPr>
          <w:p>
            <w:pPr>
              <w:spacing w:after="40" w:before="40" w:line="240" w:lineRule="auto"/>
              <w:jc w:val="left"/>
            </w:pPr>
            <w:r/>
            <w:r>
              <w:rPr>
                <w:rFonts w:ascii="Times New Roman" w:hAnsi="Times New Roman" w:cs="Times New Roman" w:eastAsia="Times New Roman"/>
                <w:b w:val="0"/>
                <w:i w:val="0"/>
                <w:sz w:val="18"/>
                <w:u w:val="none"/>
              </w:rPr>
              <w:t>Reconciles</w:t>
            </w:r>
          </w:p>
        </w:tc>
      </w:tr>
      <w:tr>
        <w:tc>
          <w:tcPr>
            <w:tcW w:type="dxa" w:w="3480"/>
          </w:tcPr>
          <w:p>
            <w:pPr>
              <w:spacing w:after="40" w:before="40" w:line="240" w:lineRule="auto"/>
              <w:jc w:val="left"/>
            </w:pPr>
            <w:r/>
            <w:r>
              <w:rPr>
                <w:rFonts w:ascii="Times New Roman" w:hAnsi="Times New Roman" w:cs="Times New Roman" w:eastAsia="Times New Roman"/>
                <w:b w:val="0"/>
                <w:i w:val="0"/>
                <w:sz w:val="18"/>
                <w:u w:val="none"/>
              </w:rPr>
              <w:t>Elevator — Borrower equity</w:t>
            </w:r>
          </w:p>
        </w:tc>
        <w:tc>
          <w:tcPr>
            <w:tcW w:type="dxa" w:w="2040"/>
          </w:tcPr>
          <w:p>
            <w:pPr>
              <w:spacing w:after="40" w:before="40" w:line="240" w:lineRule="auto"/>
              <w:jc w:val="left"/>
            </w:pPr>
            <w:r/>
            <w:r>
              <w:rPr>
                <w:rFonts w:ascii="Times New Roman" w:hAnsi="Times New Roman" w:cs="Times New Roman" w:eastAsia="Times New Roman"/>
                <w:b w:val="0"/>
                <w:i w:val="0"/>
                <w:sz w:val="18"/>
                <w:u w:val="none"/>
              </w:rPr>
              <w:t>$100,000</w:t>
            </w:r>
          </w:p>
        </w:tc>
        <w:tc>
          <w:tcPr>
            <w:tcW w:type="dxa" w:w="2040"/>
          </w:tcPr>
          <w:p>
            <w:pPr>
              <w:spacing w:after="40" w:before="40" w:line="240" w:lineRule="auto"/>
              <w:jc w:val="left"/>
            </w:pPr>
            <w:r/>
            <w:r>
              <w:rPr>
                <w:rFonts w:ascii="Times New Roman" w:hAnsi="Times New Roman" w:cs="Times New Roman" w:eastAsia="Times New Roman"/>
                <w:b w:val="0"/>
                <w:i w:val="0"/>
                <w:sz w:val="18"/>
                <w:u w:val="none"/>
              </w:rPr>
              <w:t>$100,000</w:t>
            </w:r>
          </w:p>
        </w:tc>
        <w:tc>
          <w:tcPr>
            <w:tcW w:type="dxa" w:w="1800"/>
          </w:tcPr>
          <w:p>
            <w:pPr>
              <w:spacing w:after="40" w:before="40" w:line="240" w:lineRule="auto"/>
              <w:jc w:val="left"/>
            </w:pPr>
            <w:r/>
            <w:r>
              <w:rPr>
                <w:rFonts w:ascii="Times New Roman" w:hAnsi="Times New Roman" w:cs="Times New Roman" w:eastAsia="Times New Roman"/>
                <w:b w:val="0"/>
                <w:i w:val="0"/>
                <w:sz w:val="18"/>
                <w:u w:val="none"/>
              </w:rPr>
              <w:t>Reconciles</w:t>
            </w:r>
          </w:p>
        </w:tc>
      </w:tr>
      <w:tr>
        <w:tc>
          <w:tcPr>
            <w:tcW w:type="dxa" w:w="3480"/>
          </w:tcPr>
          <w:p>
            <w:pPr>
              <w:spacing w:after="40" w:before="40" w:line="240" w:lineRule="auto"/>
              <w:jc w:val="left"/>
            </w:pPr>
            <w:r/>
            <w:r>
              <w:rPr>
                <w:rFonts w:ascii="Times New Roman" w:hAnsi="Times New Roman" w:cs="Times New Roman" w:eastAsia="Times New Roman"/>
                <w:b w:val="0"/>
                <w:i w:val="0"/>
                <w:sz w:val="18"/>
                <w:u w:val="none"/>
              </w:rPr>
              <w:t>Façade — Borrower equity</w:t>
            </w:r>
          </w:p>
        </w:tc>
        <w:tc>
          <w:tcPr>
            <w:tcW w:type="dxa" w:w="2040"/>
          </w:tcPr>
          <w:p>
            <w:pPr>
              <w:spacing w:after="40" w:before="40" w:line="240" w:lineRule="auto"/>
              <w:jc w:val="left"/>
            </w:pPr>
            <w:r/>
            <w:r>
              <w:rPr>
                <w:rFonts w:ascii="Times New Roman" w:hAnsi="Times New Roman" w:cs="Times New Roman" w:eastAsia="Times New Roman"/>
                <w:b w:val="0"/>
                <w:i w:val="0"/>
                <w:sz w:val="18"/>
                <w:u w:val="none"/>
              </w:rPr>
              <w:t>$200,000</w:t>
            </w:r>
          </w:p>
        </w:tc>
        <w:tc>
          <w:tcPr>
            <w:tcW w:type="dxa" w:w="2040"/>
          </w:tcPr>
          <w:p>
            <w:pPr>
              <w:spacing w:after="40" w:before="40" w:line="240" w:lineRule="auto"/>
              <w:jc w:val="left"/>
            </w:pPr>
            <w:r/>
            <w:r>
              <w:rPr>
                <w:rFonts w:ascii="Times New Roman" w:hAnsi="Times New Roman" w:cs="Times New Roman" w:eastAsia="Times New Roman"/>
                <w:b w:val="0"/>
                <w:i w:val="0"/>
                <w:sz w:val="18"/>
                <w:u w:val="none"/>
              </w:rPr>
              <w:t>$200,000</w:t>
            </w:r>
          </w:p>
        </w:tc>
        <w:tc>
          <w:tcPr>
            <w:tcW w:type="dxa" w:w="1800"/>
          </w:tcPr>
          <w:p>
            <w:pPr>
              <w:spacing w:after="40" w:before="40" w:line="240" w:lineRule="auto"/>
              <w:jc w:val="left"/>
            </w:pPr>
            <w:r/>
            <w:r>
              <w:rPr>
                <w:rFonts w:ascii="Times New Roman" w:hAnsi="Times New Roman" w:cs="Times New Roman" w:eastAsia="Times New Roman"/>
                <w:b w:val="0"/>
                <w:i w:val="0"/>
                <w:sz w:val="18"/>
                <w:u w:val="none"/>
              </w:rPr>
              <w:t>Reconciles</w:t>
            </w:r>
          </w:p>
        </w:tc>
      </w:tr>
      <w:tr>
        <w:tc>
          <w:tcPr>
            <w:tcW w:type="dxa" w:w="3480"/>
          </w:tcPr>
          <w:p>
            <w:pPr>
              <w:spacing w:after="40" w:before="40" w:line="240" w:lineRule="auto"/>
              <w:jc w:val="left"/>
            </w:pPr>
            <w:r/>
            <w:r>
              <w:rPr>
                <w:rFonts w:ascii="Times New Roman" w:hAnsi="Times New Roman" w:cs="Times New Roman" w:eastAsia="Times New Roman"/>
                <w:b w:val="0"/>
                <w:i w:val="0"/>
                <w:sz w:val="18"/>
                <w:u w:val="none"/>
              </w:rPr>
              <w:t>TI allowances — Borrower equity</w:t>
            </w:r>
          </w:p>
        </w:tc>
        <w:tc>
          <w:tcPr>
            <w:tcW w:type="dxa" w:w="2040"/>
          </w:tcPr>
          <w:p>
            <w:pPr>
              <w:spacing w:after="40" w:before="40" w:line="240" w:lineRule="auto"/>
              <w:jc w:val="left"/>
            </w:pPr>
            <w:r/>
            <w:r>
              <w:rPr>
                <w:rFonts w:ascii="Times New Roman" w:hAnsi="Times New Roman" w:cs="Times New Roman" w:eastAsia="Times New Roman"/>
                <w:b w:val="0"/>
                <w:i w:val="0"/>
                <w:sz w:val="18"/>
                <w:u w:val="none"/>
              </w:rPr>
              <w:t>$100,000</w:t>
            </w:r>
          </w:p>
        </w:tc>
        <w:tc>
          <w:tcPr>
            <w:tcW w:type="dxa" w:w="2040"/>
          </w:tcPr>
          <w:p>
            <w:pPr>
              <w:spacing w:after="40" w:before="40" w:line="240" w:lineRule="auto"/>
              <w:jc w:val="left"/>
            </w:pPr>
            <w:r/>
            <w:r>
              <w:rPr>
                <w:rFonts w:ascii="Times New Roman" w:hAnsi="Times New Roman" w:cs="Times New Roman" w:eastAsia="Times New Roman"/>
                <w:b w:val="0"/>
                <w:i w:val="0"/>
                <w:sz w:val="18"/>
                <w:u w:val="none"/>
              </w:rPr>
              <w:t>$110,000</w:t>
            </w:r>
          </w:p>
        </w:tc>
        <w:tc>
          <w:tcPr>
            <w:tcW w:type="dxa" w:w="1800"/>
          </w:tcPr>
          <w:p>
            <w:pPr>
              <w:spacing w:after="40" w:before="40" w:line="240" w:lineRule="auto"/>
              <w:jc w:val="left"/>
            </w:pPr>
            <w:r/>
            <w:r>
              <w:rPr>
                <w:rFonts w:ascii="Times New Roman" w:hAnsi="Times New Roman" w:cs="Times New Roman" w:eastAsia="Times New Roman"/>
                <w:b w:val="0"/>
                <w:i w:val="0"/>
                <w:sz w:val="18"/>
                <w:u w:val="none"/>
              </w:rPr>
              <w:t>+$10,000</w:t>
            </w:r>
          </w:p>
        </w:tc>
      </w:tr>
      <w:tr>
        <w:tc>
          <w:tcPr>
            <w:tcW w:type="dxa" w:w="3480"/>
          </w:tcPr>
          <w:p>
            <w:pPr>
              <w:spacing w:after="40" w:before="40" w:line="240" w:lineRule="auto"/>
              <w:jc w:val="left"/>
            </w:pPr>
            <w:r/>
            <w:r>
              <w:rPr>
                <w:rFonts w:ascii="Times New Roman" w:hAnsi="Times New Roman" w:cs="Times New Roman" w:eastAsia="Times New Roman"/>
                <w:b w:val="0"/>
                <w:i w:val="0"/>
                <w:sz w:val="18"/>
                <w:u w:val="none"/>
              </w:rPr>
              <w:t>Soft costs — Borrower equity</w:t>
            </w:r>
          </w:p>
        </w:tc>
        <w:tc>
          <w:tcPr>
            <w:tcW w:type="dxa" w:w="2040"/>
          </w:tcPr>
          <w:p>
            <w:pPr>
              <w:spacing w:after="40" w:before="40" w:line="240" w:lineRule="auto"/>
              <w:jc w:val="left"/>
            </w:pPr>
            <w:r/>
            <w:r>
              <w:rPr>
                <w:rFonts w:ascii="Times New Roman" w:hAnsi="Times New Roman" w:cs="Times New Roman" w:eastAsia="Times New Roman"/>
                <w:b w:val="0"/>
                <w:i w:val="0"/>
                <w:sz w:val="18"/>
                <w:u w:val="none"/>
              </w:rPr>
              <w:t>$150,000</w:t>
            </w:r>
          </w:p>
        </w:tc>
        <w:tc>
          <w:tcPr>
            <w:tcW w:type="dxa" w:w="2040"/>
          </w:tcPr>
          <w:p>
            <w:pPr>
              <w:spacing w:after="40" w:before="40" w:line="240" w:lineRule="auto"/>
              <w:jc w:val="left"/>
            </w:pPr>
            <w:r/>
            <w:r>
              <w:rPr>
                <w:rFonts w:ascii="Times New Roman" w:hAnsi="Times New Roman" w:cs="Times New Roman" w:eastAsia="Times New Roman"/>
                <w:b w:val="0"/>
                <w:i w:val="0"/>
                <w:sz w:val="18"/>
                <w:u w:val="none"/>
              </w:rPr>
              <w:t>$145,000</w:t>
            </w:r>
          </w:p>
        </w:tc>
        <w:tc>
          <w:tcPr>
            <w:tcW w:type="dxa" w:w="1800"/>
          </w:tcPr>
          <w:p>
            <w:pPr>
              <w:spacing w:after="40" w:before="40" w:line="240" w:lineRule="auto"/>
              <w:jc w:val="left"/>
            </w:pPr>
            <w:r/>
            <w:r>
              <w:rPr>
                <w:rFonts w:ascii="Times New Roman" w:hAnsi="Times New Roman" w:cs="Times New Roman" w:eastAsia="Times New Roman"/>
                <w:b w:val="0"/>
                <w:i w:val="0"/>
                <w:sz w:val="18"/>
                <w:u w:val="none"/>
              </w:rPr>
              <w:t>−$5,000</w:t>
            </w:r>
          </w:p>
        </w:tc>
      </w:tr>
      <w:tr>
        <w:tc>
          <w:tcPr>
            <w:tcW w:type="dxa" w:w="3480"/>
          </w:tcPr>
          <w:p>
            <w:pPr>
              <w:spacing w:after="40" w:before="40" w:line="240" w:lineRule="auto"/>
              <w:jc w:val="left"/>
            </w:pPr>
            <w:r/>
            <w:r>
              <w:rPr>
                <w:rFonts w:ascii="Times New Roman" w:hAnsi="Times New Roman" w:cs="Times New Roman" w:eastAsia="Times New Roman"/>
                <w:b w:val="0"/>
                <w:i w:val="0"/>
                <w:sz w:val="18"/>
                <w:u w:val="none"/>
              </w:rPr>
              <w:t>Total Borrower equity</w:t>
            </w:r>
          </w:p>
        </w:tc>
        <w:tc>
          <w:tcPr>
            <w:tcW w:type="dxa" w:w="2040"/>
          </w:tcPr>
          <w:p>
            <w:pPr>
              <w:spacing w:after="40" w:before="40" w:line="240" w:lineRule="auto"/>
              <w:jc w:val="left"/>
            </w:pPr>
            <w:r/>
            <w:r>
              <w:rPr>
                <w:rFonts w:ascii="Times New Roman" w:hAnsi="Times New Roman" w:cs="Times New Roman" w:eastAsia="Times New Roman"/>
                <w:b w:val="0"/>
                <w:i w:val="0"/>
                <w:sz w:val="18"/>
                <w:u w:val="none"/>
              </w:rPr>
              <w:t>$900,000</w:t>
            </w:r>
          </w:p>
        </w:tc>
        <w:tc>
          <w:tcPr>
            <w:tcW w:type="dxa" w:w="2040"/>
          </w:tcPr>
          <w:p>
            <w:pPr>
              <w:spacing w:after="40" w:before="40" w:line="240" w:lineRule="auto"/>
              <w:jc w:val="left"/>
            </w:pPr>
            <w:r/>
            <w:r>
              <w:rPr>
                <w:rFonts w:ascii="Times New Roman" w:hAnsi="Times New Roman" w:cs="Times New Roman" w:eastAsia="Times New Roman"/>
                <w:b/>
                <w:i w:val="0"/>
                <w:sz w:val="18"/>
                <w:u w:val="none"/>
              </w:rPr>
              <w:t>$905,000</w:t>
            </w:r>
            <w:r>
              <w:rPr>
                <w:rFonts w:ascii="Times New Roman" w:hAnsi="Times New Roman" w:cs="Times New Roman" w:eastAsia="Times New Roman"/>
                <w:b w:val="0"/>
                <w:i w:val="0"/>
                <w:sz w:val="18"/>
                <w:u w:val="none"/>
              </w:rPr>
              <w:t xml:space="preserve"> (the schedule’s own total row states $900,000)</w:t>
            </w:r>
          </w:p>
        </w:tc>
        <w:tc>
          <w:tcPr>
            <w:tcW w:type="dxa" w:w="1800"/>
          </w:tcPr>
          <w:p>
            <w:pPr>
              <w:spacing w:after="40" w:before="40" w:line="240" w:lineRule="auto"/>
              <w:jc w:val="left"/>
            </w:pPr>
            <w:r/>
            <w:r>
              <w:rPr>
                <w:rFonts w:ascii="Times New Roman" w:hAnsi="Times New Roman" w:cs="Times New Roman" w:eastAsia="Times New Roman"/>
                <w:b/>
                <w:i w:val="0"/>
                <w:sz w:val="18"/>
                <w:u w:val="none"/>
              </w:rPr>
              <w:t>+$5,000; closing equity balance shown as “($5,000)”</w:t>
            </w:r>
          </w:p>
        </w:tc>
      </w:tr>
      <w:tr>
        <w:tc>
          <w:tcPr>
            <w:tcW w:type="dxa" w:w="3480"/>
          </w:tcPr>
          <w:p>
            <w:pPr>
              <w:spacing w:after="40" w:before="40" w:line="240" w:lineRule="auto"/>
              <w:jc w:val="left"/>
            </w:pPr>
            <w:r/>
            <w:r>
              <w:rPr>
                <w:rFonts w:ascii="Times New Roman" w:hAnsi="Times New Roman" w:cs="Times New Roman" w:eastAsia="Times New Roman"/>
                <w:b w:val="0"/>
                <w:i w:val="0"/>
                <w:sz w:val="18"/>
                <w:u w:val="none"/>
              </w:rPr>
              <w:t>Contingency</w:t>
            </w:r>
          </w:p>
        </w:tc>
        <w:tc>
          <w:tcPr>
            <w:tcW w:type="dxa" w:w="2040"/>
          </w:tcPr>
          <w:p>
            <w:pPr>
              <w:spacing w:after="40" w:before="40" w:line="240" w:lineRule="auto"/>
              <w:jc w:val="left"/>
            </w:pPr>
            <w:r/>
            <w:r>
              <w:rPr>
                <w:rFonts w:ascii="Times New Roman" w:hAnsi="Times New Roman" w:cs="Times New Roman" w:eastAsia="Times New Roman"/>
                <w:b w:val="0"/>
                <w:i w:val="0"/>
                <w:sz w:val="18"/>
                <w:u w:val="none"/>
              </w:rPr>
              <w:t>$100,000 ÷ $3,150,000 = 3.17%</w:t>
            </w:r>
          </w:p>
        </w:tc>
        <w:tc>
          <w:tcPr>
            <w:tcW w:type="dxa" w:w="2040"/>
          </w:tcPr>
          <w:p>
            <w:pPr>
              <w:spacing w:after="40" w:before="40" w:line="240" w:lineRule="auto"/>
              <w:jc w:val="left"/>
            </w:pPr>
            <w:r/>
            <w:r>
              <w:rPr>
                <w:rFonts w:ascii="Times New Roman" w:hAnsi="Times New Roman" w:cs="Times New Roman" w:eastAsia="Times New Roman"/>
                <w:b w:val="0"/>
                <w:i w:val="0"/>
                <w:sz w:val="18"/>
                <w:u w:val="none"/>
              </w:rPr>
              <w:t>—</w:t>
            </w:r>
          </w:p>
        </w:tc>
        <w:tc>
          <w:tcPr>
            <w:tcW w:type="dxa" w:w="1800"/>
          </w:tcPr>
          <w:p>
            <w:pPr>
              <w:spacing w:after="40" w:before="40" w:line="240" w:lineRule="auto"/>
              <w:jc w:val="left"/>
            </w:pPr>
            <w:r/>
            <w:r>
              <w:rPr>
                <w:rFonts w:ascii="Times New Roman" w:hAnsi="Times New Roman" w:cs="Times New Roman" w:eastAsia="Times New Roman"/>
                <w:b w:val="0"/>
                <w:i w:val="0"/>
                <w:sz w:val="18"/>
                <w:u w:val="none"/>
              </w:rPr>
              <w:t>Below the 5%–10% range customary for a renovation of this scope</w:t>
            </w:r>
          </w:p>
        </w:tc>
      </w:tr>
      <w:tr>
        <w:tc>
          <w:tcPr>
            <w:tcW w:type="dxa" w:w="3480"/>
          </w:tcPr>
          <w:p>
            <w:pPr>
              <w:spacing w:after="40" w:before="40" w:line="240" w:lineRule="auto"/>
              <w:jc w:val="left"/>
            </w:pPr>
            <w:r/>
            <w:r>
              <w:rPr>
                <w:rFonts w:ascii="Times New Roman" w:hAnsi="Times New Roman" w:cs="Times New Roman" w:eastAsia="Times New Roman"/>
                <w:b w:val="0"/>
                <w:i w:val="0"/>
                <w:sz w:val="18"/>
                <w:u w:val="none"/>
              </w:rPr>
              <w:t>Retainage (10% of Holdback)</w:t>
            </w:r>
          </w:p>
        </w:tc>
        <w:tc>
          <w:tcPr>
            <w:tcW w:type="dxa" w:w="2040"/>
          </w:tcPr>
          <w:p>
            <w:pPr>
              <w:spacing w:after="40" w:before="40" w:line="240" w:lineRule="auto"/>
              <w:jc w:val="left"/>
            </w:pPr>
            <w:r/>
            <w:r>
              <w:rPr>
                <w:rFonts w:ascii="Times New Roman" w:hAnsi="Times New Roman" w:cs="Times New Roman" w:eastAsia="Times New Roman"/>
                <w:b w:val="0"/>
                <w:i w:val="0"/>
                <w:sz w:val="18"/>
                <w:u w:val="none"/>
              </w:rPr>
              <w:t>$225,000 to be withheld and released at Substantial Completion</w:t>
            </w:r>
          </w:p>
        </w:tc>
        <w:tc>
          <w:tcPr>
            <w:tcW w:type="dxa" w:w="2040"/>
          </w:tcPr>
          <w:p>
            <w:pPr>
              <w:spacing w:after="40" w:before="40" w:line="240" w:lineRule="auto"/>
              <w:jc w:val="left"/>
            </w:pPr>
            <w:r/>
            <w:r>
              <w:rPr>
                <w:rFonts w:ascii="Times New Roman" w:hAnsi="Times New Roman" w:cs="Times New Roman" w:eastAsia="Times New Roman"/>
                <w:b w:val="0"/>
                <w:i w:val="0"/>
                <w:sz w:val="18"/>
                <w:u w:val="none"/>
              </w:rPr>
              <w:t>Only $15,000 of Holdback remains at month 14</w:t>
            </w:r>
          </w:p>
        </w:tc>
        <w:tc>
          <w:tcPr>
            <w:tcW w:type="dxa" w:w="1800"/>
          </w:tcPr>
          <w:p>
            <w:pPr>
              <w:spacing w:after="40" w:before="40" w:line="240" w:lineRule="auto"/>
              <w:jc w:val="left"/>
            </w:pPr>
            <w:r/>
            <w:r>
              <w:rPr>
                <w:rFonts w:ascii="Times New Roman" w:hAnsi="Times New Roman" w:cs="Times New Roman" w:eastAsia="Times New Roman"/>
                <w:b/>
                <w:i w:val="0"/>
                <w:sz w:val="18"/>
                <w:u w:val="none"/>
              </w:rPr>
              <w:t>Schedule does not implement the retainage mechanic at all</w:t>
            </w:r>
          </w:p>
        </w:tc>
      </w:tr>
      <w:tr>
        <w:tc>
          <w:tcPr>
            <w:tcW w:type="dxa" w:w="3480"/>
          </w:tcPr>
          <w:p>
            <w:pPr>
              <w:spacing w:after="40" w:before="40" w:line="240" w:lineRule="auto"/>
              <w:jc w:val="left"/>
            </w:pPr>
            <w:r/>
            <w:r>
              <w:rPr>
                <w:rFonts w:ascii="Times New Roman" w:hAnsi="Times New Roman" w:cs="Times New Roman" w:eastAsia="Times New Roman"/>
                <w:b w:val="0"/>
                <w:i w:val="0"/>
                <w:sz w:val="18"/>
                <w:u w:val="none"/>
              </w:rPr>
              <w:t>Final draw date</w:t>
            </w:r>
          </w:p>
        </w:tc>
        <w:tc>
          <w:tcPr>
            <w:tcW w:type="dxa" w:w="2040"/>
          </w:tcPr>
          <w:p>
            <w:pPr>
              <w:spacing w:after="40" w:before="40" w:line="240" w:lineRule="auto"/>
              <w:jc w:val="left"/>
            </w:pPr>
            <w:r/>
            <w:r>
              <w:rPr>
                <w:rFonts w:ascii="Times New Roman" w:hAnsi="Times New Roman" w:cs="Times New Roman" w:eastAsia="Times New Roman"/>
                <w:b w:val="0"/>
                <w:i w:val="0"/>
                <w:sz w:val="18"/>
                <w:u w:val="none"/>
              </w:rPr>
              <w:t>—</w:t>
            </w:r>
          </w:p>
        </w:tc>
        <w:tc>
          <w:tcPr>
            <w:tcW w:type="dxa" w:w="2040"/>
          </w:tcPr>
          <w:p>
            <w:pPr>
              <w:spacing w:after="40" w:before="40" w:line="240" w:lineRule="auto"/>
              <w:jc w:val="left"/>
            </w:pPr>
            <w:r/>
            <w:r>
              <w:rPr>
                <w:rFonts w:ascii="Times New Roman" w:hAnsi="Times New Roman" w:cs="Times New Roman" w:eastAsia="Times New Roman"/>
                <w:b w:val="0"/>
                <w:i w:val="0"/>
                <w:sz w:val="18"/>
                <w:u w:val="none"/>
              </w:rPr>
              <w:t>Month 14 = June 15, 2026</w:t>
            </w:r>
          </w:p>
        </w:tc>
        <w:tc>
          <w:tcPr>
            <w:tcW w:type="dxa" w:w="1800"/>
          </w:tcPr>
          <w:p>
            <w:pPr>
              <w:spacing w:after="40" w:before="40" w:line="240" w:lineRule="auto"/>
              <w:jc w:val="left"/>
            </w:pPr>
            <w:r/>
            <w:r>
              <w:rPr>
                <w:rFonts w:ascii="Times New Roman" w:hAnsi="Times New Roman" w:cs="Times New Roman" w:eastAsia="Times New Roman"/>
                <w:b w:val="0"/>
                <w:i w:val="0"/>
                <w:sz w:val="18"/>
                <w:u w:val="none"/>
              </w:rPr>
              <w:t>Identical to the Substantial Completion Deadline: zero float</w:t>
            </w:r>
          </w:p>
        </w:tc>
      </w:tr>
    </w:tbl>
    <w:p>
      <w:pPr>
        <w:keepNext w:val="0"/>
        <w:spacing w:before="0" w:after="40" w:line="240" w:lineRule="auto"/>
        <w:ind w:left="0"/>
        <w:jc w:val="both"/>
      </w:pPr>
    </w:p>
    <w:p>
      <w:pPr>
        <w:keepNext w:val="0"/>
        <w:spacing w:before="0" w:after="160" w:line="240" w:lineRule="auto"/>
        <w:ind w:left="0"/>
        <w:jc w:val="both"/>
      </w:pPr>
      <w:r>
        <w:rPr>
          <w:rFonts w:ascii="Times New Roman" w:hAnsi="Times New Roman" w:cs="Times New Roman" w:eastAsia="Times New Roman"/>
          <w:b w:val="0"/>
          <w:i w:val="0"/>
          <w:sz w:val="24"/>
          <w:u w:val="none"/>
        </w:rPr>
        <w:t xml:space="preserve">The draw schedule’s net effect is that the elevator line is funded $425,000 from the schedule ($325,000 Holdback plus $100,000 equity) against a $475,000 budget for long-lead equipment that must be ordered at closing and is required for the certificate of occupancy and ADA compliance. The $50,000 difference is not identified as a Borrower obligation anywhere in the record, and the Renovation Holdback is exhausted at month 14. </w:t>
      </w:r>
      <w:r>
        <w:rPr>
          <w:rFonts w:ascii="Times New Roman" w:hAnsi="Times New Roman" w:cs="Times New Roman" w:eastAsia="Times New Roman"/>
          <w:b/>
          <w:i w:val="0"/>
          <w:sz w:val="24"/>
          <w:u w:val="none"/>
        </w:rPr>
        <w:t>Action:</w:t>
      </w:r>
      <w:r>
        <w:rPr>
          <w:rFonts w:ascii="Times New Roman" w:hAnsi="Times New Roman" w:cs="Times New Roman" w:eastAsia="Times New Roman"/>
          <w:b w:val="0"/>
          <w:i w:val="0"/>
          <w:sz w:val="24"/>
          <w:u w:val="none"/>
        </w:rPr>
        <w:t xml:space="preserve"> require a corrected draw schedule as a closing condition, showing a retainage-compliant draw curve, a line-by-line tie to the budget, and the funding source for the $50,000 elevator shortfall. The Mortgage requires draws against the budget (Section 10.5) and imposes the 10% retainage (Section 10.6) independent of the schedule, and Section 10.9 records the non-ratable equity issue.</w:t>
      </w:r>
    </w:p>
    <w:p>
      <w:pPr>
        <w:keepNext/>
        <w:spacing w:before="200" w:after="120" w:line="240" w:lineRule="auto"/>
        <w:ind w:left="0"/>
        <w:jc w:val="left"/>
      </w:pPr>
      <w:r>
        <w:rPr>
          <w:rFonts w:ascii="Times New Roman" w:hAnsi="Times New Roman" w:cs="Times New Roman" w:eastAsia="Times New Roman"/>
          <w:b/>
          <w:i w:val="0"/>
          <w:sz w:val="24"/>
          <w:u w:val="none"/>
        </w:rPr>
        <w:t>4.8 Date Computations.</w:t>
      </w:r>
    </w:p>
    <w:tbl>
      <w:tblPr>
        <w:tblStyle w:val="TableGrid"/>
        <w:tblW w:type="auto" w:w="0"/>
        <w:jc w:val="center"/>
        <w:tblLayout w:type="fixed"/>
        <w:tblLook w:firstColumn="1" w:firstRow="1" w:lastColumn="0" w:lastRow="0" w:noHBand="0" w:noVBand="1" w:val="04A0"/>
        <w:tblLayout w:type="fixed"/>
        <w:tblW w:w="9360" w:type="dxa"/>
        <w:tblCellMar>
          <w:left w:w="72" w:type="dxa"/>
          <w:right w:w="72" w:type="dxa"/>
          <w:top w:w="36" w:type="dxa"/>
          <w:bottom w:w="36" w:type="dxa"/>
        </w:tblCellMar>
      </w:tblPr>
      <w:tblGrid>
        <w:gridCol w:w="3716"/>
        <w:gridCol w:w="3578"/>
        <w:gridCol w:w="2064"/>
      </w:tblGrid>
      <w:tr>
        <w:tc>
          <w:tcPr>
            <w:tcW w:type="dxa" w:w="3716"/>
            <w:shd w:val="clear" w:color="auto" w:fill="D9D9D9"/>
          </w:tcPr>
          <w:p>
            <w:pPr>
              <w:spacing w:after="40" w:before="40" w:line="240" w:lineRule="auto"/>
              <w:jc w:val="left"/>
            </w:pPr>
            <w:r/>
            <w:r>
              <w:rPr>
                <w:rFonts w:ascii="Times New Roman" w:hAnsi="Times New Roman" w:cs="Times New Roman" w:eastAsia="Times New Roman"/>
                <w:b/>
                <w:i w:val="0"/>
                <w:sz w:val="18"/>
                <w:u w:val="none"/>
              </w:rPr>
              <w:t>Interval</w:t>
            </w:r>
          </w:p>
        </w:tc>
        <w:tc>
          <w:tcPr>
            <w:tcW w:type="dxa" w:w="3579"/>
            <w:shd w:val="clear" w:color="auto" w:fill="D9D9D9"/>
          </w:tcPr>
          <w:p>
            <w:pPr>
              <w:spacing w:after="40" w:before="40" w:line="240" w:lineRule="auto"/>
              <w:jc w:val="left"/>
            </w:pPr>
            <w:r/>
            <w:r>
              <w:rPr>
                <w:rFonts w:ascii="Times New Roman" w:hAnsi="Times New Roman" w:cs="Times New Roman" w:eastAsia="Times New Roman"/>
                <w:b/>
                <w:i w:val="0"/>
                <w:sz w:val="18"/>
                <w:u w:val="none"/>
              </w:rPr>
              <w:t>Computation</w:t>
            </w:r>
          </w:p>
        </w:tc>
        <w:tc>
          <w:tcPr>
            <w:tcW w:type="dxa" w:w="2065"/>
            <w:shd w:val="clear" w:color="auto" w:fill="D9D9D9"/>
          </w:tcPr>
          <w:p>
            <w:pPr>
              <w:spacing w:after="40" w:before="40" w:line="240" w:lineRule="auto"/>
              <w:jc w:val="left"/>
            </w:pPr>
            <w:r/>
            <w:r>
              <w:rPr>
                <w:rFonts w:ascii="Times New Roman" w:hAnsi="Times New Roman" w:cs="Times New Roman" w:eastAsia="Times New Roman"/>
                <w:b/>
                <w:i w:val="0"/>
                <w:sz w:val="18"/>
                <w:u w:val="none"/>
              </w:rPr>
              <w:t>Result</w:t>
            </w:r>
          </w:p>
        </w:tc>
      </w:tr>
      <w:tr>
        <w:tc>
          <w:tcPr>
            <w:tcW w:type="dxa" w:w="3716"/>
          </w:tcPr>
          <w:p>
            <w:pPr>
              <w:spacing w:after="40" w:before="40" w:line="240" w:lineRule="auto"/>
              <w:jc w:val="left"/>
            </w:pPr>
            <w:r/>
            <w:r>
              <w:rPr>
                <w:rFonts w:ascii="Times New Roman" w:hAnsi="Times New Roman" w:cs="Times New Roman" w:eastAsia="Times New Roman"/>
                <w:b w:val="0"/>
                <w:i w:val="0"/>
                <w:sz w:val="18"/>
                <w:u w:val="none"/>
              </w:rPr>
              <w:t>Closing Date to first Payment Date</w:t>
            </w:r>
          </w:p>
        </w:tc>
        <w:tc>
          <w:tcPr>
            <w:tcW w:type="dxa" w:w="3579"/>
          </w:tcPr>
          <w:p>
            <w:pPr>
              <w:spacing w:after="40" w:before="40" w:line="240" w:lineRule="auto"/>
              <w:jc w:val="left"/>
            </w:pPr>
            <w:r/>
            <w:r>
              <w:rPr>
                <w:rFonts w:ascii="Times New Roman" w:hAnsi="Times New Roman" w:cs="Times New Roman" w:eastAsia="Times New Roman"/>
                <w:b w:val="0"/>
                <w:i w:val="0"/>
                <w:sz w:val="18"/>
                <w:u w:val="none"/>
              </w:rPr>
              <w:t>April 15, 2025 to May 15, 2025</w:t>
            </w:r>
          </w:p>
        </w:tc>
        <w:tc>
          <w:tcPr>
            <w:tcW w:type="dxa" w:w="2065"/>
          </w:tcPr>
          <w:p>
            <w:pPr>
              <w:spacing w:after="40" w:before="40" w:line="240" w:lineRule="auto"/>
              <w:jc w:val="left"/>
            </w:pPr>
            <w:r/>
            <w:r>
              <w:rPr>
                <w:rFonts w:ascii="Times New Roman" w:hAnsi="Times New Roman" w:cs="Times New Roman" w:eastAsia="Times New Roman"/>
                <w:b w:val="0"/>
                <w:i w:val="0"/>
                <w:sz w:val="18"/>
                <w:u w:val="none"/>
              </w:rPr>
              <w:t>One month — consistent</w:t>
            </w:r>
          </w:p>
        </w:tc>
      </w:tr>
      <w:tr>
        <w:tc>
          <w:tcPr>
            <w:tcW w:type="dxa" w:w="3716"/>
          </w:tcPr>
          <w:p>
            <w:pPr>
              <w:spacing w:after="40" w:before="40" w:line="240" w:lineRule="auto"/>
              <w:jc w:val="left"/>
            </w:pPr>
            <w:r/>
            <w:r>
              <w:rPr>
                <w:rFonts w:ascii="Times New Roman" w:hAnsi="Times New Roman" w:cs="Times New Roman" w:eastAsia="Times New Roman"/>
                <w:b w:val="0"/>
                <w:i w:val="0"/>
                <w:sz w:val="18"/>
                <w:u w:val="none"/>
              </w:rPr>
              <w:t>Interest-only period</w:t>
            </w:r>
          </w:p>
        </w:tc>
        <w:tc>
          <w:tcPr>
            <w:tcW w:type="dxa" w:w="3579"/>
          </w:tcPr>
          <w:p>
            <w:pPr>
              <w:spacing w:after="40" w:before="40" w:line="240" w:lineRule="auto"/>
              <w:jc w:val="left"/>
            </w:pPr>
            <w:r/>
            <w:r>
              <w:rPr>
                <w:rFonts w:ascii="Times New Roman" w:hAnsi="Times New Roman" w:cs="Times New Roman" w:eastAsia="Times New Roman"/>
                <w:b w:val="0"/>
                <w:i w:val="0"/>
                <w:sz w:val="18"/>
                <w:u w:val="none"/>
              </w:rPr>
              <w:t>Payments 1 through 24, May 15, 2025 to April 15, 2027</w:t>
            </w:r>
          </w:p>
        </w:tc>
        <w:tc>
          <w:tcPr>
            <w:tcW w:type="dxa" w:w="2065"/>
          </w:tcPr>
          <w:p>
            <w:pPr>
              <w:spacing w:after="40" w:before="40" w:line="240" w:lineRule="auto"/>
              <w:jc w:val="left"/>
            </w:pPr>
            <w:r/>
            <w:r>
              <w:rPr>
                <w:rFonts w:ascii="Times New Roman" w:hAnsi="Times New Roman" w:cs="Times New Roman" w:eastAsia="Times New Roman"/>
                <w:b w:val="0"/>
                <w:i w:val="0"/>
                <w:sz w:val="18"/>
                <w:u w:val="none"/>
              </w:rPr>
              <w:t>Verified; Term Sheet § 3.9 states “on or about April 15, 2027”</w:t>
            </w:r>
          </w:p>
        </w:tc>
      </w:tr>
      <w:tr>
        <w:tc>
          <w:tcPr>
            <w:tcW w:type="dxa" w:w="3716"/>
          </w:tcPr>
          <w:p>
            <w:pPr>
              <w:spacing w:after="40" w:before="40" w:line="240" w:lineRule="auto"/>
              <w:jc w:val="left"/>
            </w:pPr>
            <w:r/>
            <w:r>
              <w:rPr>
                <w:rFonts w:ascii="Times New Roman" w:hAnsi="Times New Roman" w:cs="Times New Roman" w:eastAsia="Times New Roman"/>
                <w:b w:val="0"/>
                <w:i w:val="0"/>
                <w:sz w:val="18"/>
                <w:u w:val="none"/>
              </w:rPr>
              <w:t>First principal and interest payment</w:t>
            </w:r>
          </w:p>
        </w:tc>
        <w:tc>
          <w:tcPr>
            <w:tcW w:type="dxa" w:w="3579"/>
          </w:tcPr>
          <w:p>
            <w:pPr>
              <w:spacing w:after="40" w:before="40" w:line="240" w:lineRule="auto"/>
              <w:jc w:val="left"/>
            </w:pPr>
            <w:r/>
            <w:r>
              <w:rPr>
                <w:rFonts w:ascii="Times New Roman" w:hAnsi="Times New Roman" w:cs="Times New Roman" w:eastAsia="Times New Roman"/>
                <w:b w:val="0"/>
                <w:i w:val="0"/>
                <w:sz w:val="18"/>
                <w:u w:val="none"/>
              </w:rPr>
              <w:t>May 15, 2027 (Term Sheet § 3.9)</w:t>
            </w:r>
          </w:p>
        </w:tc>
        <w:tc>
          <w:tcPr>
            <w:tcW w:type="dxa" w:w="2065"/>
          </w:tcPr>
          <w:p>
            <w:pPr>
              <w:spacing w:after="40" w:before="40" w:line="240" w:lineRule="auto"/>
              <w:jc w:val="left"/>
            </w:pPr>
            <w:r/>
            <w:r>
              <w:rPr>
                <w:rFonts w:ascii="Times New Roman" w:hAnsi="Times New Roman" w:cs="Times New Roman" w:eastAsia="Times New Roman"/>
                <w:b w:val="0"/>
                <w:i w:val="0"/>
                <w:sz w:val="18"/>
                <w:u w:val="none"/>
              </w:rPr>
              <w:t>Verified as month 25</w:t>
            </w:r>
          </w:p>
        </w:tc>
      </w:tr>
      <w:tr>
        <w:tc>
          <w:tcPr>
            <w:tcW w:type="dxa" w:w="3716"/>
          </w:tcPr>
          <w:p>
            <w:pPr>
              <w:spacing w:after="40" w:before="40" w:line="240" w:lineRule="auto"/>
              <w:jc w:val="left"/>
            </w:pPr>
            <w:r/>
            <w:r>
              <w:rPr>
                <w:rFonts w:ascii="Times New Roman" w:hAnsi="Times New Roman" w:cs="Times New Roman" w:eastAsia="Times New Roman"/>
                <w:b w:val="0"/>
                <w:i w:val="0"/>
                <w:sz w:val="18"/>
                <w:u w:val="none"/>
              </w:rPr>
              <w:t>Maturity</w:t>
            </w:r>
          </w:p>
        </w:tc>
        <w:tc>
          <w:tcPr>
            <w:tcW w:type="dxa" w:w="3579"/>
          </w:tcPr>
          <w:p>
            <w:pPr>
              <w:spacing w:after="40" w:before="40" w:line="240" w:lineRule="auto"/>
              <w:jc w:val="left"/>
            </w:pPr>
            <w:r/>
            <w:r>
              <w:rPr>
                <w:rFonts w:ascii="Times New Roman" w:hAnsi="Times New Roman" w:cs="Times New Roman" w:eastAsia="Times New Roman"/>
                <w:b w:val="0"/>
                <w:i w:val="0"/>
                <w:sz w:val="18"/>
                <w:u w:val="none"/>
              </w:rPr>
              <w:t>April 15, 2025 + 60 months</w:t>
            </w:r>
          </w:p>
        </w:tc>
        <w:tc>
          <w:tcPr>
            <w:tcW w:type="dxa" w:w="2065"/>
          </w:tcPr>
          <w:p>
            <w:pPr>
              <w:spacing w:after="40" w:before="40" w:line="240" w:lineRule="auto"/>
              <w:jc w:val="left"/>
            </w:pPr>
            <w:r/>
            <w:r>
              <w:rPr>
                <w:rFonts w:ascii="Times New Roman" w:hAnsi="Times New Roman" w:cs="Times New Roman" w:eastAsia="Times New Roman"/>
                <w:b w:val="0"/>
                <w:i w:val="0"/>
                <w:sz w:val="18"/>
                <w:u w:val="none"/>
              </w:rPr>
              <w:t>April 15, 2030 — verified</w:t>
            </w:r>
          </w:p>
        </w:tc>
      </w:tr>
      <w:tr>
        <w:tc>
          <w:tcPr>
            <w:tcW w:type="dxa" w:w="3716"/>
          </w:tcPr>
          <w:p>
            <w:pPr>
              <w:spacing w:after="40" w:before="40" w:line="240" w:lineRule="auto"/>
              <w:jc w:val="left"/>
            </w:pPr>
            <w:r/>
            <w:r>
              <w:rPr>
                <w:rFonts w:ascii="Times New Roman" w:hAnsi="Times New Roman" w:cs="Times New Roman" w:eastAsia="Times New Roman"/>
                <w:b w:val="0"/>
                <w:i w:val="0"/>
                <w:sz w:val="18"/>
                <w:u w:val="none"/>
              </w:rPr>
              <w:t>Lockout Period</w:t>
            </w:r>
          </w:p>
        </w:tc>
        <w:tc>
          <w:tcPr>
            <w:tcW w:type="dxa" w:w="3579"/>
          </w:tcPr>
          <w:p>
            <w:pPr>
              <w:spacing w:after="40" w:before="40" w:line="240" w:lineRule="auto"/>
              <w:jc w:val="left"/>
            </w:pPr>
            <w:r/>
            <w:r>
              <w:rPr>
                <w:rFonts w:ascii="Times New Roman" w:hAnsi="Times New Roman" w:cs="Times New Roman" w:eastAsia="Times New Roman"/>
                <w:b w:val="0"/>
                <w:i w:val="0"/>
                <w:sz w:val="18"/>
                <w:u w:val="none"/>
              </w:rPr>
              <w:t>Months 1–24</w:t>
            </w:r>
          </w:p>
        </w:tc>
        <w:tc>
          <w:tcPr>
            <w:tcW w:type="dxa" w:w="2065"/>
          </w:tcPr>
          <w:p>
            <w:pPr>
              <w:spacing w:after="40" w:before="40" w:line="240" w:lineRule="auto"/>
              <w:jc w:val="left"/>
            </w:pPr>
            <w:r/>
            <w:r>
              <w:rPr>
                <w:rFonts w:ascii="Times New Roman" w:hAnsi="Times New Roman" w:cs="Times New Roman" w:eastAsia="Times New Roman"/>
                <w:b w:val="0"/>
                <w:i w:val="0"/>
                <w:sz w:val="18"/>
                <w:u w:val="none"/>
              </w:rPr>
              <w:t>April 15, 2025 to April 15, 2027</w:t>
            </w:r>
          </w:p>
        </w:tc>
      </w:tr>
      <w:tr>
        <w:tc>
          <w:tcPr>
            <w:tcW w:type="dxa" w:w="3716"/>
          </w:tcPr>
          <w:p>
            <w:pPr>
              <w:spacing w:after="40" w:before="40" w:line="240" w:lineRule="auto"/>
              <w:jc w:val="left"/>
            </w:pPr>
            <w:r/>
            <w:r>
              <w:rPr>
                <w:rFonts w:ascii="Times New Roman" w:hAnsi="Times New Roman" w:cs="Times New Roman" w:eastAsia="Times New Roman"/>
                <w:b w:val="0"/>
                <w:i w:val="0"/>
                <w:sz w:val="18"/>
                <w:u w:val="none"/>
              </w:rPr>
              <w:t>Yield Maintenance Period</w:t>
            </w:r>
          </w:p>
        </w:tc>
        <w:tc>
          <w:tcPr>
            <w:tcW w:type="dxa" w:w="3579"/>
          </w:tcPr>
          <w:p>
            <w:pPr>
              <w:spacing w:after="40" w:before="40" w:line="240" w:lineRule="auto"/>
              <w:jc w:val="left"/>
            </w:pPr>
            <w:r/>
            <w:r>
              <w:rPr>
                <w:rFonts w:ascii="Times New Roman" w:hAnsi="Times New Roman" w:cs="Times New Roman" w:eastAsia="Times New Roman"/>
                <w:b w:val="0"/>
                <w:i w:val="0"/>
                <w:sz w:val="18"/>
                <w:u w:val="none"/>
              </w:rPr>
              <w:t>Months 25–48</w:t>
            </w:r>
          </w:p>
        </w:tc>
        <w:tc>
          <w:tcPr>
            <w:tcW w:type="dxa" w:w="2065"/>
          </w:tcPr>
          <w:p>
            <w:pPr>
              <w:spacing w:after="40" w:before="40" w:line="240" w:lineRule="auto"/>
              <w:jc w:val="left"/>
            </w:pPr>
            <w:r/>
            <w:r>
              <w:rPr>
                <w:rFonts w:ascii="Times New Roman" w:hAnsi="Times New Roman" w:cs="Times New Roman" w:eastAsia="Times New Roman"/>
                <w:b w:val="0"/>
                <w:i w:val="0"/>
                <w:sz w:val="18"/>
                <w:u w:val="none"/>
              </w:rPr>
              <w:t>April 15, 2027 to April 15, 2029 — end date verified</w:t>
            </w:r>
          </w:p>
        </w:tc>
      </w:tr>
      <w:tr>
        <w:tc>
          <w:tcPr>
            <w:tcW w:type="dxa" w:w="3716"/>
          </w:tcPr>
          <w:p>
            <w:pPr>
              <w:spacing w:after="40" w:before="40" w:line="240" w:lineRule="auto"/>
              <w:jc w:val="left"/>
            </w:pPr>
            <w:r/>
            <w:r>
              <w:rPr>
                <w:rFonts w:ascii="Times New Roman" w:hAnsi="Times New Roman" w:cs="Times New Roman" w:eastAsia="Times New Roman"/>
                <w:b w:val="0"/>
                <w:i w:val="0"/>
                <w:sz w:val="18"/>
                <w:u w:val="none"/>
              </w:rPr>
              <w:t>Open Prepayment Period</w:t>
            </w:r>
          </w:p>
        </w:tc>
        <w:tc>
          <w:tcPr>
            <w:tcW w:type="dxa" w:w="3579"/>
          </w:tcPr>
          <w:p>
            <w:pPr>
              <w:spacing w:after="40" w:before="40" w:line="240" w:lineRule="auto"/>
              <w:jc w:val="left"/>
            </w:pPr>
            <w:r/>
            <w:r>
              <w:rPr>
                <w:rFonts w:ascii="Times New Roman" w:hAnsi="Times New Roman" w:cs="Times New Roman" w:eastAsia="Times New Roman"/>
                <w:b w:val="0"/>
                <w:i w:val="0"/>
                <w:sz w:val="18"/>
                <w:u w:val="none"/>
              </w:rPr>
              <w:t>Months 49–60</w:t>
            </w:r>
          </w:p>
        </w:tc>
        <w:tc>
          <w:tcPr>
            <w:tcW w:type="dxa" w:w="2065"/>
          </w:tcPr>
          <w:p>
            <w:pPr>
              <w:spacing w:after="40" w:before="40" w:line="240" w:lineRule="auto"/>
              <w:jc w:val="left"/>
            </w:pPr>
            <w:r/>
            <w:r>
              <w:rPr>
                <w:rFonts w:ascii="Times New Roman" w:hAnsi="Times New Roman" w:cs="Times New Roman" w:eastAsia="Times New Roman"/>
                <w:b w:val="0"/>
                <w:i w:val="0"/>
                <w:sz w:val="18"/>
                <w:u w:val="none"/>
              </w:rPr>
              <w:t>April 15, 2029 to April 15, 2030 = the final 12 months — verified</w:t>
            </w:r>
          </w:p>
        </w:tc>
      </w:tr>
      <w:tr>
        <w:tc>
          <w:tcPr>
            <w:tcW w:type="dxa" w:w="3716"/>
          </w:tcPr>
          <w:p>
            <w:pPr>
              <w:spacing w:after="40" w:before="40" w:line="240" w:lineRule="auto"/>
              <w:jc w:val="left"/>
            </w:pPr>
            <w:r/>
            <w:r>
              <w:rPr>
                <w:rFonts w:ascii="Times New Roman" w:hAnsi="Times New Roman" w:cs="Times New Roman" w:eastAsia="Times New Roman"/>
                <w:b w:val="0"/>
                <w:i w:val="0"/>
                <w:sz w:val="18"/>
                <w:u w:val="none"/>
              </w:rPr>
              <w:t>Substantial Completion Deadline</w:t>
            </w:r>
          </w:p>
        </w:tc>
        <w:tc>
          <w:tcPr>
            <w:tcW w:type="dxa" w:w="3579"/>
          </w:tcPr>
          <w:p>
            <w:pPr>
              <w:spacing w:after="40" w:before="40" w:line="240" w:lineRule="auto"/>
              <w:jc w:val="left"/>
            </w:pPr>
            <w:r/>
            <w:r>
              <w:rPr>
                <w:rFonts w:ascii="Times New Roman" w:hAnsi="Times New Roman" w:cs="Times New Roman" w:eastAsia="Times New Roman"/>
                <w:b w:val="0"/>
                <w:i w:val="0"/>
                <w:sz w:val="18"/>
                <w:u w:val="none"/>
              </w:rPr>
              <w:t>April 15, 2025 + 14 months</w:t>
            </w:r>
          </w:p>
        </w:tc>
        <w:tc>
          <w:tcPr>
            <w:tcW w:type="dxa" w:w="2065"/>
          </w:tcPr>
          <w:p>
            <w:pPr>
              <w:spacing w:after="40" w:before="40" w:line="240" w:lineRule="auto"/>
              <w:jc w:val="left"/>
            </w:pPr>
            <w:r/>
            <w:r>
              <w:rPr>
                <w:rFonts w:ascii="Times New Roman" w:hAnsi="Times New Roman" w:cs="Times New Roman" w:eastAsia="Times New Roman"/>
                <w:b w:val="0"/>
                <w:i w:val="0"/>
                <w:sz w:val="18"/>
                <w:u w:val="none"/>
              </w:rPr>
              <w:t>June 15, 2026 — verified (Term Sheet § 8.3)</w:t>
            </w:r>
          </w:p>
        </w:tc>
      </w:tr>
      <w:tr>
        <w:tc>
          <w:tcPr>
            <w:tcW w:type="dxa" w:w="3716"/>
          </w:tcPr>
          <w:p>
            <w:pPr>
              <w:spacing w:after="40" w:before="40" w:line="240" w:lineRule="auto"/>
              <w:jc w:val="left"/>
            </w:pPr>
            <w:r/>
            <w:r>
              <w:rPr>
                <w:rFonts w:ascii="Times New Roman" w:hAnsi="Times New Roman" w:cs="Times New Roman" w:eastAsia="Times New Roman"/>
                <w:b w:val="0"/>
                <w:i w:val="0"/>
                <w:sz w:val="18"/>
                <w:u w:val="none"/>
              </w:rPr>
              <w:t>DSCR first test</w:t>
            </w:r>
          </w:p>
        </w:tc>
        <w:tc>
          <w:tcPr>
            <w:tcW w:type="dxa" w:w="3579"/>
          </w:tcPr>
          <w:p>
            <w:pPr>
              <w:spacing w:after="40" w:before="40" w:line="240" w:lineRule="auto"/>
              <w:jc w:val="left"/>
            </w:pPr>
            <w:r/>
            <w:r>
              <w:rPr>
                <w:rFonts w:ascii="Times New Roman" w:hAnsi="Times New Roman" w:cs="Times New Roman" w:eastAsia="Times New Roman"/>
                <w:b w:val="0"/>
                <w:i w:val="0"/>
                <w:sz w:val="18"/>
                <w:u w:val="none"/>
              </w:rPr>
              <w:t>24 months after closing = April 15, 2027; first full calendar quarter ending thereafter = June 30, 2027, certified by July 30, 2027</w:t>
            </w:r>
          </w:p>
        </w:tc>
        <w:tc>
          <w:tcPr>
            <w:tcW w:type="dxa" w:w="2065"/>
          </w:tcPr>
          <w:p>
            <w:pPr>
              <w:spacing w:after="40" w:before="40" w:line="240" w:lineRule="auto"/>
              <w:jc w:val="left"/>
            </w:pPr>
            <w:r/>
            <w:r>
              <w:rPr>
                <w:rFonts w:ascii="Times New Roman" w:hAnsi="Times New Roman" w:cs="Times New Roman" w:eastAsia="Times New Roman"/>
                <w:b w:val="0"/>
                <w:i w:val="0"/>
                <w:sz w:val="18"/>
                <w:u w:val="none"/>
              </w:rPr>
              <w:t xml:space="preserve">Term Sheet § 7.1 describes “approximately July 15, 2027”; the Rent Roll and the March 18 note use April 15, 2027 — </w:t>
            </w:r>
            <w:r>
              <w:rPr>
                <w:rFonts w:ascii="Times New Roman" w:hAnsi="Times New Roman" w:cs="Times New Roman" w:eastAsia="Times New Roman"/>
                <w:b/>
                <w:i w:val="0"/>
                <w:sz w:val="18"/>
                <w:u w:val="none"/>
              </w:rPr>
              <w:t>conflict, see 4.9 and 5.E5</w:t>
            </w:r>
          </w:p>
        </w:tc>
      </w:tr>
      <w:tr>
        <w:tc>
          <w:tcPr>
            <w:tcW w:type="dxa" w:w="3716"/>
          </w:tcPr>
          <w:p>
            <w:pPr>
              <w:spacing w:after="40" w:before="40" w:line="240" w:lineRule="auto"/>
              <w:jc w:val="left"/>
            </w:pPr>
            <w:r/>
            <w:r>
              <w:rPr>
                <w:rFonts w:ascii="Times New Roman" w:hAnsi="Times New Roman" w:cs="Times New Roman" w:eastAsia="Times New Roman"/>
                <w:b w:val="0"/>
                <w:i w:val="0"/>
                <w:sz w:val="18"/>
                <w:u w:val="none"/>
              </w:rPr>
              <w:t>Survey re-certification</w:t>
            </w:r>
          </w:p>
        </w:tc>
        <w:tc>
          <w:tcPr>
            <w:tcW w:type="dxa" w:w="3579"/>
          </w:tcPr>
          <w:p>
            <w:pPr>
              <w:spacing w:after="40" w:before="40" w:line="240" w:lineRule="auto"/>
              <w:jc w:val="left"/>
            </w:pPr>
            <w:r/>
            <w:r>
              <w:rPr>
                <w:rFonts w:ascii="Times New Roman" w:hAnsi="Times New Roman" w:cs="Times New Roman" w:eastAsia="Times New Roman"/>
                <w:b w:val="0"/>
                <w:i w:val="0"/>
                <w:sz w:val="18"/>
                <w:u w:val="none"/>
              </w:rPr>
              <w:t>Closing April 15, 2025 − 90 days</w:t>
            </w:r>
          </w:p>
        </w:tc>
        <w:tc>
          <w:tcPr>
            <w:tcW w:type="dxa" w:w="2065"/>
          </w:tcPr>
          <w:p>
            <w:pPr>
              <w:spacing w:after="40" w:before="40" w:line="240" w:lineRule="auto"/>
              <w:jc w:val="left"/>
            </w:pPr>
            <w:r/>
            <w:r>
              <w:rPr>
                <w:rFonts w:ascii="Times New Roman" w:hAnsi="Times New Roman" w:cs="Times New Roman" w:eastAsia="Times New Roman"/>
                <w:b w:val="0"/>
                <w:i w:val="0"/>
                <w:sz w:val="18"/>
                <w:u w:val="none"/>
              </w:rPr>
              <w:t>January 15, 2025 — the Survey is dated exactly at the limit; a re-certification is required and must be delivered before closing</w:t>
            </w:r>
          </w:p>
        </w:tc>
      </w:tr>
      <w:tr>
        <w:tc>
          <w:tcPr>
            <w:tcW w:type="dxa" w:w="3716"/>
          </w:tcPr>
          <w:p>
            <w:pPr>
              <w:spacing w:after="40" w:before="40" w:line="240" w:lineRule="auto"/>
              <w:jc w:val="left"/>
            </w:pPr>
            <w:r/>
            <w:r>
              <w:rPr>
                <w:rFonts w:ascii="Times New Roman" w:hAnsi="Times New Roman" w:cs="Times New Roman" w:eastAsia="Times New Roman"/>
                <w:b w:val="0"/>
                <w:i w:val="0"/>
                <w:sz w:val="18"/>
                <w:u w:val="none"/>
              </w:rPr>
              <w:t>Title Commitment</w:t>
            </w:r>
          </w:p>
        </w:tc>
        <w:tc>
          <w:tcPr>
            <w:tcW w:type="dxa" w:w="3579"/>
          </w:tcPr>
          <w:p>
            <w:pPr>
              <w:spacing w:after="40" w:before="40" w:line="240" w:lineRule="auto"/>
              <w:jc w:val="left"/>
            </w:pPr>
            <w:r/>
            <w:r>
              <w:rPr>
                <w:rFonts w:ascii="Times New Roman" w:hAnsi="Times New Roman" w:cs="Times New Roman" w:eastAsia="Times New Roman"/>
                <w:b w:val="0"/>
                <w:i w:val="0"/>
                <w:sz w:val="18"/>
                <w:u w:val="none"/>
              </w:rPr>
              <w:t>Effective February 28, 2025; expires 6 months later</w:t>
            </w:r>
          </w:p>
        </w:tc>
        <w:tc>
          <w:tcPr>
            <w:tcW w:type="dxa" w:w="2065"/>
          </w:tcPr>
          <w:p>
            <w:pPr>
              <w:spacing w:after="40" w:before="40" w:line="240" w:lineRule="auto"/>
              <w:jc w:val="left"/>
            </w:pPr>
            <w:r/>
            <w:r>
              <w:rPr>
                <w:rFonts w:ascii="Times New Roman" w:hAnsi="Times New Roman" w:cs="Times New Roman" w:eastAsia="Times New Roman"/>
                <w:b w:val="0"/>
                <w:i w:val="0"/>
                <w:sz w:val="18"/>
                <w:u w:val="none"/>
              </w:rPr>
              <w:t>August 28, 2025 — adequate for an April 15, 2025 closing; requires extension if closing slips</w:t>
            </w:r>
          </w:p>
        </w:tc>
      </w:tr>
      <w:tr>
        <w:tc>
          <w:tcPr>
            <w:tcW w:type="dxa" w:w="3716"/>
          </w:tcPr>
          <w:p>
            <w:pPr>
              <w:spacing w:after="40" w:before="40" w:line="240" w:lineRule="auto"/>
              <w:jc w:val="left"/>
            </w:pPr>
            <w:r/>
            <w:r>
              <w:rPr>
                <w:rFonts w:ascii="Times New Roman" w:hAnsi="Times New Roman" w:cs="Times New Roman" w:eastAsia="Times New Roman"/>
                <w:b w:val="0"/>
                <w:i w:val="0"/>
                <w:sz w:val="18"/>
                <w:u w:val="none"/>
              </w:rPr>
              <w:t>Term Sheet expiration</w:t>
            </w:r>
          </w:p>
        </w:tc>
        <w:tc>
          <w:tcPr>
            <w:tcW w:type="dxa" w:w="3579"/>
          </w:tcPr>
          <w:p>
            <w:pPr>
              <w:spacing w:after="40" w:before="40" w:line="240" w:lineRule="auto"/>
              <w:jc w:val="left"/>
            </w:pPr>
            <w:r/>
            <w:r>
              <w:rPr>
                <w:rFonts w:ascii="Times New Roman" w:hAnsi="Times New Roman" w:cs="Times New Roman" w:eastAsia="Times New Roman"/>
                <w:b w:val="0"/>
                <w:i w:val="0"/>
                <w:sz w:val="18"/>
                <w:u w:val="none"/>
              </w:rPr>
              <w:t>Closing must occur on or before May 15, 2025</w:t>
            </w:r>
          </w:p>
        </w:tc>
        <w:tc>
          <w:tcPr>
            <w:tcW w:type="dxa" w:w="2065"/>
          </w:tcPr>
          <w:p>
            <w:pPr>
              <w:spacing w:after="40" w:before="40" w:line="240" w:lineRule="auto"/>
              <w:jc w:val="left"/>
            </w:pPr>
            <w:r/>
            <w:r>
              <w:rPr>
                <w:rFonts w:ascii="Times New Roman" w:hAnsi="Times New Roman" w:cs="Times New Roman" w:eastAsia="Times New Roman"/>
                <w:b w:val="0"/>
                <w:i w:val="0"/>
                <w:sz w:val="18"/>
                <w:u w:val="none"/>
              </w:rPr>
              <w:t>One month after the anticipated closing date — no margin for a delayed closing</w:t>
            </w:r>
          </w:p>
        </w:tc>
      </w:tr>
      <w:tr>
        <w:tc>
          <w:tcPr>
            <w:tcW w:type="dxa" w:w="3716"/>
          </w:tcPr>
          <w:p>
            <w:pPr>
              <w:spacing w:after="40" w:before="40" w:line="240" w:lineRule="auto"/>
              <w:jc w:val="left"/>
            </w:pPr>
            <w:r/>
            <w:r>
              <w:rPr>
                <w:rFonts w:ascii="Times New Roman" w:hAnsi="Times New Roman" w:cs="Times New Roman" w:eastAsia="Times New Roman"/>
                <w:b w:val="0"/>
                <w:i w:val="0"/>
                <w:sz w:val="18"/>
                <w:u w:val="none"/>
              </w:rPr>
              <w:t>Phase I ESA currency</w:t>
            </w:r>
          </w:p>
        </w:tc>
        <w:tc>
          <w:tcPr>
            <w:tcW w:type="dxa" w:w="3579"/>
          </w:tcPr>
          <w:p>
            <w:pPr>
              <w:spacing w:after="40" w:before="40" w:line="240" w:lineRule="auto"/>
              <w:jc w:val="left"/>
            </w:pPr>
            <w:r/>
            <w:r>
              <w:rPr>
                <w:rFonts w:ascii="Times New Roman" w:hAnsi="Times New Roman" w:cs="Times New Roman" w:eastAsia="Times New Roman"/>
                <w:b w:val="0"/>
                <w:i w:val="0"/>
                <w:sz w:val="18"/>
                <w:u w:val="none"/>
              </w:rPr>
              <w:t>Report January 28, 2025; ASTM E1527-21 all appropriate inquiries generally require updating components older than 180 days</w:t>
            </w:r>
          </w:p>
        </w:tc>
        <w:tc>
          <w:tcPr>
            <w:tcW w:type="dxa" w:w="2065"/>
          </w:tcPr>
          <w:p>
            <w:pPr>
              <w:spacing w:after="40" w:before="40" w:line="240" w:lineRule="auto"/>
              <w:jc w:val="left"/>
            </w:pPr>
            <w:r/>
            <w:r>
              <w:rPr>
                <w:rFonts w:ascii="Times New Roman" w:hAnsi="Times New Roman" w:cs="Times New Roman" w:eastAsia="Times New Roman"/>
                <w:b w:val="0"/>
                <w:i w:val="0"/>
                <w:sz w:val="18"/>
                <w:u w:val="none"/>
              </w:rPr>
              <w:t>July 27, 2025 — adequate, but a closing after that date requires an update</w:t>
            </w:r>
          </w:p>
        </w:tc>
      </w:tr>
    </w:tbl>
    <w:p>
      <w:pPr>
        <w:keepNext w:val="0"/>
        <w:spacing w:before="0" w:after="40" w:line="240" w:lineRule="auto"/>
        <w:ind w:left="0"/>
        <w:jc w:val="both"/>
      </w:pPr>
    </w:p>
    <w:p>
      <w:pPr>
        <w:keepNext/>
        <w:spacing w:before="200" w:after="120" w:line="240" w:lineRule="auto"/>
        <w:ind w:left="0"/>
        <w:jc w:val="left"/>
      </w:pPr>
      <w:r>
        <w:rPr>
          <w:rFonts w:ascii="Times New Roman" w:hAnsi="Times New Roman" w:cs="Times New Roman" w:eastAsia="Times New Roman"/>
          <w:b/>
          <w:i w:val="0"/>
          <w:sz w:val="24"/>
          <w:u w:val="none"/>
        </w:rPr>
        <w:t>4.9 Internal Inconsistencies in the Record.</w:t>
      </w:r>
      <w:r>
        <w:rPr>
          <w:rFonts w:ascii="Times New Roman" w:hAnsi="Times New Roman" w:cs="Times New Roman" w:eastAsia="Times New Roman"/>
          <w:b w:val="0"/>
          <w:i w:val="0"/>
          <w:sz w:val="24"/>
          <w:u w:val="none"/>
        </w:rPr>
        <w:t xml:space="preserve">   The following inconsistencies were identified within and among the source documents. Each is resolved in the draft as indicated, or is carried to Section 5 for instruction.</w:t>
      </w:r>
    </w:p>
    <w:tbl>
      <w:tblPr>
        <w:tblStyle w:val="TableGrid"/>
        <w:tblW w:type="auto" w:w="0"/>
        <w:jc w:val="center"/>
        <w:tblLayout w:type="fixed"/>
        <w:tblLook w:firstColumn="1" w:firstRow="1" w:lastColumn="0" w:lastRow="0" w:noHBand="0" w:noVBand="1" w:val="04A0"/>
        <w:tblLayout w:type="fixed"/>
        <w:tblW w:w="9360" w:type="dxa"/>
        <w:tblCellMar>
          <w:left w:w="72" w:type="dxa"/>
          <w:right w:w="72" w:type="dxa"/>
          <w:top w:w="36" w:type="dxa"/>
          <w:bottom w:w="36" w:type="dxa"/>
        </w:tblCellMar>
      </w:tblPr>
      <w:tblGrid>
        <w:gridCol w:w="2577"/>
        <w:gridCol w:w="3526"/>
        <w:gridCol w:w="2170"/>
        <w:gridCol w:w="1085"/>
      </w:tblGrid>
      <w:tr>
        <w:tc>
          <w:tcPr>
            <w:tcW w:type="dxa" w:w="2577"/>
            <w:shd w:val="clear" w:color="auto" w:fill="D9D9D9"/>
          </w:tcPr>
          <w:p>
            <w:pPr>
              <w:spacing w:after="40" w:before="40" w:line="240" w:lineRule="auto"/>
              <w:jc w:val="left"/>
            </w:pPr>
            <w:r/>
            <w:r>
              <w:rPr>
                <w:rFonts w:ascii="Times New Roman" w:hAnsi="Times New Roman" w:cs="Times New Roman" w:eastAsia="Times New Roman"/>
                <w:b/>
                <w:i w:val="0"/>
                <w:sz w:val="18"/>
                <w:u w:val="none"/>
              </w:rPr>
              <w:t>Inconsistency</w:t>
            </w:r>
          </w:p>
        </w:tc>
        <w:tc>
          <w:tcPr>
            <w:tcW w:type="dxa" w:w="3527"/>
            <w:shd w:val="clear" w:color="auto" w:fill="D9D9D9"/>
          </w:tcPr>
          <w:p>
            <w:pPr>
              <w:spacing w:after="40" w:before="40" w:line="240" w:lineRule="auto"/>
              <w:jc w:val="left"/>
            </w:pPr>
            <w:r/>
            <w:r>
              <w:rPr>
                <w:rFonts w:ascii="Times New Roman" w:hAnsi="Times New Roman" w:cs="Times New Roman" w:eastAsia="Times New Roman"/>
                <w:b/>
                <w:i w:val="0"/>
                <w:sz w:val="18"/>
                <w:u w:val="none"/>
              </w:rPr>
              <w:t>Description</w:t>
            </w:r>
          </w:p>
        </w:tc>
        <w:tc>
          <w:tcPr>
            <w:tcW w:type="dxa" w:w="2170"/>
            <w:shd w:val="clear" w:color="auto" w:fill="D9D9D9"/>
          </w:tcPr>
          <w:p>
            <w:pPr>
              <w:spacing w:after="40" w:before="40" w:line="240" w:lineRule="auto"/>
              <w:jc w:val="left"/>
            </w:pPr>
            <w:r/>
            <w:r>
              <w:rPr>
                <w:rFonts w:ascii="Times New Roman" w:hAnsi="Times New Roman" w:cs="Times New Roman" w:eastAsia="Times New Roman"/>
                <w:b/>
                <w:i w:val="0"/>
                <w:sz w:val="18"/>
                <w:u w:val="none"/>
              </w:rPr>
              <w:t>Resolution in draft</w:t>
            </w:r>
          </w:p>
        </w:tc>
        <w:tc>
          <w:tcPr>
            <w:tcW w:type="dxa" w:w="1085"/>
            <w:shd w:val="clear" w:color="auto" w:fill="D9D9D9"/>
          </w:tcPr>
          <w:p>
            <w:pPr>
              <w:spacing w:after="40" w:before="40" w:line="240" w:lineRule="auto"/>
              <w:jc w:val="left"/>
            </w:pPr>
            <w:r/>
            <w:r>
              <w:rPr>
                <w:rFonts w:ascii="Times New Roman" w:hAnsi="Times New Roman" w:cs="Times New Roman" w:eastAsia="Times New Roman"/>
                <w:b/>
                <w:i w:val="0"/>
                <w:sz w:val="18"/>
                <w:u w:val="none"/>
              </w:rPr>
              <w:t>Status</w:t>
            </w:r>
          </w:p>
        </w:tc>
      </w:tr>
      <w:tr>
        <w:tc>
          <w:tcPr>
            <w:tcW w:type="dxa" w:w="2577"/>
          </w:tcPr>
          <w:p>
            <w:pPr>
              <w:spacing w:after="40" w:before="40" w:line="240" w:lineRule="auto"/>
              <w:jc w:val="left"/>
            </w:pPr>
            <w:r/>
            <w:r>
              <w:rPr>
                <w:rFonts w:ascii="Times New Roman" w:hAnsi="Times New Roman" w:cs="Times New Roman" w:eastAsia="Times New Roman"/>
                <w:b w:val="0"/>
                <w:i w:val="0"/>
                <w:sz w:val="18"/>
                <w:u w:val="none"/>
              </w:rPr>
              <w:t>Occupancy</w:t>
            </w:r>
          </w:p>
        </w:tc>
        <w:tc>
          <w:tcPr>
            <w:tcW w:type="dxa" w:w="3527"/>
          </w:tcPr>
          <w:p>
            <w:pPr>
              <w:spacing w:after="40" w:before="40" w:line="240" w:lineRule="auto"/>
              <w:jc w:val="left"/>
            </w:pPr>
            <w:r/>
            <w:r>
              <w:rPr>
                <w:rFonts w:ascii="Times New Roman" w:hAnsi="Times New Roman" w:cs="Times New Roman" w:eastAsia="Times New Roman"/>
                <w:b w:val="0"/>
                <w:i w:val="0"/>
                <w:sz w:val="18"/>
                <w:u w:val="none"/>
              </w:rPr>
              <w:t>Term Sheet § 2.3 states 68% occupancy (21,400 SF) and, in the same paragraph, 43.9% vacancy (13,600 SF); the Appraisal repeats 68%/21,400 SF and separately states 13,600 SF is “32%”</w:t>
            </w:r>
          </w:p>
        </w:tc>
        <w:tc>
          <w:tcPr>
            <w:tcW w:type="dxa" w:w="2170"/>
          </w:tcPr>
          <w:p>
            <w:pPr>
              <w:spacing w:after="40" w:before="40" w:line="240" w:lineRule="auto"/>
              <w:jc w:val="left"/>
            </w:pPr>
            <w:r/>
            <w:r>
              <w:rPr>
                <w:rFonts w:ascii="Times New Roman" w:hAnsi="Times New Roman" w:cs="Times New Roman" w:eastAsia="Times New Roman"/>
                <w:b w:val="0"/>
                <w:i w:val="0"/>
                <w:sz w:val="18"/>
                <w:u w:val="none"/>
              </w:rPr>
              <w:t>56.13% treated as the fact; reconciliation covenant added (Mortgage § 5.5)</w:t>
            </w:r>
          </w:p>
        </w:tc>
        <w:tc>
          <w:tcPr>
            <w:tcW w:type="dxa" w:w="1085"/>
          </w:tcPr>
          <w:p>
            <w:pPr>
              <w:spacing w:after="40" w:before="40" w:line="240" w:lineRule="auto"/>
              <w:jc w:val="left"/>
            </w:pPr>
            <w:r/>
            <w:r>
              <w:rPr>
                <w:rFonts w:ascii="Times New Roman" w:hAnsi="Times New Roman" w:cs="Times New Roman" w:eastAsia="Times New Roman"/>
                <w:b w:val="0"/>
                <w:i w:val="0"/>
                <w:sz w:val="18"/>
                <w:u w:val="none"/>
              </w:rPr>
              <w:t>Corrected</w:t>
            </w:r>
          </w:p>
        </w:tc>
      </w:tr>
      <w:tr>
        <w:tc>
          <w:tcPr>
            <w:tcW w:type="dxa" w:w="2577"/>
          </w:tcPr>
          <w:p>
            <w:pPr>
              <w:spacing w:after="40" w:before="40" w:line="240" w:lineRule="auto"/>
              <w:jc w:val="left"/>
            </w:pPr>
            <w:r/>
            <w:r>
              <w:rPr>
                <w:rFonts w:ascii="Times New Roman" w:hAnsi="Times New Roman" w:cs="Times New Roman" w:eastAsia="Times New Roman"/>
                <w:b w:val="0"/>
                <w:i w:val="0"/>
                <w:sz w:val="18"/>
                <w:u w:val="none"/>
              </w:rPr>
              <w:t>In-place rent</w:t>
            </w:r>
          </w:p>
        </w:tc>
        <w:tc>
          <w:tcPr>
            <w:tcW w:type="dxa" w:w="3527"/>
          </w:tcPr>
          <w:p>
            <w:pPr>
              <w:spacing w:after="40" w:before="40" w:line="240" w:lineRule="auto"/>
              <w:jc w:val="left"/>
            </w:pPr>
            <w:r/>
            <w:r>
              <w:rPr>
                <w:rFonts w:ascii="Times New Roman" w:hAnsi="Times New Roman" w:cs="Times New Roman" w:eastAsia="Times New Roman"/>
                <w:b w:val="0"/>
                <w:i w:val="0"/>
                <w:sz w:val="18"/>
                <w:u w:val="none"/>
              </w:rPr>
              <w:t>$415,100 stated as “total in-place” but computed on pre-escalation rates; contractual rent at closing is $422,966</w:t>
            </w:r>
          </w:p>
        </w:tc>
        <w:tc>
          <w:tcPr>
            <w:tcW w:type="dxa" w:w="2170"/>
          </w:tcPr>
          <w:p>
            <w:pPr>
              <w:spacing w:after="40" w:before="40" w:line="240" w:lineRule="auto"/>
              <w:jc w:val="left"/>
            </w:pPr>
            <w:r/>
            <w:r>
              <w:rPr>
                <w:rFonts w:ascii="Times New Roman" w:hAnsi="Times New Roman" w:cs="Times New Roman" w:eastAsia="Times New Roman"/>
                <w:b w:val="0"/>
                <w:i w:val="0"/>
                <w:sz w:val="18"/>
                <w:u w:val="none"/>
              </w:rPr>
              <w:t>Stated in Mortgage § 5.5 with a reconciliation requirement</w:t>
            </w:r>
          </w:p>
        </w:tc>
        <w:tc>
          <w:tcPr>
            <w:tcW w:type="dxa" w:w="1085"/>
          </w:tcPr>
          <w:p>
            <w:pPr>
              <w:spacing w:after="40" w:before="40" w:line="240" w:lineRule="auto"/>
              <w:jc w:val="left"/>
            </w:pPr>
            <w:r/>
            <w:r>
              <w:rPr>
                <w:rFonts w:ascii="Times New Roman" w:hAnsi="Times New Roman" w:cs="Times New Roman" w:eastAsia="Times New Roman"/>
                <w:b w:val="0"/>
                <w:i w:val="0"/>
                <w:sz w:val="18"/>
                <w:u w:val="none"/>
              </w:rPr>
              <w:t>Corrected</w:t>
            </w:r>
          </w:p>
        </w:tc>
      </w:tr>
      <w:tr>
        <w:tc>
          <w:tcPr>
            <w:tcW w:type="dxa" w:w="2577"/>
          </w:tcPr>
          <w:p>
            <w:pPr>
              <w:spacing w:after="40" w:before="40" w:line="240" w:lineRule="auto"/>
              <w:jc w:val="left"/>
            </w:pPr>
            <w:r/>
            <w:r>
              <w:rPr>
                <w:rFonts w:ascii="Times New Roman" w:hAnsi="Times New Roman" w:cs="Times New Roman" w:eastAsia="Times New Roman"/>
                <w:b w:val="0"/>
                <w:i w:val="0"/>
                <w:sz w:val="18"/>
                <w:u w:val="none"/>
              </w:rPr>
              <w:t>Occupancy percentage arithmetic</w:t>
            </w:r>
          </w:p>
        </w:tc>
        <w:tc>
          <w:tcPr>
            <w:tcW w:type="dxa" w:w="3527"/>
          </w:tcPr>
          <w:p>
            <w:pPr>
              <w:spacing w:after="40" w:before="40" w:line="240" w:lineRule="auto"/>
              <w:jc w:val="left"/>
            </w:pPr>
            <w:r/>
            <w:r>
              <w:rPr>
                <w:rFonts w:ascii="Times New Roman" w:hAnsi="Times New Roman" w:cs="Times New Roman" w:eastAsia="Times New Roman"/>
                <w:b w:val="0"/>
                <w:i w:val="0"/>
                <w:sz w:val="18"/>
                <w:u w:val="none"/>
              </w:rPr>
              <w:t>21,400 ÷ 31,000 = 69.03%, not 68%</w:t>
            </w:r>
          </w:p>
        </w:tc>
        <w:tc>
          <w:tcPr>
            <w:tcW w:type="dxa" w:w="2170"/>
          </w:tcPr>
          <w:p>
            <w:pPr>
              <w:spacing w:after="40" w:before="40" w:line="240" w:lineRule="auto"/>
              <w:jc w:val="left"/>
            </w:pPr>
            <w:r/>
            <w:r>
              <w:rPr>
                <w:rFonts w:ascii="Times New Roman" w:hAnsi="Times New Roman" w:cs="Times New Roman" w:eastAsia="Times New Roman"/>
                <w:b w:val="0"/>
                <w:i w:val="0"/>
                <w:sz w:val="18"/>
                <w:u w:val="none"/>
              </w:rPr>
              <w:t>—</w:t>
            </w:r>
          </w:p>
        </w:tc>
        <w:tc>
          <w:tcPr>
            <w:tcW w:type="dxa" w:w="1085"/>
          </w:tcPr>
          <w:p>
            <w:pPr>
              <w:spacing w:after="40" w:before="40" w:line="240" w:lineRule="auto"/>
              <w:jc w:val="left"/>
            </w:pPr>
            <w:r/>
            <w:r>
              <w:rPr>
                <w:rFonts w:ascii="Times New Roman" w:hAnsi="Times New Roman" w:cs="Times New Roman" w:eastAsia="Times New Roman"/>
                <w:b w:val="0"/>
                <w:i w:val="0"/>
                <w:sz w:val="18"/>
                <w:u w:val="none"/>
              </w:rPr>
              <w:t>Note only</w:t>
            </w:r>
          </w:p>
        </w:tc>
      </w:tr>
      <w:tr>
        <w:tc>
          <w:tcPr>
            <w:tcW w:type="dxa" w:w="2577"/>
          </w:tcPr>
          <w:p>
            <w:pPr>
              <w:spacing w:after="40" w:before="40" w:line="240" w:lineRule="auto"/>
              <w:jc w:val="left"/>
            </w:pPr>
            <w:r/>
            <w:r>
              <w:rPr>
                <w:rFonts w:ascii="Times New Roman" w:hAnsi="Times New Roman" w:cs="Times New Roman" w:eastAsia="Times New Roman"/>
                <w:b w:val="0"/>
                <w:i w:val="0"/>
                <w:sz w:val="18"/>
                <w:u w:val="none"/>
              </w:rPr>
              <w:t>Guaranty structure</w:t>
            </w:r>
          </w:p>
        </w:tc>
        <w:tc>
          <w:tcPr>
            <w:tcW w:type="dxa" w:w="3527"/>
          </w:tcPr>
          <w:p>
            <w:pPr>
              <w:spacing w:after="40" w:before="40" w:line="240" w:lineRule="auto"/>
              <w:jc w:val="left"/>
            </w:pPr>
            <w:r/>
            <w:r>
              <w:rPr>
                <w:rFonts w:ascii="Times New Roman" w:hAnsi="Times New Roman" w:cs="Times New Roman" w:eastAsia="Times New Roman"/>
                <w:b w:val="0"/>
                <w:i w:val="0"/>
                <w:sz w:val="18"/>
                <w:u w:val="none"/>
              </w:rPr>
              <w:t>Term Sheet § 5.5 is titled “full recourse personal guaranty” and then structures the Loan as “non-recourse to Borrower, except for certain carve-out events”</w:t>
            </w:r>
          </w:p>
        </w:tc>
        <w:tc>
          <w:tcPr>
            <w:tcW w:type="dxa" w:w="2170"/>
          </w:tcPr>
          <w:p>
            <w:pPr>
              <w:spacing w:after="40" w:before="40" w:line="240" w:lineRule="auto"/>
              <w:jc w:val="left"/>
            </w:pPr>
            <w:r/>
            <w:r>
              <w:rPr>
                <w:rFonts w:ascii="Times New Roman" w:hAnsi="Times New Roman" w:cs="Times New Roman" w:eastAsia="Times New Roman"/>
                <w:b w:val="0"/>
                <w:i w:val="0"/>
                <w:sz w:val="18"/>
                <w:u w:val="none"/>
              </w:rPr>
              <w:t>Non-recourse with carve-outs drafted (Mortgage Art. 17), consistent with § 5.5(a)</w:t>
            </w:r>
          </w:p>
        </w:tc>
        <w:tc>
          <w:tcPr>
            <w:tcW w:type="dxa" w:w="1085"/>
          </w:tcPr>
          <w:p>
            <w:pPr>
              <w:spacing w:after="40" w:before="40" w:line="240" w:lineRule="auto"/>
              <w:jc w:val="left"/>
            </w:pPr>
            <w:r/>
            <w:r>
              <w:rPr>
                <w:rFonts w:ascii="Times New Roman" w:hAnsi="Times New Roman" w:cs="Times New Roman" w:eastAsia="Times New Roman"/>
                <w:b w:val="0"/>
                <w:i w:val="0"/>
                <w:sz w:val="18"/>
                <w:u w:val="none"/>
              </w:rPr>
              <w:t>Per Term Sheet; confirm</w:t>
            </w:r>
          </w:p>
        </w:tc>
      </w:tr>
      <w:tr>
        <w:tc>
          <w:tcPr>
            <w:tcW w:type="dxa" w:w="2577"/>
          </w:tcPr>
          <w:p>
            <w:pPr>
              <w:spacing w:after="40" w:before="40" w:line="240" w:lineRule="auto"/>
              <w:jc w:val="left"/>
            </w:pPr>
            <w:r/>
            <w:r>
              <w:rPr>
                <w:rFonts w:ascii="Times New Roman" w:hAnsi="Times New Roman" w:cs="Times New Roman" w:eastAsia="Times New Roman"/>
                <w:b w:val="0"/>
                <w:i w:val="0"/>
                <w:sz w:val="18"/>
                <w:u w:val="none"/>
              </w:rPr>
              <w:t>DSCR test date</w:t>
            </w:r>
          </w:p>
        </w:tc>
        <w:tc>
          <w:tcPr>
            <w:tcW w:type="dxa" w:w="3527"/>
          </w:tcPr>
          <w:p>
            <w:pPr>
              <w:spacing w:after="40" w:before="40" w:line="240" w:lineRule="auto"/>
              <w:jc w:val="left"/>
            </w:pPr>
            <w:r/>
            <w:r>
              <w:rPr>
                <w:rFonts w:ascii="Times New Roman" w:hAnsi="Times New Roman" w:cs="Times New Roman" w:eastAsia="Times New Roman"/>
                <w:b w:val="0"/>
                <w:i w:val="0"/>
                <w:sz w:val="18"/>
                <w:u w:val="none"/>
              </w:rPr>
              <w:t>Term Sheet § 7.1: testing “commences twenty-four (24) months after closing” but “first test date ... approximately July 15, 2027”; March 18 note and Rent Roll say April 15, 2027</w:t>
            </w:r>
          </w:p>
        </w:tc>
        <w:tc>
          <w:tcPr>
            <w:tcW w:type="dxa" w:w="2170"/>
          </w:tcPr>
          <w:p>
            <w:pPr>
              <w:spacing w:after="40" w:before="40" w:line="240" w:lineRule="auto"/>
              <w:jc w:val="left"/>
            </w:pPr>
            <w:r/>
            <w:r>
              <w:rPr>
                <w:rFonts w:ascii="Times New Roman" w:hAnsi="Times New Roman" w:cs="Times New Roman" w:eastAsia="Times New Roman"/>
                <w:b w:val="0"/>
                <w:i w:val="0"/>
                <w:sz w:val="18"/>
                <w:u w:val="none"/>
              </w:rPr>
              <w:t>Drafted to the first full quarter ending after month 24 (June 30, 2027) per the operative language of § 7.1</w:t>
            </w:r>
          </w:p>
        </w:tc>
        <w:tc>
          <w:tcPr>
            <w:tcW w:type="dxa" w:w="1085"/>
          </w:tcPr>
          <w:p>
            <w:pPr>
              <w:spacing w:after="40" w:before="40" w:line="240" w:lineRule="auto"/>
              <w:jc w:val="left"/>
            </w:pPr>
            <w:r/>
            <w:r>
              <w:rPr>
                <w:rFonts w:ascii="Times New Roman" w:hAnsi="Times New Roman" w:cs="Times New Roman" w:eastAsia="Times New Roman"/>
                <w:b/>
                <w:i w:val="0"/>
                <w:sz w:val="18"/>
                <w:u w:val="none"/>
              </w:rPr>
              <w:t>Instruction requested</w:t>
            </w:r>
          </w:p>
        </w:tc>
      </w:tr>
      <w:tr>
        <w:tc>
          <w:tcPr>
            <w:tcW w:type="dxa" w:w="2577"/>
          </w:tcPr>
          <w:p>
            <w:pPr>
              <w:spacing w:after="40" w:before="40" w:line="240" w:lineRule="auto"/>
              <w:jc w:val="left"/>
            </w:pPr>
            <w:r/>
            <w:r>
              <w:rPr>
                <w:rFonts w:ascii="Times New Roman" w:hAnsi="Times New Roman" w:cs="Times New Roman" w:eastAsia="Times New Roman"/>
                <w:b w:val="0"/>
                <w:i w:val="0"/>
                <w:sz w:val="18"/>
                <w:u w:val="none"/>
              </w:rPr>
              <w:t>DSCR cure</w:t>
            </w:r>
          </w:p>
        </w:tc>
        <w:tc>
          <w:tcPr>
            <w:tcW w:type="dxa" w:w="3527"/>
          </w:tcPr>
          <w:p>
            <w:pPr>
              <w:spacing w:after="40" w:before="40" w:line="240" w:lineRule="auto"/>
              <w:jc w:val="left"/>
            </w:pPr>
            <w:r/>
            <w:r>
              <w:rPr>
                <w:rFonts w:ascii="Times New Roman" w:hAnsi="Times New Roman" w:cs="Times New Roman" w:eastAsia="Times New Roman"/>
                <w:b w:val="0"/>
                <w:i w:val="0"/>
                <w:sz w:val="18"/>
                <w:u w:val="none"/>
              </w:rPr>
              <w:t>Term Sheet § 11.1(i) makes a DSCR failure an Event of Default “without cure”; § 11.2(b) applies a 30/90-day cure to non-monetary defaults and does not exclude DSCR</w:t>
            </w:r>
          </w:p>
        </w:tc>
        <w:tc>
          <w:tcPr>
            <w:tcW w:type="dxa" w:w="2170"/>
          </w:tcPr>
          <w:p>
            <w:pPr>
              <w:spacing w:after="40" w:before="40" w:line="240" w:lineRule="auto"/>
              <w:jc w:val="left"/>
            </w:pPr>
            <w:r/>
            <w:r>
              <w:rPr>
                <w:rFonts w:ascii="Times New Roman" w:hAnsi="Times New Roman" w:cs="Times New Roman" w:eastAsia="Times New Roman"/>
                <w:b w:val="0"/>
                <w:i w:val="0"/>
                <w:sz w:val="18"/>
                <w:u w:val="none"/>
              </w:rPr>
              <w:t>Cure period applied per § 11.2(b)</w:t>
            </w:r>
          </w:p>
        </w:tc>
        <w:tc>
          <w:tcPr>
            <w:tcW w:type="dxa" w:w="1085"/>
          </w:tcPr>
          <w:p>
            <w:pPr>
              <w:spacing w:after="40" w:before="40" w:line="240" w:lineRule="auto"/>
              <w:jc w:val="left"/>
            </w:pPr>
            <w:r/>
            <w:r>
              <w:rPr>
                <w:rFonts w:ascii="Times New Roman" w:hAnsi="Times New Roman" w:cs="Times New Roman" w:eastAsia="Times New Roman"/>
                <w:b/>
                <w:i w:val="0"/>
                <w:sz w:val="18"/>
                <w:u w:val="none"/>
              </w:rPr>
              <w:t>Instruction requested</w:t>
            </w:r>
          </w:p>
        </w:tc>
      </w:tr>
      <w:tr>
        <w:tc>
          <w:tcPr>
            <w:tcW w:type="dxa" w:w="2577"/>
          </w:tcPr>
          <w:p>
            <w:pPr>
              <w:spacing w:after="40" w:before="40" w:line="240" w:lineRule="auto"/>
              <w:jc w:val="left"/>
            </w:pPr>
            <w:r/>
            <w:r>
              <w:rPr>
                <w:rFonts w:ascii="Times New Roman" w:hAnsi="Times New Roman" w:cs="Times New Roman" w:eastAsia="Times New Roman"/>
                <w:b w:val="0"/>
                <w:i w:val="0"/>
                <w:sz w:val="18"/>
                <w:u w:val="none"/>
              </w:rPr>
              <w:t>Net worth covenant obligor</w:t>
            </w:r>
          </w:p>
        </w:tc>
        <w:tc>
          <w:tcPr>
            <w:tcW w:type="dxa" w:w="3527"/>
          </w:tcPr>
          <w:p>
            <w:pPr>
              <w:spacing w:after="40" w:before="40" w:line="240" w:lineRule="auto"/>
              <w:jc w:val="left"/>
            </w:pPr>
            <w:r/>
            <w:r>
              <w:rPr>
                <w:rFonts w:ascii="Times New Roman" w:hAnsi="Times New Roman" w:cs="Times New Roman" w:eastAsia="Times New Roman"/>
                <w:b w:val="0"/>
                <w:i w:val="0"/>
                <w:sz w:val="18"/>
                <w:u w:val="none"/>
              </w:rPr>
              <w:t xml:space="preserve">Term Sheet § 7.2 imposes the $1,000,000 net worth and $500,000 liquidity covenants on </w:t>
            </w:r>
            <w:r>
              <w:rPr>
                <w:rFonts w:ascii="Times New Roman" w:hAnsi="Times New Roman" w:cs="Times New Roman" w:eastAsia="Times New Roman"/>
                <w:b/>
                <w:i w:val="0"/>
                <w:sz w:val="18"/>
                <w:u w:val="none"/>
              </w:rPr>
              <w:t>Borrower</w:t>
            </w:r>
            <w:r>
              <w:rPr>
                <w:rFonts w:ascii="Times New Roman" w:hAnsi="Times New Roman" w:cs="Times New Roman" w:eastAsia="Times New Roman"/>
                <w:b w:val="0"/>
                <w:i w:val="0"/>
                <w:sz w:val="18"/>
                <w:u w:val="none"/>
              </w:rPr>
              <w:t xml:space="preserve">; the March 18 note attributes them to </w:t>
            </w:r>
            <w:r>
              <w:rPr>
                <w:rFonts w:ascii="Times New Roman" w:hAnsi="Times New Roman" w:cs="Times New Roman" w:eastAsia="Times New Roman"/>
                <w:b/>
                <w:i w:val="0"/>
                <w:sz w:val="18"/>
                <w:u w:val="none"/>
              </w:rPr>
              <w:t>Guarantor</w:t>
            </w:r>
          </w:p>
        </w:tc>
        <w:tc>
          <w:tcPr>
            <w:tcW w:type="dxa" w:w="2170"/>
          </w:tcPr>
          <w:p>
            <w:pPr>
              <w:spacing w:after="40" w:before="40" w:line="240" w:lineRule="auto"/>
              <w:jc w:val="left"/>
            </w:pPr>
            <w:r/>
            <w:r>
              <w:rPr>
                <w:rFonts w:ascii="Times New Roman" w:hAnsi="Times New Roman" w:cs="Times New Roman" w:eastAsia="Times New Roman"/>
                <w:b w:val="0"/>
                <w:i w:val="0"/>
                <w:sz w:val="18"/>
                <w:u w:val="none"/>
              </w:rPr>
              <w:t>Drafted on Borrower per § 7.2, with a cross-reference to Guarantor’s separate covenants under the Guaranty (§ 14.2)</w:t>
            </w:r>
          </w:p>
        </w:tc>
        <w:tc>
          <w:tcPr>
            <w:tcW w:type="dxa" w:w="1085"/>
          </w:tcPr>
          <w:p>
            <w:pPr>
              <w:spacing w:after="40" w:before="40" w:line="240" w:lineRule="auto"/>
              <w:jc w:val="left"/>
            </w:pPr>
            <w:r/>
            <w:r>
              <w:rPr>
                <w:rFonts w:ascii="Times New Roman" w:hAnsi="Times New Roman" w:cs="Times New Roman" w:eastAsia="Times New Roman"/>
                <w:b/>
                <w:i w:val="0"/>
                <w:sz w:val="18"/>
                <w:u w:val="none"/>
              </w:rPr>
              <w:t>Instruction requested</w:t>
            </w:r>
          </w:p>
        </w:tc>
      </w:tr>
      <w:tr>
        <w:tc>
          <w:tcPr>
            <w:tcW w:type="dxa" w:w="2577"/>
          </w:tcPr>
          <w:p>
            <w:pPr>
              <w:spacing w:after="40" w:before="40" w:line="240" w:lineRule="auto"/>
              <w:jc w:val="left"/>
            </w:pPr>
            <w:r/>
            <w:r>
              <w:rPr>
                <w:rFonts w:ascii="Times New Roman" w:hAnsi="Times New Roman" w:cs="Times New Roman" w:eastAsia="Times New Roman"/>
                <w:b w:val="0"/>
                <w:i w:val="0"/>
                <w:sz w:val="18"/>
                <w:u w:val="none"/>
              </w:rPr>
              <w:t>Flood zone data</w:t>
            </w:r>
          </w:p>
        </w:tc>
        <w:tc>
          <w:tcPr>
            <w:tcW w:type="dxa" w:w="3527"/>
          </w:tcPr>
          <w:p>
            <w:pPr>
              <w:spacing w:after="40" w:before="40" w:line="240" w:lineRule="auto"/>
              <w:jc w:val="left"/>
            </w:pPr>
            <w:r/>
            <w:r>
              <w:rPr>
                <w:rFonts w:ascii="Times New Roman" w:hAnsi="Times New Roman" w:cs="Times New Roman" w:eastAsia="Times New Roman"/>
                <w:b w:val="0"/>
                <w:i w:val="0"/>
                <w:sz w:val="18"/>
                <w:u w:val="none"/>
              </w:rPr>
              <w:t>Phase I ESA cites FIRM panel 45019C0520J, effective December 4, 2020; Appraisal cites panel 45019C0418J, effective November 4, 2014</w:t>
            </w:r>
          </w:p>
        </w:tc>
        <w:tc>
          <w:tcPr>
            <w:tcW w:type="dxa" w:w="2170"/>
          </w:tcPr>
          <w:p>
            <w:pPr>
              <w:spacing w:after="40" w:before="40" w:line="240" w:lineRule="auto"/>
              <w:jc w:val="left"/>
            </w:pPr>
            <w:r/>
            <w:r>
              <w:rPr>
                <w:rFonts w:ascii="Times New Roman" w:hAnsi="Times New Roman" w:cs="Times New Roman" w:eastAsia="Times New Roman"/>
                <w:b w:val="0"/>
                <w:i w:val="0"/>
                <w:sz w:val="18"/>
                <w:u w:val="none"/>
              </w:rPr>
              <w:t>Flood zone determination required at and after closing (§ 12.3)</w:t>
            </w:r>
          </w:p>
        </w:tc>
        <w:tc>
          <w:tcPr>
            <w:tcW w:type="dxa" w:w="1085"/>
          </w:tcPr>
          <w:p>
            <w:pPr>
              <w:spacing w:after="40" w:before="40" w:line="240" w:lineRule="auto"/>
              <w:jc w:val="left"/>
            </w:pPr>
            <w:r/>
            <w:r>
              <w:rPr>
                <w:rFonts w:ascii="Times New Roman" w:hAnsi="Times New Roman" w:cs="Times New Roman" w:eastAsia="Times New Roman"/>
                <w:b/>
                <w:i w:val="0"/>
                <w:sz w:val="18"/>
                <w:u w:val="none"/>
              </w:rPr>
              <w:t>Obtain current determination</w:t>
            </w:r>
          </w:p>
        </w:tc>
      </w:tr>
      <w:tr>
        <w:tc>
          <w:tcPr>
            <w:tcW w:type="dxa" w:w="2577"/>
          </w:tcPr>
          <w:p>
            <w:pPr>
              <w:spacing w:after="40" w:before="40" w:line="240" w:lineRule="auto"/>
              <w:jc w:val="left"/>
            </w:pPr>
            <w:r/>
            <w:r>
              <w:rPr>
                <w:rFonts w:ascii="Times New Roman" w:hAnsi="Times New Roman" w:cs="Times New Roman" w:eastAsia="Times New Roman"/>
                <w:b w:val="0"/>
                <w:i w:val="0"/>
                <w:sz w:val="18"/>
                <w:u w:val="none"/>
              </w:rPr>
              <w:t>Registered agent</w:t>
            </w:r>
          </w:p>
        </w:tc>
        <w:tc>
          <w:tcPr>
            <w:tcW w:type="dxa" w:w="3527"/>
          </w:tcPr>
          <w:p>
            <w:pPr>
              <w:spacing w:after="40" w:before="40" w:line="240" w:lineRule="auto"/>
              <w:jc w:val="left"/>
            </w:pPr>
            <w:r/>
            <w:r>
              <w:rPr>
                <w:rFonts w:ascii="Times New Roman" w:hAnsi="Times New Roman" w:cs="Times New Roman" w:eastAsia="Times New Roman"/>
                <w:b w:val="0"/>
                <w:i w:val="0"/>
                <w:sz w:val="18"/>
                <w:u w:val="none"/>
              </w:rPr>
              <w:t>Term Sheet § 1.2: “Capitol Registered Agents Inc.”; Operating Agreement summary: “Statehouse Registered Agents, Inc.” — same address (1201 Main Street, Suite 410, Columbia)</w:t>
            </w:r>
          </w:p>
        </w:tc>
        <w:tc>
          <w:tcPr>
            <w:tcW w:type="dxa" w:w="2170"/>
          </w:tcPr>
          <w:p>
            <w:pPr>
              <w:spacing w:after="40" w:before="40" w:line="240" w:lineRule="auto"/>
              <w:jc w:val="left"/>
            </w:pPr>
            <w:r/>
            <w:r>
              <w:rPr>
                <w:rFonts w:ascii="Times New Roman" w:hAnsi="Times New Roman" w:cs="Times New Roman" w:eastAsia="Times New Roman"/>
                <w:b w:val="0"/>
                <w:i w:val="0"/>
                <w:sz w:val="18"/>
                <w:u w:val="none"/>
              </w:rPr>
              <w:t>Not addressed in the Mortgage; requires confirmation</w:t>
            </w:r>
          </w:p>
        </w:tc>
        <w:tc>
          <w:tcPr>
            <w:tcW w:type="dxa" w:w="1085"/>
          </w:tcPr>
          <w:p>
            <w:pPr>
              <w:spacing w:after="40" w:before="40" w:line="240" w:lineRule="auto"/>
              <w:jc w:val="left"/>
            </w:pPr>
            <w:r/>
            <w:r>
              <w:rPr>
                <w:rFonts w:ascii="Times New Roman" w:hAnsi="Times New Roman" w:cs="Times New Roman" w:eastAsia="Times New Roman"/>
                <w:b/>
                <w:i w:val="0"/>
                <w:sz w:val="18"/>
                <w:u w:val="none"/>
              </w:rPr>
              <w:t>Open item</w:t>
            </w:r>
          </w:p>
        </w:tc>
      </w:tr>
      <w:tr>
        <w:tc>
          <w:tcPr>
            <w:tcW w:type="dxa" w:w="2577"/>
          </w:tcPr>
          <w:p>
            <w:pPr>
              <w:spacing w:after="40" w:before="40" w:line="240" w:lineRule="auto"/>
              <w:jc w:val="left"/>
            </w:pPr>
            <w:r/>
            <w:r>
              <w:rPr>
                <w:rFonts w:ascii="Times New Roman" w:hAnsi="Times New Roman" w:cs="Times New Roman" w:eastAsia="Times New Roman"/>
                <w:b w:val="0"/>
                <w:i w:val="0"/>
                <w:sz w:val="18"/>
                <w:u w:val="none"/>
              </w:rPr>
              <w:t>Lender name</w:t>
            </w:r>
          </w:p>
        </w:tc>
        <w:tc>
          <w:tcPr>
            <w:tcW w:type="dxa" w:w="3527"/>
          </w:tcPr>
          <w:p>
            <w:pPr>
              <w:spacing w:after="40" w:before="40" w:line="240" w:lineRule="auto"/>
              <w:jc w:val="left"/>
            </w:pPr>
            <w:r/>
            <w:r>
              <w:rPr>
                <w:rFonts w:ascii="Times New Roman" w:hAnsi="Times New Roman" w:cs="Times New Roman" w:eastAsia="Times New Roman"/>
                <w:b w:val="0"/>
                <w:i w:val="0"/>
                <w:sz w:val="18"/>
                <w:u w:val="none"/>
              </w:rPr>
              <w:t>Term Sheet domain “coastalheritagebank.com” for Mr. Prideaux’s email, against “Calverley Heritage Bank” throughout</w:t>
            </w:r>
          </w:p>
        </w:tc>
        <w:tc>
          <w:tcPr>
            <w:tcW w:type="dxa" w:w="2170"/>
          </w:tcPr>
          <w:p>
            <w:pPr>
              <w:spacing w:after="40" w:before="40" w:line="240" w:lineRule="auto"/>
              <w:jc w:val="left"/>
            </w:pPr>
            <w:r/>
            <w:r>
              <w:rPr>
                <w:rFonts w:ascii="Times New Roman" w:hAnsi="Times New Roman" w:cs="Times New Roman" w:eastAsia="Times New Roman"/>
                <w:b w:val="0"/>
                <w:i w:val="0"/>
                <w:sz w:val="18"/>
                <w:u w:val="none"/>
              </w:rPr>
              <w:t>“Calverley Heritage Bank” used</w:t>
            </w:r>
          </w:p>
        </w:tc>
        <w:tc>
          <w:tcPr>
            <w:tcW w:type="dxa" w:w="1085"/>
          </w:tcPr>
          <w:p>
            <w:pPr>
              <w:spacing w:after="40" w:before="40" w:line="240" w:lineRule="auto"/>
              <w:jc w:val="left"/>
            </w:pPr>
            <w:r/>
            <w:r>
              <w:rPr>
                <w:rFonts w:ascii="Times New Roman" w:hAnsi="Times New Roman" w:cs="Times New Roman" w:eastAsia="Times New Roman"/>
                <w:b/>
                <w:i w:val="0"/>
                <w:sz w:val="18"/>
                <w:u w:val="none"/>
              </w:rPr>
              <w:t>Confirm</w:t>
            </w:r>
          </w:p>
        </w:tc>
      </w:tr>
      <w:tr>
        <w:tc>
          <w:tcPr>
            <w:tcW w:type="dxa" w:w="2577"/>
          </w:tcPr>
          <w:p>
            <w:pPr>
              <w:spacing w:after="40" w:before="40" w:line="240" w:lineRule="auto"/>
              <w:jc w:val="left"/>
            </w:pPr>
            <w:r/>
            <w:r>
              <w:rPr>
                <w:rFonts w:ascii="Times New Roman" w:hAnsi="Times New Roman" w:cs="Times New Roman" w:eastAsia="Times New Roman"/>
                <w:b w:val="0"/>
                <w:i w:val="0"/>
                <w:sz w:val="18"/>
                <w:u w:val="none"/>
              </w:rPr>
              <w:t>Entity formation document</w:t>
            </w:r>
          </w:p>
        </w:tc>
        <w:tc>
          <w:tcPr>
            <w:tcW w:type="dxa" w:w="3527"/>
          </w:tcPr>
          <w:p>
            <w:pPr>
              <w:spacing w:after="40" w:before="40" w:line="240" w:lineRule="auto"/>
              <w:jc w:val="left"/>
            </w:pPr>
            <w:r/>
            <w:r>
              <w:rPr>
                <w:rFonts w:ascii="Times New Roman" w:hAnsi="Times New Roman" w:cs="Times New Roman" w:eastAsia="Times New Roman"/>
                <w:b w:val="0"/>
                <w:i w:val="0"/>
                <w:sz w:val="18"/>
                <w:u w:val="none"/>
              </w:rPr>
              <w:t>Term Sheet § 10.1(g) refers to “certificate of formation” (Delaware terminology); South Carolina entities file Articles of Organization</w:t>
            </w:r>
          </w:p>
        </w:tc>
        <w:tc>
          <w:tcPr>
            <w:tcW w:type="dxa" w:w="2170"/>
          </w:tcPr>
          <w:p>
            <w:pPr>
              <w:spacing w:after="40" w:before="40" w:line="240" w:lineRule="auto"/>
              <w:jc w:val="left"/>
            </w:pPr>
            <w:r/>
            <w:r>
              <w:rPr>
                <w:rFonts w:ascii="Times New Roman" w:hAnsi="Times New Roman" w:cs="Times New Roman" w:eastAsia="Times New Roman"/>
                <w:b w:val="0"/>
                <w:i w:val="0"/>
                <w:sz w:val="18"/>
                <w:u w:val="none"/>
              </w:rPr>
              <w:t>No defined term used in the Mortgage; Article 5.2 refers to “articles of organization”</w:t>
            </w:r>
          </w:p>
        </w:tc>
        <w:tc>
          <w:tcPr>
            <w:tcW w:type="dxa" w:w="1085"/>
          </w:tcPr>
          <w:p>
            <w:pPr>
              <w:spacing w:after="40" w:before="40" w:line="240" w:lineRule="auto"/>
              <w:jc w:val="left"/>
            </w:pPr>
            <w:r/>
            <w:r>
              <w:rPr>
                <w:rFonts w:ascii="Times New Roman" w:hAnsi="Times New Roman" w:cs="Times New Roman" w:eastAsia="Times New Roman"/>
                <w:b w:val="0"/>
                <w:i w:val="0"/>
                <w:sz w:val="18"/>
                <w:u w:val="none"/>
              </w:rPr>
              <w:t>Corrected</w:t>
            </w:r>
          </w:p>
        </w:tc>
      </w:tr>
      <w:tr>
        <w:tc>
          <w:tcPr>
            <w:tcW w:type="dxa" w:w="2577"/>
          </w:tcPr>
          <w:p>
            <w:pPr>
              <w:spacing w:after="40" w:before="40" w:line="240" w:lineRule="auto"/>
              <w:jc w:val="left"/>
            </w:pPr>
            <w:r/>
            <w:r>
              <w:rPr>
                <w:rFonts w:ascii="Times New Roman" w:hAnsi="Times New Roman" w:cs="Times New Roman" w:eastAsia="Times New Roman"/>
                <w:b w:val="0"/>
                <w:i w:val="0"/>
                <w:sz w:val="18"/>
                <w:u w:val="none"/>
              </w:rPr>
              <w:t>Rent Roll “current” rent</w:t>
            </w:r>
          </w:p>
        </w:tc>
        <w:tc>
          <w:tcPr>
            <w:tcW w:type="dxa" w:w="3527"/>
          </w:tcPr>
          <w:p>
            <w:pPr>
              <w:spacing w:after="40" w:before="40" w:line="240" w:lineRule="auto"/>
              <w:jc w:val="left"/>
            </w:pPr>
            <w:r/>
            <w:r>
              <w:rPr>
                <w:rFonts w:ascii="Times New Roman" w:hAnsi="Times New Roman" w:cs="Times New Roman" w:eastAsia="Times New Roman"/>
                <w:b w:val="0"/>
                <w:i w:val="0"/>
                <w:sz w:val="18"/>
                <w:u w:val="none"/>
              </w:rPr>
              <w:t>Rent Roll’s base rent columns show pre-escalation rates while its own escalation schedules show the increased rates</w:t>
            </w:r>
          </w:p>
        </w:tc>
        <w:tc>
          <w:tcPr>
            <w:tcW w:type="dxa" w:w="2170"/>
          </w:tcPr>
          <w:p>
            <w:pPr>
              <w:spacing w:after="40" w:before="40" w:line="240" w:lineRule="auto"/>
              <w:jc w:val="left"/>
            </w:pPr>
            <w:r/>
            <w:r>
              <w:rPr>
                <w:rFonts w:ascii="Times New Roman" w:hAnsi="Times New Roman" w:cs="Times New Roman" w:eastAsia="Times New Roman"/>
                <w:b w:val="0"/>
                <w:i w:val="0"/>
                <w:sz w:val="18"/>
                <w:u w:val="none"/>
              </w:rPr>
              <w:t>See 4.2</w:t>
            </w:r>
          </w:p>
        </w:tc>
        <w:tc>
          <w:tcPr>
            <w:tcW w:type="dxa" w:w="1085"/>
          </w:tcPr>
          <w:p>
            <w:pPr>
              <w:spacing w:after="40" w:before="40" w:line="240" w:lineRule="auto"/>
              <w:jc w:val="left"/>
            </w:pPr>
            <w:r/>
            <w:r>
              <w:rPr>
                <w:rFonts w:ascii="Times New Roman" w:hAnsi="Times New Roman" w:cs="Times New Roman" w:eastAsia="Times New Roman"/>
                <w:b w:val="0"/>
                <w:i w:val="0"/>
                <w:sz w:val="18"/>
                <w:u w:val="none"/>
              </w:rPr>
              <w:t>Corrected</w:t>
            </w:r>
          </w:p>
        </w:tc>
      </w:tr>
      <w:tr>
        <w:tc>
          <w:tcPr>
            <w:tcW w:type="dxa" w:w="2577"/>
          </w:tcPr>
          <w:p>
            <w:pPr>
              <w:spacing w:after="40" w:before="40" w:line="240" w:lineRule="auto"/>
              <w:jc w:val="left"/>
            </w:pPr>
            <w:r/>
            <w:r>
              <w:rPr>
                <w:rFonts w:ascii="Times New Roman" w:hAnsi="Times New Roman" w:cs="Times New Roman" w:eastAsia="Times New Roman"/>
                <w:b w:val="0"/>
                <w:i w:val="0"/>
                <w:sz w:val="18"/>
                <w:u w:val="none"/>
              </w:rPr>
              <w:t>Rent Roll interest</w:t>
            </w:r>
          </w:p>
        </w:tc>
        <w:tc>
          <w:tcPr>
            <w:tcW w:type="dxa" w:w="3527"/>
          </w:tcPr>
          <w:p>
            <w:pPr>
              <w:spacing w:after="40" w:before="40" w:line="240" w:lineRule="auto"/>
              <w:jc w:val="left"/>
            </w:pPr>
            <w:r/>
            <w:r>
              <w:rPr>
                <w:rFonts w:ascii="Times New Roman" w:hAnsi="Times New Roman" w:cs="Times New Roman" w:eastAsia="Times New Roman"/>
                <w:b w:val="0"/>
                <w:i w:val="0"/>
                <w:sz w:val="18"/>
                <w:u w:val="none"/>
              </w:rPr>
              <w:t>$863,375 stated; correct figure $862,875</w:t>
            </w:r>
          </w:p>
        </w:tc>
        <w:tc>
          <w:tcPr>
            <w:tcW w:type="dxa" w:w="2170"/>
          </w:tcPr>
          <w:p>
            <w:pPr>
              <w:spacing w:after="40" w:before="40" w:line="240" w:lineRule="auto"/>
              <w:jc w:val="left"/>
            </w:pPr>
            <w:r/>
            <w:r>
              <w:rPr>
                <w:rFonts w:ascii="Times New Roman" w:hAnsi="Times New Roman" w:cs="Times New Roman" w:eastAsia="Times New Roman"/>
                <w:b w:val="0"/>
                <w:i w:val="0"/>
                <w:sz w:val="18"/>
                <w:u w:val="none"/>
              </w:rPr>
              <w:t>Not carried into Mortgage</w:t>
            </w:r>
          </w:p>
        </w:tc>
        <w:tc>
          <w:tcPr>
            <w:tcW w:type="dxa" w:w="1085"/>
          </w:tcPr>
          <w:p>
            <w:pPr>
              <w:spacing w:after="40" w:before="40" w:line="240" w:lineRule="auto"/>
              <w:jc w:val="left"/>
            </w:pPr>
            <w:r/>
            <w:r>
              <w:rPr>
                <w:rFonts w:ascii="Times New Roman" w:hAnsi="Times New Roman" w:cs="Times New Roman" w:eastAsia="Times New Roman"/>
                <w:b w:val="0"/>
                <w:i w:val="0"/>
                <w:sz w:val="18"/>
                <w:u w:val="none"/>
              </w:rPr>
              <w:t>Note only</w:t>
            </w:r>
          </w:p>
        </w:tc>
      </w:tr>
      <w:tr>
        <w:tc>
          <w:tcPr>
            <w:tcW w:type="dxa" w:w="2577"/>
          </w:tcPr>
          <w:p>
            <w:pPr>
              <w:spacing w:after="40" w:before="40" w:line="240" w:lineRule="auto"/>
              <w:jc w:val="left"/>
            </w:pPr>
            <w:r/>
            <w:r>
              <w:rPr>
                <w:rFonts w:ascii="Times New Roman" w:hAnsi="Times New Roman" w:cs="Times New Roman" w:eastAsia="Times New Roman"/>
                <w:b w:val="0"/>
                <w:i w:val="0"/>
                <w:sz w:val="18"/>
                <w:u w:val="none"/>
              </w:rPr>
              <w:t>Rent Roll debt service</w:t>
            </w:r>
          </w:p>
        </w:tc>
        <w:tc>
          <w:tcPr>
            <w:tcW w:type="dxa" w:w="3527"/>
          </w:tcPr>
          <w:p>
            <w:pPr>
              <w:spacing w:after="40" w:before="40" w:line="240" w:lineRule="auto"/>
              <w:jc w:val="left"/>
            </w:pPr>
            <w:r/>
            <w:r>
              <w:rPr>
                <w:rFonts w:ascii="Times New Roman" w:hAnsi="Times New Roman" w:cs="Times New Roman" w:eastAsia="Times New Roman"/>
                <w:b w:val="0"/>
                <w:i w:val="0"/>
                <w:sz w:val="18"/>
                <w:u w:val="none"/>
              </w:rPr>
              <w:t>$93,500 monthly / $1,122,000 annual; correct $93,686.61 / $1,124,239.30</w:t>
            </w:r>
          </w:p>
        </w:tc>
        <w:tc>
          <w:tcPr>
            <w:tcW w:type="dxa" w:w="2170"/>
          </w:tcPr>
          <w:p>
            <w:pPr>
              <w:spacing w:after="40" w:before="40" w:line="240" w:lineRule="auto"/>
              <w:jc w:val="left"/>
            </w:pPr>
            <w:r/>
            <w:r>
              <w:rPr>
                <w:rFonts w:ascii="Times New Roman" w:hAnsi="Times New Roman" w:cs="Times New Roman" w:eastAsia="Times New Roman"/>
                <w:b w:val="0"/>
                <w:i w:val="0"/>
                <w:sz w:val="18"/>
                <w:u w:val="none"/>
              </w:rPr>
              <w:t>Not carried into Mortgage</w:t>
            </w:r>
          </w:p>
        </w:tc>
        <w:tc>
          <w:tcPr>
            <w:tcW w:type="dxa" w:w="1085"/>
          </w:tcPr>
          <w:p>
            <w:pPr>
              <w:spacing w:after="40" w:before="40" w:line="240" w:lineRule="auto"/>
              <w:jc w:val="left"/>
            </w:pPr>
            <w:r/>
            <w:r>
              <w:rPr>
                <w:rFonts w:ascii="Times New Roman" w:hAnsi="Times New Roman" w:cs="Times New Roman" w:eastAsia="Times New Roman"/>
                <w:b w:val="0"/>
                <w:i w:val="0"/>
                <w:sz w:val="18"/>
                <w:u w:val="none"/>
              </w:rPr>
              <w:t>Note only</w:t>
            </w:r>
          </w:p>
        </w:tc>
      </w:tr>
      <w:tr>
        <w:tc>
          <w:tcPr>
            <w:tcW w:type="dxa" w:w="2577"/>
          </w:tcPr>
          <w:p>
            <w:pPr>
              <w:spacing w:after="40" w:before="40" w:line="240" w:lineRule="auto"/>
              <w:jc w:val="left"/>
            </w:pPr>
            <w:r/>
            <w:r>
              <w:rPr>
                <w:rFonts w:ascii="Times New Roman" w:hAnsi="Times New Roman" w:cs="Times New Roman" w:eastAsia="Times New Roman"/>
                <w:b w:val="0"/>
                <w:i w:val="0"/>
                <w:sz w:val="18"/>
                <w:u w:val="none"/>
              </w:rPr>
              <w:t>Appraisal FEMA panel and floor count</w:t>
            </w:r>
          </w:p>
        </w:tc>
        <w:tc>
          <w:tcPr>
            <w:tcW w:type="dxa" w:w="3527"/>
          </w:tcPr>
          <w:p>
            <w:pPr>
              <w:spacing w:after="40" w:before="40" w:line="240" w:lineRule="auto"/>
              <w:jc w:val="left"/>
            </w:pPr>
            <w:r/>
            <w:r>
              <w:rPr>
                <w:rFonts w:ascii="Times New Roman" w:hAnsi="Times New Roman" w:cs="Times New Roman" w:eastAsia="Times New Roman"/>
                <w:b w:val="0"/>
                <w:i w:val="0"/>
                <w:sz w:val="18"/>
                <w:u w:val="none"/>
              </w:rPr>
              <w:t>Building described as “three stories” and suites on “two office stories above grade” — consistent with the Term Sheet</w:t>
            </w:r>
          </w:p>
        </w:tc>
        <w:tc>
          <w:tcPr>
            <w:tcW w:type="dxa" w:w="2170"/>
          </w:tcPr>
          <w:p>
            <w:pPr>
              <w:spacing w:after="40" w:before="40" w:line="240" w:lineRule="auto"/>
              <w:jc w:val="left"/>
            </w:pPr>
            <w:r/>
            <w:r>
              <w:rPr>
                <w:rFonts w:ascii="Times New Roman" w:hAnsi="Times New Roman" w:cs="Times New Roman" w:eastAsia="Times New Roman"/>
                <w:b w:val="0"/>
                <w:i w:val="0"/>
                <w:sz w:val="18"/>
                <w:u w:val="none"/>
              </w:rPr>
              <w:t>No action</w:t>
            </w:r>
          </w:p>
        </w:tc>
        <w:tc>
          <w:tcPr>
            <w:tcW w:type="dxa" w:w="1085"/>
          </w:tcPr>
          <w:p>
            <w:pPr>
              <w:spacing w:after="40" w:before="40" w:line="240" w:lineRule="auto"/>
              <w:jc w:val="left"/>
            </w:pPr>
            <w:r/>
            <w:r>
              <w:rPr>
                <w:rFonts w:ascii="Times New Roman" w:hAnsi="Times New Roman" w:cs="Times New Roman" w:eastAsia="Times New Roman"/>
                <w:b w:val="0"/>
                <w:i w:val="0"/>
                <w:sz w:val="18"/>
                <w:u w:val="none"/>
              </w:rPr>
              <w:t>Verified</w:t>
            </w:r>
          </w:p>
        </w:tc>
      </w:tr>
      <w:tr>
        <w:tc>
          <w:tcPr>
            <w:tcW w:type="dxa" w:w="2577"/>
          </w:tcPr>
          <w:p>
            <w:pPr>
              <w:spacing w:after="40" w:before="40" w:line="240" w:lineRule="auto"/>
              <w:jc w:val="left"/>
            </w:pPr>
            <w:r/>
            <w:r>
              <w:rPr>
                <w:rFonts w:ascii="Times New Roman" w:hAnsi="Times New Roman" w:cs="Times New Roman" w:eastAsia="Times New Roman"/>
                <w:b w:val="0"/>
                <w:i w:val="0"/>
                <w:sz w:val="18"/>
                <w:u w:val="none"/>
              </w:rPr>
              <w:t>Title exception 6</w:t>
            </w:r>
          </w:p>
        </w:tc>
        <w:tc>
          <w:tcPr>
            <w:tcW w:type="dxa" w:w="3527"/>
          </w:tcPr>
          <w:p>
            <w:pPr>
              <w:spacing w:after="40" w:before="40" w:line="240" w:lineRule="auto"/>
              <w:jc w:val="left"/>
            </w:pPr>
            <w:r/>
            <w:r>
              <w:rPr>
                <w:rFonts w:ascii="Times New Roman" w:hAnsi="Times New Roman" w:cs="Times New Roman" w:eastAsia="Times New Roman"/>
                <w:b w:val="0"/>
                <w:i w:val="0"/>
                <w:sz w:val="18"/>
                <w:u w:val="none"/>
              </w:rPr>
              <w:t xml:space="preserve">Tenants in possession “without any option to purchase or right of first refusal to purchase” — consistent with the Bay 2 </w:t>
            </w:r>
            <w:r>
              <w:rPr>
                <w:rFonts w:ascii="Times New Roman" w:hAnsi="Times New Roman" w:cs="Times New Roman" w:eastAsia="Times New Roman"/>
                <w:b/>
                <w:i w:val="0"/>
                <w:sz w:val="18"/>
                <w:u w:val="none"/>
              </w:rPr>
              <w:t>leasing</w:t>
            </w:r>
            <w:r>
              <w:rPr>
                <w:rFonts w:ascii="Times New Roman" w:hAnsi="Times New Roman" w:cs="Times New Roman" w:eastAsia="Times New Roman"/>
                <w:b w:val="0"/>
                <w:i w:val="0"/>
                <w:sz w:val="18"/>
                <w:u w:val="none"/>
              </w:rPr>
              <w:t xml:space="preserve"> ROFR, which is not a purchase right</w:t>
            </w:r>
          </w:p>
        </w:tc>
        <w:tc>
          <w:tcPr>
            <w:tcW w:type="dxa" w:w="2170"/>
          </w:tcPr>
          <w:p>
            <w:pPr>
              <w:spacing w:after="40" w:before="40" w:line="240" w:lineRule="auto"/>
              <w:jc w:val="left"/>
            </w:pPr>
            <w:r/>
            <w:r>
              <w:rPr>
                <w:rFonts w:ascii="Times New Roman" w:hAnsi="Times New Roman" w:cs="Times New Roman" w:eastAsia="Times New Roman"/>
                <w:b w:val="0"/>
                <w:i w:val="0"/>
                <w:sz w:val="18"/>
                <w:u w:val="none"/>
              </w:rPr>
              <w:t>Estoppels must confirm no purchase rights (Mortgage § 5.5)</w:t>
            </w:r>
          </w:p>
        </w:tc>
        <w:tc>
          <w:tcPr>
            <w:tcW w:type="dxa" w:w="1085"/>
          </w:tcPr>
          <w:p>
            <w:pPr>
              <w:spacing w:after="40" w:before="40" w:line="240" w:lineRule="auto"/>
              <w:jc w:val="left"/>
            </w:pPr>
            <w:r/>
            <w:r>
              <w:rPr>
                <w:rFonts w:ascii="Times New Roman" w:hAnsi="Times New Roman" w:cs="Times New Roman" w:eastAsia="Times New Roman"/>
                <w:b w:val="0"/>
                <w:i w:val="0"/>
                <w:sz w:val="18"/>
                <w:u w:val="none"/>
              </w:rPr>
              <w:t>Verified</w:t>
            </w:r>
          </w:p>
        </w:tc>
      </w:tr>
    </w:tbl>
    <w:p>
      <w:pPr>
        <w:keepNext w:val="0"/>
        <w:spacing w:before="0" w:after="40" w:line="240" w:lineRule="auto"/>
        <w:ind w:left="0"/>
        <w:jc w:val="both"/>
      </w:pPr>
    </w:p>
    <w:p>
      <w:pPr>
        <w:keepNext/>
        <w:spacing w:before="280" w:after="200" w:line="240" w:lineRule="auto"/>
        <w:ind w:left="0"/>
        <w:jc w:val="center"/>
      </w:pPr>
      <w:r>
        <w:rPr>
          <w:rFonts w:ascii="Times New Roman" w:hAnsi="Times New Roman" w:cs="Times New Roman" w:eastAsia="Times New Roman"/>
          <w:b/>
          <w:i w:val="0"/>
          <w:caps/>
          <w:sz w:val="24"/>
          <w:u w:val="none"/>
        </w:rPr>
        <w:t>5. DETAILED ISSUES</w:t>
      </w:r>
    </w:p>
    <w:p>
      <w:pPr>
        <w:keepNext w:val="0"/>
        <w:spacing w:before="0" w:after="160" w:line="240" w:lineRule="auto"/>
        <w:ind w:left="0"/>
        <w:jc w:val="both"/>
      </w:pPr>
      <w:r>
        <w:rPr>
          <w:rFonts w:ascii="Times New Roman" w:hAnsi="Times New Roman" w:cs="Times New Roman" w:eastAsia="Times New Roman"/>
          <w:b w:val="0"/>
          <w:i w:val="0"/>
          <w:sz w:val="24"/>
          <w:u w:val="none"/>
        </w:rPr>
        <w:t>Each entry below states the source of the proposition, the issue, the analysis, the treatment adopted in the draft, and the action required. Cross-references to the Mortgage are to its section numbers.</w:t>
      </w:r>
    </w:p>
    <w:p>
      <w:pPr>
        <w:keepNext/>
        <w:spacing w:before="200" w:after="120" w:line="240" w:lineRule="auto"/>
        <w:ind w:left="0"/>
        <w:jc w:val="left"/>
      </w:pPr>
      <w:r>
        <w:rPr>
          <w:rFonts w:ascii="Times New Roman" w:hAnsi="Times New Roman" w:cs="Times New Roman" w:eastAsia="Times New Roman"/>
          <w:b/>
          <w:i w:val="0"/>
          <w:sz w:val="24"/>
          <w:u w:val="none"/>
        </w:rPr>
        <w:t>A. Collateral, Title, and Priority</w:t>
      </w:r>
    </w:p>
    <w:p>
      <w:pPr>
        <w:keepNext/>
        <w:spacing w:before="160" w:after="80" w:line="240" w:lineRule="auto"/>
        <w:ind w:left="0"/>
        <w:jc w:val="left"/>
      </w:pPr>
      <w:r>
        <w:rPr>
          <w:rFonts w:ascii="Times New Roman" w:hAnsi="Times New Roman" w:cs="Times New Roman" w:eastAsia="Times New Roman"/>
          <w:b/>
          <w:i/>
          <w:sz w:val="24"/>
          <w:u w:val="none"/>
        </w:rPr>
        <w:t>A1. Anson Lane strip — quitclaim conveyance and unquantified title coverage</w:t>
      </w:r>
    </w:p>
    <w:p>
      <w:pPr>
        <w:keepNext w:val="0"/>
        <w:spacing w:before="0" w:after="160" w:line="240" w:lineRule="auto"/>
        <w:ind w:left="0"/>
        <w:jc w:val="both"/>
      </w:pPr>
      <w:r>
        <w:rPr>
          <w:rFonts w:ascii="Times New Roman" w:hAnsi="Times New Roman" w:cs="Times New Roman" w:eastAsia="Times New Roman"/>
          <w:b/>
          <w:i w:val="0"/>
          <w:sz w:val="24"/>
          <w:u w:val="none"/>
        </w:rPr>
        <w:t>Source.</w:t>
      </w:r>
      <w:r>
        <w:rPr>
          <w:rFonts w:ascii="Times New Roman" w:hAnsi="Times New Roman" w:cs="Times New Roman" w:eastAsia="Times New Roman"/>
          <w:b w:val="0"/>
          <w:i w:val="0"/>
          <w:sz w:val="24"/>
          <w:u w:val="none"/>
        </w:rPr>
        <w:t xml:space="preserve"> Title Commitment, Schedule A, Section 4 (Parcel Two) and Vesting Chain Note 2; closer’s Note 3; Term Sheet § 2.1 and Exhibit A; March 18 markup note § 2.</w:t>
      </w:r>
    </w:p>
    <w:p>
      <w:pPr>
        <w:keepNext w:val="0"/>
        <w:spacing w:before="0" w:after="160" w:line="240" w:lineRule="auto"/>
        <w:ind w:left="0"/>
        <w:jc w:val="both"/>
      </w:pPr>
      <w:r>
        <w:rPr>
          <w:rFonts w:ascii="Times New Roman" w:hAnsi="Times New Roman" w:cs="Times New Roman" w:eastAsia="Times New Roman"/>
          <w:b/>
          <w:i w:val="0"/>
          <w:sz w:val="24"/>
          <w:u w:val="none"/>
        </w:rPr>
        <w:t>Issue.</w:t>
      </w:r>
      <w:r>
        <w:rPr>
          <w:rFonts w:ascii="Times New Roman" w:hAnsi="Times New Roman" w:cs="Times New Roman" w:eastAsia="Times New Roman"/>
          <w:b w:val="0"/>
          <w:i w:val="0"/>
          <w:sz w:val="24"/>
          <w:u w:val="none"/>
        </w:rPr>
        <w:t xml:space="preserve"> Parcel Two was conveyed to Borrower’s predecessor by quitclaim deed only (Deed Book 1128, Page 443). The Title Insurer states that it is satisfied the City of Charleston held sufficient interest to convey, but expressly disclaims that the chain of title for Parcel Two “is equivalent to that of Parcel One,” reserves the right to require an additional premium for extended coverage, and may limit coverage by endorsement. The strip provides the rear access and loading for the building and connects Lots 7 through 9.</w:t>
      </w:r>
    </w:p>
    <w:p>
      <w:pPr>
        <w:keepNext w:val="0"/>
        <w:spacing w:before="0" w:after="160" w:line="240" w:lineRule="auto"/>
        <w:ind w:left="0"/>
        <w:jc w:val="both"/>
      </w:pPr>
      <w:r>
        <w:rPr>
          <w:rFonts w:ascii="Times New Roman" w:hAnsi="Times New Roman" w:cs="Times New Roman" w:eastAsia="Times New Roman"/>
          <w:b/>
          <w:i w:val="0"/>
          <w:sz w:val="24"/>
          <w:u w:val="none"/>
        </w:rPr>
        <w:t>Analysis.</w:t>
      </w:r>
      <w:r>
        <w:rPr>
          <w:rFonts w:ascii="Times New Roman" w:hAnsi="Times New Roman" w:cs="Times New Roman" w:eastAsia="Times New Roman"/>
          <w:b w:val="0"/>
          <w:i w:val="0"/>
          <w:sz w:val="24"/>
          <w:u w:val="none"/>
        </w:rPr>
        <w:t xml:space="preserve"> Your three verification points are answered as follows, on the face of the commitment. (1) </w:t>
      </w:r>
      <w:r>
        <w:rPr>
          <w:rFonts w:ascii="Times New Roman" w:hAnsi="Times New Roman" w:cs="Times New Roman" w:eastAsia="Times New Roman"/>
          <w:b/>
          <w:i w:val="0"/>
          <w:sz w:val="24"/>
          <w:u w:val="none"/>
        </w:rPr>
        <w:t>Is the strip insured as part of the fee simple estate, without an exception that carves it out?</w:t>
      </w:r>
      <w:r>
        <w:rPr>
          <w:rFonts w:ascii="Times New Roman" w:hAnsi="Times New Roman" w:cs="Times New Roman" w:eastAsia="Times New Roman"/>
          <w:b w:val="0"/>
          <w:i w:val="0"/>
          <w:sz w:val="24"/>
          <w:u w:val="none"/>
        </w:rPr>
        <w:t xml:space="preserve"> Schedule B, Part II contains no exception specific to Parcel Two. Exception 7 covers matters shown on the Hampstead Village Plat (Plat Book 41, Page 218), which by its terms does not include the strip, since the strip is described by reference to the Cartwright survey recorded in Plat Book 64, Page 91. On the face of the commitment, therefore, the strip is included in the insured estate. (2) </w:t>
      </w:r>
      <w:r>
        <w:rPr>
          <w:rFonts w:ascii="Times New Roman" w:hAnsi="Times New Roman" w:cs="Times New Roman" w:eastAsia="Times New Roman"/>
          <w:b/>
          <w:i w:val="0"/>
          <w:sz w:val="24"/>
          <w:u w:val="none"/>
        </w:rPr>
        <w:t>Is the chain complete?</w:t>
      </w:r>
      <w:r>
        <w:rPr>
          <w:rFonts w:ascii="Times New Roman" w:hAnsi="Times New Roman" w:cs="Times New Roman" w:eastAsia="Times New Roman"/>
          <w:b w:val="0"/>
          <w:i w:val="0"/>
          <w:sz w:val="24"/>
          <w:u w:val="none"/>
        </w:rPr>
        <w:t xml:space="preserve"> The commitment shows the quitclaim deed from the City to Hampstead Village Holdings LLC and the vesting chain note states that the “unbroken chain of general warranty deeds ... extending at least sixty (60) years” applies to Parcel One only. There is no examined chain for Parcel Two before 2019; the City’s title rests on the ordinance and municipal records. (3) </w:t>
      </w:r>
      <w:r>
        <w:rPr>
          <w:rFonts w:ascii="Times New Roman" w:hAnsi="Times New Roman" w:cs="Times New Roman" w:eastAsia="Times New Roman"/>
          <w:b/>
          <w:i w:val="0"/>
          <w:sz w:val="24"/>
          <w:u w:val="none"/>
        </w:rPr>
        <w:t>What endorsement should we seek?</w:t>
      </w:r>
      <w:r>
        <w:rPr>
          <w:rFonts w:ascii="Times New Roman" w:hAnsi="Times New Roman" w:cs="Times New Roman" w:eastAsia="Times New Roman"/>
          <w:b w:val="0"/>
          <w:i w:val="0"/>
          <w:sz w:val="24"/>
          <w:u w:val="none"/>
        </w:rPr>
        <w:t xml:space="preserve"> Affirmative coverage for the strip. Because the risk is an identified one (the quitclaim), an ALTA 34 (Identified Risk) endorsement or an express affirmative-insurance provision is the appropriate instrument, not the ALTA 28.1 recommended for the balcony.</w:t>
      </w:r>
    </w:p>
    <w:p>
      <w:pPr>
        <w:keepNext w:val="0"/>
        <w:spacing w:before="0" w:after="160" w:line="240" w:lineRule="auto"/>
        <w:ind w:left="0"/>
        <w:jc w:val="both"/>
      </w:pPr>
      <w:r>
        <w:rPr>
          <w:rFonts w:ascii="Times New Roman" w:hAnsi="Times New Roman" w:cs="Times New Roman" w:eastAsia="Times New Roman"/>
          <w:b/>
          <w:i w:val="0"/>
          <w:sz w:val="24"/>
          <w:u w:val="none"/>
        </w:rPr>
        <w:t>Draft treatment.</w:t>
      </w:r>
      <w:r>
        <w:rPr>
          <w:rFonts w:ascii="Times New Roman" w:hAnsi="Times New Roman" w:cs="Times New Roman" w:eastAsia="Times New Roman"/>
          <w:b w:val="0"/>
          <w:i w:val="0"/>
          <w:sz w:val="24"/>
          <w:u w:val="none"/>
        </w:rPr>
        <w:t xml:space="preserve"> The strip is included in the granting clause (Mortgage § 2.1(b)) and in the Land definition (Article 1). Section 6.11 requires Borrower to obtain, to the extent available on commercially reasonable terms, affirmative coverage with respect to the vacated Anson Lane strip, in addition to the standard endorsements. The Note to Exhibit B conditions Lender’s approval of the Permitted Exceptions on written confirmation from the Title Insurer that the strip is insured as part of the fee simple estate “without any exception, qualification, or reduction in coverage specific to such strip.”</w:t>
      </w:r>
    </w:p>
    <w:p>
      <w:pPr>
        <w:keepNext w:val="0"/>
        <w:spacing w:before="0" w:after="160" w:line="240" w:lineRule="auto"/>
        <w:ind w:left="0"/>
        <w:jc w:val="both"/>
      </w:pPr>
      <w:r>
        <w:rPr>
          <w:rFonts w:ascii="Times New Roman" w:hAnsi="Times New Roman" w:cs="Times New Roman" w:eastAsia="Times New Roman"/>
          <w:b/>
          <w:i w:val="0"/>
          <w:sz w:val="24"/>
          <w:u w:val="none"/>
        </w:rPr>
        <w:t>Action.</w:t>
      </w:r>
      <w:r>
        <w:rPr>
          <w:rFonts w:ascii="Times New Roman" w:hAnsi="Times New Roman" w:cs="Times New Roman" w:eastAsia="Times New Roman"/>
          <w:b w:val="0"/>
          <w:i w:val="0"/>
          <w:sz w:val="24"/>
          <w:u w:val="none"/>
        </w:rPr>
        <w:t xml:space="preserve"> (a) Written confirmation from Prestige Title &amp; Settlement Services LLC, copied to you, on the coverage and premium for Parcel Two; (b) if a premium increase is proposed, a decision from Marcus on whether to accept it or to require the strip to be separately insured; (c) confirmation that the quitclaim conveyance carries no reversionary or utility interest adverse to the strip — note that the South Carolina Electric &amp; Gas easement recorded in Deed Book 987, Page 112 is described as affecting the westerly boundary of Lot 9 and the rear of the property, and the strip lies along the rear boundary.</w:t>
      </w:r>
    </w:p>
    <w:p>
      <w:pPr>
        <w:keepNext/>
        <w:spacing w:before="160" w:after="80" w:line="240" w:lineRule="auto"/>
        <w:ind w:left="0"/>
        <w:jc w:val="left"/>
      </w:pPr>
      <w:r>
        <w:rPr>
          <w:rFonts w:ascii="Times New Roman" w:hAnsi="Times New Roman" w:cs="Times New Roman" w:eastAsia="Times New Roman"/>
          <w:b/>
          <w:i/>
          <w:sz w:val="24"/>
          <w:u w:val="none"/>
        </w:rPr>
        <w:t>A2. Balcony encroachment over the King Street right-of-way</w:t>
      </w:r>
    </w:p>
    <w:p>
      <w:pPr>
        <w:keepNext w:val="0"/>
        <w:spacing w:before="0" w:after="160" w:line="240" w:lineRule="auto"/>
        <w:ind w:left="0"/>
        <w:jc w:val="both"/>
      </w:pPr>
      <w:r>
        <w:rPr>
          <w:rFonts w:ascii="Times New Roman" w:hAnsi="Times New Roman" w:cs="Times New Roman" w:eastAsia="Times New Roman"/>
          <w:b/>
          <w:i w:val="0"/>
          <w:sz w:val="24"/>
          <w:u w:val="none"/>
        </w:rPr>
        <w:t>Source.</w:t>
      </w:r>
      <w:r>
        <w:rPr>
          <w:rFonts w:ascii="Times New Roman" w:hAnsi="Times New Roman" w:cs="Times New Roman" w:eastAsia="Times New Roman"/>
          <w:b w:val="0"/>
          <w:i w:val="0"/>
          <w:sz w:val="24"/>
          <w:u w:val="none"/>
        </w:rPr>
        <w:t xml:space="preserve"> Title Commitment, Schedule B, Part II, Exception 5 and closer’s Note 2; Appraisal § 2.1 and § 5; Renovation Budget line 3.0 (“includes balcony encroachment area repair”; “subject to Board of Architectural Review oversight”).</w:t>
      </w:r>
    </w:p>
    <w:p>
      <w:pPr>
        <w:keepNext w:val="0"/>
        <w:spacing w:before="0" w:after="160" w:line="240" w:lineRule="auto"/>
        <w:ind w:left="0"/>
        <w:jc w:val="both"/>
      </w:pPr>
      <w:r>
        <w:rPr>
          <w:rFonts w:ascii="Times New Roman" w:hAnsi="Times New Roman" w:cs="Times New Roman" w:eastAsia="Times New Roman"/>
          <w:b/>
          <w:i w:val="0"/>
          <w:sz w:val="24"/>
          <w:u w:val="none"/>
        </w:rPr>
        <w:t>Issue.</w:t>
      </w:r>
      <w:r>
        <w:rPr>
          <w:rFonts w:ascii="Times New Roman" w:hAnsi="Times New Roman" w:cs="Times New Roman" w:eastAsia="Times New Roman"/>
          <w:b w:val="0"/>
          <w:i w:val="0"/>
          <w:sz w:val="24"/>
          <w:u w:val="none"/>
        </w:rPr>
        <w:t xml:space="preserve"> A decorative iron balcony extends approximately 2.5 feet over the King Street right-of-way. The Title Insurer makes no representation as to the existence or validity of any permit, license, or encroachment agreement, and recommends an ALTA 28.1 endorsement if coverage is desired. No permit or license is in the record.</w:t>
      </w:r>
    </w:p>
    <w:p>
      <w:pPr>
        <w:keepNext w:val="0"/>
        <w:spacing w:before="0" w:after="160" w:line="240" w:lineRule="auto"/>
        <w:ind w:left="0"/>
        <w:jc w:val="both"/>
      </w:pPr>
      <w:r>
        <w:rPr>
          <w:rFonts w:ascii="Times New Roman" w:hAnsi="Times New Roman" w:cs="Times New Roman" w:eastAsia="Times New Roman"/>
          <w:b/>
          <w:i w:val="0"/>
          <w:sz w:val="24"/>
          <w:u w:val="none"/>
        </w:rPr>
        <w:t>Analysis.</w:t>
      </w:r>
      <w:r>
        <w:rPr>
          <w:rFonts w:ascii="Times New Roman" w:hAnsi="Times New Roman" w:cs="Times New Roman" w:eastAsia="Times New Roman"/>
          <w:b w:val="0"/>
          <w:i w:val="0"/>
          <w:sz w:val="24"/>
          <w:u w:val="none"/>
        </w:rPr>
        <w:t xml:space="preserve"> Three exposures converge here. First, uninsured title risk: absent a 28.1 endorsement, a City-mandated removal or an adverse right in the right-of-way would be borne by Lender. Second, cost and schedule risk: the renovation includes “ironwork repair (including King Street balcony)” and “balcony encroachment area repair,” so Borrower will be working on an encroaching structure that may lack authorization, and the City can condition or withhold the BAR approval and building permits on resolution of the encroachment. Third, valuation: the Appraiser treats the encroachment as a minor physical consideration but expressly recommends that the lender confirm the permit status.</w:t>
      </w:r>
    </w:p>
    <w:p>
      <w:pPr>
        <w:keepNext w:val="0"/>
        <w:spacing w:before="0" w:after="160" w:line="240" w:lineRule="auto"/>
        <w:ind w:left="0"/>
        <w:jc w:val="both"/>
      </w:pPr>
      <w:r>
        <w:rPr>
          <w:rFonts w:ascii="Times New Roman" w:hAnsi="Times New Roman" w:cs="Times New Roman" w:eastAsia="Times New Roman"/>
          <w:b/>
          <w:i w:val="0"/>
          <w:sz w:val="24"/>
          <w:u w:val="none"/>
        </w:rPr>
        <w:t>Draft treatment.</w:t>
      </w:r>
      <w:r>
        <w:rPr>
          <w:rFonts w:ascii="Times New Roman" w:hAnsi="Times New Roman" w:cs="Times New Roman" w:eastAsia="Times New Roman"/>
          <w:b w:val="0"/>
          <w:i w:val="0"/>
          <w:sz w:val="24"/>
          <w:u w:val="none"/>
        </w:rPr>
        <w:t xml:space="preserve"> Section 6.5 requires Borrower to maintain compliance with any encroachment license or agreement, to notify Lender of any City notice (including any requirement to remove or alter), and to comply with all BAR and permit conditions. Exhibit B conditions approval of Exception 5 on issuance of an ALTA 28.1 endorsement or Lender’s express written acceptance of the risk. Section 10.1 requires delivery of all BAR approvals before the affected work begins.</w:t>
      </w:r>
    </w:p>
    <w:p>
      <w:pPr>
        <w:keepNext w:val="0"/>
        <w:spacing w:before="0" w:after="160" w:line="240" w:lineRule="auto"/>
        <w:ind w:left="0"/>
        <w:jc w:val="both"/>
      </w:pPr>
      <w:r>
        <w:rPr>
          <w:rFonts w:ascii="Times New Roman" w:hAnsi="Times New Roman" w:cs="Times New Roman" w:eastAsia="Times New Roman"/>
          <w:b/>
          <w:i w:val="0"/>
          <w:sz w:val="24"/>
          <w:u w:val="none"/>
        </w:rPr>
        <w:t>Action.</w:t>
      </w:r>
      <w:r>
        <w:rPr>
          <w:rFonts w:ascii="Times New Roman" w:hAnsi="Times New Roman" w:cs="Times New Roman" w:eastAsia="Times New Roman"/>
          <w:b w:val="0"/>
          <w:i w:val="0"/>
          <w:sz w:val="24"/>
          <w:u w:val="none"/>
        </w:rPr>
        <w:t xml:space="preserve"> Obtain the permit or license status from Borrower before the draft is released; if no authorization exists, obtain a written position from the City (or a letter from Borrower’s counsel) and a decision from Marcus on accepting the risk without a 28.1 endorsement. Add BAR approval to the closing conditions (Section 9 below).</w:t>
      </w:r>
    </w:p>
    <w:p>
      <w:pPr>
        <w:keepNext/>
        <w:spacing w:before="160" w:after="80" w:line="240" w:lineRule="auto"/>
        <w:ind w:left="0"/>
        <w:jc w:val="left"/>
      </w:pPr>
      <w:r>
        <w:rPr>
          <w:rFonts w:ascii="Times New Roman" w:hAnsi="Times New Roman" w:cs="Times New Roman" w:eastAsia="Times New Roman"/>
          <w:b/>
          <w:i/>
          <w:sz w:val="24"/>
          <w:u w:val="none"/>
        </w:rPr>
        <w:t>A3. Permitted Exceptions and required endorsements</w:t>
      </w:r>
    </w:p>
    <w:p>
      <w:pPr>
        <w:keepNext w:val="0"/>
        <w:spacing w:before="0" w:after="160" w:line="240" w:lineRule="auto"/>
        <w:ind w:left="0"/>
        <w:jc w:val="both"/>
      </w:pPr>
      <w:r>
        <w:rPr>
          <w:rFonts w:ascii="Times New Roman" w:hAnsi="Times New Roman" w:cs="Times New Roman" w:eastAsia="Times New Roman"/>
          <w:b/>
          <w:i w:val="0"/>
          <w:sz w:val="24"/>
          <w:u w:val="none"/>
        </w:rPr>
        <w:t>Source.</w:t>
      </w:r>
      <w:r>
        <w:rPr>
          <w:rFonts w:ascii="Times New Roman" w:hAnsi="Times New Roman" w:cs="Times New Roman" w:eastAsia="Times New Roman"/>
          <w:b w:val="0"/>
          <w:i w:val="0"/>
          <w:sz w:val="24"/>
          <w:u w:val="none"/>
        </w:rPr>
        <w:t xml:space="preserve"> Term Sheet § 5.6 (zoning, access, survey, comprehensive, and future advance endorsements “as Lender may reasonably require”); Title Commitment Requirement 9 and closer’s Notes 4 and 5 (survey must include Table A items 1, 2, 3, 4, 6(a), 6(b), 8, 9, 11, 13, 14, 16, and 19 to permit deletion of standard exceptions (b), (c), (d), and (e)).</w:t>
      </w:r>
    </w:p>
    <w:p>
      <w:pPr>
        <w:keepNext w:val="0"/>
        <w:spacing w:before="0" w:after="160" w:line="240" w:lineRule="auto"/>
        <w:ind w:left="0"/>
        <w:jc w:val="both"/>
      </w:pPr>
      <w:r>
        <w:rPr>
          <w:rFonts w:ascii="Times New Roman" w:hAnsi="Times New Roman" w:cs="Times New Roman" w:eastAsia="Times New Roman"/>
          <w:b/>
          <w:i w:val="0"/>
          <w:sz w:val="24"/>
          <w:u w:val="none"/>
        </w:rPr>
        <w:t>Issue.</w:t>
      </w:r>
      <w:r>
        <w:rPr>
          <w:rFonts w:ascii="Times New Roman" w:hAnsi="Times New Roman" w:cs="Times New Roman" w:eastAsia="Times New Roman"/>
          <w:b w:val="0"/>
          <w:i w:val="0"/>
          <w:sz w:val="24"/>
          <w:u w:val="none"/>
        </w:rPr>
        <w:t xml:space="preserve"> The record contains no evidence that any endorsement has been ordered or priced, and no written Lender approval of the Permitted Exceptions, although Term Sheet § 5.6 requires Lender’s written approval.</w:t>
      </w:r>
    </w:p>
    <w:p>
      <w:pPr>
        <w:keepNext w:val="0"/>
        <w:spacing w:before="0" w:after="160" w:line="240" w:lineRule="auto"/>
        <w:ind w:left="0"/>
        <w:jc w:val="both"/>
      </w:pPr>
      <w:r>
        <w:rPr>
          <w:rFonts w:ascii="Times New Roman" w:hAnsi="Times New Roman" w:cs="Times New Roman" w:eastAsia="Times New Roman"/>
          <w:b/>
          <w:i w:val="0"/>
          <w:sz w:val="24"/>
          <w:u w:val="none"/>
        </w:rPr>
        <w:t>Analysis.</w:t>
      </w:r>
      <w:r>
        <w:rPr>
          <w:rFonts w:ascii="Times New Roman" w:hAnsi="Times New Roman" w:cs="Times New Roman" w:eastAsia="Times New Roman"/>
          <w:b w:val="0"/>
          <w:i w:val="0"/>
          <w:sz w:val="24"/>
          <w:u w:val="none"/>
        </w:rPr>
        <w:t xml:space="preserve"> The Mortgage insures a first-priority lien subject only to Lender-approved exceptions. Without (i) a written Permitted Exceptions approval, (ii) deletion of the survey-based standard exceptions, and (iii) the regulatory endorsements, the Title Policy will not support the “first priority, no survey matters” position that the LTV analysis assumes. The closer’s Note 4 also imposes a survey scope requirement (Table A items) that must be confirmed with Cartwright, since the Survey as delivered may not include all of them.</w:t>
      </w:r>
    </w:p>
    <w:p>
      <w:pPr>
        <w:keepNext w:val="0"/>
        <w:spacing w:before="0" w:after="160" w:line="240" w:lineRule="auto"/>
        <w:ind w:left="0"/>
        <w:jc w:val="both"/>
      </w:pPr>
      <w:r>
        <w:rPr>
          <w:rFonts w:ascii="Times New Roman" w:hAnsi="Times New Roman" w:cs="Times New Roman" w:eastAsia="Times New Roman"/>
          <w:b/>
          <w:i w:val="0"/>
          <w:sz w:val="24"/>
          <w:u w:val="none"/>
        </w:rPr>
        <w:t>Draft treatment.</w:t>
      </w:r>
      <w:r>
        <w:rPr>
          <w:rFonts w:ascii="Times New Roman" w:hAnsi="Times New Roman" w:cs="Times New Roman" w:eastAsia="Times New Roman"/>
          <w:b w:val="0"/>
          <w:i w:val="0"/>
          <w:sz w:val="24"/>
          <w:u w:val="none"/>
        </w:rPr>
        <w:t xml:space="preserve"> Exhibit B lists the seven specific exceptions approved for drafting purposes and contains a note conditioning the approval on the survey, the 28.1 endorsement, and the Anson Lane confirmation. Section 6.11 lists the endorsements required.</w:t>
      </w:r>
    </w:p>
    <w:p>
      <w:pPr>
        <w:keepNext w:val="0"/>
        <w:spacing w:before="0" w:after="160" w:line="240" w:lineRule="auto"/>
        <w:ind w:left="0"/>
        <w:jc w:val="both"/>
      </w:pPr>
      <w:r>
        <w:rPr>
          <w:rFonts w:ascii="Times New Roman" w:hAnsi="Times New Roman" w:cs="Times New Roman" w:eastAsia="Times New Roman"/>
          <w:b/>
          <w:i w:val="0"/>
          <w:sz w:val="24"/>
          <w:u w:val="none"/>
        </w:rPr>
        <w:t>Action.</w:t>
      </w:r>
      <w:r>
        <w:rPr>
          <w:rFonts w:ascii="Times New Roman" w:hAnsi="Times New Roman" w:cs="Times New Roman" w:eastAsia="Times New Roman"/>
          <w:b w:val="0"/>
          <w:i w:val="0"/>
          <w:sz w:val="24"/>
          <w:u w:val="none"/>
        </w:rPr>
        <w:t xml:space="preserve"> Order the endorsements now (future advance is the most important), obtain written confirmation that Cartwright’s survey includes the required Table A items, and obtain Lender’s signed Permitted Exceptions approval for the closing file.</w:t>
      </w:r>
    </w:p>
    <w:p>
      <w:pPr>
        <w:keepNext/>
        <w:spacing w:before="160" w:after="80" w:line="240" w:lineRule="auto"/>
        <w:ind w:left="0"/>
        <w:jc w:val="left"/>
      </w:pPr>
      <w:r>
        <w:rPr>
          <w:rFonts w:ascii="Times New Roman" w:hAnsi="Times New Roman" w:cs="Times New Roman" w:eastAsia="Times New Roman"/>
          <w:b/>
          <w:i/>
          <w:sz w:val="24"/>
          <w:u w:val="none"/>
        </w:rPr>
        <w:t>A4. Survey re-certification timing</w:t>
      </w:r>
    </w:p>
    <w:p>
      <w:pPr>
        <w:keepNext w:val="0"/>
        <w:spacing w:before="0" w:after="160" w:line="240" w:lineRule="auto"/>
        <w:ind w:left="0"/>
        <w:jc w:val="both"/>
      </w:pPr>
      <w:r>
        <w:rPr>
          <w:rFonts w:ascii="Times New Roman" w:hAnsi="Times New Roman" w:cs="Times New Roman" w:eastAsia="Times New Roman"/>
          <w:b/>
          <w:i w:val="0"/>
          <w:sz w:val="24"/>
          <w:u w:val="none"/>
        </w:rPr>
        <w:t>Source.</w:t>
      </w:r>
      <w:r>
        <w:rPr>
          <w:rFonts w:ascii="Times New Roman" w:hAnsi="Times New Roman" w:cs="Times New Roman" w:eastAsia="Times New Roman"/>
          <w:b w:val="0"/>
          <w:i w:val="0"/>
          <w:sz w:val="24"/>
          <w:u w:val="none"/>
        </w:rPr>
        <w:t xml:space="preserve"> Term Sheet § 12.1(e); Title Commitment Requirement 9 (survey dated or re-certified not more than ninety (90) days prior to closing); Survey dated January 15, 2025.</w:t>
      </w:r>
    </w:p>
    <w:p>
      <w:pPr>
        <w:keepNext w:val="0"/>
        <w:spacing w:before="0" w:after="160" w:line="240" w:lineRule="auto"/>
        <w:ind w:left="0"/>
        <w:jc w:val="both"/>
      </w:pPr>
      <w:r>
        <w:rPr>
          <w:rFonts w:ascii="Times New Roman" w:hAnsi="Times New Roman" w:cs="Times New Roman" w:eastAsia="Times New Roman"/>
          <w:b/>
          <w:i w:val="0"/>
          <w:sz w:val="24"/>
          <w:u w:val="none"/>
        </w:rPr>
        <w:t>Analysis.</w:t>
      </w:r>
      <w:r>
        <w:rPr>
          <w:rFonts w:ascii="Times New Roman" w:hAnsi="Times New Roman" w:cs="Times New Roman" w:eastAsia="Times New Roman"/>
          <w:b w:val="0"/>
          <w:i w:val="0"/>
          <w:sz w:val="24"/>
          <w:u w:val="none"/>
        </w:rPr>
        <w:t xml:space="preserve"> For an April 15, 2025 closing, the ninety-day window opens on January 15, 2025. The Survey is dated exactly on the first permissible day, so it must be re-certified to close, and any closing delay of even one day makes a re-certification mandatory. The Survey must also be certified to the Title Insurer, Lender, and Borrower, and must depict the balcony encroachment and the Anson Lane strip.</w:t>
      </w:r>
    </w:p>
    <w:p>
      <w:pPr>
        <w:keepNext w:val="0"/>
        <w:spacing w:before="0" w:after="160" w:line="240" w:lineRule="auto"/>
        <w:ind w:left="0"/>
        <w:jc w:val="both"/>
      </w:pPr>
      <w:r>
        <w:rPr>
          <w:rFonts w:ascii="Times New Roman" w:hAnsi="Times New Roman" w:cs="Times New Roman" w:eastAsia="Times New Roman"/>
          <w:b/>
          <w:i w:val="0"/>
          <w:sz w:val="24"/>
          <w:u w:val="none"/>
        </w:rPr>
        <w:t>Draft treatment.</w:t>
      </w:r>
      <w:r>
        <w:rPr>
          <w:rFonts w:ascii="Times New Roman" w:hAnsi="Times New Roman" w:cs="Times New Roman" w:eastAsia="Times New Roman"/>
          <w:b w:val="0"/>
          <w:i w:val="0"/>
          <w:sz w:val="24"/>
          <w:u w:val="none"/>
        </w:rPr>
        <w:t xml:space="preserve"> The Survey is defined in Article 1 with the re-certification requirement, and Section 6.11 requires delivery of the endorsements that depend on it.</w:t>
      </w:r>
    </w:p>
    <w:p>
      <w:pPr>
        <w:keepNext w:val="0"/>
        <w:spacing w:before="0" w:after="160" w:line="240" w:lineRule="auto"/>
        <w:ind w:left="0"/>
        <w:jc w:val="both"/>
      </w:pPr>
      <w:r>
        <w:rPr>
          <w:rFonts w:ascii="Times New Roman" w:hAnsi="Times New Roman" w:cs="Times New Roman" w:eastAsia="Times New Roman"/>
          <w:b/>
          <w:i w:val="0"/>
          <w:sz w:val="24"/>
          <w:u w:val="none"/>
        </w:rPr>
        <w:t>Action.</w:t>
      </w:r>
      <w:r>
        <w:rPr>
          <w:rFonts w:ascii="Times New Roman" w:hAnsi="Times New Roman" w:cs="Times New Roman" w:eastAsia="Times New Roman"/>
          <w:b w:val="0"/>
          <w:i w:val="0"/>
          <w:sz w:val="24"/>
          <w:u w:val="none"/>
        </w:rPr>
        <w:t xml:space="preserve"> Order the re-certification this week; if the closing moves, re-order.</w:t>
      </w:r>
    </w:p>
    <w:p>
      <w:pPr>
        <w:keepNext/>
        <w:spacing w:before="160" w:after="80" w:line="240" w:lineRule="auto"/>
        <w:ind w:left="0"/>
        <w:jc w:val="left"/>
      </w:pPr>
      <w:r>
        <w:rPr>
          <w:rFonts w:ascii="Times New Roman" w:hAnsi="Times New Roman" w:cs="Times New Roman" w:eastAsia="Times New Roman"/>
          <w:b/>
          <w:i/>
          <w:sz w:val="24"/>
          <w:u w:val="none"/>
        </w:rPr>
        <w:t>A5. Priority of future advances; mechanics' lien exposure</w:t>
      </w:r>
    </w:p>
    <w:p>
      <w:pPr>
        <w:keepNext w:val="0"/>
        <w:spacing w:before="0" w:after="160" w:line="240" w:lineRule="auto"/>
        <w:ind w:left="0"/>
        <w:jc w:val="both"/>
      </w:pPr>
      <w:r>
        <w:rPr>
          <w:rFonts w:ascii="Times New Roman" w:hAnsi="Times New Roman" w:cs="Times New Roman" w:eastAsia="Times New Roman"/>
          <w:b/>
          <w:i w:val="0"/>
          <w:sz w:val="24"/>
          <w:u w:val="none"/>
        </w:rPr>
        <w:t>Source.</w:t>
      </w:r>
      <w:r>
        <w:rPr>
          <w:rFonts w:ascii="Times New Roman" w:hAnsi="Times New Roman" w:cs="Times New Roman" w:eastAsia="Times New Roman"/>
          <w:b w:val="0"/>
          <w:i w:val="0"/>
          <w:sz w:val="24"/>
          <w:u w:val="none"/>
        </w:rPr>
        <w:t xml:space="preserve"> Term Sheet § 3.3 (Renovation Holdback), § 5.1, § 6.4 and § 8.4 (draw mechanics); Renovation Budget (tenant improvement allowances of $550,000); March 18 markup note § 6.</w:t>
      </w:r>
    </w:p>
    <w:p>
      <w:pPr>
        <w:keepNext w:val="0"/>
        <w:spacing w:before="0" w:after="160" w:line="240" w:lineRule="auto"/>
        <w:ind w:left="0"/>
        <w:jc w:val="both"/>
      </w:pPr>
      <w:r>
        <w:rPr>
          <w:rFonts w:ascii="Times New Roman" w:hAnsi="Times New Roman" w:cs="Times New Roman" w:eastAsia="Times New Roman"/>
          <w:b/>
          <w:i w:val="0"/>
          <w:sz w:val="24"/>
          <w:u w:val="none"/>
        </w:rPr>
        <w:t>Issue.</w:t>
      </w:r>
      <w:r>
        <w:rPr>
          <w:rFonts w:ascii="Times New Roman" w:hAnsi="Times New Roman" w:cs="Times New Roman" w:eastAsia="Times New Roman"/>
          <w:b w:val="0"/>
          <w:i w:val="0"/>
          <w:sz w:val="24"/>
          <w:u w:val="none"/>
        </w:rPr>
        <w:t xml:space="preserve"> The Loan is a holdback facility. South Carolina distinguishes obligatory advances, which share the priority of the original lien, from optional advances, which may be subordinated to liens arising between the original recording and the later advance. Mechanic’s lien claimants and intervening judgment creditors are the exposure.</w:t>
      </w:r>
    </w:p>
    <w:p>
      <w:pPr>
        <w:keepNext w:val="0"/>
        <w:spacing w:before="0" w:after="160" w:line="240" w:lineRule="auto"/>
        <w:ind w:left="0"/>
        <w:jc w:val="both"/>
      </w:pPr>
      <w:r>
        <w:rPr>
          <w:rFonts w:ascii="Times New Roman" w:hAnsi="Times New Roman" w:cs="Times New Roman" w:eastAsia="Times New Roman"/>
          <w:b/>
          <w:i w:val="0"/>
          <w:sz w:val="24"/>
          <w:u w:val="none"/>
        </w:rPr>
        <w:t>Analysis.</w:t>
      </w:r>
      <w:r>
        <w:rPr>
          <w:rFonts w:ascii="Times New Roman" w:hAnsi="Times New Roman" w:cs="Times New Roman" w:eastAsia="Times New Roman"/>
          <w:b w:val="0"/>
          <w:i w:val="0"/>
          <w:sz w:val="24"/>
          <w:u w:val="none"/>
        </w:rPr>
        <w:t xml:space="preserve"> Two protections are required. First, the Mortgage must characterize the Holdback as obligatory and recite the maximum principal amount, so that the recorded instrument fixes the secured indebtedness and the documentary tax. Second, the draw mechanics must produce, at each draw, unconditional lien waivers for prior work, conditional waivers for current work, and a title date-down endorsement confirming no intervening liens. A third, South Carolina-specific protection is available for tenant improvement work: an owner that posts and records a Notice of Nonresponsibility within the statutory period avoids lien liability for a tenant’s improvements. Tenant improvement allowances of $550,000 are budgeted, so this exposure is real.</w:t>
      </w:r>
    </w:p>
    <w:p>
      <w:pPr>
        <w:keepNext w:val="0"/>
        <w:spacing w:before="0" w:after="160" w:line="240" w:lineRule="auto"/>
        <w:ind w:left="0"/>
        <w:jc w:val="both"/>
      </w:pPr>
      <w:r>
        <w:rPr>
          <w:rFonts w:ascii="Times New Roman" w:hAnsi="Times New Roman" w:cs="Times New Roman" w:eastAsia="Times New Roman"/>
          <w:b/>
          <w:i w:val="0"/>
          <w:sz w:val="24"/>
          <w:u w:val="none"/>
        </w:rPr>
        <w:t>Draft treatment.</w:t>
      </w:r>
      <w:r>
        <w:rPr>
          <w:rFonts w:ascii="Times New Roman" w:hAnsi="Times New Roman" w:cs="Times New Roman" w:eastAsia="Times New Roman"/>
          <w:b w:val="0"/>
          <w:i w:val="0"/>
          <w:sz w:val="24"/>
          <w:u w:val="none"/>
        </w:rPr>
        <w:t xml:space="preserve"> Section 2.8 recites that each Holdback disbursement is an obligatory advance and states the maximum principal amount; the cover recites that the instrument secures obligatory future advances. Section 10.5 imposes the lien waiver, date-down, and inspection conditions. Section 6.15 requires Borrower to post and record Notices of Nonresponsibility within the time permitted by statute for tenant improvement work, and to deliver copies to Lender.</w:t>
      </w:r>
    </w:p>
    <w:p>
      <w:pPr>
        <w:keepNext w:val="0"/>
        <w:spacing w:before="0" w:after="160" w:line="240" w:lineRule="auto"/>
        <w:ind w:left="0"/>
        <w:jc w:val="both"/>
      </w:pPr>
      <w:r>
        <w:rPr>
          <w:rFonts w:ascii="Times New Roman" w:hAnsi="Times New Roman" w:cs="Times New Roman" w:eastAsia="Times New Roman"/>
          <w:b/>
          <w:i w:val="0"/>
          <w:sz w:val="24"/>
          <w:u w:val="none"/>
        </w:rPr>
        <w:t>Action.</w:t>
      </w:r>
      <w:r>
        <w:rPr>
          <w:rFonts w:ascii="Times New Roman" w:hAnsi="Times New Roman" w:cs="Times New Roman" w:eastAsia="Times New Roman"/>
          <w:b w:val="0"/>
          <w:i w:val="0"/>
          <w:sz w:val="24"/>
          <w:u w:val="none"/>
        </w:rPr>
        <w:t xml:space="preserve"> Confirm the future advance endorsement is available and priced; confirm with Borrower’s construction counsel that the § 29-5-20 procedure will be followed for the Bay 2 and Suite B build-outs; verify the current statutory citation and the form of notice before the draft is released.</w:t>
      </w:r>
    </w:p>
    <w:p>
      <w:pPr>
        <w:keepNext/>
        <w:spacing w:before="160" w:after="80" w:line="240" w:lineRule="auto"/>
        <w:ind w:left="0"/>
        <w:jc w:val="left"/>
      </w:pPr>
      <w:r>
        <w:rPr>
          <w:rFonts w:ascii="Times New Roman" w:hAnsi="Times New Roman" w:cs="Times New Roman" w:eastAsia="Times New Roman"/>
          <w:b/>
          <w:i/>
          <w:sz w:val="24"/>
          <w:u w:val="none"/>
        </w:rPr>
        <w:t>A6. Tenants in possession; absence of purchase rights</w:t>
      </w:r>
    </w:p>
    <w:p>
      <w:pPr>
        <w:keepNext w:val="0"/>
        <w:spacing w:before="0" w:after="160" w:line="240" w:lineRule="auto"/>
        <w:ind w:left="0"/>
        <w:jc w:val="both"/>
      </w:pPr>
      <w:r>
        <w:rPr>
          <w:rFonts w:ascii="Times New Roman" w:hAnsi="Times New Roman" w:cs="Times New Roman" w:eastAsia="Times New Roman"/>
          <w:b/>
          <w:i w:val="0"/>
          <w:sz w:val="24"/>
          <w:u w:val="none"/>
        </w:rPr>
        <w:t>Source.</w:t>
      </w:r>
      <w:r>
        <w:rPr>
          <w:rFonts w:ascii="Times New Roman" w:hAnsi="Times New Roman" w:cs="Times New Roman" w:eastAsia="Times New Roman"/>
          <w:b w:val="0"/>
          <w:i w:val="0"/>
          <w:sz w:val="24"/>
          <w:u w:val="none"/>
        </w:rPr>
        <w:t xml:space="preserve"> Title Commitment, Schedule B, Part II, Exception 6; Rent Roll, Lease Abstracts (renewal options and the Bay 2 right of first refusal).</w:t>
      </w:r>
    </w:p>
    <w:p>
      <w:pPr>
        <w:keepNext w:val="0"/>
        <w:spacing w:before="0" w:after="160" w:line="240" w:lineRule="auto"/>
        <w:ind w:left="0"/>
        <w:jc w:val="both"/>
      </w:pPr>
      <w:r>
        <w:rPr>
          <w:rFonts w:ascii="Times New Roman" w:hAnsi="Times New Roman" w:cs="Times New Roman" w:eastAsia="Times New Roman"/>
          <w:b/>
          <w:i w:val="0"/>
          <w:sz w:val="24"/>
          <w:u w:val="none"/>
        </w:rPr>
        <w:t>Analysis.</w:t>
      </w:r>
      <w:r>
        <w:rPr>
          <w:rFonts w:ascii="Times New Roman" w:hAnsi="Times New Roman" w:cs="Times New Roman" w:eastAsia="Times New Roman"/>
          <w:b w:val="0"/>
          <w:i w:val="0"/>
          <w:sz w:val="24"/>
          <w:u w:val="none"/>
        </w:rPr>
        <w:t xml:space="preserve"> Exception 6 insures the tenants “as tenants only, without any option to purchase or right of first refusal to purchase.” The leases confer renewal options (Lowcountry: one five-year option with a fair-market-value floor; Harmon &amp; Wren: one three-year option at 95% of fair market value; Tidemark: two three-year options) and the Bay 2 right of first refusal, which is a leasing right rather than a purchase right. The estoppel certificates should confirm the absence of purchase rights expressly, so that the title position and the estoppel record agree.</w:t>
      </w:r>
    </w:p>
    <w:p>
      <w:pPr>
        <w:keepNext w:val="0"/>
        <w:spacing w:before="0" w:after="160" w:line="240" w:lineRule="auto"/>
        <w:ind w:left="0"/>
        <w:jc w:val="both"/>
      </w:pPr>
      <w:r>
        <w:rPr>
          <w:rFonts w:ascii="Times New Roman" w:hAnsi="Times New Roman" w:cs="Times New Roman" w:eastAsia="Times New Roman"/>
          <w:b/>
          <w:i w:val="0"/>
          <w:sz w:val="24"/>
          <w:u w:val="none"/>
        </w:rPr>
        <w:t>Draft treatment.</w:t>
      </w:r>
      <w:r>
        <w:rPr>
          <w:rFonts w:ascii="Times New Roman" w:hAnsi="Times New Roman" w:cs="Times New Roman" w:eastAsia="Times New Roman"/>
          <w:b w:val="0"/>
          <w:i w:val="0"/>
          <w:sz w:val="24"/>
          <w:u w:val="none"/>
        </w:rPr>
        <w:t xml:space="preserve"> Section 5.5 contains a representation that no Tenant holds a purchase option or purchase right of first refusal; Section 4.5 requires the estoppels not to contain qualifications inconsistent with the Rent Roll without Lender’s consent.</w:t>
      </w:r>
    </w:p>
    <w:p>
      <w:pPr>
        <w:keepNext w:val="0"/>
        <w:spacing w:before="0" w:after="160" w:line="240" w:lineRule="auto"/>
        <w:ind w:left="0"/>
        <w:jc w:val="both"/>
      </w:pPr>
      <w:r>
        <w:rPr>
          <w:rFonts w:ascii="Times New Roman" w:hAnsi="Times New Roman" w:cs="Times New Roman" w:eastAsia="Times New Roman"/>
          <w:b/>
          <w:i w:val="0"/>
          <w:sz w:val="24"/>
          <w:u w:val="none"/>
        </w:rPr>
        <w:t>Action.</w:t>
      </w:r>
      <w:r>
        <w:rPr>
          <w:rFonts w:ascii="Times New Roman" w:hAnsi="Times New Roman" w:cs="Times New Roman" w:eastAsia="Times New Roman"/>
          <w:b w:val="0"/>
          <w:i w:val="0"/>
          <w:sz w:val="24"/>
          <w:u w:val="none"/>
        </w:rPr>
        <w:t xml:space="preserve"> Include an express “no purchase option or right of first refusal to purchase” representation in the form of estoppel delivered to each Tenant.</w:t>
      </w:r>
    </w:p>
    <w:p>
      <w:pPr>
        <w:keepNext/>
        <w:spacing w:before="200" w:after="120" w:line="240" w:lineRule="auto"/>
        <w:ind w:left="0"/>
        <w:jc w:val="left"/>
      </w:pPr>
      <w:r>
        <w:rPr>
          <w:rFonts w:ascii="Times New Roman" w:hAnsi="Times New Roman" w:cs="Times New Roman" w:eastAsia="Times New Roman"/>
          <w:b/>
          <w:i w:val="0"/>
          <w:sz w:val="24"/>
          <w:u w:val="none"/>
        </w:rPr>
        <w:t>B. Assignment of Rents and Leasing</w:t>
      </w:r>
    </w:p>
    <w:p>
      <w:pPr>
        <w:keepNext/>
        <w:spacing w:before="160" w:after="80" w:line="240" w:lineRule="auto"/>
        <w:ind w:left="0"/>
        <w:jc w:val="left"/>
      </w:pPr>
      <w:r>
        <w:rPr>
          <w:rFonts w:ascii="Times New Roman" w:hAnsi="Times New Roman" w:cs="Times New Roman" w:eastAsia="Times New Roman"/>
          <w:b/>
          <w:i/>
          <w:sz w:val="24"/>
          <w:u w:val="none"/>
        </w:rPr>
        <w:t>B1. Absolute assignment of rents — statute and characterization</w:t>
      </w:r>
    </w:p>
    <w:p>
      <w:pPr>
        <w:keepNext w:val="0"/>
        <w:spacing w:before="0" w:after="160" w:line="240" w:lineRule="auto"/>
        <w:ind w:left="0"/>
        <w:jc w:val="both"/>
      </w:pPr>
      <w:r>
        <w:rPr>
          <w:rFonts w:ascii="Times New Roman" w:hAnsi="Times New Roman" w:cs="Times New Roman" w:eastAsia="Times New Roman"/>
          <w:b/>
          <w:i w:val="0"/>
          <w:sz w:val="24"/>
          <w:u w:val="none"/>
        </w:rPr>
        <w:t>Source.</w:t>
      </w:r>
      <w:r>
        <w:rPr>
          <w:rFonts w:ascii="Times New Roman" w:hAnsi="Times New Roman" w:cs="Times New Roman" w:eastAsia="Times New Roman"/>
          <w:b w:val="0"/>
          <w:i w:val="0"/>
          <w:sz w:val="24"/>
          <w:u w:val="none"/>
        </w:rPr>
        <w:t xml:space="preserve"> March 18 markup note § 3 (Uniform Assignment of Rents Act; absolute, not collateral, assignment); Term Sheet § 5.2 (absolute assignment); Title Commitment Requirement 5.</w:t>
      </w:r>
    </w:p>
    <w:p>
      <w:pPr>
        <w:keepNext w:val="0"/>
        <w:spacing w:before="0" w:after="160" w:line="240" w:lineRule="auto"/>
        <w:ind w:left="0"/>
        <w:jc w:val="both"/>
      </w:pPr>
      <w:r>
        <w:rPr>
          <w:rFonts w:ascii="Times New Roman" w:hAnsi="Times New Roman" w:cs="Times New Roman" w:eastAsia="Times New Roman"/>
          <w:b/>
          <w:i w:val="0"/>
          <w:sz w:val="24"/>
          <w:u w:val="none"/>
        </w:rPr>
        <w:t>Analysis.</w:t>
      </w:r>
      <w:r>
        <w:rPr>
          <w:rFonts w:ascii="Times New Roman" w:hAnsi="Times New Roman" w:cs="Times New Roman" w:eastAsia="Times New Roman"/>
          <w:b w:val="0"/>
          <w:i w:val="0"/>
          <w:sz w:val="24"/>
          <w:u w:val="none"/>
        </w:rPr>
        <w:t xml:space="preserve"> The draft implements the restructuring you directed. Article 4 effects an absolute, present, and unconditional transfer of the Leases and Rents, states that it is not a collateral assignment made as additional security, and states that it is effective upon execution and recordation. Section 4.2 provides that perfection occurs on recording and that enforcement — including direct collection — arises on default without the necessity of a court order, a receiver, or possession, while preserving the right to seek a receiver. Section 4.3 gives Borrower a revocable license to collect until default. The word “collateral” is nowhere used to characterize the assignment. One point requires verification: the file cites the South Carolina Uniform Assignment of Rents Act at S.C. Code Ann. § 29-3-100 et seq. The citation and the Act’s enforcement and perfection mechanics should be confirmed against the current Code before the draft is released; the operative language has been drafted so that the assignment is effective under general principles even if the statutory reference is adjusted.</w:t>
      </w:r>
    </w:p>
    <w:p>
      <w:pPr>
        <w:keepNext/>
        <w:spacing w:before="160" w:after="80" w:line="240" w:lineRule="auto"/>
        <w:ind w:left="0"/>
        <w:jc w:val="left"/>
      </w:pPr>
      <w:r>
        <w:rPr>
          <w:rFonts w:ascii="Times New Roman" w:hAnsi="Times New Roman" w:cs="Times New Roman" w:eastAsia="Times New Roman"/>
          <w:b/>
          <w:i/>
          <w:sz w:val="24"/>
          <w:u w:val="none"/>
        </w:rPr>
        <w:t>B2. Lowcountry Provisions — no assignment, estoppel, or SNDA provision</w:t>
      </w:r>
    </w:p>
    <w:p>
      <w:pPr>
        <w:keepNext w:val="0"/>
        <w:spacing w:before="0" w:after="160" w:line="240" w:lineRule="auto"/>
        <w:ind w:left="0"/>
        <w:jc w:val="both"/>
      </w:pPr>
      <w:r>
        <w:rPr>
          <w:rFonts w:ascii="Times New Roman" w:hAnsi="Times New Roman" w:cs="Times New Roman" w:eastAsia="Times New Roman"/>
          <w:b/>
          <w:i w:val="0"/>
          <w:sz w:val="24"/>
          <w:u w:val="none"/>
        </w:rPr>
        <w:t>Source.</w:t>
      </w:r>
      <w:r>
        <w:rPr>
          <w:rFonts w:ascii="Times New Roman" w:hAnsi="Times New Roman" w:cs="Times New Roman" w:eastAsia="Times New Roman"/>
          <w:b w:val="0"/>
          <w:i w:val="0"/>
          <w:sz w:val="24"/>
          <w:u w:val="none"/>
        </w:rPr>
        <w:t xml:space="preserve"> Rent Roll, Lease Abstracts (Assignment/Subletting: “No provision... does not contain a consent requirement, prohibition, or landlord approval mechanism”; Estoppel Certificate Obligation: none; SNDA: “Lease does not contain SNDA provisions”); Appraisal § 3.2 (notes the omission as “unusual”); March 18 markup note § 3; Term Sheet § 12.1(j) and (k).</w:t>
      </w:r>
    </w:p>
    <w:p>
      <w:pPr>
        <w:keepNext w:val="0"/>
        <w:spacing w:before="0" w:after="160" w:line="240" w:lineRule="auto"/>
        <w:ind w:left="0"/>
        <w:jc w:val="both"/>
      </w:pPr>
      <w:r>
        <w:rPr>
          <w:rFonts w:ascii="Times New Roman" w:hAnsi="Times New Roman" w:cs="Times New Roman" w:eastAsia="Times New Roman"/>
          <w:b/>
          <w:i w:val="0"/>
          <w:sz w:val="24"/>
          <w:u w:val="none"/>
        </w:rPr>
        <w:t>Issue.</w:t>
      </w:r>
      <w:r>
        <w:rPr>
          <w:rFonts w:ascii="Times New Roman" w:hAnsi="Times New Roman" w:cs="Times New Roman" w:eastAsia="Times New Roman"/>
          <w:b w:val="0"/>
          <w:i w:val="0"/>
          <w:sz w:val="24"/>
          <w:u w:val="none"/>
        </w:rPr>
        <w:t xml:space="preserve"> The tenant occupying the space subject to the Land Use Restriction, and paying the highest rent per square foot at the Property ($28.50/SF), has no contractual obligation to deliver an estoppel or an SNDA. Both are stated closing conditions.</w:t>
      </w:r>
    </w:p>
    <w:p>
      <w:pPr>
        <w:keepNext w:val="0"/>
        <w:spacing w:before="0" w:after="160" w:line="240" w:lineRule="auto"/>
        <w:ind w:left="0"/>
        <w:jc w:val="both"/>
      </w:pPr>
      <w:r>
        <w:rPr>
          <w:rFonts w:ascii="Times New Roman" w:hAnsi="Times New Roman" w:cs="Times New Roman" w:eastAsia="Times New Roman"/>
          <w:b/>
          <w:i w:val="0"/>
          <w:sz w:val="24"/>
          <w:u w:val="none"/>
        </w:rPr>
        <w:t>Analysis.</w:t>
      </w:r>
      <w:r>
        <w:rPr>
          <w:rFonts w:ascii="Times New Roman" w:hAnsi="Times New Roman" w:cs="Times New Roman" w:eastAsia="Times New Roman"/>
          <w:b w:val="0"/>
          <w:i w:val="0"/>
          <w:sz w:val="24"/>
          <w:u w:val="none"/>
        </w:rPr>
        <w:t xml:space="preserve"> You are correct that enforceability of the rent assignment does not depend on the lease’s consent to assignment; the risk is practical, and it crystalizes exactly when Lender needs it — a default, when the tenant can assert that it never agreed to pay a third party. Your three-step remedy is implemented: (a) a specific representation and warranty that Borrower has the full right and power to assign all Rents under the Lowcountry lease and that no tenant consent is required (§ 4.6); (b) an estoppel delivering within thirty (30) days after closing in which the tenant acknowledges the Mortgage, acknowledges the absolute assignment, and agrees to pay Lender on notice after default (§ 4.6); and (c) a covenant to obtain an assignment-consent amendment at the next renewal, extension, or amendment opportunity (§ 4.6). We recommend going one step further than the draft presently does: make the Lowcountry estoppel an express condition precedent and record in the closing file that it was not waived.</w:t>
      </w:r>
    </w:p>
    <w:p>
      <w:pPr>
        <w:keepNext/>
        <w:spacing w:before="160" w:after="80" w:line="240" w:lineRule="auto"/>
        <w:ind w:left="0"/>
        <w:jc w:val="left"/>
      </w:pPr>
      <w:r>
        <w:rPr>
          <w:rFonts w:ascii="Times New Roman" w:hAnsi="Times New Roman" w:cs="Times New Roman" w:eastAsia="Times New Roman"/>
          <w:b/>
          <w:i/>
          <w:sz w:val="24"/>
          <w:u w:val="none"/>
        </w:rPr>
        <w:t>B3. Estoppels and SNDAs — status by tenant</w:t>
      </w:r>
    </w:p>
    <w:p>
      <w:pPr>
        <w:keepNext w:val="0"/>
        <w:spacing w:before="0" w:after="160" w:line="240" w:lineRule="auto"/>
        <w:ind w:left="0"/>
        <w:jc w:val="both"/>
      </w:pPr>
      <w:r>
        <w:rPr>
          <w:rFonts w:ascii="Times New Roman" w:hAnsi="Times New Roman" w:cs="Times New Roman" w:eastAsia="Times New Roman"/>
          <w:b/>
          <w:i w:val="0"/>
          <w:sz w:val="24"/>
          <w:u w:val="none"/>
        </w:rPr>
        <w:t>Source.</w:t>
      </w:r>
      <w:r>
        <w:rPr>
          <w:rFonts w:ascii="Times New Roman" w:hAnsi="Times New Roman" w:cs="Times New Roman" w:eastAsia="Times New Roman"/>
          <w:b w:val="0"/>
          <w:i w:val="0"/>
          <w:sz w:val="24"/>
          <w:u w:val="none"/>
        </w:rPr>
        <w:t xml:space="preserve"> Rent Roll, Lease Abstracts; Term Sheet § 12.1(j) and (k); Title Commitment Requirement 11 and closer’s Note 5.</w:t>
      </w:r>
    </w:p>
    <w:p>
      <w:pPr>
        <w:keepNext w:val="0"/>
        <w:spacing w:before="0" w:after="160" w:line="240" w:lineRule="auto"/>
        <w:ind w:left="0"/>
        <w:jc w:val="both"/>
      </w:pPr>
      <w:r>
        <w:rPr>
          <w:rFonts w:ascii="Times New Roman" w:hAnsi="Times New Roman" w:cs="Times New Roman" w:eastAsia="Times New Roman"/>
          <w:b/>
          <w:i w:val="0"/>
          <w:sz w:val="24"/>
          <w:u w:val="none"/>
        </w:rPr>
        <w:t>Analysis.</w:t>
      </w:r>
      <w:r>
        <w:rPr>
          <w:rFonts w:ascii="Times New Roman" w:hAnsi="Times New Roman" w:cs="Times New Roman" w:eastAsia="Times New Roman"/>
          <w:b w:val="0"/>
          <w:i w:val="0"/>
          <w:sz w:val="24"/>
          <w:u w:val="none"/>
        </w:rPr>
        <w:t xml:space="preserve"> Harmon &amp; Wren must deliver an estoppel within fifteen (15) business days of request and has covenanted to subordinate to any mortgage “provided that the mortgagee delivers a commercially reasonable non-disturbance agreement.” Tidemark must deliver an estoppel within ten (10) business days and “agrees to execute SNDA upon Landlord’s request”; note that Tidemark’s assignment consent is at the landlord’s “sole discretion,” so its cooperation should not be assumed. Lowcountry has no obligation at all. Practical consequence: Lender’s form of non-disturbance must be defensibly “commercially reasonable” to avoid triggering the Harmon &amp; Wren proviso, and the timing of requests should be sequenced now, not at closing.</w:t>
      </w:r>
    </w:p>
    <w:p>
      <w:pPr>
        <w:keepNext w:val="0"/>
        <w:spacing w:before="0" w:after="160" w:line="240" w:lineRule="auto"/>
        <w:ind w:left="0"/>
        <w:jc w:val="both"/>
      </w:pPr>
      <w:r>
        <w:rPr>
          <w:rFonts w:ascii="Times New Roman" w:hAnsi="Times New Roman" w:cs="Times New Roman" w:eastAsia="Times New Roman"/>
          <w:b/>
          <w:i w:val="0"/>
          <w:sz w:val="24"/>
          <w:u w:val="none"/>
        </w:rPr>
        <w:t>Draft treatment.</w:t>
      </w:r>
      <w:r>
        <w:rPr>
          <w:rFonts w:ascii="Times New Roman" w:hAnsi="Times New Roman" w:cs="Times New Roman" w:eastAsia="Times New Roman"/>
          <w:b w:val="0"/>
          <w:i w:val="0"/>
          <w:sz w:val="24"/>
          <w:u w:val="none"/>
        </w:rPr>
        <w:t xml:space="preserve"> Section 4.11 conditions Lender’s obligation to deliver a non-disturbance agreement on the absence of an Event of Default, receipt of a satisfactory estoppel, and execution of an SNDA in Lender’s customary form. Section 4.5 contains a post-closing cure path if any estoppel or SNDA is not obtained at closing (monthly status reporting), which preserves Lender’s position without waiving the condition.</w:t>
      </w:r>
    </w:p>
    <w:p>
      <w:pPr>
        <w:keepNext w:val="0"/>
        <w:spacing w:before="0" w:after="160" w:line="240" w:lineRule="auto"/>
        <w:ind w:left="0"/>
        <w:jc w:val="both"/>
      </w:pPr>
      <w:r>
        <w:rPr>
          <w:rFonts w:ascii="Times New Roman" w:hAnsi="Times New Roman" w:cs="Times New Roman" w:eastAsia="Times New Roman"/>
          <w:b/>
          <w:i w:val="0"/>
          <w:sz w:val="24"/>
          <w:u w:val="none"/>
        </w:rPr>
        <w:t>Action.</w:t>
      </w:r>
      <w:r>
        <w:rPr>
          <w:rFonts w:ascii="Times New Roman" w:hAnsi="Times New Roman" w:cs="Times New Roman" w:eastAsia="Times New Roman"/>
          <w:b w:val="0"/>
          <w:i w:val="0"/>
          <w:sz w:val="24"/>
          <w:u w:val="none"/>
        </w:rPr>
        <w:t xml:space="preserve"> Request all three estoppels and SNDAs this week; obtain the form of NDA approved by you before it is sent; do not waive the Lowcountry deliverables without Marcus’s written approval.</w:t>
      </w:r>
    </w:p>
    <w:p>
      <w:pPr>
        <w:keepNext/>
        <w:spacing w:before="160" w:after="80" w:line="240" w:lineRule="auto"/>
        <w:ind w:left="0"/>
        <w:jc w:val="left"/>
      </w:pPr>
      <w:r>
        <w:rPr>
          <w:rFonts w:ascii="Times New Roman" w:hAnsi="Times New Roman" w:cs="Times New Roman" w:eastAsia="Times New Roman"/>
          <w:b/>
          <w:i/>
          <w:sz w:val="24"/>
          <w:u w:val="none"/>
        </w:rPr>
        <w:t>B4. Bay 2 right of first refusal — not disclosed in the Term Sheet</w:t>
      </w:r>
    </w:p>
    <w:p>
      <w:pPr>
        <w:keepNext w:val="0"/>
        <w:spacing w:before="0" w:after="160" w:line="240" w:lineRule="auto"/>
        <w:ind w:left="0"/>
        <w:jc w:val="both"/>
      </w:pPr>
      <w:r>
        <w:rPr>
          <w:rFonts w:ascii="Times New Roman" w:hAnsi="Times New Roman" w:cs="Times New Roman" w:eastAsia="Times New Roman"/>
          <w:b/>
          <w:i w:val="0"/>
          <w:sz w:val="24"/>
          <w:u w:val="none"/>
        </w:rPr>
        <w:t>Source.</w:t>
      </w:r>
      <w:r>
        <w:rPr>
          <w:rFonts w:ascii="Times New Roman" w:hAnsi="Times New Roman" w:cs="Times New Roman" w:eastAsia="Times New Roman"/>
          <w:b w:val="0"/>
          <w:i w:val="0"/>
          <w:sz w:val="24"/>
          <w:u w:val="none"/>
        </w:rPr>
        <w:t xml:space="preserve"> Rent Roll, Lease Abstracts (Harmon &amp; Wren holds a ROFR on Bay 2, fifteen business days to accept or decline, survives renewal; added by the September 1, 2023 First Amendment); Rent Roll, Vacancy Schedule (“may delay execution by 30–60 days”); Appraisal § 3.2 and § 6.3 (ROFR adds an estimated 60–90 days to Bay 2 absorption and is “factored into” the stabilized projections).</w:t>
      </w:r>
    </w:p>
    <w:p>
      <w:pPr>
        <w:keepNext w:val="0"/>
        <w:spacing w:before="0" w:after="160" w:line="240" w:lineRule="auto"/>
        <w:ind w:left="0"/>
        <w:jc w:val="both"/>
      </w:pPr>
      <w:r>
        <w:rPr>
          <w:rFonts w:ascii="Times New Roman" w:hAnsi="Times New Roman" w:cs="Times New Roman" w:eastAsia="Times New Roman"/>
          <w:b/>
          <w:i w:val="0"/>
          <w:sz w:val="24"/>
          <w:u w:val="none"/>
        </w:rPr>
        <w:t>Issue.</w:t>
      </w:r>
      <w:r>
        <w:rPr>
          <w:rFonts w:ascii="Times New Roman" w:hAnsi="Times New Roman" w:cs="Times New Roman" w:eastAsia="Times New Roman"/>
          <w:b w:val="0"/>
          <w:i w:val="0"/>
          <w:sz w:val="24"/>
          <w:u w:val="none"/>
        </w:rPr>
        <w:t xml:space="preserve"> The Term Sheet’s tenancy table does not disclose the ROFR and the March 18 notes do not mention it. Lender’s leasing covenant (Term Sheet § 10.6) requires consent only for leases exceeding 5,000 square feet or five years, so Lender has no consent right over a 3,800-square-foot Bay 2 lease — the very space the ROFR encumbers.</w:t>
      </w:r>
    </w:p>
    <w:p>
      <w:pPr>
        <w:keepNext w:val="0"/>
        <w:spacing w:before="0" w:after="160" w:line="240" w:lineRule="auto"/>
        <w:ind w:left="0"/>
        <w:jc w:val="both"/>
      </w:pPr>
      <w:r>
        <w:rPr>
          <w:rFonts w:ascii="Times New Roman" w:hAnsi="Times New Roman" w:cs="Times New Roman" w:eastAsia="Times New Roman"/>
          <w:b/>
          <w:i w:val="0"/>
          <w:sz w:val="24"/>
          <w:u w:val="none"/>
        </w:rPr>
        <w:t>Analysis.</w:t>
      </w:r>
      <w:r>
        <w:rPr>
          <w:rFonts w:ascii="Times New Roman" w:hAnsi="Times New Roman" w:cs="Times New Roman" w:eastAsia="Times New Roman"/>
          <w:b w:val="0"/>
          <w:i w:val="0"/>
          <w:sz w:val="24"/>
          <w:u w:val="none"/>
        </w:rPr>
        <w:t xml:space="preserve"> The ROFR is a contractual right binding on the landlord that runs with the letting of Bay 2, survives renewal of the Harmon &amp; Wren lease, and (per the Vacancy Schedule) terminates only if that tenant does not renew. It is a matter affecting the Property that a lender would ordinarily expect to see in the rent roll and the estoppel. It also interacts with the Harmon &amp; Wren renewal decision due by December 31, 2025.</w:t>
      </w:r>
    </w:p>
    <w:p>
      <w:pPr>
        <w:keepNext w:val="0"/>
        <w:spacing w:before="0" w:after="160" w:line="240" w:lineRule="auto"/>
        <w:ind w:left="0"/>
        <w:jc w:val="both"/>
      </w:pPr>
      <w:r>
        <w:rPr>
          <w:rFonts w:ascii="Times New Roman" w:hAnsi="Times New Roman" w:cs="Times New Roman" w:eastAsia="Times New Roman"/>
          <w:b/>
          <w:i w:val="0"/>
          <w:sz w:val="24"/>
          <w:u w:val="none"/>
        </w:rPr>
        <w:t>Draft treatment.</w:t>
      </w:r>
      <w:r>
        <w:rPr>
          <w:rFonts w:ascii="Times New Roman" w:hAnsi="Times New Roman" w:cs="Times New Roman" w:eastAsia="Times New Roman"/>
          <w:b w:val="0"/>
          <w:i w:val="0"/>
          <w:sz w:val="24"/>
          <w:u w:val="none"/>
        </w:rPr>
        <w:t xml:space="preserve"> Section 4.7 contains a full disclosure representation, a covenant to comply with the ROFR in good faith, delivery of each third-party offer and the tenant’s election to Lender, and a prohibition on amending, waiving, or expanding the ROFR without Lender’s consent. Section 6.7 requires quarterly leasing reports that address the ROFR process. Section 5.5 and the estoppel requirements capture the right in the estoppel record.</w:t>
      </w:r>
    </w:p>
    <w:p>
      <w:pPr>
        <w:keepNext w:val="0"/>
        <w:spacing w:before="0" w:after="160" w:line="240" w:lineRule="auto"/>
        <w:ind w:left="0"/>
        <w:jc w:val="both"/>
      </w:pPr>
      <w:r>
        <w:rPr>
          <w:rFonts w:ascii="Times New Roman" w:hAnsi="Times New Roman" w:cs="Times New Roman" w:eastAsia="Times New Roman"/>
          <w:b/>
          <w:i w:val="0"/>
          <w:sz w:val="24"/>
          <w:u w:val="none"/>
        </w:rPr>
        <w:t>Action.</w:t>
      </w:r>
      <w:r>
        <w:rPr>
          <w:rFonts w:ascii="Times New Roman" w:hAnsi="Times New Roman" w:cs="Times New Roman" w:eastAsia="Times New Roman"/>
          <w:b w:val="0"/>
          <w:i w:val="0"/>
          <w:sz w:val="24"/>
          <w:u w:val="none"/>
        </w:rPr>
        <w:t xml:space="preserve"> Obtain the First Amendment and confirm the ROFR’s exact terms; consider lowering the lease consent threshold (see B7); instruct Borrower that no Bay 2 offer may be negotiated without ROFR compliance, so that a non-compliant lease does not create an Event of Default under Section 4.7 or Section 4.8.</w:t>
      </w:r>
    </w:p>
    <w:p>
      <w:pPr>
        <w:keepNext/>
        <w:spacing w:before="160" w:after="80" w:line="240" w:lineRule="auto"/>
        <w:ind w:left="0"/>
        <w:jc w:val="left"/>
      </w:pPr>
      <w:r>
        <w:rPr>
          <w:rFonts w:ascii="Times New Roman" w:hAnsi="Times New Roman" w:cs="Times New Roman" w:eastAsia="Times New Roman"/>
          <w:b/>
          <w:i/>
          <w:sz w:val="24"/>
          <w:u w:val="none"/>
        </w:rPr>
        <w:t>B5. Exclusive grocery use</w:t>
      </w:r>
    </w:p>
    <w:p>
      <w:pPr>
        <w:keepNext w:val="0"/>
        <w:spacing w:before="0" w:after="160" w:line="240" w:lineRule="auto"/>
        <w:ind w:left="0"/>
        <w:jc w:val="both"/>
      </w:pPr>
      <w:r>
        <w:rPr>
          <w:rFonts w:ascii="Times New Roman" w:hAnsi="Times New Roman" w:cs="Times New Roman" w:eastAsia="Times New Roman"/>
          <w:b/>
          <w:i w:val="0"/>
          <w:sz w:val="24"/>
          <w:u w:val="none"/>
        </w:rPr>
        <w:t>Source.</w:t>
      </w:r>
      <w:r>
        <w:rPr>
          <w:rFonts w:ascii="Times New Roman" w:hAnsi="Times New Roman" w:cs="Times New Roman" w:eastAsia="Times New Roman"/>
          <w:b w:val="0"/>
          <w:i w:val="0"/>
          <w:sz w:val="24"/>
          <w:u w:val="none"/>
        </w:rPr>
        <w:t xml:space="preserve"> Rent Roll, Lease Abstracts (Lowcountry: “Exclusive use as specialty grocery/gourmet provisions within the Property”).</w:t>
      </w:r>
    </w:p>
    <w:p>
      <w:pPr>
        <w:keepNext w:val="0"/>
        <w:spacing w:before="0" w:after="160" w:line="240" w:lineRule="auto"/>
        <w:ind w:left="0"/>
        <w:jc w:val="both"/>
      </w:pPr>
      <w:r>
        <w:rPr>
          <w:rFonts w:ascii="Times New Roman" w:hAnsi="Times New Roman" w:cs="Times New Roman" w:eastAsia="Times New Roman"/>
          <w:b/>
          <w:i w:val="0"/>
          <w:sz w:val="24"/>
          <w:u w:val="none"/>
        </w:rPr>
        <w:t>Analysis.</w:t>
      </w:r>
      <w:r>
        <w:rPr>
          <w:rFonts w:ascii="Times New Roman" w:hAnsi="Times New Roman" w:cs="Times New Roman" w:eastAsia="Times New Roman"/>
          <w:b w:val="0"/>
          <w:i w:val="0"/>
          <w:sz w:val="24"/>
          <w:u w:val="none"/>
        </w:rPr>
        <w:t xml:space="preserve"> The exclusivity restricts the tenant mix permissible in Bay 2 and Bay 3, both ground-floor retail bays. The projected Bay 2 rent of $26.00/SF (Vacancy Schedule) assumes a retail tenant that does not compete with a specialty grocer. The scope of the exclusivity is described only in summary form; the lease itself must be reviewed to determine whether the restriction extends to prepared food, gourmet retail, wine, or general grocery.</w:t>
      </w:r>
    </w:p>
    <w:p>
      <w:pPr>
        <w:keepNext w:val="0"/>
        <w:spacing w:before="0" w:after="160" w:line="240" w:lineRule="auto"/>
        <w:ind w:left="0"/>
        <w:jc w:val="both"/>
      </w:pPr>
      <w:r>
        <w:rPr>
          <w:rFonts w:ascii="Times New Roman" w:hAnsi="Times New Roman" w:cs="Times New Roman" w:eastAsia="Times New Roman"/>
          <w:b/>
          <w:i w:val="0"/>
          <w:sz w:val="24"/>
          <w:u w:val="none"/>
        </w:rPr>
        <w:t>Draft treatment.</w:t>
      </w:r>
      <w:r>
        <w:rPr>
          <w:rFonts w:ascii="Times New Roman" w:hAnsi="Times New Roman" w:cs="Times New Roman" w:eastAsia="Times New Roman"/>
          <w:b w:val="0"/>
          <w:i w:val="0"/>
          <w:sz w:val="24"/>
          <w:u w:val="none"/>
        </w:rPr>
        <w:t xml:space="preserve"> Section 4.9 prohibits any Lease that violates an existing exclusive use provision without Lender’s consent, and Section 8.4 prohibits change of use.</w:t>
      </w:r>
    </w:p>
    <w:p>
      <w:pPr>
        <w:keepNext w:val="0"/>
        <w:spacing w:before="0" w:after="160" w:line="240" w:lineRule="auto"/>
        <w:ind w:left="0"/>
        <w:jc w:val="both"/>
      </w:pPr>
      <w:r>
        <w:rPr>
          <w:rFonts w:ascii="Times New Roman" w:hAnsi="Times New Roman" w:cs="Times New Roman" w:eastAsia="Times New Roman"/>
          <w:b/>
          <w:i w:val="0"/>
          <w:sz w:val="24"/>
          <w:u w:val="none"/>
        </w:rPr>
        <w:t>Action.</w:t>
      </w:r>
      <w:r>
        <w:rPr>
          <w:rFonts w:ascii="Times New Roman" w:hAnsi="Times New Roman" w:cs="Times New Roman" w:eastAsia="Times New Roman"/>
          <w:b w:val="0"/>
          <w:i w:val="0"/>
          <w:sz w:val="24"/>
          <w:u w:val="none"/>
        </w:rPr>
        <w:t xml:space="preserve"> Obtain and review the exclusivity clause; confirm the marketing plan for Bay 2 is consistent; disclose the restriction in the estoppel.</w:t>
      </w:r>
    </w:p>
    <w:p>
      <w:pPr>
        <w:keepNext/>
        <w:spacing w:before="160" w:after="80" w:line="240" w:lineRule="auto"/>
        <w:ind w:left="0"/>
        <w:jc w:val="left"/>
      </w:pPr>
      <w:r>
        <w:rPr>
          <w:rFonts w:ascii="Times New Roman" w:hAnsi="Times New Roman" w:cs="Times New Roman" w:eastAsia="Times New Roman"/>
          <w:b/>
          <w:i/>
          <w:sz w:val="24"/>
          <w:u w:val="none"/>
        </w:rPr>
        <w:t>B6. Security deposits</w:t>
      </w:r>
    </w:p>
    <w:p>
      <w:pPr>
        <w:keepNext w:val="0"/>
        <w:spacing w:before="0" w:after="160" w:line="240" w:lineRule="auto"/>
        <w:ind w:left="0"/>
        <w:jc w:val="both"/>
      </w:pPr>
      <w:r>
        <w:rPr>
          <w:rFonts w:ascii="Times New Roman" w:hAnsi="Times New Roman" w:cs="Times New Roman" w:eastAsia="Times New Roman"/>
          <w:b/>
          <w:i w:val="0"/>
          <w:sz w:val="24"/>
          <w:u w:val="none"/>
        </w:rPr>
        <w:t>Source.</w:t>
      </w:r>
      <w:r>
        <w:rPr>
          <w:rFonts w:ascii="Times New Roman" w:hAnsi="Times New Roman" w:cs="Times New Roman" w:eastAsia="Times New Roman"/>
          <w:b w:val="0"/>
          <w:i w:val="0"/>
          <w:sz w:val="24"/>
          <w:u w:val="none"/>
        </w:rPr>
        <w:t xml:space="preserve"> Rent Roll, Summary ($69,183 = $18,050 + $15,200 + $35,933, each equal to two months’ base rent).</w:t>
      </w:r>
    </w:p>
    <w:p>
      <w:pPr>
        <w:keepNext w:val="0"/>
        <w:spacing w:before="0" w:after="160" w:line="240" w:lineRule="auto"/>
        <w:ind w:left="0"/>
        <w:jc w:val="both"/>
      </w:pPr>
      <w:r>
        <w:rPr>
          <w:rFonts w:ascii="Times New Roman" w:hAnsi="Times New Roman" w:cs="Times New Roman" w:eastAsia="Times New Roman"/>
          <w:b/>
          <w:i w:val="0"/>
          <w:sz w:val="24"/>
          <w:u w:val="none"/>
        </w:rPr>
        <w:t>Analysis.</w:t>
      </w:r>
      <w:r>
        <w:rPr>
          <w:rFonts w:ascii="Times New Roman" w:hAnsi="Times New Roman" w:cs="Times New Roman" w:eastAsia="Times New Roman"/>
          <w:b w:val="0"/>
          <w:i w:val="0"/>
          <w:sz w:val="24"/>
          <w:u w:val="none"/>
        </w:rPr>
        <w:t xml:space="preserve"> Security deposits are not “rents” for all purposes and may not be captured by the statutory assignment. They must be dealt with expressly, held in trust, and transferred on enforcement. Separately, the purchase agreement is not in the record, so it is not confirmed whether Borrower receives a credit for the deposits at closing; if it does not, the $69,183 is an additional unfunded use (see 4.5).</w:t>
      </w:r>
    </w:p>
    <w:p>
      <w:pPr>
        <w:keepNext w:val="0"/>
        <w:spacing w:before="0" w:after="160" w:line="240" w:lineRule="auto"/>
        <w:ind w:left="0"/>
        <w:jc w:val="both"/>
      </w:pPr>
      <w:r>
        <w:rPr>
          <w:rFonts w:ascii="Times New Roman" w:hAnsi="Times New Roman" w:cs="Times New Roman" w:eastAsia="Times New Roman"/>
          <w:b/>
          <w:i w:val="0"/>
          <w:sz w:val="24"/>
          <w:u w:val="none"/>
        </w:rPr>
        <w:t>Draft treatment.</w:t>
      </w:r>
      <w:r>
        <w:rPr>
          <w:rFonts w:ascii="Times New Roman" w:hAnsi="Times New Roman" w:cs="Times New Roman" w:eastAsia="Times New Roman"/>
          <w:b w:val="0"/>
          <w:i w:val="0"/>
          <w:sz w:val="24"/>
          <w:u w:val="none"/>
        </w:rPr>
        <w:t xml:space="preserve"> Section 4.10 requires the deposits to be held in trust and not commingled, acknowledges the $69,183 amount, and requires transfer to Lender or its designee upon Lender taking possession or succeeding to the landlord’s interest.</w:t>
      </w:r>
    </w:p>
    <w:p>
      <w:pPr>
        <w:keepNext w:val="0"/>
        <w:spacing w:before="0" w:after="160" w:line="240" w:lineRule="auto"/>
        <w:ind w:left="0"/>
        <w:jc w:val="both"/>
      </w:pPr>
      <w:r>
        <w:rPr>
          <w:rFonts w:ascii="Times New Roman" w:hAnsi="Times New Roman" w:cs="Times New Roman" w:eastAsia="Times New Roman"/>
          <w:b/>
          <w:i w:val="0"/>
          <w:sz w:val="24"/>
          <w:u w:val="none"/>
        </w:rPr>
        <w:t>Action.</w:t>
      </w:r>
      <w:r>
        <w:rPr>
          <w:rFonts w:ascii="Times New Roman" w:hAnsi="Times New Roman" w:cs="Times New Roman" w:eastAsia="Times New Roman"/>
          <w:b w:val="0"/>
          <w:i w:val="0"/>
          <w:sz w:val="24"/>
          <w:u w:val="none"/>
        </w:rPr>
        <w:t xml:space="preserve"> Confirm the deposit credit in the purchase agreement.</w:t>
      </w:r>
    </w:p>
    <w:p>
      <w:pPr>
        <w:keepNext/>
        <w:spacing w:before="160" w:after="80" w:line="240" w:lineRule="auto"/>
        <w:ind w:left="0"/>
        <w:jc w:val="left"/>
      </w:pPr>
      <w:r>
        <w:rPr>
          <w:rFonts w:ascii="Times New Roman" w:hAnsi="Times New Roman" w:cs="Times New Roman" w:eastAsia="Times New Roman"/>
          <w:b/>
          <w:i/>
          <w:sz w:val="24"/>
          <w:u w:val="none"/>
        </w:rPr>
        <w:t>B7. Lease consent thresholds leave the ground-floor bays uncontrolled</w:t>
      </w:r>
    </w:p>
    <w:p>
      <w:pPr>
        <w:keepNext w:val="0"/>
        <w:spacing w:before="0" w:after="160" w:line="240" w:lineRule="auto"/>
        <w:ind w:left="0"/>
        <w:jc w:val="both"/>
      </w:pPr>
      <w:r>
        <w:rPr>
          <w:rFonts w:ascii="Times New Roman" w:hAnsi="Times New Roman" w:cs="Times New Roman" w:eastAsia="Times New Roman"/>
          <w:b/>
          <w:i w:val="0"/>
          <w:sz w:val="24"/>
          <w:u w:val="none"/>
        </w:rPr>
        <w:t>Source.</w:t>
      </w:r>
      <w:r>
        <w:rPr>
          <w:rFonts w:ascii="Times New Roman" w:hAnsi="Times New Roman" w:cs="Times New Roman" w:eastAsia="Times New Roman"/>
          <w:b w:val="0"/>
          <w:i w:val="0"/>
          <w:sz w:val="24"/>
          <w:u w:val="none"/>
        </w:rPr>
        <w:t xml:space="preserve"> Term Sheet § 10.6 (consent required for leases “in excess of five thousand (5,000) square feet or for lease terms exceeding five (5) years”); Vacancy Schedule (Bay 2: 3,800 SF, projected five-year term; Bay 3: 3,800 SF, three-year renewal option).</w:t>
      </w:r>
    </w:p>
    <w:p>
      <w:pPr>
        <w:keepNext w:val="0"/>
        <w:spacing w:before="0" w:after="160" w:line="240" w:lineRule="auto"/>
        <w:ind w:left="0"/>
        <w:jc w:val="both"/>
      </w:pPr>
      <w:r>
        <w:rPr>
          <w:rFonts w:ascii="Times New Roman" w:hAnsi="Times New Roman" w:cs="Times New Roman" w:eastAsia="Times New Roman"/>
          <w:b/>
          <w:i w:val="0"/>
          <w:sz w:val="24"/>
          <w:u w:val="none"/>
        </w:rPr>
        <w:t>Analysis.</w:t>
      </w:r>
      <w:r>
        <w:rPr>
          <w:rFonts w:ascii="Times New Roman" w:hAnsi="Times New Roman" w:cs="Times New Roman" w:eastAsia="Times New Roman"/>
          <w:b w:val="0"/>
          <w:i w:val="0"/>
          <w:sz w:val="24"/>
          <w:u w:val="none"/>
        </w:rPr>
        <w:t xml:space="preserve"> Each ground-floor bay is 3,800 square feet and market retail terms are five years. Under the Term Sheet threshold, Lender has no consent right over either bay — the two spaces subject to the ROFR and the exclusivity, and the two spaces whose lease-up underwrites the as-stabilized value. The draft implements the Term Sheet threshold (Section 4.8) and does not alter it, because the threshold is a negotiated commercial term.</w:t>
      </w:r>
    </w:p>
    <w:p>
      <w:pPr>
        <w:keepNext w:val="0"/>
        <w:spacing w:before="0" w:after="160" w:line="240" w:lineRule="auto"/>
        <w:ind w:left="0"/>
        <w:jc w:val="both"/>
      </w:pPr>
      <w:r>
        <w:rPr>
          <w:rFonts w:ascii="Times New Roman" w:hAnsi="Times New Roman" w:cs="Times New Roman" w:eastAsia="Times New Roman"/>
          <w:b/>
          <w:i w:val="0"/>
          <w:sz w:val="24"/>
          <w:u w:val="none"/>
        </w:rPr>
        <w:t>Action.</w:t>
      </w:r>
      <w:r>
        <w:rPr>
          <w:rFonts w:ascii="Times New Roman" w:hAnsi="Times New Roman" w:cs="Times New Roman" w:eastAsia="Times New Roman"/>
          <w:b w:val="0"/>
          <w:i w:val="0"/>
          <w:sz w:val="24"/>
          <w:u w:val="none"/>
        </w:rPr>
        <w:t xml:space="preserve"> Recommend to Marcus that the threshold be reduced to 3,000 square feet, or that a specific consent right be added for Bay 2 and Bay 3. Instruction requested (Section 8, item 5).</w:t>
      </w:r>
    </w:p>
    <w:p>
      <w:pPr>
        <w:keepNext/>
        <w:spacing w:before="200" w:after="120" w:line="240" w:lineRule="auto"/>
        <w:ind w:left="0"/>
        <w:jc w:val="left"/>
      </w:pPr>
      <w:r>
        <w:rPr>
          <w:rFonts w:ascii="Times New Roman" w:hAnsi="Times New Roman" w:cs="Times New Roman" w:eastAsia="Times New Roman"/>
          <w:b/>
          <w:i w:val="0"/>
          <w:sz w:val="24"/>
          <w:u w:val="none"/>
        </w:rPr>
        <w:t>C. Interest Rate, Prepayment, and Charges</w:t>
      </w:r>
    </w:p>
    <w:p>
      <w:pPr>
        <w:keepNext/>
        <w:spacing w:before="160" w:after="80" w:line="240" w:lineRule="auto"/>
        <w:ind w:left="0"/>
        <w:jc w:val="left"/>
      </w:pPr>
      <w:r>
        <w:rPr>
          <w:rFonts w:ascii="Times New Roman" w:hAnsi="Times New Roman" w:cs="Times New Roman" w:eastAsia="Times New Roman"/>
          <w:b/>
          <w:i/>
          <w:sz w:val="24"/>
          <w:u w:val="none"/>
        </w:rPr>
        <w:t>C1. Yield maintenance — the March 18 formula departs from the Term Sheet</w:t>
      </w:r>
    </w:p>
    <w:p>
      <w:pPr>
        <w:keepNext w:val="0"/>
        <w:spacing w:before="0" w:after="160" w:line="240" w:lineRule="auto"/>
        <w:ind w:left="0"/>
        <w:jc w:val="both"/>
      </w:pPr>
      <w:r>
        <w:rPr>
          <w:rFonts w:ascii="Times New Roman" w:hAnsi="Times New Roman" w:cs="Times New Roman" w:eastAsia="Times New Roman"/>
          <w:b/>
          <w:i w:val="0"/>
          <w:sz w:val="24"/>
          <w:u w:val="none"/>
        </w:rPr>
        <w:t>Source.</w:t>
      </w:r>
      <w:r>
        <w:rPr>
          <w:rFonts w:ascii="Times New Roman" w:hAnsi="Times New Roman" w:cs="Times New Roman" w:eastAsia="Times New Roman"/>
          <w:b w:val="0"/>
          <w:i w:val="0"/>
          <w:sz w:val="24"/>
          <w:u w:val="none"/>
        </w:rPr>
        <w:t xml:space="preserve"> Term Sheet § 4.2(b) (greater of 1.00% of the outstanding principal or the present value of the excess of interest at the Note rate over interest at “the treasury rate plus fifty (50) basis points,” discounted at the treasury rate); March 18 markup note § 5 (drafting instruction and four open interpretive questions).</w:t>
      </w:r>
    </w:p>
    <w:p>
      <w:pPr>
        <w:keepNext w:val="0"/>
        <w:spacing w:before="0" w:after="160" w:line="240" w:lineRule="auto"/>
        <w:ind w:left="0"/>
        <w:jc w:val="both"/>
      </w:pPr>
      <w:r>
        <w:rPr>
          <w:rFonts w:ascii="Times New Roman" w:hAnsi="Times New Roman" w:cs="Times New Roman" w:eastAsia="Times New Roman"/>
          <w:b/>
          <w:i w:val="0"/>
          <w:sz w:val="24"/>
          <w:u w:val="none"/>
        </w:rPr>
        <w:t>Issue.</w:t>
      </w:r>
      <w:r>
        <w:rPr>
          <w:rFonts w:ascii="Times New Roman" w:hAnsi="Times New Roman" w:cs="Times New Roman" w:eastAsia="Times New Roman"/>
          <w:b w:val="0"/>
          <w:i w:val="0"/>
          <w:sz w:val="24"/>
          <w:u w:val="none"/>
        </w:rPr>
        <w:t xml:space="preserve"> The formula you dictated differs from the Term Sheet in three respects. It (i) omits the one percent (1.00%) minimum, substituting a “positive excess, if any” measure with a floor of zero; (ii) measures the premium as the present value of all remaining scheduled payments less the principal prepaid, rather than as the present value of the net interest differential; and (iii) instructs that the fifty basis points be added to the Note rate rather than to the treasury rate.</w:t>
      </w:r>
    </w:p>
    <w:p>
      <w:pPr>
        <w:keepNext w:val="0"/>
        <w:spacing w:before="0" w:after="160" w:line="240" w:lineRule="auto"/>
        <w:ind w:left="0"/>
        <w:jc w:val="both"/>
      </w:pPr>
      <w:r>
        <w:rPr>
          <w:rFonts w:ascii="Times New Roman" w:hAnsi="Times New Roman" w:cs="Times New Roman" w:eastAsia="Times New Roman"/>
          <w:b/>
          <w:i w:val="0"/>
          <w:sz w:val="24"/>
          <w:u w:val="none"/>
        </w:rPr>
        <w:t>Analysis.</w:t>
      </w:r>
      <w:r>
        <w:rPr>
          <w:rFonts w:ascii="Times New Roman" w:hAnsi="Times New Roman" w:cs="Times New Roman" w:eastAsia="Times New Roman"/>
          <w:b w:val="0"/>
          <w:i w:val="0"/>
          <w:sz w:val="24"/>
          <w:u w:val="none"/>
        </w:rPr>
        <w:t xml:space="preserve"> Each difference matters. Omitting the 1% floor would give away value and contradicts an express Term Sheet term; the Term Sheet is a binding commitment and § 14.4 permits additional provisions only if not “materially inconsistent” with it. The “present value of remaining payments less principal” measure is a legitimate yield maintenance formulation, but it is not the one the parties agreed, and it can produce a premium that the agreed formula would not. Adding the spread to the Note rate rather than the reinvestment rate inverts the Term Sheet’s structure: § 4.2(b)(ii) expressly applies the fifty basis points to the treasury rate. Your interpretive questions are answered by the Term Sheet itself: (c) the premium is the greater of the 1% minimum and the yield maintenance computation, so there is a minimum; and (d) a zero or negative computed differential is cured by the 1% minimum, so the floor question does not arise during the Yield Maintenance Period.</w:t>
      </w:r>
    </w:p>
    <w:p>
      <w:pPr>
        <w:keepNext w:val="0"/>
        <w:spacing w:before="0" w:after="160" w:line="240" w:lineRule="auto"/>
        <w:ind w:left="0"/>
        <w:jc w:val="both"/>
      </w:pPr>
      <w:r>
        <w:rPr>
          <w:rFonts w:ascii="Times New Roman" w:hAnsi="Times New Roman" w:cs="Times New Roman" w:eastAsia="Times New Roman"/>
          <w:b/>
          <w:i w:val="0"/>
          <w:sz w:val="24"/>
          <w:u w:val="none"/>
        </w:rPr>
        <w:t>Draft treatment.</w:t>
      </w:r>
      <w:r>
        <w:rPr>
          <w:rFonts w:ascii="Times New Roman" w:hAnsi="Times New Roman" w:cs="Times New Roman" w:eastAsia="Times New Roman"/>
          <w:b w:val="0"/>
          <w:i w:val="0"/>
          <w:sz w:val="24"/>
          <w:u w:val="none"/>
        </w:rPr>
        <w:t xml:space="preserve"> Section 3.9 implements the Term Sheet formula: the greater of (a) 1.00% of the principal prepaid and (b) the present value of the excess of interest at the Note Rate over interest at the Treasury Rate plus 0.50%, discounted at the Treasury Rate, monthly, over the remaining months to the last day of the Yield Maintenance Period. The Treasury Rate is defined by reference to the constant-maturity yield reported in Federal Reserve Statistical Release H.15, interpolated linearly where no published maturity matches, with a fallback to an on-the-run yield reported by a pricing service. Lender’s calculation is conclusive absent manifest error. Exhibit D contains a worked illustration demonstrating that no element of the calculation requires the exercise of discretion — a point we will want if the formula is ever attacked as a penalty.</w:t>
      </w:r>
    </w:p>
    <w:p>
      <w:pPr>
        <w:keepNext w:val="0"/>
        <w:spacing w:before="0" w:after="160" w:line="240" w:lineRule="auto"/>
        <w:ind w:left="0"/>
        <w:jc w:val="both"/>
      </w:pPr>
      <w:r>
        <w:rPr>
          <w:rFonts w:ascii="Times New Roman" w:hAnsi="Times New Roman" w:cs="Times New Roman" w:eastAsia="Times New Roman"/>
          <w:b/>
          <w:i w:val="0"/>
          <w:sz w:val="24"/>
          <w:u w:val="none"/>
        </w:rPr>
        <w:t>Action.</w:t>
      </w:r>
      <w:r>
        <w:rPr>
          <w:rFonts w:ascii="Times New Roman" w:hAnsi="Times New Roman" w:cs="Times New Roman" w:eastAsia="Times New Roman"/>
          <w:b w:val="0"/>
          <w:i w:val="0"/>
          <w:sz w:val="24"/>
          <w:u w:val="none"/>
        </w:rPr>
        <w:t xml:space="preserve"> Confirm with Marcus: (i) that the Term Sheet formulation governs and your draft language is superseded; and (ii) whether Lender wishes to add a prepayment premium payable on a prepayment after a casualty or condemnation (see C5). If Lender prefers your formulation, the Term Sheet must be amended and the change priced. Verify the enforceability of yield maintenance premiums under current South Carolina authority before release; the formula’s determinism is the principal defense.</w:t>
      </w:r>
    </w:p>
    <w:p>
      <w:pPr>
        <w:keepNext/>
        <w:spacing w:before="160" w:after="80" w:line="240" w:lineRule="auto"/>
        <w:ind w:left="0"/>
        <w:jc w:val="left"/>
      </w:pPr>
      <w:r>
        <w:rPr>
          <w:rFonts w:ascii="Times New Roman" w:hAnsi="Times New Roman" w:cs="Times New Roman" w:eastAsia="Times New Roman"/>
          <w:b/>
          <w:i/>
          <w:sz w:val="24"/>
          <w:u w:val="none"/>
        </w:rPr>
        <w:t>C2. Lockout Period — absolute prohibition versus premium-bearing prepayment</w:t>
      </w:r>
    </w:p>
    <w:p>
      <w:pPr>
        <w:keepNext w:val="0"/>
        <w:spacing w:before="0" w:after="160" w:line="240" w:lineRule="auto"/>
        <w:ind w:left="0"/>
        <w:jc w:val="both"/>
      </w:pPr>
      <w:r>
        <w:rPr>
          <w:rFonts w:ascii="Times New Roman" w:hAnsi="Times New Roman" w:cs="Times New Roman" w:eastAsia="Times New Roman"/>
          <w:b/>
          <w:i w:val="0"/>
          <w:sz w:val="24"/>
          <w:u w:val="none"/>
        </w:rPr>
        <w:t>Source.</w:t>
      </w:r>
      <w:r>
        <w:rPr>
          <w:rFonts w:ascii="Times New Roman" w:hAnsi="Times New Roman" w:cs="Times New Roman" w:eastAsia="Times New Roman"/>
          <w:b w:val="0"/>
          <w:i w:val="0"/>
          <w:sz w:val="24"/>
          <w:u w:val="none"/>
        </w:rPr>
        <w:t xml:space="preserve"> Term Sheet § 4.1 (“The Loan may not be prepaid ... during the first twenty-four (24) months”; “any prepayment made in violation of this restriction shall be subject to a prepayment premium as described in Section 4.2”); March 18 markup note § 5 (“absolute prohibition ... no exception other than the application of casualty insurance proceeds or condemnation awards”).</w:t>
      </w:r>
    </w:p>
    <w:p>
      <w:pPr>
        <w:keepNext w:val="0"/>
        <w:spacing w:before="0" w:after="160" w:line="240" w:lineRule="auto"/>
        <w:ind w:left="0"/>
        <w:jc w:val="both"/>
      </w:pPr>
      <w:r>
        <w:rPr>
          <w:rFonts w:ascii="Times New Roman" w:hAnsi="Times New Roman" w:cs="Times New Roman" w:eastAsia="Times New Roman"/>
          <w:b/>
          <w:i w:val="0"/>
          <w:sz w:val="24"/>
          <w:u w:val="none"/>
        </w:rPr>
        <w:t>Issue.</w:t>
      </w:r>
      <w:r>
        <w:rPr>
          <w:rFonts w:ascii="Times New Roman" w:hAnsi="Times New Roman" w:cs="Times New Roman" w:eastAsia="Times New Roman"/>
          <w:b w:val="0"/>
          <w:i w:val="0"/>
          <w:sz w:val="24"/>
          <w:u w:val="none"/>
        </w:rPr>
        <w:t xml:space="preserve"> The Term Sheet is internally ambiguous: it prohibits prepayment absolutely but then specifies a premium as the consequence of a prohibited prepayment, which presupposes that a prepayment can occur.</w:t>
      </w:r>
    </w:p>
    <w:p>
      <w:pPr>
        <w:keepNext w:val="0"/>
        <w:spacing w:before="0" w:after="160" w:line="240" w:lineRule="auto"/>
        <w:ind w:left="0"/>
        <w:jc w:val="both"/>
      </w:pPr>
      <w:r>
        <w:rPr>
          <w:rFonts w:ascii="Times New Roman" w:hAnsi="Times New Roman" w:cs="Times New Roman" w:eastAsia="Times New Roman"/>
          <w:b/>
          <w:i w:val="0"/>
          <w:sz w:val="24"/>
          <w:u w:val="none"/>
        </w:rPr>
        <w:t>Analysis.</w:t>
      </w:r>
      <w:r>
        <w:rPr>
          <w:rFonts w:ascii="Times New Roman" w:hAnsi="Times New Roman" w:cs="Times New Roman" w:eastAsia="Times New Roman"/>
          <w:b w:val="0"/>
          <w:i w:val="0"/>
          <w:sz w:val="24"/>
          <w:u w:val="none"/>
        </w:rPr>
        <w:t xml:space="preserve"> An absolute prohibition is enforceable in principle (there is no statutory right to prepay a commercial loan), but it creates two practical problems: a borrower that must refinance because of a due-on-encumbrance or a casualty may be pushed into default with no exit; and an absolute prohibition combined with acceleration can look punitive. The draft resolves the ambiguity in Lender’s favor without making the loan impossible to pay: prepayment during the Lockout Period remains prohibited, Lender may refuse any tender, and any prepayment that Lender elects to accept (or that is deemed made under Section 3.11) carries the Yield Maintenance Premium computed under Section 3.9 (which is itself subject to the 1% minimum).</w:t>
      </w:r>
    </w:p>
    <w:p>
      <w:pPr>
        <w:keepNext w:val="0"/>
        <w:spacing w:before="0" w:after="160" w:line="240" w:lineRule="auto"/>
        <w:ind w:left="0"/>
        <w:jc w:val="both"/>
      </w:pPr>
      <w:r>
        <w:rPr>
          <w:rFonts w:ascii="Times New Roman" w:hAnsi="Times New Roman" w:cs="Times New Roman" w:eastAsia="Times New Roman"/>
          <w:b/>
          <w:i w:val="0"/>
          <w:sz w:val="24"/>
          <w:u w:val="none"/>
        </w:rPr>
        <w:t>Action.</w:t>
      </w:r>
      <w:r>
        <w:rPr>
          <w:rFonts w:ascii="Times New Roman" w:hAnsi="Times New Roman" w:cs="Times New Roman" w:eastAsia="Times New Roman"/>
          <w:b w:val="0"/>
          <w:i w:val="0"/>
          <w:sz w:val="24"/>
          <w:u w:val="none"/>
        </w:rPr>
        <w:t xml:space="preserve"> Confirm the resolution with Marcus. If Lender prefers a flat premium during the lockout, substitute a stated percentage.</w:t>
      </w:r>
    </w:p>
    <w:p>
      <w:pPr>
        <w:keepNext/>
        <w:spacing w:before="160" w:after="80" w:line="240" w:lineRule="auto"/>
        <w:ind w:left="0"/>
        <w:jc w:val="left"/>
      </w:pPr>
      <w:r>
        <w:rPr>
          <w:rFonts w:ascii="Times New Roman" w:hAnsi="Times New Roman" w:cs="Times New Roman" w:eastAsia="Times New Roman"/>
          <w:b/>
          <w:i/>
          <w:sz w:val="24"/>
          <w:u w:val="none"/>
        </w:rPr>
        <w:t>C3. Casualty and condemnation proceeds applied at par</w:t>
      </w:r>
    </w:p>
    <w:p>
      <w:pPr>
        <w:keepNext w:val="0"/>
        <w:spacing w:before="0" w:after="160" w:line="240" w:lineRule="auto"/>
        <w:ind w:left="0"/>
        <w:jc w:val="both"/>
      </w:pPr>
      <w:r>
        <w:rPr>
          <w:rFonts w:ascii="Times New Roman" w:hAnsi="Times New Roman" w:cs="Times New Roman" w:eastAsia="Times New Roman"/>
          <w:b/>
          <w:i w:val="0"/>
          <w:sz w:val="24"/>
          <w:u w:val="none"/>
        </w:rPr>
        <w:t>Source.</w:t>
      </w:r>
      <w:r>
        <w:rPr>
          <w:rFonts w:ascii="Times New Roman" w:hAnsi="Times New Roman" w:cs="Times New Roman" w:eastAsia="Times New Roman"/>
          <w:b w:val="0"/>
          <w:i w:val="0"/>
          <w:sz w:val="24"/>
          <w:u w:val="none"/>
        </w:rPr>
        <w:t xml:space="preserve"> March 18 markup note § 5 (“should be applied at par without any prepayment premium. Confirm this casualty/condemnation carve-out with the client”).</w:t>
      </w:r>
    </w:p>
    <w:p>
      <w:pPr>
        <w:keepNext w:val="0"/>
        <w:spacing w:before="0" w:after="160" w:line="240" w:lineRule="auto"/>
        <w:ind w:left="0"/>
        <w:jc w:val="both"/>
      </w:pPr>
      <w:r>
        <w:rPr>
          <w:rFonts w:ascii="Times New Roman" w:hAnsi="Times New Roman" w:cs="Times New Roman" w:eastAsia="Times New Roman"/>
          <w:b/>
          <w:i w:val="0"/>
          <w:sz w:val="24"/>
          <w:u w:val="none"/>
        </w:rPr>
        <w:t>Analysis.</w:t>
      </w:r>
      <w:r>
        <w:rPr>
          <w:rFonts w:ascii="Times New Roman" w:hAnsi="Times New Roman" w:cs="Times New Roman" w:eastAsia="Times New Roman"/>
          <w:b w:val="0"/>
          <w:i w:val="0"/>
          <w:sz w:val="24"/>
          <w:u w:val="none"/>
        </w:rPr>
        <w:t xml:space="preserve"> The Term Sheet is silent. Applying involuntary proceeds at par is Borrower-favorable and is a concession that should be a conscious one; the alternative is to apply Lender’s elective prepayment premium. Because Lender controls whether proceeds are applied to restoration or to the Debt (Section 12.8), the concession is narrow: it applies only where Lender elects not to permit restoration. This is the position we recommend and the one drafted.</w:t>
      </w:r>
    </w:p>
    <w:p>
      <w:pPr>
        <w:keepNext w:val="0"/>
        <w:spacing w:before="0" w:after="160" w:line="240" w:lineRule="auto"/>
        <w:ind w:left="0"/>
        <w:jc w:val="both"/>
      </w:pPr>
      <w:r>
        <w:rPr>
          <w:rFonts w:ascii="Times New Roman" w:hAnsi="Times New Roman" w:cs="Times New Roman" w:eastAsia="Times New Roman"/>
          <w:b/>
          <w:i w:val="0"/>
          <w:sz w:val="24"/>
          <w:u w:val="none"/>
        </w:rPr>
        <w:t>Draft treatment.</w:t>
      </w:r>
      <w:r>
        <w:rPr>
          <w:rFonts w:ascii="Times New Roman" w:hAnsi="Times New Roman" w:cs="Times New Roman" w:eastAsia="Times New Roman"/>
          <w:b w:val="0"/>
          <w:i w:val="0"/>
          <w:sz w:val="24"/>
          <w:u w:val="none"/>
        </w:rPr>
        <w:t xml:space="preserve"> Section 3.11(a), Section 12.8 and Section 13.3 apply casualty and condemnation proceeds at par, without premium.</w:t>
      </w:r>
    </w:p>
    <w:p>
      <w:pPr>
        <w:keepNext w:val="0"/>
        <w:spacing w:before="0" w:after="160" w:line="240" w:lineRule="auto"/>
        <w:ind w:left="0"/>
        <w:jc w:val="both"/>
      </w:pPr>
      <w:r>
        <w:rPr>
          <w:rFonts w:ascii="Times New Roman" w:hAnsi="Times New Roman" w:cs="Times New Roman" w:eastAsia="Times New Roman"/>
          <w:b/>
          <w:i w:val="0"/>
          <w:sz w:val="24"/>
          <w:u w:val="none"/>
        </w:rPr>
        <w:t>Action.</w:t>
      </w:r>
      <w:r>
        <w:rPr>
          <w:rFonts w:ascii="Times New Roman" w:hAnsi="Times New Roman" w:cs="Times New Roman" w:eastAsia="Times New Roman"/>
          <w:b w:val="0"/>
          <w:i w:val="0"/>
          <w:sz w:val="24"/>
          <w:u w:val="none"/>
        </w:rPr>
        <w:t xml:space="preserve"> Confirm with Marcus; this is the only point in the prepayment structure on which the draft goes beyond the Term Sheet in Borrower’s favor.</w:t>
      </w:r>
    </w:p>
    <w:p>
      <w:pPr>
        <w:keepNext/>
        <w:spacing w:before="160" w:after="80" w:line="240" w:lineRule="auto"/>
        <w:ind w:left="0"/>
        <w:jc w:val="left"/>
      </w:pPr>
      <w:r>
        <w:rPr>
          <w:rFonts w:ascii="Times New Roman" w:hAnsi="Times New Roman" w:cs="Times New Roman" w:eastAsia="Times New Roman"/>
          <w:b/>
          <w:i/>
          <w:sz w:val="24"/>
          <w:u w:val="none"/>
        </w:rPr>
        <w:t>C4. Deemed prepayments and acceleration</w:t>
      </w:r>
    </w:p>
    <w:p>
      <w:pPr>
        <w:keepNext w:val="0"/>
        <w:spacing w:before="0" w:after="160" w:line="240" w:lineRule="auto"/>
        <w:ind w:left="0"/>
        <w:jc w:val="both"/>
      </w:pPr>
      <w:r>
        <w:rPr>
          <w:rFonts w:ascii="Times New Roman" w:hAnsi="Times New Roman" w:cs="Times New Roman" w:eastAsia="Times New Roman"/>
          <w:b w:val="0"/>
          <w:i w:val="0"/>
          <w:sz w:val="24"/>
          <w:u w:val="none"/>
        </w:rPr>
        <w:t>Section 3.11(b) treats a voluntary bankruptcy filing and a voluntary prepayment made in violation of Sections 3.7 or 3.8 as deemed prepayments subject to the premium, but does not impose a premium on a prepayment resulting solely from Lender’s acceleration following a monetary or covenant default. That is the more defensible line; a premium triggered by acceleration alone invites a penalty argument. Confirm with Marcus.</w:t>
      </w:r>
    </w:p>
    <w:p>
      <w:pPr>
        <w:keepNext/>
        <w:spacing w:before="160" w:after="80" w:line="240" w:lineRule="auto"/>
        <w:ind w:left="0"/>
        <w:jc w:val="left"/>
      </w:pPr>
      <w:r>
        <w:rPr>
          <w:rFonts w:ascii="Times New Roman" w:hAnsi="Times New Roman" w:cs="Times New Roman" w:eastAsia="Times New Roman"/>
          <w:b/>
          <w:i/>
          <w:sz w:val="24"/>
          <w:u w:val="none"/>
        </w:rPr>
        <w:t>C5. SOFR conventions and benchmark replacement</w:t>
      </w:r>
    </w:p>
    <w:p>
      <w:pPr>
        <w:keepNext w:val="0"/>
        <w:spacing w:before="0" w:after="160" w:line="240" w:lineRule="auto"/>
        <w:ind w:left="0"/>
        <w:jc w:val="both"/>
      </w:pPr>
      <w:r>
        <w:rPr>
          <w:rFonts w:ascii="Times New Roman" w:hAnsi="Times New Roman" w:cs="Times New Roman" w:eastAsia="Times New Roman"/>
          <w:b/>
          <w:i w:val="0"/>
          <w:sz w:val="24"/>
          <w:u w:val="none"/>
        </w:rPr>
        <w:t>Source.</w:t>
      </w:r>
      <w:r>
        <w:rPr>
          <w:rFonts w:ascii="Times New Roman" w:hAnsi="Times New Roman" w:cs="Times New Roman" w:eastAsia="Times New Roman"/>
          <w:b w:val="0"/>
          <w:i w:val="0"/>
          <w:sz w:val="24"/>
          <w:u w:val="none"/>
        </w:rPr>
        <w:t xml:space="preserve"> Term Sheet § 3.6 (Daily SOFR, successor administrator, prior-day fallback for non-publication; 3.00% floor).</w:t>
      </w:r>
    </w:p>
    <w:p>
      <w:pPr>
        <w:keepNext w:val="0"/>
        <w:spacing w:before="0" w:after="160" w:line="240" w:lineRule="auto"/>
        <w:ind w:left="0"/>
        <w:jc w:val="both"/>
      </w:pPr>
      <w:r>
        <w:rPr>
          <w:rFonts w:ascii="Times New Roman" w:hAnsi="Times New Roman" w:cs="Times New Roman" w:eastAsia="Times New Roman"/>
          <w:b/>
          <w:i w:val="0"/>
          <w:sz w:val="24"/>
          <w:u w:val="none"/>
        </w:rPr>
        <w:t>Analysis.</w:t>
      </w:r>
      <w:r>
        <w:rPr>
          <w:rFonts w:ascii="Times New Roman" w:hAnsi="Times New Roman" w:cs="Times New Roman" w:eastAsia="Times New Roman"/>
          <w:b w:val="0"/>
          <w:i w:val="0"/>
          <w:sz w:val="24"/>
          <w:u w:val="none"/>
        </w:rPr>
        <w:t xml:space="preserve"> The definition is silent on compounding (simple average, compounded in arrears, or daily simple with a lookback), rounding, and business-day convention. For an overnight rate those conventions must be fixed or the payment amount is indeterminate — the same determinism problem that threatens the yield maintenance formula. There is also no benchmark replacement mechanism, which for a five-year loan priced off an overnight rate is a material omission.</w:t>
      </w:r>
    </w:p>
    <w:p>
      <w:pPr>
        <w:keepNext w:val="0"/>
        <w:spacing w:before="0" w:after="160" w:line="240" w:lineRule="auto"/>
        <w:ind w:left="0"/>
        <w:jc w:val="both"/>
      </w:pPr>
      <w:r>
        <w:rPr>
          <w:rFonts w:ascii="Times New Roman" w:hAnsi="Times New Roman" w:cs="Times New Roman" w:eastAsia="Times New Roman"/>
          <w:b/>
          <w:i w:val="0"/>
          <w:sz w:val="24"/>
          <w:u w:val="none"/>
        </w:rPr>
        <w:t>Draft treatment.</w:t>
      </w:r>
      <w:r>
        <w:rPr>
          <w:rFonts w:ascii="Times New Roman" w:hAnsi="Times New Roman" w:cs="Times New Roman" w:eastAsia="Times New Roman"/>
          <w:b w:val="0"/>
          <w:i w:val="0"/>
          <w:sz w:val="24"/>
          <w:u w:val="none"/>
        </w:rPr>
        <w:t xml:space="preserve"> Section 3.1 defers the conventions to the Note and requires the parties to negotiate conforming amendments to give effect to any benchmark replacement; Section 1.6 provides that the Note controls on the rate, the amount of any payment, and the day-count convention.</w:t>
      </w:r>
    </w:p>
    <w:p>
      <w:pPr>
        <w:keepNext w:val="0"/>
        <w:spacing w:before="0" w:after="160" w:line="240" w:lineRule="auto"/>
        <w:ind w:left="0"/>
        <w:jc w:val="both"/>
      </w:pPr>
      <w:r>
        <w:rPr>
          <w:rFonts w:ascii="Times New Roman" w:hAnsi="Times New Roman" w:cs="Times New Roman" w:eastAsia="Times New Roman"/>
          <w:b/>
          <w:i w:val="0"/>
          <w:sz w:val="24"/>
          <w:u w:val="none"/>
        </w:rPr>
        <w:t>Action.</w:t>
      </w:r>
      <w:r>
        <w:rPr>
          <w:rFonts w:ascii="Times New Roman" w:hAnsi="Times New Roman" w:cs="Times New Roman" w:eastAsia="Times New Roman"/>
          <w:b w:val="0"/>
          <w:i w:val="0"/>
          <w:sz w:val="24"/>
          <w:u w:val="none"/>
        </w:rPr>
        <w:t xml:space="preserve"> Confirm that the Note contains the ARRC-style hardwired fallback and a specified compounding and lookback convention; if it does not, the gap must be closed in the Note rather than the Mortgage.</w:t>
      </w:r>
    </w:p>
    <w:p>
      <w:pPr>
        <w:keepNext/>
        <w:spacing w:before="160" w:after="80" w:line="240" w:lineRule="auto"/>
        <w:ind w:left="0"/>
        <w:jc w:val="left"/>
      </w:pPr>
      <w:r>
        <w:rPr>
          <w:rFonts w:ascii="Times New Roman" w:hAnsi="Times New Roman" w:cs="Times New Roman" w:eastAsia="Times New Roman"/>
          <w:b/>
          <w:i/>
          <w:sz w:val="24"/>
          <w:u w:val="none"/>
        </w:rPr>
        <w:t>C6. Usury and the cumulative cost of default</w:t>
      </w:r>
    </w:p>
    <w:p>
      <w:pPr>
        <w:keepNext w:val="0"/>
        <w:spacing w:before="0" w:after="160" w:line="240" w:lineRule="auto"/>
        <w:ind w:left="0"/>
        <w:jc w:val="both"/>
      </w:pPr>
      <w:r>
        <w:rPr>
          <w:rFonts w:ascii="Times New Roman" w:hAnsi="Times New Roman" w:cs="Times New Roman" w:eastAsia="Times New Roman"/>
          <w:b/>
          <w:i w:val="0"/>
          <w:sz w:val="24"/>
          <w:u w:val="none"/>
        </w:rPr>
        <w:t>Analysis.</w:t>
      </w:r>
      <w:r>
        <w:rPr>
          <w:rFonts w:ascii="Times New Roman" w:hAnsi="Times New Roman" w:cs="Times New Roman" w:eastAsia="Times New Roman"/>
          <w:b w:val="0"/>
          <w:i w:val="0"/>
          <w:sz w:val="24"/>
          <w:u w:val="none"/>
        </w:rPr>
        <w:t xml:space="preserve"> The Default Rate of 10.85% (5.85% + 5.00%) plus a 5% late charge produces a high all-in cost on default. South Carolina permits the parties to agree in writing to the rate of interest on a loan exceeding $50,000, which should accommodate the structure, but the interaction of default interest and the late charge (each of which is separately described as compensatory) is the kind of combination that attracts penalty arguments. The draft includes a usury savings clause (Section 3.12) and characterizes the late charge as liquidated damages (Section 3.5).</w:t>
      </w:r>
    </w:p>
    <w:p>
      <w:pPr>
        <w:keepNext w:val="0"/>
        <w:spacing w:before="0" w:after="160" w:line="240" w:lineRule="auto"/>
        <w:ind w:left="0"/>
        <w:jc w:val="both"/>
      </w:pPr>
      <w:r>
        <w:rPr>
          <w:rFonts w:ascii="Times New Roman" w:hAnsi="Times New Roman" w:cs="Times New Roman" w:eastAsia="Times New Roman"/>
          <w:b/>
          <w:i w:val="0"/>
          <w:sz w:val="24"/>
          <w:u w:val="none"/>
        </w:rPr>
        <w:t>Action.</w:t>
      </w:r>
      <w:r>
        <w:rPr>
          <w:rFonts w:ascii="Times New Roman" w:hAnsi="Times New Roman" w:cs="Times New Roman" w:eastAsia="Times New Roman"/>
          <w:b w:val="0"/>
          <w:i w:val="0"/>
          <w:sz w:val="24"/>
          <w:u w:val="none"/>
        </w:rPr>
        <w:t xml:space="preserve"> Confirm the maximum lawful rate analysis with our banking regulatory group and verify the current terms of the applicable South Carolina statute before release.</w:t>
      </w:r>
    </w:p>
    <w:p>
      <w:pPr>
        <w:keepNext/>
        <w:spacing w:before="200" w:after="120" w:line="240" w:lineRule="auto"/>
        <w:ind w:left="0"/>
        <w:jc w:val="left"/>
      </w:pPr>
      <w:r>
        <w:rPr>
          <w:rFonts w:ascii="Times New Roman" w:hAnsi="Times New Roman" w:cs="Times New Roman" w:eastAsia="Times New Roman"/>
          <w:b/>
          <w:i w:val="0"/>
          <w:sz w:val="24"/>
          <w:u w:val="none"/>
        </w:rPr>
        <w:t>D. Single-Purpose Entity, Authority, and Governance</w:t>
      </w:r>
    </w:p>
    <w:p>
      <w:pPr>
        <w:keepNext/>
        <w:spacing w:before="160" w:after="80" w:line="240" w:lineRule="auto"/>
        <w:ind w:left="0"/>
        <w:jc w:val="left"/>
      </w:pPr>
      <w:r>
        <w:rPr>
          <w:rFonts w:ascii="Times New Roman" w:hAnsi="Times New Roman" w:cs="Times New Roman" w:eastAsia="Times New Roman"/>
          <w:b/>
          <w:i/>
          <w:sz w:val="24"/>
          <w:u w:val="none"/>
        </w:rPr>
        <w:t>D1. Operating Agreement does not support the SPE structure</w:t>
      </w:r>
    </w:p>
    <w:p>
      <w:pPr>
        <w:keepNext w:val="0"/>
        <w:spacing w:before="0" w:after="160" w:line="240" w:lineRule="auto"/>
        <w:ind w:left="0"/>
        <w:jc w:val="both"/>
      </w:pPr>
      <w:r>
        <w:rPr>
          <w:rFonts w:ascii="Times New Roman" w:hAnsi="Times New Roman" w:cs="Times New Roman" w:eastAsia="Times New Roman"/>
          <w:b/>
          <w:i w:val="0"/>
          <w:sz w:val="24"/>
          <w:u w:val="none"/>
        </w:rPr>
        <w:t>Source.</w:t>
      </w:r>
      <w:r>
        <w:rPr>
          <w:rFonts w:ascii="Times New Roman" w:hAnsi="Times New Roman" w:cs="Times New Roman" w:eastAsia="Times New Roman"/>
          <w:b w:val="0"/>
          <w:i w:val="0"/>
          <w:sz w:val="24"/>
          <w:u w:val="none"/>
        </w:rPr>
        <w:t xml:space="preserve"> Operating Agreement summary, §§ 1.4 (purpose clause includes “any and all activities necessary, incidental, or related thereto”), 3.1 (no independent director or manager; no bankruptcy consent requirement), 3.2 (Major Decisions do not include bankruptcy filings), 8.1 (no lender consent to dissolution); Term Sheet § 10.1(a)–(g); March 18 markup note § 4.</w:t>
      </w:r>
    </w:p>
    <w:p>
      <w:pPr>
        <w:keepNext w:val="0"/>
        <w:spacing w:before="0" w:after="160" w:line="240" w:lineRule="auto"/>
        <w:ind w:left="0"/>
        <w:jc w:val="both"/>
      </w:pPr>
      <w:r>
        <w:rPr>
          <w:rFonts w:ascii="Times New Roman" w:hAnsi="Times New Roman" w:cs="Times New Roman" w:eastAsia="Times New Roman"/>
          <w:b/>
          <w:i w:val="0"/>
          <w:sz w:val="24"/>
          <w:u w:val="none"/>
        </w:rPr>
        <w:t>Analysis.</w:t>
      </w:r>
      <w:r>
        <w:rPr>
          <w:rFonts w:ascii="Times New Roman" w:hAnsi="Times New Roman" w:cs="Times New Roman" w:eastAsia="Times New Roman"/>
          <w:b w:val="0"/>
          <w:i w:val="0"/>
          <w:sz w:val="24"/>
          <w:u w:val="none"/>
        </w:rPr>
        <w:t xml:space="preserve"> The summary confirms each of the four gaps you identified and adds a fifth: the Operating Agreement requires only </w:t>
      </w:r>
      <w:r>
        <w:rPr>
          <w:rFonts w:ascii="Times New Roman" w:hAnsi="Times New Roman" w:cs="Times New Roman" w:eastAsia="Times New Roman"/>
          <w:b w:val="0"/>
          <w:i/>
          <w:sz w:val="24"/>
          <w:u w:val="none"/>
        </w:rPr>
        <w:t>reviewed</w:t>
      </w:r>
      <w:r>
        <w:rPr>
          <w:rFonts w:ascii="Times New Roman" w:hAnsi="Times New Roman" w:cs="Times New Roman" w:eastAsia="Times New Roman"/>
          <w:b w:val="0"/>
          <w:i w:val="0"/>
          <w:sz w:val="24"/>
          <w:u w:val="none"/>
        </w:rPr>
        <w:t xml:space="preserve"> annual financial statements (§ 6.2), not the audited statements required by Term Sheet § 7.3(a) (see E3). The consequence is that, on the current documents, GDG — through Mr. Graydon — can place Borrower into bankruptcy unilaterally, because a voluntary petition is not a Major Decision and no independent party’s consent is required. The single-purpose restriction is also unavailable: the purpose clause permits any related activity, and the Operating Agreement contains no separateness covenants.</w:t>
      </w:r>
    </w:p>
    <w:p>
      <w:pPr>
        <w:keepNext w:val="0"/>
        <w:spacing w:before="0" w:after="160" w:line="240" w:lineRule="auto"/>
        <w:ind w:left="0"/>
        <w:jc w:val="both"/>
      </w:pPr>
      <w:r>
        <w:rPr>
          <w:rFonts w:ascii="Times New Roman" w:hAnsi="Times New Roman" w:cs="Times New Roman" w:eastAsia="Times New Roman"/>
          <w:b/>
          <w:i w:val="0"/>
          <w:sz w:val="24"/>
          <w:u w:val="none"/>
        </w:rPr>
        <w:t>Draft treatment.</w:t>
      </w:r>
      <w:r>
        <w:rPr>
          <w:rFonts w:ascii="Times New Roman" w:hAnsi="Times New Roman" w:cs="Times New Roman" w:eastAsia="Times New Roman"/>
          <w:b w:val="0"/>
          <w:i w:val="0"/>
          <w:sz w:val="24"/>
          <w:u w:val="none"/>
        </w:rPr>
        <w:t xml:space="preserve"> Article 7 contains the full SPE covenant set: single-purpose restriction (§ 7.1), eleven separateness covenants (§ 7.2), the Independent Manager requirement with a defined-approval list (§ 7.3), the bankruptcy consent covenant (§ 7.4), a covenant that the SPE provisions bind the Members (§ 7.5), the Operating Agreement Amendment condition and a prohibition on amendment of SPE provisions without Lender’s consent (§ 7.6), Key Principal and control covenants (§ 7.7), subordination of member agreements and the drag-along (§ 7.8), and an immediate-Event-of-Default consequence (§ 7.9, Section 15.3(c)). Section 5.9 contains the corresponding representation.</w:t>
      </w:r>
    </w:p>
    <w:p>
      <w:pPr>
        <w:keepNext w:val="0"/>
        <w:spacing w:before="0" w:after="160" w:line="240" w:lineRule="auto"/>
        <w:ind w:left="0"/>
        <w:jc w:val="both"/>
      </w:pPr>
      <w:r>
        <w:rPr>
          <w:rFonts w:ascii="Times New Roman" w:hAnsi="Times New Roman" w:cs="Times New Roman" w:eastAsia="Times New Roman"/>
          <w:b/>
          <w:i w:val="0"/>
          <w:sz w:val="24"/>
          <w:u w:val="none"/>
        </w:rPr>
        <w:t>Action.</w:t>
      </w:r>
      <w:r>
        <w:rPr>
          <w:rFonts w:ascii="Times New Roman" w:hAnsi="Times New Roman" w:cs="Times New Roman" w:eastAsia="Times New Roman"/>
          <w:b w:val="0"/>
          <w:i w:val="0"/>
          <w:sz w:val="24"/>
          <w:u w:val="none"/>
        </w:rPr>
        <w:t xml:space="preserve"> Prepare the form of Operating Agreement Amendment (the March 18 note directs that it be prepared separately; it is not in the record and is a deliverable we owe); obtain the full unredacted Operating Agreement, which the redacted summary itself says is required to confirm compliance.</w:t>
      </w:r>
    </w:p>
    <w:p>
      <w:pPr>
        <w:keepNext/>
        <w:spacing w:before="160" w:after="80" w:line="240" w:lineRule="auto"/>
        <w:ind w:left="0"/>
        <w:jc w:val="left"/>
      </w:pPr>
      <w:r>
        <w:rPr>
          <w:rFonts w:ascii="Times New Roman" w:hAnsi="Times New Roman" w:cs="Times New Roman" w:eastAsia="Times New Roman"/>
          <w:b/>
          <w:i/>
          <w:sz w:val="24"/>
          <w:u w:val="none"/>
        </w:rPr>
        <w:t>D2. Member consents — the loan itself requires 75% approval</w:t>
      </w:r>
    </w:p>
    <w:p>
      <w:pPr>
        <w:keepNext w:val="0"/>
        <w:spacing w:before="0" w:after="160" w:line="240" w:lineRule="auto"/>
        <w:ind w:left="0"/>
        <w:jc w:val="both"/>
      </w:pPr>
      <w:r>
        <w:rPr>
          <w:rFonts w:ascii="Times New Roman" w:hAnsi="Times New Roman" w:cs="Times New Roman" w:eastAsia="Times New Roman"/>
          <w:b/>
          <w:i w:val="0"/>
          <w:sz w:val="24"/>
          <w:u w:val="none"/>
        </w:rPr>
        <w:t>Source.</w:t>
      </w:r>
      <w:r>
        <w:rPr>
          <w:rFonts w:ascii="Times New Roman" w:hAnsi="Times New Roman" w:cs="Times New Roman" w:eastAsia="Times New Roman"/>
          <w:b w:val="0"/>
          <w:i w:val="0"/>
          <w:sz w:val="24"/>
          <w:u w:val="none"/>
        </w:rPr>
        <w:t xml:space="preserve"> Operating Agreement summary, § 3.2(ii) (Major Decisions include “any financing or refinancing of the Property in an amount in excess of $1,000,000,” requiring Members holding at least 75% of Membership Interests); § 2.1 (GDG 72%, Tidewater 18%, Harborline 10%); Title Commitment Requirement 8(b) and (c).</w:t>
      </w:r>
    </w:p>
    <w:p>
      <w:pPr>
        <w:keepNext w:val="0"/>
        <w:spacing w:before="0" w:after="160" w:line="240" w:lineRule="auto"/>
        <w:ind w:left="0"/>
        <w:jc w:val="both"/>
      </w:pPr>
      <w:r>
        <w:rPr>
          <w:rFonts w:ascii="Times New Roman" w:hAnsi="Times New Roman" w:cs="Times New Roman" w:eastAsia="Times New Roman"/>
          <w:b/>
          <w:i w:val="0"/>
          <w:sz w:val="24"/>
          <w:u w:val="none"/>
        </w:rPr>
        <w:t>Issue.</w:t>
      </w:r>
      <w:r>
        <w:rPr>
          <w:rFonts w:ascii="Times New Roman" w:hAnsi="Times New Roman" w:cs="Times New Roman" w:eastAsia="Times New Roman"/>
          <w:b w:val="0"/>
          <w:i w:val="0"/>
          <w:sz w:val="24"/>
          <w:u w:val="none"/>
        </w:rPr>
        <w:t xml:space="preserve"> This issue is not addressed in the Term Sheet or in the March 18 notes. GDG holds 72% and the Major Decision threshold is 75%, so GDG alone cannot authorize a $14,750,000 financing of the Property. The unanimous-signature requirement you imposed for the Operating Agreement Amendment is a different and additional requirement.</w:t>
      </w:r>
    </w:p>
    <w:p>
      <w:pPr>
        <w:keepNext w:val="0"/>
        <w:spacing w:before="0" w:after="160" w:line="240" w:lineRule="auto"/>
        <w:ind w:left="0"/>
        <w:jc w:val="both"/>
      </w:pPr>
      <w:r>
        <w:rPr>
          <w:rFonts w:ascii="Times New Roman" w:hAnsi="Times New Roman" w:cs="Times New Roman" w:eastAsia="Times New Roman"/>
          <w:b/>
          <w:i w:val="0"/>
          <w:sz w:val="24"/>
          <w:u w:val="none"/>
        </w:rPr>
        <w:t>Analysis.</w:t>
      </w:r>
      <w:r>
        <w:rPr>
          <w:rFonts w:ascii="Times New Roman" w:hAnsi="Times New Roman" w:cs="Times New Roman" w:eastAsia="Times New Roman"/>
          <w:b w:val="0"/>
          <w:i w:val="0"/>
          <w:sz w:val="24"/>
          <w:u w:val="none"/>
        </w:rPr>
        <w:t xml:space="preserve"> The Mortgage’s authority representation (§ 5.2) asserts that the Loan has been approved by Members holding not less than 75%. Unless that approval is documented at closing, the representation is false when made, which is itself an Event of Default under Section 15.1(c) and a full recourse carve-out under Section 17.2(a) — an entirely avoidable defect. Title Requirement 8(b) and (c) already requires evidence that the persons executing are duly authorized, but that addresses officer authority, not member consent to the financing.</w:t>
      </w:r>
    </w:p>
    <w:p>
      <w:pPr>
        <w:keepNext w:val="0"/>
        <w:spacing w:before="0" w:after="160" w:line="240" w:lineRule="auto"/>
        <w:ind w:left="0"/>
        <w:jc w:val="both"/>
      </w:pPr>
      <w:r>
        <w:rPr>
          <w:rFonts w:ascii="Times New Roman" w:hAnsi="Times New Roman" w:cs="Times New Roman" w:eastAsia="Times New Roman"/>
          <w:b/>
          <w:i w:val="0"/>
          <w:sz w:val="24"/>
          <w:u w:val="none"/>
        </w:rPr>
        <w:t>Action.</w:t>
      </w:r>
      <w:r>
        <w:rPr>
          <w:rFonts w:ascii="Times New Roman" w:hAnsi="Times New Roman" w:cs="Times New Roman" w:eastAsia="Times New Roman"/>
          <w:b w:val="0"/>
          <w:i w:val="0"/>
          <w:sz w:val="24"/>
          <w:u w:val="none"/>
        </w:rPr>
        <w:t xml:space="preserve"> Obtain, before closing: (a) a written consent of Members holding not less than 75% (GDG + Tidewater = 90%, or GDG + Harborline = 82%) specifically approving the Loan, the Mortgage, and the other Loan Documents; and (b) evidence that Tidewater GP Holdings LLC authorized Tidewater to sign.</w:t>
      </w:r>
    </w:p>
    <w:p>
      <w:pPr>
        <w:keepNext/>
        <w:spacing w:before="160" w:after="80" w:line="240" w:lineRule="auto"/>
        <w:ind w:left="0"/>
        <w:jc w:val="left"/>
      </w:pPr>
      <w:r>
        <w:rPr>
          <w:rFonts w:ascii="Times New Roman" w:hAnsi="Times New Roman" w:cs="Times New Roman" w:eastAsia="Times New Roman"/>
          <w:b/>
          <w:i/>
          <w:sz w:val="24"/>
          <w:u w:val="none"/>
        </w:rPr>
        <w:t>D3. Tidewater GP Holdings LLC authority</w:t>
      </w:r>
    </w:p>
    <w:p>
      <w:pPr>
        <w:keepNext w:val="0"/>
        <w:spacing w:before="0" w:after="160" w:line="240" w:lineRule="auto"/>
        <w:ind w:left="0"/>
        <w:jc w:val="both"/>
      </w:pPr>
      <w:r>
        <w:rPr>
          <w:rFonts w:ascii="Times New Roman" w:hAnsi="Times New Roman" w:cs="Times New Roman" w:eastAsia="Times New Roman"/>
          <w:b/>
          <w:i w:val="0"/>
          <w:sz w:val="24"/>
          <w:u w:val="none"/>
        </w:rPr>
        <w:t>Source.</w:t>
      </w:r>
      <w:r>
        <w:rPr>
          <w:rFonts w:ascii="Times New Roman" w:hAnsi="Times New Roman" w:cs="Times New Roman" w:eastAsia="Times New Roman"/>
          <w:b w:val="0"/>
          <w:i w:val="0"/>
          <w:sz w:val="24"/>
          <w:u w:val="none"/>
        </w:rPr>
        <w:t xml:space="preserve"> Operating Agreement summary, §§ 2.1 and 4.2(c) and signature page (Tidewater executes through Tidewater GP Holdings LLC as general partner; the GP has “exclusive authority to manage and direct the affairs of Tidewater, including its investments”).</w:t>
      </w:r>
    </w:p>
    <w:p>
      <w:pPr>
        <w:keepNext w:val="0"/>
        <w:spacing w:before="0" w:after="160" w:line="240" w:lineRule="auto"/>
        <w:ind w:left="0"/>
        <w:jc w:val="both"/>
      </w:pPr>
      <w:r>
        <w:rPr>
          <w:rFonts w:ascii="Times New Roman" w:hAnsi="Times New Roman" w:cs="Times New Roman" w:eastAsia="Times New Roman"/>
          <w:b/>
          <w:i w:val="0"/>
          <w:sz w:val="24"/>
          <w:u w:val="none"/>
        </w:rPr>
        <w:t>Analysis.</w:t>
      </w:r>
      <w:r>
        <w:rPr>
          <w:rFonts w:ascii="Times New Roman" w:hAnsi="Times New Roman" w:cs="Times New Roman" w:eastAsia="Times New Roman"/>
          <w:b w:val="0"/>
          <w:i w:val="0"/>
          <w:sz w:val="24"/>
          <w:u w:val="none"/>
        </w:rPr>
        <w:t xml:space="preserve"> Tidewater’s consent to the Operating Agreement Amendment, the joinder to the SPE covenants, and the Section 8.1 transfer restrictions must be executed by its general partner. The limited partnership agreement is not in the record. Delaware law permits a GP to bind an LP, but a lender should obtain a GP authorization certificate or resolution, plus evidence of the GP’s good standing and incumbency. Note also that Section 4.2(c) of the Operating Agreement allows the GP to direct transfers of Tidewater’s interest to any “successor fund” managed by the GP or its affiliate without the consent of any other Member — a pathway that the Mortgage’s change-of-control provision (Section 8.1(c)) is drafted to close.</w:t>
      </w:r>
    </w:p>
    <w:p>
      <w:pPr>
        <w:keepNext/>
        <w:spacing w:before="160" w:after="80" w:line="240" w:lineRule="auto"/>
        <w:ind w:left="0"/>
        <w:jc w:val="left"/>
      </w:pPr>
      <w:r>
        <w:rPr>
          <w:rFonts w:ascii="Times New Roman" w:hAnsi="Times New Roman" w:cs="Times New Roman" w:eastAsia="Times New Roman"/>
          <w:b/>
          <w:i/>
          <w:sz w:val="24"/>
          <w:u w:val="none"/>
        </w:rPr>
        <w:t>D4. Harborline — ownership and management not disclosed</w:t>
      </w:r>
    </w:p>
    <w:p>
      <w:pPr>
        <w:keepNext w:val="0"/>
        <w:spacing w:before="0" w:after="160" w:line="240" w:lineRule="auto"/>
        <w:ind w:left="0"/>
        <w:jc w:val="both"/>
      </w:pPr>
      <w:r>
        <w:rPr>
          <w:rFonts w:ascii="Times New Roman" w:hAnsi="Times New Roman" w:cs="Times New Roman" w:eastAsia="Times New Roman"/>
          <w:b/>
          <w:i w:val="0"/>
          <w:sz w:val="24"/>
          <w:u w:val="none"/>
        </w:rPr>
        <w:t>Source.</w:t>
      </w:r>
      <w:r>
        <w:rPr>
          <w:rFonts w:ascii="Times New Roman" w:hAnsi="Times New Roman" w:cs="Times New Roman" w:eastAsia="Times New Roman"/>
          <w:b w:val="0"/>
          <w:i w:val="0"/>
          <w:sz w:val="24"/>
          <w:u w:val="none"/>
        </w:rPr>
        <w:t xml:space="preserve"> Operating Agreement summary, § 2.1 (“The members and managers of Harborline have not been disclosed in this summary”).</w:t>
      </w:r>
    </w:p>
    <w:p>
      <w:pPr>
        <w:keepNext w:val="0"/>
        <w:spacing w:before="0" w:after="160" w:line="240" w:lineRule="auto"/>
        <w:ind w:left="0"/>
        <w:jc w:val="both"/>
      </w:pPr>
      <w:r>
        <w:rPr>
          <w:rFonts w:ascii="Times New Roman" w:hAnsi="Times New Roman" w:cs="Times New Roman" w:eastAsia="Times New Roman"/>
          <w:b/>
          <w:i w:val="0"/>
          <w:sz w:val="24"/>
          <w:u w:val="none"/>
        </w:rPr>
        <w:t>Analysis.</w:t>
      </w:r>
      <w:r>
        <w:rPr>
          <w:rFonts w:ascii="Times New Roman" w:hAnsi="Times New Roman" w:cs="Times New Roman" w:eastAsia="Times New Roman"/>
          <w:b w:val="0"/>
          <w:i w:val="0"/>
          <w:sz w:val="24"/>
          <w:u w:val="none"/>
        </w:rPr>
        <w:t xml:space="preserve"> A 10% member whose ultimate owners are unknown cannot be diligenced for OFAC, sanctions, or beneficial ownership, and its authority to sign cannot be confirmed. Lender’s customer due diligence obligations make this a compliance item as well as a documentation item.</w:t>
      </w:r>
    </w:p>
    <w:p>
      <w:pPr>
        <w:keepNext w:val="0"/>
        <w:spacing w:before="0" w:after="160" w:line="240" w:lineRule="auto"/>
        <w:ind w:left="0"/>
        <w:jc w:val="both"/>
      </w:pPr>
      <w:r>
        <w:rPr>
          <w:rFonts w:ascii="Times New Roman" w:hAnsi="Times New Roman" w:cs="Times New Roman" w:eastAsia="Times New Roman"/>
          <w:b/>
          <w:i w:val="0"/>
          <w:sz w:val="24"/>
          <w:u w:val="none"/>
        </w:rPr>
        <w:t>Action.</w:t>
      </w:r>
      <w:r>
        <w:rPr>
          <w:rFonts w:ascii="Times New Roman" w:hAnsi="Times New Roman" w:cs="Times New Roman" w:eastAsia="Times New Roman"/>
          <w:b w:val="0"/>
          <w:i w:val="0"/>
          <w:sz w:val="24"/>
          <w:u w:val="none"/>
        </w:rPr>
        <w:t xml:space="preserve"> Obtain Harborline’s Delaware good standing certificate, its operating agreement excerpt identifying its managing member(s), an incumbency certificate, and a beneficial ownership certification.</w:t>
      </w:r>
    </w:p>
    <w:p>
      <w:pPr>
        <w:keepNext/>
        <w:spacing w:before="160" w:after="80" w:line="240" w:lineRule="auto"/>
        <w:ind w:left="0"/>
        <w:jc w:val="left"/>
      </w:pPr>
      <w:r>
        <w:rPr>
          <w:rFonts w:ascii="Times New Roman" w:hAnsi="Times New Roman" w:cs="Times New Roman" w:eastAsia="Times New Roman"/>
          <w:b/>
          <w:i/>
          <w:sz w:val="24"/>
          <w:u w:val="none"/>
        </w:rPr>
        <w:t>D5. Drag-along and indirect transfers</w:t>
      </w:r>
    </w:p>
    <w:p>
      <w:pPr>
        <w:keepNext w:val="0"/>
        <w:spacing w:before="0" w:after="160" w:line="240" w:lineRule="auto"/>
        <w:ind w:left="0"/>
        <w:jc w:val="both"/>
      </w:pPr>
      <w:r>
        <w:rPr>
          <w:rFonts w:ascii="Times New Roman" w:hAnsi="Times New Roman" w:cs="Times New Roman" w:eastAsia="Times New Roman"/>
          <w:b/>
          <w:i w:val="0"/>
          <w:sz w:val="24"/>
          <w:u w:val="none"/>
        </w:rPr>
        <w:t>Source.</w:t>
      </w:r>
      <w:r>
        <w:rPr>
          <w:rFonts w:ascii="Times New Roman" w:hAnsi="Times New Roman" w:cs="Times New Roman" w:eastAsia="Times New Roman"/>
          <w:b w:val="0"/>
          <w:i w:val="0"/>
          <w:sz w:val="24"/>
          <w:u w:val="none"/>
        </w:rPr>
        <w:t xml:space="preserve"> Operating Agreement summary, § 4.4 (Members holding 80% or more may require all other Members to participate in a sale; GDG + Tidewater = 90%), § 4.2 (Permitted Transfers to family trusts and to Tidewater “successor funds”), § 4.1 (restrictions apply only to transfers of Membership Interests and “do not purport to restrict ... changes in the internal or upstream ownership, management, or control of any Member entity”); Term Sheet § 10.3 (restrictions limited to transfers of “ownership interests in the Borrower”).</w:t>
      </w:r>
    </w:p>
    <w:p>
      <w:pPr>
        <w:keepNext w:val="0"/>
        <w:spacing w:before="0" w:after="160" w:line="240" w:lineRule="auto"/>
        <w:ind w:left="0"/>
        <w:jc w:val="both"/>
      </w:pPr>
      <w:r>
        <w:rPr>
          <w:rFonts w:ascii="Times New Roman" w:hAnsi="Times New Roman" w:cs="Times New Roman" w:eastAsia="Times New Roman"/>
          <w:b/>
          <w:i w:val="0"/>
          <w:sz w:val="24"/>
          <w:u w:val="none"/>
        </w:rPr>
        <w:t>Analysis.</w:t>
      </w:r>
      <w:r>
        <w:rPr>
          <w:rFonts w:ascii="Times New Roman" w:hAnsi="Times New Roman" w:cs="Times New Roman" w:eastAsia="Times New Roman"/>
          <w:b w:val="0"/>
          <w:i w:val="0"/>
          <w:sz w:val="24"/>
          <w:u w:val="none"/>
        </w:rPr>
        <w:t xml:space="preserve"> Two gaps. First, the drag-along can commit Borrower to a sale of the Property without Lender’s consent, because it operates at the member level; Borrower would then be in breach of Section 8.1 through no act of its own. Second, the Term Sheet’s transfer restrictions, as written, capture only direct membership transfers; a sale of Mr. Graydon’s interest in GDG, a change of Tidewater’s general partner, or a sale of Harborline would not be captured, even though each changes who controls the borrower.</w:t>
      </w:r>
    </w:p>
    <w:p>
      <w:pPr>
        <w:keepNext w:val="0"/>
        <w:spacing w:before="0" w:after="160" w:line="240" w:lineRule="auto"/>
        <w:ind w:left="0"/>
        <w:jc w:val="both"/>
      </w:pPr>
      <w:r>
        <w:rPr>
          <w:rFonts w:ascii="Times New Roman" w:hAnsi="Times New Roman" w:cs="Times New Roman" w:eastAsia="Times New Roman"/>
          <w:b/>
          <w:i w:val="0"/>
          <w:sz w:val="24"/>
          <w:u w:val="none"/>
        </w:rPr>
        <w:t>Draft treatment.</w:t>
      </w:r>
      <w:r>
        <w:rPr>
          <w:rFonts w:ascii="Times New Roman" w:hAnsi="Times New Roman" w:cs="Times New Roman" w:eastAsia="Times New Roman"/>
          <w:b w:val="0"/>
          <w:i w:val="0"/>
          <w:sz w:val="24"/>
          <w:u w:val="none"/>
        </w:rPr>
        <w:t xml:space="preserve"> Section 8.1(c) extends the restriction to indirect and upstream transfers and to changes of control, and Section 7.7 identifies the Key Principal and requires retention of control. Section 7.8 subordinates the member agreements and conditions exercise of the drag-along on Lender’s consent.</w:t>
      </w:r>
    </w:p>
    <w:p>
      <w:pPr>
        <w:keepNext w:val="0"/>
        <w:spacing w:before="0" w:after="160" w:line="240" w:lineRule="auto"/>
        <w:ind w:left="0"/>
        <w:jc w:val="both"/>
      </w:pPr>
      <w:r>
        <w:rPr>
          <w:rFonts w:ascii="Times New Roman" w:hAnsi="Times New Roman" w:cs="Times New Roman" w:eastAsia="Times New Roman"/>
          <w:b/>
          <w:i w:val="0"/>
          <w:sz w:val="24"/>
          <w:u w:val="none"/>
        </w:rPr>
        <w:t>Action.</w:t>
      </w:r>
      <w:r>
        <w:rPr>
          <w:rFonts w:ascii="Times New Roman" w:hAnsi="Times New Roman" w:cs="Times New Roman" w:eastAsia="Times New Roman"/>
          <w:b w:val="0"/>
          <w:i w:val="0"/>
          <w:sz w:val="24"/>
          <w:u w:val="none"/>
        </w:rPr>
        <w:t xml:space="preserve"> These provisions go beyond Term Sheet § 10.3 and should be raised with Borrower’s counsel early; they are customary and are within § 14.4’s reservation of additional provisions, but they are the provisions most likely to be negotiated. Confirm with Marcus that they are non-negotiable.</w:t>
      </w:r>
    </w:p>
    <w:p>
      <w:pPr>
        <w:keepNext/>
        <w:spacing w:before="160" w:after="80" w:line="240" w:lineRule="auto"/>
        <w:ind w:left="0"/>
        <w:jc w:val="left"/>
      </w:pPr>
      <w:r>
        <w:rPr>
          <w:rFonts w:ascii="Times New Roman" w:hAnsi="Times New Roman" w:cs="Times New Roman" w:eastAsia="Times New Roman"/>
          <w:b/>
          <w:i/>
          <w:sz w:val="24"/>
          <w:u w:val="none"/>
        </w:rPr>
        <w:t>D6. Affiliate fees and cash leakage</w:t>
      </w:r>
    </w:p>
    <w:p>
      <w:pPr>
        <w:keepNext w:val="0"/>
        <w:spacing w:before="0" w:after="160" w:line="240" w:lineRule="auto"/>
        <w:ind w:left="0"/>
        <w:jc w:val="both"/>
      </w:pPr>
      <w:r>
        <w:rPr>
          <w:rFonts w:ascii="Times New Roman" w:hAnsi="Times New Roman" w:cs="Times New Roman" w:eastAsia="Times New Roman"/>
          <w:b/>
          <w:i w:val="0"/>
          <w:sz w:val="24"/>
          <w:u w:val="none"/>
        </w:rPr>
        <w:t>Source.</w:t>
      </w:r>
      <w:r>
        <w:rPr>
          <w:rFonts w:ascii="Times New Roman" w:hAnsi="Times New Roman" w:cs="Times New Roman" w:eastAsia="Times New Roman"/>
          <w:b w:val="0"/>
          <w:i w:val="0"/>
          <w:sz w:val="24"/>
          <w:u w:val="none"/>
        </w:rPr>
        <w:t xml:space="preserve"> Operating Agreement summary, § 3.4 (GDG entitled to an asset management fee and a development management fee; terms redacted); summary of distributions (§ 5.1 with an 8% preferred return and a 20% promote).</w:t>
      </w:r>
    </w:p>
    <w:p>
      <w:pPr>
        <w:keepNext w:val="0"/>
        <w:spacing w:before="0" w:after="160" w:line="240" w:lineRule="auto"/>
        <w:ind w:left="0"/>
        <w:jc w:val="both"/>
      </w:pPr>
      <w:r>
        <w:rPr>
          <w:rFonts w:ascii="Times New Roman" w:hAnsi="Times New Roman" w:cs="Times New Roman" w:eastAsia="Times New Roman"/>
          <w:b/>
          <w:i w:val="0"/>
          <w:sz w:val="24"/>
          <w:u w:val="none"/>
        </w:rPr>
        <w:t>Analysis.</w:t>
      </w:r>
      <w:r>
        <w:rPr>
          <w:rFonts w:ascii="Times New Roman" w:hAnsi="Times New Roman" w:cs="Times New Roman" w:eastAsia="Times New Roman"/>
          <w:b w:val="0"/>
          <w:i w:val="0"/>
          <w:sz w:val="24"/>
          <w:u w:val="none"/>
        </w:rPr>
        <w:t xml:space="preserve"> With debt service coverage below 1.0x, every dollar paid to an affiliate is a dollar not available for debt service. The Term Sheet is silent on affiliate compensation, which is a significant omission for an asset with insufficient coverage. The draft subordinates affiliate fees to the Debt and prohibits payment while an Event of Default exists or while DSCR is below 1.25x (Section 6.18), and restricts distributions on the same basis (Section 8.7).</w:t>
      </w:r>
    </w:p>
    <w:p>
      <w:pPr>
        <w:keepNext w:val="0"/>
        <w:spacing w:before="0" w:after="160" w:line="240" w:lineRule="auto"/>
        <w:ind w:left="0"/>
        <w:jc w:val="both"/>
      </w:pPr>
      <w:r>
        <w:rPr>
          <w:rFonts w:ascii="Times New Roman" w:hAnsi="Times New Roman" w:cs="Times New Roman" w:eastAsia="Times New Roman"/>
          <w:b/>
          <w:i w:val="0"/>
          <w:sz w:val="24"/>
          <w:u w:val="none"/>
        </w:rPr>
        <w:t>Action.</w:t>
      </w:r>
      <w:r>
        <w:rPr>
          <w:rFonts w:ascii="Times New Roman" w:hAnsi="Times New Roman" w:cs="Times New Roman" w:eastAsia="Times New Roman"/>
          <w:b w:val="0"/>
          <w:i w:val="0"/>
          <w:sz w:val="24"/>
          <w:u w:val="none"/>
        </w:rPr>
        <w:t xml:space="preserve"> Obtain the unredacted fee provisions and quantify the annual affiliate compensation; if material, require the fee arrangements to be amended (the draft makes the amendment a condition of closing by requiring delivery of the amended agreements under Section 6.18).</w:t>
      </w:r>
    </w:p>
    <w:p>
      <w:pPr>
        <w:keepNext/>
        <w:spacing w:before="200" w:after="120" w:line="240" w:lineRule="auto"/>
        <w:ind w:left="0"/>
        <w:jc w:val="left"/>
      </w:pPr>
      <w:r>
        <w:rPr>
          <w:rFonts w:ascii="Times New Roman" w:hAnsi="Times New Roman" w:cs="Times New Roman" w:eastAsia="Times New Roman"/>
          <w:b/>
          <w:i w:val="0"/>
          <w:sz w:val="24"/>
          <w:u w:val="none"/>
        </w:rPr>
        <w:t>E. Financial Covenants and Reporting</w:t>
      </w:r>
    </w:p>
    <w:p>
      <w:pPr>
        <w:keepNext/>
        <w:spacing w:before="160" w:after="80" w:line="240" w:lineRule="auto"/>
        <w:ind w:left="0"/>
        <w:jc w:val="left"/>
      </w:pPr>
      <w:r>
        <w:rPr>
          <w:rFonts w:ascii="Times New Roman" w:hAnsi="Times New Roman" w:cs="Times New Roman" w:eastAsia="Times New Roman"/>
          <w:b/>
          <w:i/>
          <w:sz w:val="24"/>
          <w:u w:val="none"/>
        </w:rPr>
        <w:t>E1. The DSCR covenant is unachievable as drafted</w:t>
      </w:r>
    </w:p>
    <w:p>
      <w:pPr>
        <w:keepNext w:val="0"/>
        <w:spacing w:before="0" w:after="160" w:line="240" w:lineRule="auto"/>
        <w:ind w:left="0"/>
        <w:jc w:val="both"/>
      </w:pPr>
      <w:r>
        <w:rPr>
          <w:rFonts w:ascii="Times New Roman" w:hAnsi="Times New Roman" w:cs="Times New Roman" w:eastAsia="Times New Roman"/>
          <w:b w:val="0"/>
          <w:i w:val="0"/>
          <w:sz w:val="24"/>
          <w:u w:val="none"/>
        </w:rPr>
        <w:t>See 4.3 for the arithmetic. The draft implements Term Sheet § 7.1 without alteration (Section 14.1) because the covenant is a negotiated commercial term and the definitions must be fixed; the policy question is for Lender. Four observations inform the recommendation. First, the covenant fails at the first test date on every projection in the record, including Lender’s own best case. Second, a covenant that is certain to be breached at inception has limited value as a control and creates a documented default that Lender may not want to enforce — a borrower in default from month 24 has both a negotiating lever and, potentially, a lender liability argument. Third, the covenant interacts with the Reserve and distribution provisions: Sections 6.18 and 8.7 freeze affiliate fees and distributions whenever DSCR is below 1.25x, so an unachievable covenant freezes those payments permanently, which the Borrower will not accept once it understands the arithmetic. Fourth, the Term Sheet’s own drafting contemplates that the definitions will be fixed in the Loan Documents (Term Sheet § 7.1), which gives Lender room to calibrate the covenant without a formal amendment.</w:t>
      </w:r>
    </w:p>
    <w:p>
      <w:pPr>
        <w:keepNext/>
        <w:spacing w:before="160" w:after="80" w:line="240" w:lineRule="auto"/>
        <w:ind w:left="0"/>
        <w:jc w:val="left"/>
      </w:pPr>
      <w:r>
        <w:rPr>
          <w:rFonts w:ascii="Times New Roman" w:hAnsi="Times New Roman" w:cs="Times New Roman" w:eastAsia="Times New Roman"/>
          <w:b/>
          <w:i/>
          <w:sz w:val="24"/>
          <w:u w:val="none"/>
        </w:rPr>
        <w:t>E2. Net worth and liquidity — which obligor?</w:t>
      </w:r>
    </w:p>
    <w:p>
      <w:pPr>
        <w:keepNext w:val="0"/>
        <w:spacing w:before="0" w:after="160" w:line="240" w:lineRule="auto"/>
        <w:ind w:left="0"/>
        <w:jc w:val="both"/>
      </w:pPr>
      <w:r>
        <w:rPr>
          <w:rFonts w:ascii="Times New Roman" w:hAnsi="Times New Roman" w:cs="Times New Roman" w:eastAsia="Times New Roman"/>
          <w:b/>
          <w:i w:val="0"/>
          <w:sz w:val="24"/>
          <w:u w:val="none"/>
        </w:rPr>
        <w:t>Source.</w:t>
      </w:r>
      <w:r>
        <w:rPr>
          <w:rFonts w:ascii="Times New Roman" w:hAnsi="Times New Roman" w:cs="Times New Roman" w:eastAsia="Times New Roman"/>
          <w:b w:val="0"/>
          <w:i w:val="0"/>
          <w:sz w:val="24"/>
          <w:u w:val="none"/>
        </w:rPr>
        <w:t xml:space="preserve"> Term Sheet § 7.2 (“Borrower shall maintain ... a net worth of not less than $1,000,000 ... and liquid assets ... of not less than $500,000”); March 18 markup note § 6 (“Guarantor minimum net worth of not less than $1,000,000, tested annually. Guarantor minimum liquid assets of not less than $500,000”).</w:t>
      </w:r>
    </w:p>
    <w:p>
      <w:pPr>
        <w:keepNext w:val="0"/>
        <w:spacing w:before="0" w:after="160" w:line="240" w:lineRule="auto"/>
        <w:ind w:left="0"/>
        <w:jc w:val="both"/>
      </w:pPr>
      <w:r>
        <w:rPr>
          <w:rFonts w:ascii="Times New Roman" w:hAnsi="Times New Roman" w:cs="Times New Roman" w:eastAsia="Times New Roman"/>
          <w:b/>
          <w:i w:val="0"/>
          <w:sz w:val="24"/>
          <w:u w:val="none"/>
        </w:rPr>
        <w:t>Analysis.</w:t>
      </w:r>
      <w:r>
        <w:rPr>
          <w:rFonts w:ascii="Times New Roman" w:hAnsi="Times New Roman" w:cs="Times New Roman" w:eastAsia="Times New Roman"/>
          <w:b w:val="0"/>
          <w:i w:val="0"/>
          <w:sz w:val="24"/>
          <w:u w:val="none"/>
        </w:rPr>
        <w:t xml:space="preserve"> The Term Sheet is unambiguous that the covenants run to Borrower; your note attributes them to Guarantor. Both readings are commercially common — an SPE net worth covenant is in substance a liquidity cushion, while a sponsor net worth covenant is a credit test. The draft follows the Term Sheet (Section 14.2, on Borrower) and cross-refers to Guarantor’s separate covenants in the Guaranty, so that neither reading is foreclosed but the Term Sheet is not contradicted. Note that the Guarantor’s net worth is stated at approximately $28,000,000, so a $1,000,000 Guarantor covenant would be immaterial in practice; a Borrower covenant is the more meaningful test and is what the Loan Documents should contain.</w:t>
      </w:r>
    </w:p>
    <w:p>
      <w:pPr>
        <w:keepNext w:val="0"/>
        <w:spacing w:before="0" w:after="160" w:line="240" w:lineRule="auto"/>
        <w:ind w:left="0"/>
        <w:jc w:val="both"/>
      </w:pPr>
      <w:r>
        <w:rPr>
          <w:rFonts w:ascii="Times New Roman" w:hAnsi="Times New Roman" w:cs="Times New Roman" w:eastAsia="Times New Roman"/>
          <w:b/>
          <w:i w:val="0"/>
          <w:sz w:val="24"/>
          <w:u w:val="none"/>
        </w:rPr>
        <w:t>Action.</w:t>
      </w:r>
      <w:r>
        <w:rPr>
          <w:rFonts w:ascii="Times New Roman" w:hAnsi="Times New Roman" w:cs="Times New Roman" w:eastAsia="Times New Roman"/>
          <w:b w:val="0"/>
          <w:i w:val="0"/>
          <w:sz w:val="24"/>
          <w:u w:val="none"/>
        </w:rPr>
        <w:t xml:space="preserve"> Instruction requested (Section 8, item 6).</w:t>
      </w:r>
    </w:p>
    <w:p>
      <w:pPr>
        <w:keepNext/>
        <w:spacing w:before="160" w:after="80" w:line="240" w:lineRule="auto"/>
        <w:ind w:left="0"/>
        <w:jc w:val="left"/>
      </w:pPr>
      <w:r>
        <w:rPr>
          <w:rFonts w:ascii="Times New Roman" w:hAnsi="Times New Roman" w:cs="Times New Roman" w:eastAsia="Times New Roman"/>
          <w:b/>
          <w:i/>
          <w:sz w:val="24"/>
          <w:u w:val="none"/>
        </w:rPr>
        <w:t>E3. Audited financial statements against a "reviewed" standard in the Operating Agreement</w:t>
      </w:r>
    </w:p>
    <w:p>
      <w:pPr>
        <w:keepNext w:val="0"/>
        <w:spacing w:before="0" w:after="160" w:line="240" w:lineRule="auto"/>
        <w:ind w:left="0"/>
        <w:jc w:val="both"/>
      </w:pPr>
      <w:r>
        <w:rPr>
          <w:rFonts w:ascii="Times New Roman" w:hAnsi="Times New Roman" w:cs="Times New Roman" w:eastAsia="Times New Roman"/>
          <w:b/>
          <w:i w:val="0"/>
          <w:sz w:val="24"/>
          <w:u w:val="none"/>
        </w:rPr>
        <w:t>Source.</w:t>
      </w:r>
      <w:r>
        <w:rPr>
          <w:rFonts w:ascii="Times New Roman" w:hAnsi="Times New Roman" w:cs="Times New Roman" w:eastAsia="Times New Roman"/>
          <w:b w:val="0"/>
          <w:i w:val="0"/>
          <w:sz w:val="24"/>
          <w:u w:val="none"/>
        </w:rPr>
        <w:t xml:space="preserve"> Term Sheet § 7.3(a) (annual audited financial statements within 120 days); Operating Agreement summary § 6.2(b) (annual financial statements “reviewed (but not audited) by an independent certified public accountant” within 90 days).</w:t>
      </w:r>
    </w:p>
    <w:p>
      <w:pPr>
        <w:keepNext w:val="0"/>
        <w:spacing w:before="0" w:after="160" w:line="240" w:lineRule="auto"/>
        <w:ind w:left="0"/>
        <w:jc w:val="both"/>
      </w:pPr>
      <w:r>
        <w:rPr>
          <w:rFonts w:ascii="Times New Roman" w:hAnsi="Times New Roman" w:cs="Times New Roman" w:eastAsia="Times New Roman"/>
          <w:b/>
          <w:i w:val="0"/>
          <w:sz w:val="24"/>
          <w:u w:val="none"/>
        </w:rPr>
        <w:t>Analysis.</w:t>
      </w:r>
      <w:r>
        <w:rPr>
          <w:rFonts w:ascii="Times New Roman" w:hAnsi="Times New Roman" w:cs="Times New Roman" w:eastAsia="Times New Roman"/>
          <w:b w:val="0"/>
          <w:i w:val="0"/>
          <w:sz w:val="24"/>
          <w:u w:val="none"/>
        </w:rPr>
        <w:t xml:space="preserve"> Borrower is contractually organized to produce reviewed statements on a different timetable from the audited statements the Loan requires. The requirement is not impossible — Borrower can commission an audit — but the cost of an annual audit of a single-asset LLC is real, and the mismatch means the Operating Agreement should either be amended or the reporting covenant adjusted at the outset. This is the kind of term that produces a technical default in year one.</w:t>
      </w:r>
    </w:p>
    <w:p>
      <w:pPr>
        <w:keepNext w:val="0"/>
        <w:spacing w:before="0" w:after="160" w:line="240" w:lineRule="auto"/>
        <w:ind w:left="0"/>
        <w:jc w:val="both"/>
      </w:pPr>
      <w:r>
        <w:rPr>
          <w:rFonts w:ascii="Times New Roman" w:hAnsi="Times New Roman" w:cs="Times New Roman" w:eastAsia="Times New Roman"/>
          <w:b/>
          <w:i w:val="0"/>
          <w:sz w:val="24"/>
          <w:u w:val="none"/>
        </w:rPr>
        <w:t>Action.</w:t>
      </w:r>
      <w:r>
        <w:rPr>
          <w:rFonts w:ascii="Times New Roman" w:hAnsi="Times New Roman" w:cs="Times New Roman" w:eastAsia="Times New Roman"/>
          <w:b w:val="0"/>
          <w:i w:val="0"/>
          <w:sz w:val="24"/>
          <w:u w:val="none"/>
        </w:rPr>
        <w:t xml:space="preserve"> Instruction requested: confirm whether Lender will accept reviewed statements with an annual certification and a covenant to provide audited statements upon request or upon a DSCR shortfall (our recommendation), or whether the audit requirement stands.</w:t>
      </w:r>
    </w:p>
    <w:p>
      <w:pPr>
        <w:keepNext/>
        <w:spacing w:before="160" w:after="80" w:line="240" w:lineRule="auto"/>
        <w:ind w:left="0"/>
        <w:jc w:val="left"/>
      </w:pPr>
      <w:r>
        <w:rPr>
          <w:rFonts w:ascii="Times New Roman" w:hAnsi="Times New Roman" w:cs="Times New Roman" w:eastAsia="Times New Roman"/>
          <w:b/>
          <w:i/>
          <w:sz w:val="24"/>
          <w:u w:val="none"/>
        </w:rPr>
        <w:t>E4. Definitions of Net Operating Income and Annual Debt Service require calibration</w:t>
      </w:r>
    </w:p>
    <w:p>
      <w:pPr>
        <w:keepNext w:val="0"/>
        <w:spacing w:before="0" w:after="160" w:line="240" w:lineRule="auto"/>
        <w:ind w:left="0"/>
        <w:jc w:val="both"/>
      </w:pPr>
      <w:r>
        <w:rPr>
          <w:rFonts w:ascii="Times New Roman" w:hAnsi="Times New Roman" w:cs="Times New Roman" w:eastAsia="Times New Roman"/>
          <w:b/>
          <w:i w:val="0"/>
          <w:sz w:val="24"/>
          <w:u w:val="none"/>
        </w:rPr>
        <w:t>Analysis.</w:t>
      </w:r>
      <w:r>
        <w:rPr>
          <w:rFonts w:ascii="Times New Roman" w:hAnsi="Times New Roman" w:cs="Times New Roman" w:eastAsia="Times New Roman"/>
          <w:b w:val="0"/>
          <w:i w:val="0"/>
          <w:sz w:val="24"/>
          <w:u w:val="none"/>
        </w:rPr>
        <w:t xml:space="preserve"> The Term Sheet leaves the definitions to the Loan Documents, so the draft supplies them (Section 14.1). Three choices should be confirmed because each changes the stringency of the covenant: (a) a vacancy and collection loss allowance of the greater of actual vacancy or 5%; (b) a management fee cap of 4% of gross revenues and a replacement reserve of $0.25/SF in operating expenses; and (c) Annual Debt Service calculated on a fully amortizing 25-year basis even during the interest-only period. Choice (c) is materially harsher than an interest-only test (0.55x as against 0.72x on the stabilized projection) and should be a deliberate decision rather than a drafting default.</w:t>
      </w:r>
    </w:p>
    <w:p>
      <w:pPr>
        <w:keepNext w:val="0"/>
        <w:spacing w:before="0" w:after="160" w:line="240" w:lineRule="auto"/>
        <w:ind w:left="0"/>
        <w:jc w:val="both"/>
      </w:pPr>
      <w:r>
        <w:rPr>
          <w:rFonts w:ascii="Times New Roman" w:hAnsi="Times New Roman" w:cs="Times New Roman" w:eastAsia="Times New Roman"/>
          <w:b/>
          <w:i w:val="0"/>
          <w:sz w:val="24"/>
          <w:u w:val="none"/>
        </w:rPr>
        <w:t>Action.</w:t>
      </w:r>
      <w:r>
        <w:rPr>
          <w:rFonts w:ascii="Times New Roman" w:hAnsi="Times New Roman" w:cs="Times New Roman" w:eastAsia="Times New Roman"/>
          <w:b w:val="0"/>
          <w:i w:val="0"/>
          <w:sz w:val="24"/>
          <w:u w:val="none"/>
        </w:rPr>
        <w:t xml:space="preserve"> Instruction requested (Section 8, item 4).</w:t>
      </w:r>
    </w:p>
    <w:p>
      <w:pPr>
        <w:keepNext/>
        <w:spacing w:before="160" w:after="80" w:line="240" w:lineRule="auto"/>
        <w:ind w:left="0"/>
        <w:jc w:val="left"/>
      </w:pPr>
      <w:r>
        <w:rPr>
          <w:rFonts w:ascii="Times New Roman" w:hAnsi="Times New Roman" w:cs="Times New Roman" w:eastAsia="Times New Roman"/>
          <w:b/>
          <w:i/>
          <w:sz w:val="24"/>
          <w:u w:val="none"/>
        </w:rPr>
        <w:t>E5. DSCR test date — three different dates in the record</w:t>
      </w:r>
    </w:p>
    <w:p>
      <w:pPr>
        <w:keepNext w:val="0"/>
        <w:spacing w:before="0" w:after="160" w:line="240" w:lineRule="auto"/>
        <w:ind w:left="0"/>
        <w:jc w:val="both"/>
      </w:pPr>
      <w:r>
        <w:rPr>
          <w:rFonts w:ascii="Times New Roman" w:hAnsi="Times New Roman" w:cs="Times New Roman" w:eastAsia="Times New Roman"/>
          <w:b/>
          <w:i w:val="0"/>
          <w:sz w:val="24"/>
          <w:u w:val="none"/>
        </w:rPr>
        <w:t>Source.</w:t>
      </w:r>
      <w:r>
        <w:rPr>
          <w:rFonts w:ascii="Times New Roman" w:hAnsi="Times New Roman" w:cs="Times New Roman" w:eastAsia="Times New Roman"/>
          <w:b w:val="0"/>
          <w:i w:val="0"/>
          <w:sz w:val="24"/>
          <w:u w:val="none"/>
        </w:rPr>
        <w:t xml:space="preserve"> Term Sheet § 7.1 (“testing shall commence twenty-four (24) months after the date of closing, with the first test date to be the first full calendar quarter ending after the twenty-fourth month following closing (anticipated to be approximately July 15, 2027, for the quarter ending June 30, 2027)”); Rent Roll, Summary (“DSCR Covenant Testing Commencement: April 15, 2027 (Month 24 post-closing)”); March 18 note (“beginning 24 months post-closing (first test date April 15, 2027)”).</w:t>
      </w:r>
    </w:p>
    <w:p>
      <w:pPr>
        <w:keepNext w:val="0"/>
        <w:spacing w:before="0" w:after="160" w:line="240" w:lineRule="auto"/>
        <w:ind w:left="0"/>
        <w:jc w:val="both"/>
      </w:pPr>
      <w:r>
        <w:rPr>
          <w:rFonts w:ascii="Times New Roman" w:hAnsi="Times New Roman" w:cs="Times New Roman" w:eastAsia="Times New Roman"/>
          <w:b/>
          <w:i w:val="0"/>
          <w:sz w:val="24"/>
          <w:u w:val="none"/>
        </w:rPr>
        <w:t>Analysis.</w:t>
      </w:r>
      <w:r>
        <w:rPr>
          <w:rFonts w:ascii="Times New Roman" w:hAnsi="Times New Roman" w:cs="Times New Roman" w:eastAsia="Times New Roman"/>
          <w:b w:val="0"/>
          <w:i w:val="0"/>
          <w:sz w:val="24"/>
          <w:u w:val="none"/>
        </w:rPr>
        <w:t xml:space="preserve"> The Term Sheet’s operative language produces a test on the quarter ending June 30, 2027, certified by the end of July 2027; the Rent Roll and your note produce a test on April 15, 2027. The difference is one quarter. The draft (Section 14.1(c)) implements the Term Sheet’s operative language — testing commencing with the fiscal quarter ending June 30, 2027 — because it is the more carefully drafted formulation and because a test date earlier than the Term Sheet contemplates is the kind of change a borrower will litigate. The interaction with the Vacancy Schedule is worth noting: that schedule projects Suite B rent commencement on February 1, 2027, which gives only 2.5 months of rent before an April 2027 test and 5 months before a June 2027 test — either way, an aggressive timeline.</w:t>
      </w:r>
    </w:p>
    <w:p>
      <w:pPr>
        <w:keepNext w:val="0"/>
        <w:spacing w:before="0" w:after="160" w:line="240" w:lineRule="auto"/>
        <w:ind w:left="0"/>
        <w:jc w:val="both"/>
      </w:pPr>
      <w:r>
        <w:rPr>
          <w:rFonts w:ascii="Times New Roman" w:hAnsi="Times New Roman" w:cs="Times New Roman" w:eastAsia="Times New Roman"/>
          <w:b/>
          <w:i w:val="0"/>
          <w:sz w:val="24"/>
          <w:u w:val="none"/>
        </w:rPr>
        <w:t>Action.</w:t>
      </w:r>
      <w:r>
        <w:rPr>
          <w:rFonts w:ascii="Times New Roman" w:hAnsi="Times New Roman" w:cs="Times New Roman" w:eastAsia="Times New Roman"/>
          <w:b w:val="0"/>
          <w:i w:val="0"/>
          <w:sz w:val="24"/>
          <w:u w:val="none"/>
        </w:rPr>
        <w:t xml:space="preserve"> Instruction requested (Section 8, item 1).</w:t>
      </w:r>
    </w:p>
    <w:p>
      <w:pPr>
        <w:keepNext/>
        <w:spacing w:before="160" w:after="80" w:line="240" w:lineRule="auto"/>
        <w:ind w:left="0"/>
        <w:jc w:val="left"/>
      </w:pPr>
      <w:r>
        <w:rPr>
          <w:rFonts w:ascii="Times New Roman" w:hAnsi="Times New Roman" w:cs="Times New Roman" w:eastAsia="Times New Roman"/>
          <w:b/>
          <w:i/>
          <w:sz w:val="24"/>
          <w:u w:val="none"/>
        </w:rPr>
        <w:t>E6. Reporting mechanics</w:t>
      </w:r>
    </w:p>
    <w:p>
      <w:pPr>
        <w:keepNext w:val="0"/>
        <w:spacing w:before="0" w:after="160" w:line="240" w:lineRule="auto"/>
        <w:ind w:left="0"/>
        <w:jc w:val="both"/>
      </w:pPr>
      <w:r>
        <w:rPr>
          <w:rFonts w:ascii="Times New Roman" w:hAnsi="Times New Roman" w:cs="Times New Roman" w:eastAsia="Times New Roman"/>
          <w:b w:val="0"/>
          <w:i w:val="0"/>
          <w:sz w:val="24"/>
          <w:u w:val="none"/>
        </w:rPr>
        <w:t>Section 14.3 requires audited annual statements, Guarantor’s annual personal financial statement, quarterly certified rent rolls (thirty days), annual operating statements, all leases and lease modifications within ten business days, monthly construction reports during the renovation, the annual vapor barrier inspection report, all SCDHEC correspondence, and a compliance certificate. Section 14.6 makes a reporting failure curable within ten days after notice. Section 6.13 requires notice within five business days of eight categories of event, including tenant defaults and any change in the ownership or control of Borrower or any Related Entity. No issue arises on these provisions; they implement Term Sheet § 7.3 and should be confirmed with Lender’s portfolio management group.</w:t>
      </w:r>
    </w:p>
    <w:p>
      <w:pPr>
        <w:keepNext/>
        <w:spacing w:before="200" w:after="120" w:line="240" w:lineRule="auto"/>
        <w:ind w:left="0"/>
        <w:jc w:val="left"/>
      </w:pPr>
      <w:r>
        <w:rPr>
          <w:rFonts w:ascii="Times New Roman" w:hAnsi="Times New Roman" w:cs="Times New Roman" w:eastAsia="Times New Roman"/>
          <w:b/>
          <w:i w:val="0"/>
          <w:sz w:val="24"/>
          <w:u w:val="none"/>
        </w:rPr>
        <w:t>F. Renovation, Completion, and Disbursement</w:t>
      </w:r>
    </w:p>
    <w:p>
      <w:pPr>
        <w:keepNext/>
        <w:spacing w:before="160" w:after="80" w:line="240" w:lineRule="auto"/>
        <w:ind w:left="0"/>
        <w:jc w:val="left"/>
      </w:pPr>
      <w:r>
        <w:rPr>
          <w:rFonts w:ascii="Times New Roman" w:hAnsi="Times New Roman" w:cs="Times New Roman" w:eastAsia="Times New Roman"/>
          <w:b/>
          <w:i/>
          <w:sz w:val="24"/>
          <w:u w:val="none"/>
        </w:rPr>
        <w:t>F1. Thin contingency and no equity cushion</w:t>
      </w:r>
    </w:p>
    <w:p>
      <w:pPr>
        <w:keepNext w:val="0"/>
        <w:spacing w:before="0" w:after="160" w:line="240" w:lineRule="auto"/>
        <w:ind w:left="0"/>
        <w:jc w:val="both"/>
      </w:pPr>
      <w:r>
        <w:rPr>
          <w:rFonts w:ascii="Times New Roman" w:hAnsi="Times New Roman" w:cs="Times New Roman" w:eastAsia="Times New Roman"/>
          <w:b/>
          <w:i w:val="0"/>
          <w:sz w:val="24"/>
          <w:u w:val="none"/>
        </w:rPr>
        <w:t>Source.</w:t>
      </w:r>
      <w:r>
        <w:rPr>
          <w:rFonts w:ascii="Times New Roman" w:hAnsi="Times New Roman" w:cs="Times New Roman" w:eastAsia="Times New Roman"/>
          <w:b w:val="0"/>
          <w:i w:val="0"/>
          <w:sz w:val="24"/>
          <w:u w:val="none"/>
        </w:rPr>
        <w:t xml:space="preserve"> Renovation Budget, line 5.0 ($200,000 soft costs, $100,000 contingency); Draw Schedule (Renovation Holdback fully drawn at month 14, remaining balance $0; Borrower equity cumulative $905,000); Term Sheet § 3.3 (Borrower responsible for costs in excess of the Holdback) and § 5.5(b) (Completion Guaranty).</w:t>
      </w:r>
    </w:p>
    <w:p>
      <w:pPr>
        <w:keepNext w:val="0"/>
        <w:spacing w:before="0" w:after="160" w:line="240" w:lineRule="auto"/>
        <w:ind w:left="0"/>
        <w:jc w:val="both"/>
      </w:pPr>
      <w:r>
        <w:rPr>
          <w:rFonts w:ascii="Times New Roman" w:hAnsi="Times New Roman" w:cs="Times New Roman" w:eastAsia="Times New Roman"/>
          <w:b/>
          <w:i w:val="0"/>
          <w:sz w:val="24"/>
          <w:u w:val="none"/>
        </w:rPr>
        <w:t>Analysis.</w:t>
      </w:r>
      <w:r>
        <w:rPr>
          <w:rFonts w:ascii="Times New Roman" w:hAnsi="Times New Roman" w:cs="Times New Roman" w:eastAsia="Times New Roman"/>
          <w:b w:val="0"/>
          <w:i w:val="0"/>
          <w:sz w:val="24"/>
          <w:u w:val="none"/>
        </w:rPr>
        <w:t xml:space="preserve"> Contingency of $100,000 is 3.17% of a $3,150,000 renovation that includes full HVAC replacement, elevator modernization, and historic façade restoration subject to BAR review on a 1952 masonry building. Five to ten percent is the customary range for work of this scope. The Renovation Holdback is exhausted at month 14 with $0 remaining, and Borrower’s $900,000 equity is fully deployed on the schedule (indeed, $905,000 is shown). There is therefore no cushion at either level, and every overrun falls either on Borrower (which has no committed source) or on the Completion Guaranty.</w:t>
      </w:r>
    </w:p>
    <w:p>
      <w:pPr>
        <w:keepNext w:val="0"/>
        <w:spacing w:before="0" w:after="160" w:line="240" w:lineRule="auto"/>
        <w:ind w:left="0"/>
        <w:jc w:val="both"/>
      </w:pPr>
      <w:r>
        <w:rPr>
          <w:rFonts w:ascii="Times New Roman" w:hAnsi="Times New Roman" w:cs="Times New Roman" w:eastAsia="Times New Roman"/>
          <w:b/>
          <w:i w:val="0"/>
          <w:sz w:val="24"/>
          <w:u w:val="none"/>
        </w:rPr>
        <w:t>Compounding issue.</w:t>
      </w:r>
      <w:r>
        <w:rPr>
          <w:rFonts w:ascii="Times New Roman" w:hAnsi="Times New Roman" w:cs="Times New Roman" w:eastAsia="Times New Roman"/>
          <w:b w:val="0"/>
          <w:i w:val="0"/>
          <w:sz w:val="24"/>
          <w:u w:val="none"/>
        </w:rPr>
        <w:t xml:space="preserve"> Term Sheet § 5.5(b) describes the Completion Guaranty as guaranteeing completion “within the approved renovation budget and by the Substantial Completion Deadline.” Read literally, that phrase could be argued to cap Guarantor’s exposure at the budget, which would leave Lender bearing any overrun — the opposite of a completion guaranty’s purpose. The Mortgage addresses the point in its definition of Completion Guaranty (Article 1) and in Section 10.10, both of which state that the guaranty is not capped by the Renovation Budget or the Holdback; but the operative language is in the Guaranty, and the Guaranty must say so.</w:t>
      </w:r>
    </w:p>
    <w:p>
      <w:pPr>
        <w:keepNext w:val="0"/>
        <w:spacing w:before="0" w:after="160" w:line="240" w:lineRule="auto"/>
        <w:ind w:left="0"/>
        <w:jc w:val="both"/>
      </w:pPr>
      <w:r>
        <w:rPr>
          <w:rFonts w:ascii="Times New Roman" w:hAnsi="Times New Roman" w:cs="Times New Roman" w:eastAsia="Times New Roman"/>
          <w:b/>
          <w:i w:val="0"/>
          <w:sz w:val="24"/>
          <w:u w:val="none"/>
        </w:rPr>
        <w:t>Action.</w:t>
      </w:r>
      <w:r>
        <w:rPr>
          <w:rFonts w:ascii="Times New Roman" w:hAnsi="Times New Roman" w:cs="Times New Roman" w:eastAsia="Times New Roman"/>
          <w:b w:val="0"/>
          <w:i w:val="0"/>
          <w:sz w:val="24"/>
          <w:u w:val="none"/>
        </w:rPr>
        <w:t xml:space="preserve"> (a) Confirm the Guaranty’s completion obligation is uncapped and extends to cost overruns regardless of cause; (b) consider requiring an increased contingency or a Borrower-funded cost-overrun reserve as a condition of closing; (c) require evidence of Borrower’s ability to fund overruns beyond its committed equity.</w:t>
      </w:r>
    </w:p>
    <w:p>
      <w:pPr>
        <w:keepNext/>
        <w:spacing w:before="160" w:after="80" w:line="240" w:lineRule="auto"/>
        <w:ind w:left="0"/>
        <w:jc w:val="left"/>
      </w:pPr>
      <w:r>
        <w:rPr>
          <w:rFonts w:ascii="Times New Roman" w:hAnsi="Times New Roman" w:cs="Times New Roman" w:eastAsia="Times New Roman"/>
          <w:b/>
          <w:i/>
          <w:sz w:val="24"/>
          <w:u w:val="none"/>
        </w:rPr>
        <w:t>F2. Draw schedule does not reconcile to the budget</w:t>
      </w:r>
    </w:p>
    <w:p>
      <w:pPr>
        <w:keepNext w:val="0"/>
        <w:spacing w:before="0" w:after="160" w:line="240" w:lineRule="auto"/>
        <w:ind w:left="0"/>
        <w:jc w:val="both"/>
      </w:pPr>
      <w:r>
        <w:rPr>
          <w:rFonts w:ascii="Times New Roman" w:hAnsi="Times New Roman" w:cs="Times New Roman" w:eastAsia="Times New Roman"/>
          <w:b w:val="0"/>
          <w:i w:val="0"/>
          <w:sz w:val="24"/>
          <w:u w:val="none"/>
        </w:rPr>
        <w:t>See 4.7 for the line-by-line reconciliation. The three defects are: borrower equity of $905,000 against a $900,000 allocation (with the schedule’s own total row stating $900,000); a $50,000 shift from the elevator line to the HVAC line, which leaves the elevator scope funded at $425,000 against a $475,000 budget for long-lead equipment required for the certificate of occupancy; and no implementation of the 10% retainage that both the Term Sheet (§ 8.4) and the Mortgage (Section 10.6) require, with only $15,000 of the Holdback remaining at month 14 when $225,000 of retainage would be outstanding under a literal application of the mechanic.</w:t>
      </w:r>
    </w:p>
    <w:p>
      <w:pPr>
        <w:keepNext w:val="0"/>
        <w:spacing w:before="0" w:after="160" w:line="240" w:lineRule="auto"/>
        <w:ind w:left="0"/>
        <w:jc w:val="both"/>
      </w:pPr>
      <w:r>
        <w:rPr>
          <w:rFonts w:ascii="Times New Roman" w:hAnsi="Times New Roman" w:cs="Times New Roman" w:eastAsia="Times New Roman"/>
          <w:b/>
          <w:i w:val="0"/>
          <w:sz w:val="24"/>
          <w:u w:val="none"/>
        </w:rPr>
        <w:t>Action.</w:t>
      </w:r>
      <w:r>
        <w:rPr>
          <w:rFonts w:ascii="Times New Roman" w:hAnsi="Times New Roman" w:cs="Times New Roman" w:eastAsia="Times New Roman"/>
          <w:b w:val="0"/>
          <w:i w:val="0"/>
          <w:sz w:val="24"/>
          <w:u w:val="none"/>
        </w:rPr>
        <w:t xml:space="preserve"> Require a corrected draw schedule as a closing condition, tied line-by-line to the budget, with a retainage-compliant draw curve and an identified funding source for the elevator shortfall. The Mortgage does not incorporate the schedule by reference as a condition of disbursement, so the defect does not propagate into the loan documents; but Borrower will submit draws against it.</w:t>
      </w:r>
    </w:p>
    <w:p>
      <w:pPr>
        <w:keepNext/>
        <w:spacing w:before="160" w:after="80" w:line="240" w:lineRule="auto"/>
        <w:ind w:left="0"/>
        <w:jc w:val="left"/>
      </w:pPr>
      <w:r>
        <w:rPr>
          <w:rFonts w:ascii="Times New Roman" w:hAnsi="Times New Roman" w:cs="Times New Roman" w:eastAsia="Times New Roman"/>
          <w:b/>
          <w:i/>
          <w:sz w:val="24"/>
          <w:u w:val="none"/>
        </w:rPr>
        <w:t>F3. Retainage mechanics</w:t>
      </w:r>
    </w:p>
    <w:p>
      <w:pPr>
        <w:keepNext w:val="0"/>
        <w:spacing w:before="0" w:after="160" w:line="240" w:lineRule="auto"/>
        <w:ind w:left="0"/>
        <w:jc w:val="both"/>
      </w:pPr>
      <w:r>
        <w:rPr>
          <w:rFonts w:ascii="Times New Roman" w:hAnsi="Times New Roman" w:cs="Times New Roman" w:eastAsia="Times New Roman"/>
          <w:b/>
          <w:i w:val="0"/>
          <w:sz w:val="24"/>
          <w:u w:val="none"/>
        </w:rPr>
        <w:t>Analysis.</w:t>
      </w:r>
      <w:r>
        <w:rPr>
          <w:rFonts w:ascii="Times New Roman" w:hAnsi="Times New Roman" w:cs="Times New Roman" w:eastAsia="Times New Roman"/>
          <w:b w:val="0"/>
          <w:i w:val="0"/>
          <w:sz w:val="24"/>
          <w:u w:val="none"/>
        </w:rPr>
        <w:t xml:space="preserve"> A 10% retainage on a $2,250,000 holdback means that, at any point before substantial completion, 10% of the work in place remains undrawn. Because the Holdback is exhausted exactly at month 14 and substantial completion is due on the same date, the retainage must either be released at the same moment or the schedule must be re-cut. The draft (Section 10.6) caps the retainage at $225,000, requires release against the architect’s certificate, final unconditional waivers, a final title date-down, the certificate of occupancy, and completion of punch-list items, and provides that no interest accrues. Recommend a retainage of 10% of hard costs only (not soft costs), which is the more common formulation and reduces the friction.</w:t>
      </w:r>
    </w:p>
    <w:p>
      <w:pPr>
        <w:keepNext/>
        <w:spacing w:before="160" w:after="80" w:line="240" w:lineRule="auto"/>
        <w:ind w:left="0"/>
        <w:jc w:val="left"/>
      </w:pPr>
      <w:r>
        <w:rPr>
          <w:rFonts w:ascii="Times New Roman" w:hAnsi="Times New Roman" w:cs="Times New Roman" w:eastAsia="Times New Roman"/>
          <w:b/>
          <w:i/>
          <w:sz w:val="24"/>
          <w:u w:val="none"/>
        </w:rPr>
        <w:t>F4. Borrower's equity contribution is not ratable in the early draws</w:t>
      </w:r>
    </w:p>
    <w:p>
      <w:pPr>
        <w:keepNext w:val="0"/>
        <w:spacing w:before="0" w:after="160" w:line="240" w:lineRule="auto"/>
        <w:ind w:left="0"/>
        <w:jc w:val="both"/>
      </w:pPr>
      <w:r>
        <w:rPr>
          <w:rFonts w:ascii="Times New Roman" w:hAnsi="Times New Roman" w:cs="Times New Roman" w:eastAsia="Times New Roman"/>
          <w:b/>
          <w:i w:val="0"/>
          <w:sz w:val="24"/>
          <w:u w:val="none"/>
        </w:rPr>
        <w:t>Source.</w:t>
      </w:r>
      <w:r>
        <w:rPr>
          <w:rFonts w:ascii="Times New Roman" w:hAnsi="Times New Roman" w:cs="Times New Roman" w:eastAsia="Times New Roman"/>
          <w:b w:val="0"/>
          <w:i w:val="0"/>
          <w:sz w:val="24"/>
          <w:u w:val="none"/>
        </w:rPr>
        <w:t xml:space="preserve"> Draw Schedule, months 1–2 (Lender draws of $25,000 and $165,000 against Borrower equity of $75,000 and $90,000; the schedule’s own note: “Lender draws commence in Month 2 while borrower equity is only partially deployed”).</w:t>
      </w:r>
    </w:p>
    <w:p>
      <w:pPr>
        <w:keepNext w:val="0"/>
        <w:spacing w:before="0" w:after="160" w:line="240" w:lineRule="auto"/>
        <w:ind w:left="0"/>
        <w:jc w:val="both"/>
      </w:pPr>
      <w:r>
        <w:rPr>
          <w:rFonts w:ascii="Times New Roman" w:hAnsi="Times New Roman" w:cs="Times New Roman" w:eastAsia="Times New Roman"/>
          <w:b/>
          <w:i w:val="0"/>
          <w:sz w:val="24"/>
          <w:u w:val="none"/>
        </w:rPr>
        <w:t>Analysis.</w:t>
      </w:r>
      <w:r>
        <w:rPr>
          <w:rFonts w:ascii="Times New Roman" w:hAnsi="Times New Roman" w:cs="Times New Roman" w:eastAsia="Times New Roman"/>
          <w:b w:val="0"/>
          <w:i w:val="0"/>
          <w:sz w:val="24"/>
          <w:u w:val="none"/>
        </w:rPr>
        <w:t xml:space="preserve"> Most construction lenders require the borrower’s equity to be contributed before, or at least ratably with, the lender’s advances, so that the lender is never the sole source of funds. The schedule has Lender advancing $190,000 by month 2 against Borrower equity of $165,000 — close to ratable but not ratable, and the discrepancy widens and narrows thereafter. The draft requires equity contributions equal to not less than 28.57% of total costs funded to date as a condition of each Advance (Section 10.5(g)) and records the point expressly (Section 10.9). That is a materially tighter requirement than the schedule, and Borrower should be told before closing.</w:t>
      </w:r>
    </w:p>
    <w:p>
      <w:pPr>
        <w:keepNext/>
        <w:spacing w:before="160" w:after="80" w:line="240" w:lineRule="auto"/>
        <w:ind w:left="0"/>
        <w:jc w:val="left"/>
      </w:pPr>
      <w:r>
        <w:rPr>
          <w:rFonts w:ascii="Times New Roman" w:hAnsi="Times New Roman" w:cs="Times New Roman" w:eastAsia="Times New Roman"/>
          <w:b/>
          <w:i/>
          <w:sz w:val="24"/>
          <w:u w:val="none"/>
        </w:rPr>
        <w:t>F5. Substantial Completion Deadline and the completion guaranty</w:t>
      </w:r>
    </w:p>
    <w:p>
      <w:pPr>
        <w:keepNext w:val="0"/>
        <w:spacing w:before="0" w:after="160" w:line="240" w:lineRule="auto"/>
        <w:ind w:left="0"/>
        <w:jc w:val="both"/>
      </w:pPr>
      <w:r>
        <w:rPr>
          <w:rFonts w:ascii="Times New Roman" w:hAnsi="Times New Roman" w:cs="Times New Roman" w:eastAsia="Times New Roman"/>
          <w:b/>
          <w:i w:val="0"/>
          <w:sz w:val="24"/>
          <w:u w:val="none"/>
        </w:rPr>
        <w:t>Analysis.</w:t>
      </w:r>
      <w:r>
        <w:rPr>
          <w:rFonts w:ascii="Times New Roman" w:hAnsi="Times New Roman" w:cs="Times New Roman" w:eastAsia="Times New Roman"/>
          <w:b w:val="0"/>
          <w:i w:val="0"/>
          <w:sz w:val="24"/>
          <w:u w:val="none"/>
        </w:rPr>
        <w:t xml:space="preserve"> The Deadline of June 15, 2026 is exactly fourteen months after an April 15, 2025 closing, and the draw schedule’s final draw falls on the same day. Any delay in the closing date compresses the construction period unless the Deadline is expressed as a period rather than a fixed date. The draft fixes the date (Article 1) to match Term Sheet § 8.3, and permits extension only for Force Majeure approved by Lender, capped at sixty days, with notice within ten days (Sections 10.3 and 10.17). The following should be confirmed: whether Lender will permit an extension if the closing date slips (recommended: the Deadline shifts day-for-day with any delay in the Closing Date, which is what a borrower will expect and what is consistent with a 14-month construction period); and whether the sixty-day Force Majeure cap is acceptable given hurricane exposure in Charleston.</w:t>
      </w:r>
    </w:p>
    <w:p>
      <w:pPr>
        <w:keepNext/>
        <w:spacing w:before="160" w:after="80" w:line="240" w:lineRule="auto"/>
        <w:ind w:left="0"/>
        <w:jc w:val="left"/>
      </w:pPr>
      <w:r>
        <w:rPr>
          <w:rFonts w:ascii="Times New Roman" w:hAnsi="Times New Roman" w:cs="Times New Roman" w:eastAsia="Times New Roman"/>
          <w:b/>
          <w:i/>
          <w:sz w:val="24"/>
          <w:u w:val="none"/>
        </w:rPr>
        <w:t>F6. Draw conditions and notice period</w:t>
      </w:r>
    </w:p>
    <w:p>
      <w:pPr>
        <w:keepNext w:val="0"/>
        <w:spacing w:before="0" w:after="160" w:line="240" w:lineRule="auto"/>
        <w:ind w:left="0"/>
        <w:jc w:val="both"/>
      </w:pPr>
      <w:r>
        <w:rPr>
          <w:rFonts w:ascii="Times New Roman" w:hAnsi="Times New Roman" w:cs="Times New Roman" w:eastAsia="Times New Roman"/>
          <w:b w:val="0"/>
          <w:i w:val="0"/>
          <w:sz w:val="24"/>
          <w:u w:val="none"/>
        </w:rPr>
        <w:t>Term Sheet § 8.4 specifies monthly draws, an AIA G702/G703 certified by the architect, conditional waivers for the current draw and unconditional waivers for prior draws for subcontractors over $25,000, a title date-down, and a Lender inspection. The March 18 note adds a ten-business-day advance notice requirement, which the draft adopts (Section 10.5(b)). The draft also adds four conditions not in the Term Sheet: no default, permits and BAR approvals for the work, LUR compliance for any Bay 1 work, and the equity ratability requirement discussed above. Each is customary, but the LUR condition is specific to this asset and should be highlighted to Borrower’s construction team (see H2).</w:t>
      </w:r>
    </w:p>
    <w:p>
      <w:pPr>
        <w:keepNext/>
        <w:spacing w:before="160" w:after="80" w:line="240" w:lineRule="auto"/>
        <w:ind w:left="0"/>
        <w:jc w:val="left"/>
      </w:pPr>
      <w:r>
        <w:rPr>
          <w:rFonts w:ascii="Times New Roman" w:hAnsi="Times New Roman" w:cs="Times New Roman" w:eastAsia="Times New Roman"/>
          <w:b/>
          <w:i/>
          <w:sz w:val="24"/>
          <w:u w:val="none"/>
        </w:rPr>
        <w:t>F7. Interest shortfall guaranty leaves a gap</w:t>
      </w:r>
    </w:p>
    <w:p>
      <w:pPr>
        <w:keepNext w:val="0"/>
        <w:spacing w:before="0" w:after="160" w:line="240" w:lineRule="auto"/>
        <w:ind w:left="0"/>
        <w:jc w:val="both"/>
      </w:pPr>
      <w:r>
        <w:rPr>
          <w:rFonts w:ascii="Times New Roman" w:hAnsi="Times New Roman" w:cs="Times New Roman" w:eastAsia="Times New Roman"/>
          <w:b/>
          <w:i w:val="0"/>
          <w:sz w:val="24"/>
          <w:u w:val="none"/>
        </w:rPr>
        <w:t>Source.</w:t>
      </w:r>
      <w:r>
        <w:rPr>
          <w:rFonts w:ascii="Times New Roman" w:hAnsi="Times New Roman" w:cs="Times New Roman" w:eastAsia="Times New Roman"/>
          <w:b w:val="0"/>
          <w:i w:val="0"/>
          <w:sz w:val="24"/>
          <w:u w:val="none"/>
        </w:rPr>
        <w:t xml:space="preserve"> Term Sheet § 5.5(c) (Guarantor guarantees the shortfall in debt service “covering the first fourteen (14) months following closing” to the extent net operating income is insufficient to cover monthly interest payments).</w:t>
      </w:r>
    </w:p>
    <w:p>
      <w:pPr>
        <w:keepNext w:val="0"/>
        <w:spacing w:before="0" w:after="160" w:line="240" w:lineRule="auto"/>
        <w:ind w:left="0"/>
        <w:jc w:val="both"/>
      </w:pPr>
      <w:r>
        <w:rPr>
          <w:rFonts w:ascii="Times New Roman" w:hAnsi="Times New Roman" w:cs="Times New Roman" w:eastAsia="Times New Roman"/>
          <w:b/>
          <w:i w:val="0"/>
          <w:sz w:val="24"/>
          <w:u w:val="none"/>
        </w:rPr>
        <w:t>Analysis.</w:t>
      </w:r>
      <w:r>
        <w:rPr>
          <w:rFonts w:ascii="Times New Roman" w:hAnsi="Times New Roman" w:cs="Times New Roman" w:eastAsia="Times New Roman"/>
          <w:b w:val="0"/>
          <w:i w:val="0"/>
          <w:sz w:val="24"/>
          <w:u w:val="none"/>
        </w:rPr>
        <w:t xml:space="preserve"> Quantified, the exposure is immediate and substantial: interest at 5.85% on $14,750,000 is $71,906.25 per month, or $1,006,688 over fourteen months, against in-place NOI of approximately $320,100 per annum ($373,450 over the same period) — an expected shortfall of approximately $633,238 that the guaranty will be called upon to fund. The guaranty period ends in June 2026, but the interest-only period runs to April 2027 and the first DSCR test follows. Months 15 through 24 therefore have no shortfall support: interest of $862,875 per annum against stabilized best-case NOI of $622,772 is a $240,103 annual gap that no one has agreed to fund. That is a credit gap in the structure, not a drafting defect, but it should be surfaced to Marcus because it is discoverable on the face of the Term Sheet and the rent roll.</w:t>
      </w:r>
    </w:p>
    <w:p>
      <w:pPr>
        <w:keepNext w:val="0"/>
        <w:spacing w:before="0" w:after="160" w:line="240" w:lineRule="auto"/>
        <w:ind w:left="0"/>
        <w:jc w:val="both"/>
      </w:pPr>
      <w:r>
        <w:rPr>
          <w:rFonts w:ascii="Times New Roman" w:hAnsi="Times New Roman" w:cs="Times New Roman" w:eastAsia="Times New Roman"/>
          <w:b/>
          <w:i w:val="0"/>
          <w:sz w:val="24"/>
          <w:u w:val="none"/>
        </w:rPr>
        <w:t>Action.</w:t>
      </w:r>
      <w:r>
        <w:rPr>
          <w:rFonts w:ascii="Times New Roman" w:hAnsi="Times New Roman" w:cs="Times New Roman" w:eastAsia="Times New Roman"/>
          <w:b w:val="0"/>
          <w:i w:val="0"/>
          <w:sz w:val="24"/>
          <w:u w:val="none"/>
        </w:rPr>
        <w:t xml:space="preserve"> Instruction requested: confirm that the shortfall guaranty period is intentional; consider extending it to the end of the interest-only period or the first DSCR test date.</w:t>
      </w:r>
    </w:p>
    <w:p>
      <w:pPr>
        <w:keepNext/>
        <w:spacing w:before="200" w:after="120" w:line="240" w:lineRule="auto"/>
        <w:ind w:left="0"/>
        <w:jc w:val="left"/>
      </w:pPr>
      <w:r>
        <w:rPr>
          <w:rFonts w:ascii="Times New Roman" w:hAnsi="Times New Roman" w:cs="Times New Roman" w:eastAsia="Times New Roman"/>
          <w:b/>
          <w:i w:val="0"/>
          <w:sz w:val="24"/>
          <w:u w:val="none"/>
        </w:rPr>
        <w:t>G. Sources and Uses</w:t>
      </w:r>
    </w:p>
    <w:p>
      <w:pPr>
        <w:keepNext/>
        <w:spacing w:before="160" w:after="80" w:line="240" w:lineRule="auto"/>
        <w:ind w:left="0"/>
        <w:jc w:val="left"/>
      </w:pPr>
      <w:r>
        <w:rPr>
          <w:rFonts w:ascii="Times New Roman" w:hAnsi="Times New Roman" w:cs="Times New Roman" w:eastAsia="Times New Roman"/>
          <w:b/>
          <w:i/>
          <w:sz w:val="24"/>
          <w:u w:val="none"/>
        </w:rPr>
        <w:t>G1. The quantified funding gap</w:t>
      </w:r>
    </w:p>
    <w:p>
      <w:pPr>
        <w:keepNext w:val="0"/>
        <w:spacing w:before="0" w:after="160" w:line="240" w:lineRule="auto"/>
        <w:ind w:left="0"/>
        <w:jc w:val="both"/>
      </w:pPr>
      <w:r>
        <w:rPr>
          <w:rFonts w:ascii="Times New Roman" w:hAnsi="Times New Roman" w:cs="Times New Roman" w:eastAsia="Times New Roman"/>
          <w:b w:val="0"/>
          <w:i w:val="0"/>
          <w:sz w:val="24"/>
          <w:u w:val="none"/>
        </w:rPr>
        <w:t>See 4.5 for the computation. In summary, the Initial Advance plus the non-renovation portion of Borrower’s equity equals the purchase price exactly, leaving no source for the $150,000 TI/LC reserve deposit, the $147,500 origination fee, the $54,575 recording tax, or any third-party closing cost — a quantified gap of at least $352,075 before title, legal, survey, appraisal, and environmental costs. The Mortgage assumes the reserve is funded (Section 11.3 requires the $150,000 deposit at closing) and makes a failure to deposit an Event of Default (Section 11.5), so the gap must be closed rather than papered over.</w:t>
      </w:r>
    </w:p>
    <w:p>
      <w:pPr>
        <w:keepNext w:val="0"/>
        <w:spacing w:before="0" w:after="160" w:line="240" w:lineRule="auto"/>
        <w:ind w:left="0"/>
        <w:jc w:val="both"/>
      </w:pPr>
      <w:r>
        <w:rPr>
          <w:rFonts w:ascii="Times New Roman" w:hAnsi="Times New Roman" w:cs="Times New Roman" w:eastAsia="Times New Roman"/>
          <w:b/>
          <w:i w:val="0"/>
          <w:sz w:val="24"/>
          <w:u w:val="none"/>
        </w:rPr>
        <w:t>Action.</w:t>
      </w:r>
      <w:r>
        <w:rPr>
          <w:rFonts w:ascii="Times New Roman" w:hAnsi="Times New Roman" w:cs="Times New Roman" w:eastAsia="Times New Roman"/>
          <w:b w:val="0"/>
          <w:i w:val="0"/>
          <w:sz w:val="24"/>
          <w:u w:val="none"/>
        </w:rPr>
        <w:t xml:space="preserve"> Certifying closing statement and evidence of funds before closing; confirm with Marcus how the reserve and costs are to be funded (additional equity, a reduction in the reserve, or an increase in the Initial Advance with the resulting increase in recording tax).</w:t>
      </w:r>
    </w:p>
    <w:p>
      <w:pPr>
        <w:keepNext/>
        <w:spacing w:before="160" w:after="80" w:line="240" w:lineRule="auto"/>
        <w:ind w:left="0"/>
        <w:jc w:val="left"/>
      </w:pPr>
      <w:r>
        <w:rPr>
          <w:rFonts w:ascii="Times New Roman" w:hAnsi="Times New Roman" w:cs="Times New Roman" w:eastAsia="Times New Roman"/>
          <w:b/>
          <w:i/>
          <w:sz w:val="24"/>
          <w:u w:val="none"/>
        </w:rPr>
        <w:t>G2. The Term Sheet's "Total Project Cost" is understated</w:t>
      </w:r>
    </w:p>
    <w:p>
      <w:pPr>
        <w:keepNext w:val="0"/>
        <w:spacing w:before="0" w:after="160" w:line="240" w:lineRule="auto"/>
        <w:ind w:left="0"/>
        <w:jc w:val="both"/>
      </w:pPr>
      <w:r>
        <w:rPr>
          <w:rFonts w:ascii="Times New Roman" w:hAnsi="Times New Roman" w:cs="Times New Roman" w:eastAsia="Times New Roman"/>
          <w:b/>
          <w:i w:val="0"/>
          <w:sz w:val="24"/>
          <w:u w:val="none"/>
        </w:rPr>
        <w:t>Analysis.</w:t>
      </w:r>
      <w:r>
        <w:rPr>
          <w:rFonts w:ascii="Times New Roman" w:hAnsi="Times New Roman" w:cs="Times New Roman" w:eastAsia="Times New Roman"/>
          <w:b w:val="0"/>
          <w:i w:val="0"/>
          <w:sz w:val="24"/>
          <w:u w:val="none"/>
        </w:rPr>
        <w:t xml:space="preserve"> Because the Total Project Cost excludes the reserve, fees, and closing costs, the stated 29.6% equity contribution and 70.41% loan-to-cost are each computed on a denominator that omits real costs. On a corrected base the equity contribution is 29.11% and loan-to-cost 69.24% (excluding unquantified items). No one is misled by much, but the unit economics should be restated in the closing statement so that the loan file is internally consistent — particularly since the loan committee is being asked to approve an as-is LTV of 81.04%.</w:t>
      </w:r>
    </w:p>
    <w:p>
      <w:pPr>
        <w:keepNext/>
        <w:spacing w:before="200" w:after="120" w:line="240" w:lineRule="auto"/>
        <w:ind w:left="0"/>
        <w:jc w:val="left"/>
      </w:pPr>
      <w:r>
        <w:rPr>
          <w:rFonts w:ascii="Times New Roman" w:hAnsi="Times New Roman" w:cs="Times New Roman" w:eastAsia="Times New Roman"/>
          <w:b/>
          <w:i w:val="0"/>
          <w:sz w:val="24"/>
          <w:u w:val="none"/>
        </w:rPr>
        <w:t>H. Environmental Matters and the Land Use Restriction</w:t>
      </w:r>
    </w:p>
    <w:p>
      <w:pPr>
        <w:keepNext/>
        <w:spacing w:before="160" w:after="80" w:line="240" w:lineRule="auto"/>
        <w:ind w:left="0"/>
        <w:jc w:val="left"/>
      </w:pPr>
      <w:r>
        <w:rPr>
          <w:rFonts w:ascii="Times New Roman" w:hAnsi="Times New Roman" w:cs="Times New Roman" w:eastAsia="Times New Roman"/>
          <w:b/>
          <w:i/>
          <w:sz w:val="24"/>
          <w:u w:val="none"/>
        </w:rPr>
        <w:t>H1. The LUR requires specific covenants, not "standard provisions"</w:t>
      </w:r>
    </w:p>
    <w:p>
      <w:pPr>
        <w:keepNext w:val="0"/>
        <w:spacing w:before="0" w:after="160" w:line="240" w:lineRule="auto"/>
        <w:ind w:left="0"/>
        <w:jc w:val="both"/>
      </w:pPr>
      <w:r>
        <w:rPr>
          <w:rFonts w:ascii="Times New Roman" w:hAnsi="Times New Roman" w:cs="Times New Roman" w:eastAsia="Times New Roman"/>
          <w:b/>
          <w:i w:val="0"/>
          <w:sz w:val="24"/>
          <w:u w:val="none"/>
        </w:rPr>
        <w:t>Source.</w:t>
      </w:r>
      <w:r>
        <w:rPr>
          <w:rFonts w:ascii="Times New Roman" w:hAnsi="Times New Roman" w:cs="Times New Roman" w:eastAsia="Times New Roman"/>
          <w:b w:val="0"/>
          <w:i w:val="0"/>
          <w:sz w:val="24"/>
          <w:u w:val="none"/>
        </w:rPr>
        <w:t xml:space="preserve"> Phase I ESA §§ 5.2–5.4 and § 6(d) (recommends that the lender “require the borrower to maintain ongoing compliance with the LUR as a specific covenant in the loan documents, including provisions addressing the consequences of non-compliance and the lender’s remedies”); Title Commitment, Schedule B, Part II, Exception 4 and closer’s Note 1 (requires the Mortgage and Environmental Indemnity to “contain specific covenants addressing the SCDHEC land use restriction,” including vapor barrier maintenance and periodic inspection and the prohibition on residential use, and requires that “the Mortgage should contain an event of default triggered by any failure to comply with or any modification, termination, or violation of said land use restriction”); Term Sheet § 5.4; March 18 markup note § 6.</w:t>
      </w:r>
    </w:p>
    <w:p>
      <w:pPr>
        <w:keepNext w:val="0"/>
        <w:spacing w:before="0" w:after="160" w:line="240" w:lineRule="auto"/>
        <w:ind w:left="0"/>
        <w:jc w:val="both"/>
      </w:pPr>
      <w:r>
        <w:rPr>
          <w:rFonts w:ascii="Times New Roman" w:hAnsi="Times New Roman" w:cs="Times New Roman" w:eastAsia="Times New Roman"/>
          <w:b/>
          <w:i w:val="0"/>
          <w:sz w:val="24"/>
          <w:u w:val="none"/>
        </w:rPr>
        <w:t>Issue.</w:t>
      </w:r>
      <w:r>
        <w:rPr>
          <w:rFonts w:ascii="Times New Roman" w:hAnsi="Times New Roman" w:cs="Times New Roman" w:eastAsia="Times New Roman"/>
          <w:b w:val="0"/>
          <w:i w:val="0"/>
          <w:sz w:val="24"/>
          <w:u w:val="none"/>
        </w:rPr>
        <w:t xml:space="preserve"> The March 18 note characterizes the Phase I as having “come back clean except for the controlled recognized environmental condition, which has a no-further-action letter on file,” and concludes that “[s]tandard provisions in the mortgage should suffice.” Respectfully, that conclusion cannot stand. A Controlled Recognized Environmental Condition is, by definition, residual contamination left in place subject to institutional controls whose continued maintenance is the only thing preserving the regulatory closure. The NFA letter is expressly conditional, and the ESA warns that a breach of the institutional controls “could result in SCDHEC reopening the site.” Both the Title Insurer (in a note directed to Lender’s counsel) and the environmental consultant (in a specific recommendation to the lender) require bespoke covenants and a defined remedy. Standard provisions would satisfy neither.</w:t>
      </w:r>
    </w:p>
    <w:p>
      <w:pPr>
        <w:keepNext w:val="0"/>
        <w:spacing w:before="0" w:after="160" w:line="240" w:lineRule="auto"/>
        <w:ind w:left="0"/>
        <w:jc w:val="both"/>
      </w:pPr>
      <w:r>
        <w:rPr>
          <w:rFonts w:ascii="Times New Roman" w:hAnsi="Times New Roman" w:cs="Times New Roman" w:eastAsia="Times New Roman"/>
          <w:b/>
          <w:i w:val="0"/>
          <w:sz w:val="24"/>
          <w:u w:val="none"/>
        </w:rPr>
        <w:t>Analysis.</w:t>
      </w:r>
      <w:r>
        <w:rPr>
          <w:rFonts w:ascii="Times New Roman" w:hAnsi="Times New Roman" w:cs="Times New Roman" w:eastAsia="Times New Roman"/>
          <w:b w:val="0"/>
          <w:i w:val="0"/>
          <w:sz w:val="24"/>
          <w:u w:val="none"/>
        </w:rPr>
        <w:t xml:space="preserve"> The exposure is asymmetric. The recorded LUR prohibits residential use of the ground floor of Lot 7 and requires the vapor barrier beneath the Bay 1 slab to be maintained — and the renovation work includes HVAC replacement and ductwork throughout the building, façade restoration, and tenant build-outs. Any slab penetration in Bay 1 without prior SCDHEC notice or without protecting the barrier risks a regulatory reopening, at which point the property that was underwritten with no environmental deduction becomes a remediation site. The Title Policy will not help: environmental matters are excluded from title insurance, the LUR will not be removed from Schedule B, and the Title Insurer expressly makes no determination as to compliance. Lender’s only protections are the covenants and the full recourse Environmental Indemnity.</w:t>
      </w:r>
    </w:p>
    <w:p>
      <w:pPr>
        <w:keepNext w:val="0"/>
        <w:spacing w:before="0" w:after="160" w:line="240" w:lineRule="auto"/>
        <w:ind w:left="0"/>
        <w:jc w:val="both"/>
      </w:pPr>
      <w:r>
        <w:rPr>
          <w:rFonts w:ascii="Times New Roman" w:hAnsi="Times New Roman" w:cs="Times New Roman" w:eastAsia="Times New Roman"/>
          <w:b/>
          <w:i w:val="0"/>
          <w:sz w:val="24"/>
          <w:u w:val="none"/>
        </w:rPr>
        <w:t>Draft treatment.</w:t>
      </w:r>
      <w:r>
        <w:rPr>
          <w:rFonts w:ascii="Times New Roman" w:hAnsi="Times New Roman" w:cs="Times New Roman" w:eastAsia="Times New Roman"/>
          <w:b w:val="0"/>
          <w:i w:val="0"/>
          <w:sz w:val="24"/>
          <w:u w:val="none"/>
        </w:rPr>
        <w:t xml:space="preserve"> Article 9 contains the specific covenant set: no residential use and no use inconsistent with the LUR (§ 9.3(a)); maintenance of the vapor barrier and no penetration or compromise without SCDHEC approval and Lender consent (§ 9.3(b)); annual inspection plus pre- and post-work inspections by a licensed professional, with reports to Lender (§ 9.3(c)); advance written notice to SCDHEC before any Bay 1 slab work, copied to Lender (§ 9.3(d)); written notice to the General Contractor, the Architect, and each subcontractor before their work begins (§ 9.3(e)); delivery of all SCDHEC correspondence within five business days (§ 9.3(f)); no modification, amendment, termination, or release of the LUR without Lender’s consent (§ 9.3(g)); maintenance and recording of all institutional controls (§ 9.3(h)); performance of any additional investigation or remediation SCDHEC requires, at Borrower’s sole cost (§ 9.3(i)); and preservation of Borrower’s bona fide prospective purchaser and contiguous property owner protections and of Lender’s own secured creditor protections under CERCLA (§ 9.3(j)). Section 9.4 requires every Lease of any part of the Lot 7 ground floor to prohibit residential use, prohibit slab penetration, require LUR compliance, and permit inspection, and requires delivery of the LUR to those tenants. Section 9.7 makes a breach an Event of Default, and any residential use, any unapproved compromise of the vapor barrier, or any action that reopens the SCDHEC file an immediate Event of Default without cure. The Mortgage also treats the LUR as a Permitted Exception only on the basis of the covenants (Exhibit B, Exception 4). Section 6.11 requires the Title Policy; Section 14.3(g) requires annual inspection reports.</w:t>
      </w:r>
    </w:p>
    <w:p>
      <w:pPr>
        <w:keepNext w:val="0"/>
        <w:spacing w:before="0" w:after="160" w:line="240" w:lineRule="auto"/>
        <w:ind w:left="0"/>
        <w:jc w:val="both"/>
      </w:pPr>
      <w:r>
        <w:rPr>
          <w:rFonts w:ascii="Times New Roman" w:hAnsi="Times New Roman" w:cs="Times New Roman" w:eastAsia="Times New Roman"/>
          <w:b/>
          <w:i w:val="0"/>
          <w:sz w:val="24"/>
          <w:u w:val="none"/>
        </w:rPr>
        <w:t>Action.</w:t>
      </w:r>
      <w:r>
        <w:rPr>
          <w:rFonts w:ascii="Times New Roman" w:hAnsi="Times New Roman" w:cs="Times New Roman" w:eastAsia="Times New Roman"/>
          <w:b w:val="0"/>
          <w:i w:val="0"/>
          <w:sz w:val="24"/>
          <w:u w:val="none"/>
        </w:rPr>
        <w:t xml:space="preserve"> (a) Review Article 9 against the closer’s Note 1 and confirm it satisfies the Title Insurer, since the Title Insurer’s note is addressed to us and its requirements should be met on the face of the instrument; (b) make the baseline vapor barrier inspection a pre-closing or 30-day post-closing deliverable (see H2); (c) confirm the Environmental Indemnity contains the corresponding LUR covenant and that its obligations are full recourse and not subject to the exculpation provisions of Article 17.</w:t>
      </w:r>
    </w:p>
    <w:p>
      <w:pPr>
        <w:keepNext/>
        <w:spacing w:before="160" w:after="80" w:line="240" w:lineRule="auto"/>
        <w:ind w:left="0"/>
        <w:jc w:val="left"/>
      </w:pPr>
      <w:r>
        <w:rPr>
          <w:rFonts w:ascii="Times New Roman" w:hAnsi="Times New Roman" w:cs="Times New Roman" w:eastAsia="Times New Roman"/>
          <w:b/>
          <w:i/>
          <w:sz w:val="24"/>
          <w:u w:val="none"/>
        </w:rPr>
        <w:t>H2. The renovation itself is the LUR risk</w:t>
      </w:r>
    </w:p>
    <w:p>
      <w:pPr>
        <w:keepNext w:val="0"/>
        <w:spacing w:before="0" w:after="160" w:line="240" w:lineRule="auto"/>
        <w:ind w:left="0"/>
        <w:jc w:val="both"/>
      </w:pPr>
      <w:r>
        <w:rPr>
          <w:rFonts w:ascii="Times New Roman" w:hAnsi="Times New Roman" w:cs="Times New Roman" w:eastAsia="Times New Roman"/>
          <w:b/>
          <w:i w:val="0"/>
          <w:sz w:val="24"/>
          <w:u w:val="none"/>
        </w:rPr>
        <w:t>Source.</w:t>
      </w:r>
      <w:r>
        <w:rPr>
          <w:rFonts w:ascii="Times New Roman" w:hAnsi="Times New Roman" w:cs="Times New Roman" w:eastAsia="Times New Roman"/>
          <w:b w:val="0"/>
          <w:i w:val="0"/>
          <w:sz w:val="24"/>
          <w:u w:val="none"/>
        </w:rPr>
        <w:t xml:space="preserve"> Phase I ESA § 5.3(b) (any work “affecting the floor slab of Bay 1 must include inspection and, if necessary, repair or replacement of the vapor barrier, with prior written notification to SCDHEC”) and § 5.4 note; Renovation Budget, lines 1.0 (HVAC and ductwork for all retail bays and office suites) and 3.0 (façade restoration).</w:t>
      </w:r>
    </w:p>
    <w:p>
      <w:pPr>
        <w:keepNext w:val="0"/>
        <w:spacing w:before="0" w:after="160" w:line="240" w:lineRule="auto"/>
        <w:ind w:left="0"/>
        <w:jc w:val="both"/>
      </w:pPr>
      <w:r>
        <w:rPr>
          <w:rFonts w:ascii="Times New Roman" w:hAnsi="Times New Roman" w:cs="Times New Roman" w:eastAsia="Times New Roman"/>
          <w:b/>
          <w:i w:val="0"/>
          <w:sz w:val="24"/>
          <w:u w:val="none"/>
        </w:rPr>
        <w:t>Analysis.</w:t>
      </w:r>
      <w:r>
        <w:rPr>
          <w:rFonts w:ascii="Times New Roman" w:hAnsi="Times New Roman" w:cs="Times New Roman" w:eastAsia="Times New Roman"/>
          <w:b w:val="0"/>
          <w:i w:val="0"/>
          <w:sz w:val="24"/>
          <w:u w:val="none"/>
        </w:rPr>
        <w:t xml:space="preserve"> The budget does not disclose any Bay 1 slab work, but ductwork distribution for a roof-mounted system serving the ground-floor bays, and any new floor finishes or penetrations in Bay 1, can affect the slab. Line 3.0 also includes “balcony encroachment area repair,” which is at the front of the building on Lot 7. The risk is therefore live during months 1 through 14, precisely when draws are being made and inspections occur.</w:t>
      </w:r>
    </w:p>
    <w:p>
      <w:pPr>
        <w:keepNext w:val="0"/>
        <w:spacing w:before="0" w:after="160" w:line="240" w:lineRule="auto"/>
        <w:ind w:left="0"/>
        <w:jc w:val="both"/>
      </w:pPr>
      <w:r>
        <w:rPr>
          <w:rFonts w:ascii="Times New Roman" w:hAnsi="Times New Roman" w:cs="Times New Roman" w:eastAsia="Times New Roman"/>
          <w:b/>
          <w:i w:val="0"/>
          <w:sz w:val="24"/>
          <w:u w:val="none"/>
        </w:rPr>
        <w:t>Draft treatment.</w:t>
      </w:r>
      <w:r>
        <w:rPr>
          <w:rFonts w:ascii="Times New Roman" w:hAnsi="Times New Roman" w:cs="Times New Roman" w:eastAsia="Times New Roman"/>
          <w:b w:val="0"/>
          <w:i w:val="0"/>
          <w:sz w:val="24"/>
          <w:u w:val="none"/>
        </w:rPr>
        <w:t xml:space="preserve"> The vapor barrier protection obligations run through Article 9 and are made a condition of any Advance for work affecting Bay 1 (Section 10.5(i)); the Lender may suspend work that would violate the LUR (Section 10.12); and the General Contractor and Architect must be notified in writing before their work begins (Section 9.3(e)). Exhibit E’s draw request requires disclosure of any work affecting the Bay 1 slab.</w:t>
      </w:r>
    </w:p>
    <w:p>
      <w:pPr>
        <w:keepNext w:val="0"/>
        <w:spacing w:before="0" w:after="160" w:line="240" w:lineRule="auto"/>
        <w:ind w:left="0"/>
        <w:jc w:val="both"/>
      </w:pPr>
      <w:r>
        <w:rPr>
          <w:rFonts w:ascii="Times New Roman" w:hAnsi="Times New Roman" w:cs="Times New Roman" w:eastAsia="Times New Roman"/>
          <w:b/>
          <w:i w:val="0"/>
          <w:sz w:val="24"/>
          <w:u w:val="none"/>
        </w:rPr>
        <w:t>Action.</w:t>
      </w:r>
      <w:r>
        <w:rPr>
          <w:rFonts w:ascii="Times New Roman" w:hAnsi="Times New Roman" w:cs="Times New Roman" w:eastAsia="Times New Roman"/>
          <w:b w:val="0"/>
          <w:i w:val="0"/>
          <w:sz w:val="24"/>
          <w:u w:val="none"/>
        </w:rPr>
        <w:t xml:space="preserve"> Add a pre-closing (or 30-day post-closing) baseline vapor barrier inspection to the closing conditions, matching the ESA’s recommendation that integrity be confirmed “prior to or promptly following acquisition”; confirm with Borrower’s construction team that no slab penetration is planned in Bay 1; require the notice to the General Contractor to be delivered before mobilization.</w:t>
      </w:r>
    </w:p>
    <w:p>
      <w:pPr>
        <w:keepNext/>
        <w:spacing w:before="160" w:after="80" w:line="240" w:lineRule="auto"/>
        <w:ind w:left="0"/>
        <w:jc w:val="left"/>
      </w:pPr>
      <w:r>
        <w:rPr>
          <w:rFonts w:ascii="Times New Roman" w:hAnsi="Times New Roman" w:cs="Times New Roman" w:eastAsia="Times New Roman"/>
          <w:b/>
          <w:i/>
          <w:sz w:val="24"/>
          <w:u w:val="none"/>
        </w:rPr>
        <w:t>H3. Preservation of CERCLA defenses; documentation of the Phase II waiver</w:t>
      </w:r>
    </w:p>
    <w:p>
      <w:pPr>
        <w:keepNext w:val="0"/>
        <w:spacing w:before="0" w:after="160" w:line="240" w:lineRule="auto"/>
        <w:ind w:left="0"/>
        <w:jc w:val="both"/>
      </w:pPr>
      <w:r>
        <w:rPr>
          <w:rFonts w:ascii="Times New Roman" w:hAnsi="Times New Roman" w:cs="Times New Roman" w:eastAsia="Times New Roman"/>
          <w:b/>
          <w:i w:val="0"/>
          <w:sz w:val="24"/>
          <w:u w:val="none"/>
        </w:rPr>
        <w:t>Analysis.</w:t>
      </w:r>
      <w:r>
        <w:rPr>
          <w:rFonts w:ascii="Times New Roman" w:hAnsi="Times New Roman" w:cs="Times New Roman" w:eastAsia="Times New Roman"/>
          <w:b w:val="0"/>
          <w:i w:val="0"/>
          <w:sz w:val="24"/>
          <w:u w:val="none"/>
        </w:rPr>
        <w:t xml:space="preserve"> As a secured creditor, Lender has the benefit of the secured creditor exemption and of the definitional protections in 42 U.S.C. § 9601(20)(E); Borrower’s bona fide prospective purchaser and contiguous property owner defenses depend on continuing compliance with all appropriate inquiries, “reasonable steps,” and “appropriate care.” The Phase I ESA is dated January 28, 2025; components older than 180 days generally must be updated for the inquiries to remain valid, which places a practical limit on a closing after July 27, 2025. The record notes that Lender waived a Phase II ESA by correspondence dated January 22, 2025 — that correspondence should be in the loan file, because it evidences a considered decision not to require further investigation and is the kind of document that is requested in a later dispute.</w:t>
      </w:r>
    </w:p>
    <w:p>
      <w:pPr>
        <w:keepNext w:val="0"/>
        <w:spacing w:before="0" w:after="160" w:line="240" w:lineRule="auto"/>
        <w:ind w:left="0"/>
        <w:jc w:val="both"/>
      </w:pPr>
      <w:r>
        <w:rPr>
          <w:rFonts w:ascii="Times New Roman" w:hAnsi="Times New Roman" w:cs="Times New Roman" w:eastAsia="Times New Roman"/>
          <w:b/>
          <w:i w:val="0"/>
          <w:sz w:val="24"/>
          <w:u w:val="none"/>
        </w:rPr>
        <w:t>Draft treatment.</w:t>
      </w:r>
      <w:r>
        <w:rPr>
          <w:rFonts w:ascii="Times New Roman" w:hAnsi="Times New Roman" w:cs="Times New Roman" w:eastAsia="Times New Roman"/>
          <w:b w:val="0"/>
          <w:i w:val="0"/>
          <w:sz w:val="24"/>
          <w:u w:val="none"/>
        </w:rPr>
        <w:t xml:space="preserve"> Section 9.3(j) requires Borrower to take reasonable steps and appropriate care and to cooperate in maintaining Lender’s protections; Section 9.6 preserves the secured creditor exemption and confirms that inspection, cure, foreclosure, and deed in lieu do not constitute participation in management.</w:t>
      </w:r>
    </w:p>
    <w:p>
      <w:pPr>
        <w:keepNext w:val="0"/>
        <w:spacing w:before="0" w:after="160" w:line="240" w:lineRule="auto"/>
        <w:ind w:left="0"/>
        <w:jc w:val="both"/>
      </w:pPr>
      <w:r>
        <w:rPr>
          <w:rFonts w:ascii="Times New Roman" w:hAnsi="Times New Roman" w:cs="Times New Roman" w:eastAsia="Times New Roman"/>
          <w:b/>
          <w:i w:val="0"/>
          <w:sz w:val="24"/>
          <w:u w:val="none"/>
        </w:rPr>
        <w:t>Action.</w:t>
      </w:r>
      <w:r>
        <w:rPr>
          <w:rFonts w:ascii="Times New Roman" w:hAnsi="Times New Roman" w:cs="Times New Roman" w:eastAsia="Times New Roman"/>
          <w:b w:val="0"/>
          <w:i w:val="0"/>
          <w:sz w:val="24"/>
          <w:u w:val="none"/>
        </w:rPr>
        <w:t xml:space="preserve"> Obtain the January 22, 2025 waiver correspondence for the file.</w:t>
      </w:r>
    </w:p>
    <w:p>
      <w:pPr>
        <w:keepNext/>
        <w:spacing w:before="200" w:after="120" w:line="240" w:lineRule="auto"/>
        <w:ind w:left="0"/>
        <w:jc w:val="left"/>
      </w:pPr>
      <w:r>
        <w:rPr>
          <w:rFonts w:ascii="Times New Roman" w:hAnsi="Times New Roman" w:cs="Times New Roman" w:eastAsia="Times New Roman"/>
          <w:b/>
          <w:i w:val="0"/>
          <w:sz w:val="24"/>
          <w:u w:val="none"/>
        </w:rPr>
        <w:t>I. Insurance and Flood</w:t>
      </w:r>
    </w:p>
    <w:p>
      <w:pPr>
        <w:keepNext/>
        <w:spacing w:before="160" w:after="80" w:line="240" w:lineRule="auto"/>
        <w:ind w:left="0"/>
        <w:jc w:val="left"/>
      </w:pPr>
      <w:r>
        <w:rPr>
          <w:rFonts w:ascii="Times New Roman" w:hAnsi="Times New Roman" w:cs="Times New Roman" w:eastAsia="Times New Roman"/>
          <w:b/>
          <w:i/>
          <w:sz w:val="24"/>
          <w:u w:val="none"/>
        </w:rPr>
        <w:t>I1. $5,000,000 of flood insurance on a Zone X property</w:t>
      </w:r>
    </w:p>
    <w:p>
      <w:pPr>
        <w:keepNext w:val="0"/>
        <w:spacing w:before="0" w:after="160" w:line="240" w:lineRule="auto"/>
        <w:ind w:left="0"/>
        <w:jc w:val="both"/>
      </w:pPr>
      <w:r>
        <w:rPr>
          <w:rFonts w:ascii="Times New Roman" w:hAnsi="Times New Roman" w:cs="Times New Roman" w:eastAsia="Times New Roman"/>
          <w:b/>
          <w:i w:val="0"/>
          <w:sz w:val="24"/>
          <w:u w:val="none"/>
        </w:rPr>
        <w:t>Source.</w:t>
      </w:r>
      <w:r>
        <w:rPr>
          <w:rFonts w:ascii="Times New Roman" w:hAnsi="Times New Roman" w:cs="Times New Roman" w:eastAsia="Times New Roman"/>
          <w:b w:val="0"/>
          <w:i w:val="0"/>
          <w:sz w:val="24"/>
          <w:u w:val="none"/>
        </w:rPr>
        <w:t xml:space="preserve"> Term Sheet § 9.3; Phase I ESA § 2 (Zone X, panel 45019C0520J effective December 4, 2020); Appraisal § 2.1 (Zone X, “Community Panel No. 45019C0418J, effective November 4, 2014”).</w:t>
      </w:r>
    </w:p>
    <w:p>
      <w:pPr>
        <w:keepNext w:val="0"/>
        <w:spacing w:before="0" w:after="160" w:line="240" w:lineRule="auto"/>
        <w:ind w:left="0"/>
        <w:jc w:val="both"/>
      </w:pPr>
      <w:r>
        <w:rPr>
          <w:rFonts w:ascii="Times New Roman" w:hAnsi="Times New Roman" w:cs="Times New Roman" w:eastAsia="Times New Roman"/>
          <w:b/>
          <w:i w:val="0"/>
          <w:sz w:val="24"/>
          <w:u w:val="none"/>
        </w:rPr>
        <w:t>Analysis.</w:t>
      </w:r>
      <w:r>
        <w:rPr>
          <w:rFonts w:ascii="Times New Roman" w:hAnsi="Times New Roman" w:cs="Times New Roman" w:eastAsia="Times New Roman"/>
          <w:b w:val="0"/>
          <w:i w:val="0"/>
          <w:sz w:val="24"/>
          <w:u w:val="none"/>
        </w:rPr>
        <w:t xml:space="preserve"> Flood insurance is not federally required in Zone X, but Lender requires $5,000,000 as a condition of the Loan. That is a lender overlay and is drafted accordingly (Section 12.3), with a covenant to deliver an annual flood zone determination. Two points require confirmation: the cost and availability of $5,000,000 of flood coverage on a commercial building in Zone X (the premium is a Borrower expense not carried in any budget in the record, and should be confirmed as available at a commercially reasonable premium), and the conflict in the flood map data — the ESA and the Appraisal cite different panels and different effective dates. The current effective FIRM panel governs both the mandatory purchase determination and Lender’s flood compliance file.</w:t>
      </w:r>
    </w:p>
    <w:p>
      <w:pPr>
        <w:keepNext w:val="0"/>
        <w:spacing w:before="0" w:after="160" w:line="240" w:lineRule="auto"/>
        <w:ind w:left="0"/>
        <w:jc w:val="both"/>
      </w:pPr>
      <w:r>
        <w:rPr>
          <w:rFonts w:ascii="Times New Roman" w:hAnsi="Times New Roman" w:cs="Times New Roman" w:eastAsia="Times New Roman"/>
          <w:b/>
          <w:i w:val="0"/>
          <w:sz w:val="24"/>
          <w:u w:val="none"/>
        </w:rPr>
        <w:t>Action.</w:t>
      </w:r>
      <w:r>
        <w:rPr>
          <w:rFonts w:ascii="Times New Roman" w:hAnsi="Times New Roman" w:cs="Times New Roman" w:eastAsia="Times New Roman"/>
          <w:b w:val="0"/>
          <w:i w:val="0"/>
          <w:sz w:val="24"/>
          <w:u w:val="none"/>
        </w:rPr>
        <w:t xml:space="preserve"> Obtain a current flood zone determination from a vendor acceptable to Lender before closing, and reconcile the panel number; confirm the premium is funded and included in the escrow calculation.</w:t>
      </w:r>
    </w:p>
    <w:p>
      <w:pPr>
        <w:keepNext/>
        <w:spacing w:before="160" w:after="80" w:line="240" w:lineRule="auto"/>
        <w:ind w:left="0"/>
        <w:jc w:val="left"/>
      </w:pPr>
      <w:r>
        <w:rPr>
          <w:rFonts w:ascii="Times New Roman" w:hAnsi="Times New Roman" w:cs="Times New Roman" w:eastAsia="Times New Roman"/>
          <w:b/>
          <w:i/>
          <w:sz w:val="24"/>
          <w:u w:val="none"/>
        </w:rPr>
        <w:t>I2. Property, liability, and builder's risk amounts</w:t>
      </w:r>
    </w:p>
    <w:p>
      <w:pPr>
        <w:keepNext w:val="0"/>
        <w:spacing w:before="0" w:after="160" w:line="240" w:lineRule="auto"/>
        <w:ind w:left="0"/>
        <w:jc w:val="both"/>
      </w:pPr>
      <w:r>
        <w:rPr>
          <w:rFonts w:ascii="Times New Roman" w:hAnsi="Times New Roman" w:cs="Times New Roman" w:eastAsia="Times New Roman"/>
          <w:b/>
          <w:i w:val="0"/>
          <w:sz w:val="24"/>
          <w:u w:val="none"/>
        </w:rPr>
        <w:t>Analysis.</w:t>
      </w:r>
      <w:r>
        <w:rPr>
          <w:rFonts w:ascii="Times New Roman" w:hAnsi="Times New Roman" w:cs="Times New Roman" w:eastAsia="Times New Roman"/>
          <w:b w:val="0"/>
          <w:i w:val="0"/>
          <w:sz w:val="24"/>
          <w:u w:val="none"/>
        </w:rPr>
        <w:t xml:space="preserve"> Term Sheet § 9.1 requires replacement cost coverage with an agreed amount endorsement but states no dollar amount. The draft (Section 12.1) requires the greater of the outstanding principal balance or full replacement cost. Builder’s risk is required at the full renovation budget of $3,150,000 (§ 12.4) and should include soft costs and expediting expense, since a construction-period loss that is limited to hard costs would leave the interest and professional costs unfunded. The CGL limits ($2,000,000/$5,000,000) and the $5,000,000 umbrella are drafted as specified. The thirty-day cancellation notice required by Term Sheet § 9.5 is drafted with the customary ten-day carve-out for non-payment of premium, which is what carriers will actually issue (§ 12.6).</w:t>
      </w:r>
    </w:p>
    <w:p>
      <w:pPr>
        <w:keepNext/>
        <w:spacing w:before="160" w:after="80" w:line="240" w:lineRule="auto"/>
        <w:ind w:left="0"/>
        <w:jc w:val="left"/>
      </w:pPr>
      <w:r>
        <w:rPr>
          <w:rFonts w:ascii="Times New Roman" w:hAnsi="Times New Roman" w:cs="Times New Roman" w:eastAsia="Times New Roman"/>
          <w:b/>
          <w:i/>
          <w:sz w:val="24"/>
          <w:u w:val="none"/>
        </w:rPr>
        <w:t>I3. Failure to insure as an immediate default</w:t>
      </w:r>
    </w:p>
    <w:p>
      <w:pPr>
        <w:keepNext w:val="0"/>
        <w:spacing w:before="0" w:after="160" w:line="240" w:lineRule="auto"/>
        <w:ind w:left="0"/>
        <w:jc w:val="both"/>
      </w:pPr>
      <w:r>
        <w:rPr>
          <w:rFonts w:ascii="Times New Roman" w:hAnsi="Times New Roman" w:cs="Times New Roman" w:eastAsia="Times New Roman"/>
          <w:b w:val="0"/>
          <w:i w:val="0"/>
          <w:sz w:val="24"/>
          <w:u w:val="none"/>
        </w:rPr>
        <w:t>Section 12.9 provides that a failure to maintain required insurance is an Event of Default without a cure period (Section 15.3(c)(iv)), consistent with Term Sheet § 11.2(b), which excludes insurance defaults from the non-monetary cure period. That is severe for an inadvertent lapse; consider allowing a five-business-day cure upon proof of reinstatement. Instruction requested (Section 8, item 7).</w:t>
      </w:r>
    </w:p>
    <w:p>
      <w:pPr>
        <w:keepNext/>
        <w:spacing w:before="200" w:after="120" w:line="240" w:lineRule="auto"/>
        <w:ind w:left="0"/>
        <w:jc w:val="left"/>
      </w:pPr>
      <w:r>
        <w:rPr>
          <w:rFonts w:ascii="Times New Roman" w:hAnsi="Times New Roman" w:cs="Times New Roman" w:eastAsia="Times New Roman"/>
          <w:b/>
          <w:i w:val="0"/>
          <w:sz w:val="24"/>
          <w:u w:val="none"/>
        </w:rPr>
        <w:t>J. South Carolina Enforcement and Recording</w:t>
      </w:r>
    </w:p>
    <w:p>
      <w:pPr>
        <w:keepNext/>
        <w:spacing w:before="160" w:after="80" w:line="240" w:lineRule="auto"/>
        <w:ind w:left="0"/>
        <w:jc w:val="left"/>
      </w:pPr>
      <w:r>
        <w:rPr>
          <w:rFonts w:ascii="Times New Roman" w:hAnsi="Times New Roman" w:cs="Times New Roman" w:eastAsia="Times New Roman"/>
          <w:b/>
          <w:i/>
          <w:sz w:val="24"/>
          <w:u w:val="none"/>
        </w:rPr>
        <w:t>J1. Judicial foreclosure; no power of sale</w:t>
      </w:r>
    </w:p>
    <w:p>
      <w:pPr>
        <w:keepNext w:val="0"/>
        <w:spacing w:before="0" w:after="160" w:line="240" w:lineRule="auto"/>
        <w:ind w:left="0"/>
        <w:jc w:val="both"/>
      </w:pPr>
      <w:r>
        <w:rPr>
          <w:rFonts w:ascii="Times New Roman" w:hAnsi="Times New Roman" w:cs="Times New Roman" w:eastAsia="Times New Roman"/>
          <w:b/>
          <w:i w:val="0"/>
          <w:sz w:val="24"/>
          <w:u w:val="none"/>
        </w:rPr>
        <w:t>Analysis.</w:t>
      </w:r>
      <w:r>
        <w:rPr>
          <w:rFonts w:ascii="Times New Roman" w:hAnsi="Times New Roman" w:cs="Times New Roman" w:eastAsia="Times New Roman"/>
          <w:b w:val="0"/>
          <w:i w:val="0"/>
          <w:sz w:val="24"/>
          <w:u w:val="none"/>
        </w:rPr>
        <w:t xml:space="preserve"> South Carolina is a judicial foreclosure jurisdiction. The draft disclaims any power of sale in terms (Sections 2.9 and 16.2), provides for a foreclosure action in the Charleston County Court of Common Pleas, preserves suit on the Note, and precludes any provision being construed to confer a non-judicial power. The granting clause uses both title-theory and lien-theory language (“mortgage, grant, bargain, sell, convey, assign”) together with a defeasance clause (Section 2.7), so that the instrument is effective regardless of how South Carolina characterizes the mortgage estate. The Term Sheet specifies a mortgage rather than a deed of trust; confirm that Lender does not prefer a deed of trust, since South Carolina permits both and the remedies are the same.</w:t>
      </w:r>
    </w:p>
    <w:p>
      <w:pPr>
        <w:keepNext/>
        <w:spacing w:before="160" w:after="80" w:line="240" w:lineRule="auto"/>
        <w:ind w:left="0"/>
        <w:jc w:val="left"/>
      </w:pPr>
      <w:r>
        <w:rPr>
          <w:rFonts w:ascii="Times New Roman" w:hAnsi="Times New Roman" w:cs="Times New Roman" w:eastAsia="Times New Roman"/>
          <w:b/>
          <w:i/>
          <w:sz w:val="24"/>
          <w:u w:val="none"/>
        </w:rPr>
        <w:t>J2. Redemption and upset bids cannot be waived</w:t>
      </w:r>
    </w:p>
    <w:p>
      <w:pPr>
        <w:keepNext w:val="0"/>
        <w:spacing w:before="0" w:after="160" w:line="240" w:lineRule="auto"/>
        <w:ind w:left="0"/>
        <w:jc w:val="both"/>
      </w:pPr>
      <w:r>
        <w:rPr>
          <w:rFonts w:ascii="Times New Roman" w:hAnsi="Times New Roman" w:cs="Times New Roman" w:eastAsia="Times New Roman"/>
          <w:b/>
          <w:i w:val="0"/>
          <w:sz w:val="24"/>
          <w:u w:val="none"/>
        </w:rPr>
        <w:t>Analysis.</w:t>
      </w:r>
      <w:r>
        <w:rPr>
          <w:rFonts w:ascii="Times New Roman" w:hAnsi="Times New Roman" w:cs="Times New Roman" w:eastAsia="Times New Roman"/>
          <w:b w:val="0"/>
          <w:i w:val="0"/>
          <w:sz w:val="24"/>
          <w:u w:val="none"/>
        </w:rPr>
        <w:t xml:space="preserve"> Your note directs that the Mortgage waive all rights of redemption. South Carolina’s statutory redemption and upset-bid procedures in a judicial foreclosure cannot be waived by contract, and an unqualified waiver in a recorded instrument invites an argument that the lender is overreaching. The draft includes a waiver “to the fullest extent permitted by Applicable Law,” with an express acknowledgment that statutory redemption and upset-bid rights are not waivable and that nothing in the Section is an attempt to waive a non-waivable right (Section 16.13). That preserves the persuasive value of the waiver where it does operate while avoiding an unenforceable overreach.</w:t>
      </w:r>
    </w:p>
    <w:p>
      <w:pPr>
        <w:keepNext/>
        <w:spacing w:before="160" w:after="80" w:line="240" w:lineRule="auto"/>
        <w:ind w:left="0"/>
        <w:jc w:val="left"/>
      </w:pPr>
      <w:r>
        <w:rPr>
          <w:rFonts w:ascii="Times New Roman" w:hAnsi="Times New Roman" w:cs="Times New Roman" w:eastAsia="Times New Roman"/>
          <w:b/>
          <w:i/>
          <w:sz w:val="24"/>
          <w:u w:val="none"/>
        </w:rPr>
        <w:t>J3. Deficiency judgments</w:t>
      </w:r>
    </w:p>
    <w:p>
      <w:pPr>
        <w:keepNext w:val="0"/>
        <w:spacing w:before="0" w:after="160" w:line="240" w:lineRule="auto"/>
        <w:ind w:left="0"/>
        <w:jc w:val="both"/>
      </w:pPr>
      <w:r>
        <w:rPr>
          <w:rFonts w:ascii="Times New Roman" w:hAnsi="Times New Roman" w:cs="Times New Roman" w:eastAsia="Times New Roman"/>
          <w:b w:val="0"/>
          <w:i w:val="0"/>
          <w:sz w:val="24"/>
          <w:u w:val="none"/>
        </w:rPr>
        <w:t>Section 16.8 preserves Lender’s right to a deficiency judgment “to the extent permitted by Applicable Law” and acknowledges that South Carolina law may limit or condition its availability. The Article 17 non-recourse structure limits Borrower’s personal liability in any event, so the deficiency right will ordinarily be exercised against Guarantor under the Guaranty or for carve-out liability. Confirm the point with our litigation group if Lender intends to seek deficiencies.</w:t>
      </w:r>
    </w:p>
    <w:p>
      <w:pPr>
        <w:keepNext/>
        <w:spacing w:before="160" w:after="80" w:line="240" w:lineRule="auto"/>
        <w:ind w:left="0"/>
        <w:jc w:val="left"/>
      </w:pPr>
      <w:r>
        <w:rPr>
          <w:rFonts w:ascii="Times New Roman" w:hAnsi="Times New Roman" w:cs="Times New Roman" w:eastAsia="Times New Roman"/>
          <w:b/>
          <w:i/>
          <w:sz w:val="24"/>
          <w:u w:val="none"/>
        </w:rPr>
        <w:t>J4. Execution formalities</w:t>
      </w:r>
    </w:p>
    <w:p>
      <w:pPr>
        <w:keepNext w:val="0"/>
        <w:spacing w:before="0" w:after="160" w:line="240" w:lineRule="auto"/>
        <w:ind w:left="0"/>
        <w:jc w:val="both"/>
      </w:pPr>
      <w:r>
        <w:rPr>
          <w:rFonts w:ascii="Times New Roman" w:hAnsi="Times New Roman" w:cs="Times New Roman" w:eastAsia="Times New Roman"/>
          <w:b/>
          <w:i w:val="0"/>
          <w:sz w:val="24"/>
          <w:u w:val="none"/>
        </w:rPr>
        <w:t>Analysis.</w:t>
      </w:r>
      <w:r>
        <w:rPr>
          <w:rFonts w:ascii="Times New Roman" w:hAnsi="Times New Roman" w:cs="Times New Roman" w:eastAsia="Times New Roman"/>
          <w:b w:val="0"/>
          <w:i w:val="0"/>
          <w:sz w:val="24"/>
          <w:u w:val="none"/>
        </w:rPr>
        <w:t xml:space="preserve"> The signature page includes two subscribing witnesses and a South Carolina notarial acknowledgment in the standard form, and a note that the acknowledgment is to be completed at closing. South Carolina conveyancing practice requires witnesses in addition to acknowledgment for instruments recorded in the RMC Office; the Title Insurer should confirm its own execution requirements before the instrument is sent out for signature. Lender’s signature does not require acknowledgment, and the draft leaves the Lender block unacknowledged.</w:t>
      </w:r>
    </w:p>
    <w:p>
      <w:pPr>
        <w:keepNext w:val="0"/>
        <w:spacing w:before="0" w:after="160" w:line="240" w:lineRule="auto"/>
        <w:ind w:left="0"/>
        <w:jc w:val="both"/>
      </w:pPr>
      <w:r>
        <w:rPr>
          <w:rFonts w:ascii="Times New Roman" w:hAnsi="Times New Roman" w:cs="Times New Roman" w:eastAsia="Times New Roman"/>
          <w:b/>
          <w:i w:val="0"/>
          <w:sz w:val="24"/>
          <w:u w:val="none"/>
        </w:rPr>
        <w:t>Action.</w:t>
      </w:r>
      <w:r>
        <w:rPr>
          <w:rFonts w:ascii="Times New Roman" w:hAnsi="Times New Roman" w:cs="Times New Roman" w:eastAsia="Times New Roman"/>
          <w:b w:val="0"/>
          <w:i w:val="0"/>
          <w:sz w:val="24"/>
          <w:u w:val="none"/>
        </w:rPr>
        <w:t xml:space="preserve"> Confirm execution and acknowledgment requirements with Prestige Title before circulating; verify the current statutory citation for the witness requirement.</w:t>
      </w:r>
    </w:p>
    <w:p>
      <w:pPr>
        <w:keepNext/>
        <w:spacing w:before="160" w:after="80" w:line="240" w:lineRule="auto"/>
        <w:ind w:left="0"/>
        <w:jc w:val="left"/>
      </w:pPr>
      <w:r>
        <w:rPr>
          <w:rFonts w:ascii="Times New Roman" w:hAnsi="Times New Roman" w:cs="Times New Roman" w:eastAsia="Times New Roman"/>
          <w:b/>
          <w:i/>
          <w:sz w:val="24"/>
          <w:u w:val="none"/>
        </w:rPr>
        <w:t>J5. Recording tax fixed by the instrument</w:t>
      </w:r>
    </w:p>
    <w:p>
      <w:pPr>
        <w:keepNext w:val="0"/>
        <w:spacing w:before="0" w:after="160" w:line="240" w:lineRule="auto"/>
        <w:ind w:left="0"/>
        <w:jc w:val="both"/>
      </w:pPr>
      <w:r>
        <w:rPr>
          <w:rFonts w:ascii="Times New Roman" w:hAnsi="Times New Roman" w:cs="Times New Roman" w:eastAsia="Times New Roman"/>
          <w:b/>
          <w:i w:val="0"/>
          <w:sz w:val="24"/>
          <w:u w:val="none"/>
        </w:rPr>
        <w:t>Analysis.</w:t>
      </w:r>
      <w:r>
        <w:rPr>
          <w:rFonts w:ascii="Times New Roman" w:hAnsi="Times New Roman" w:cs="Times New Roman" w:eastAsia="Times New Roman"/>
          <w:b w:val="0"/>
          <w:i w:val="0"/>
          <w:sz w:val="24"/>
          <w:u w:val="none"/>
        </w:rPr>
        <w:t xml:space="preserve"> The documentary stamp tax is $54,575 (0.37% of $14,750,000), verified at 4.6. Because the Mortgage recites the maximum principal amount secured and states that Holdback disbursements are obligatory advances, the tax is fixed at recording and no supplemental tax should arise on each draw. Confirm with the closing agent and with the Charleston County RMC Office; if the RMC Office takes the position that the tax must be paid on the obligated amount only, the recital supports the calculation.</w:t>
      </w:r>
    </w:p>
    <w:p>
      <w:pPr>
        <w:keepNext/>
        <w:spacing w:before="160" w:after="80" w:line="240" w:lineRule="auto"/>
        <w:ind w:left="0"/>
        <w:jc w:val="left"/>
      </w:pPr>
      <w:r>
        <w:rPr>
          <w:rFonts w:ascii="Times New Roman" w:hAnsi="Times New Roman" w:cs="Times New Roman" w:eastAsia="Times New Roman"/>
          <w:b/>
          <w:i/>
          <w:sz w:val="24"/>
          <w:u w:val="none"/>
        </w:rPr>
        <w:t>J6. Receivership and mortgagee-in-possession provisions</w:t>
      </w:r>
    </w:p>
    <w:p>
      <w:pPr>
        <w:keepNext w:val="0"/>
        <w:spacing w:before="0" w:after="160" w:line="240" w:lineRule="auto"/>
        <w:ind w:left="0"/>
        <w:jc w:val="both"/>
      </w:pPr>
      <w:r>
        <w:rPr>
          <w:rFonts w:ascii="Times New Roman" w:hAnsi="Times New Roman" w:cs="Times New Roman" w:eastAsia="Times New Roman"/>
          <w:b w:val="0"/>
          <w:i w:val="0"/>
          <w:sz w:val="24"/>
          <w:u w:val="none"/>
        </w:rPr>
        <w:t>Section 16.3 provides for a receiver as a matter of right upon default without regard to the adequacy of the security, and Section 16.4 provides for entry and possession. These are standard and enforceable in South Carolina equity practice, but a consent to receivership that is expressed as an absolute right should be reviewed by litigation counsel for consistency with current practice in the Charleston County Court of Common Pleas.</w:t>
      </w:r>
    </w:p>
    <w:p>
      <w:pPr>
        <w:keepNext/>
        <w:spacing w:before="200" w:after="120" w:line="240" w:lineRule="auto"/>
        <w:ind w:left="0"/>
        <w:jc w:val="left"/>
      </w:pPr>
      <w:r>
        <w:rPr>
          <w:rFonts w:ascii="Times New Roman" w:hAnsi="Times New Roman" w:cs="Times New Roman" w:eastAsia="Times New Roman"/>
          <w:b/>
          <w:i w:val="0"/>
          <w:sz w:val="24"/>
          <w:u w:val="none"/>
        </w:rPr>
        <w:t>K. Documentation Set and Consistency</w:t>
      </w:r>
    </w:p>
    <w:p>
      <w:pPr>
        <w:keepNext/>
        <w:spacing w:before="160" w:after="80" w:line="240" w:lineRule="auto"/>
        <w:ind w:left="0"/>
        <w:jc w:val="left"/>
      </w:pPr>
      <w:r>
        <w:rPr>
          <w:rFonts w:ascii="Times New Roman" w:hAnsi="Times New Roman" w:cs="Times New Roman" w:eastAsia="Times New Roman"/>
          <w:b/>
          <w:i/>
          <w:sz w:val="24"/>
          <w:u w:val="none"/>
        </w:rPr>
        <w:t>K1. "Loan Documents" should not include the Construction Contract</w:t>
      </w:r>
    </w:p>
    <w:p>
      <w:pPr>
        <w:keepNext w:val="0"/>
        <w:spacing w:before="0" w:after="160" w:line="240" w:lineRule="auto"/>
        <w:ind w:left="0"/>
        <w:jc w:val="both"/>
      </w:pPr>
      <w:r>
        <w:rPr>
          <w:rFonts w:ascii="Times New Roman" w:hAnsi="Times New Roman" w:cs="Times New Roman" w:eastAsia="Times New Roman"/>
          <w:b/>
          <w:i w:val="0"/>
          <w:sz w:val="24"/>
          <w:u w:val="none"/>
        </w:rPr>
        <w:t>Source.</w:t>
      </w:r>
      <w:r>
        <w:rPr>
          <w:rFonts w:ascii="Times New Roman" w:hAnsi="Times New Roman" w:cs="Times New Roman" w:eastAsia="Times New Roman"/>
          <w:b w:val="0"/>
          <w:i w:val="0"/>
          <w:sz w:val="24"/>
          <w:u w:val="none"/>
        </w:rPr>
        <w:t xml:space="preserve"> March 18 markup note § 1 (“Define ’Loan Documents’ to cross-reference the GC contract with Beaufort Builders Group LLC ..., the renovation budget, and all reserve agreements”).</w:t>
      </w:r>
    </w:p>
    <w:p>
      <w:pPr>
        <w:keepNext w:val="0"/>
        <w:spacing w:before="0" w:after="160" w:line="240" w:lineRule="auto"/>
        <w:ind w:left="0"/>
        <w:jc w:val="both"/>
      </w:pPr>
      <w:r>
        <w:rPr>
          <w:rFonts w:ascii="Times New Roman" w:hAnsi="Times New Roman" w:cs="Times New Roman" w:eastAsia="Times New Roman"/>
          <w:b/>
          <w:i w:val="0"/>
          <w:sz w:val="24"/>
          <w:u w:val="none"/>
        </w:rPr>
        <w:t>Analysis.</w:t>
      </w:r>
      <w:r>
        <w:rPr>
          <w:rFonts w:ascii="Times New Roman" w:hAnsi="Times New Roman" w:cs="Times New Roman" w:eastAsia="Times New Roman"/>
          <w:b w:val="0"/>
          <w:i w:val="0"/>
          <w:sz w:val="24"/>
          <w:u w:val="none"/>
        </w:rPr>
        <w:t xml:space="preserve"> That instruction should not be followed literally. If the Construction Contract were a Loan Document, (a) every construction default, however technical and however capable of cure by the general contractor, would become an Event of Default under the Mortgage, because the Mortgage’s default provision captures breaches of “any other Loan Document” (Section 15.1(f)); and (b) the distinction between documents that evidence the debt and property that secures it would be lost, which complicates assignment on enforcement. The draft instead defines “Project Documents” and assigns Borrower’s interest in them as collateral (Section 2.2), and defines “Loan Documents” consistently with Term Sheet § 14.3. The Renovation Budget is defined separately and incorporated as Exhibit C.</w:t>
      </w:r>
    </w:p>
    <w:p>
      <w:pPr>
        <w:keepNext w:val="0"/>
        <w:spacing w:before="0" w:after="160" w:line="240" w:lineRule="auto"/>
        <w:ind w:left="0"/>
        <w:jc w:val="both"/>
      </w:pPr>
      <w:r>
        <w:rPr>
          <w:rFonts w:ascii="Times New Roman" w:hAnsi="Times New Roman" w:cs="Times New Roman" w:eastAsia="Times New Roman"/>
          <w:b/>
          <w:i w:val="0"/>
          <w:sz w:val="24"/>
          <w:u w:val="none"/>
        </w:rPr>
        <w:t>Action.</w:t>
      </w:r>
      <w:r>
        <w:rPr>
          <w:rFonts w:ascii="Times New Roman" w:hAnsi="Times New Roman" w:cs="Times New Roman" w:eastAsia="Times New Roman"/>
          <w:b w:val="0"/>
          <w:i w:val="0"/>
          <w:sz w:val="24"/>
          <w:u w:val="none"/>
        </w:rPr>
        <w:t xml:space="preserve"> Confirm the approach; it is one of the few places where I did not follow a drafting instruction, and the reason is that the instruction appears to have been shorthand for “make sure the construction documents are in the collateral package.”</w:t>
      </w:r>
    </w:p>
    <w:p>
      <w:pPr>
        <w:keepNext/>
        <w:spacing w:before="160" w:after="80" w:line="240" w:lineRule="auto"/>
        <w:ind w:left="0"/>
        <w:jc w:val="left"/>
      </w:pPr>
      <w:r>
        <w:rPr>
          <w:rFonts w:ascii="Times New Roman" w:hAnsi="Times New Roman" w:cs="Times New Roman" w:eastAsia="Times New Roman"/>
          <w:b/>
          <w:i/>
          <w:sz w:val="24"/>
          <w:u w:val="none"/>
        </w:rPr>
        <w:t>K2. The assignment of leases and rents is incorporated, not separate</w:t>
      </w:r>
    </w:p>
    <w:p>
      <w:pPr>
        <w:keepNext w:val="0"/>
        <w:spacing w:before="0" w:after="160" w:line="240" w:lineRule="auto"/>
        <w:ind w:left="0"/>
        <w:jc w:val="both"/>
      </w:pPr>
      <w:r>
        <w:rPr>
          <w:rFonts w:ascii="Times New Roman" w:hAnsi="Times New Roman" w:cs="Times New Roman" w:eastAsia="Times New Roman"/>
          <w:b/>
          <w:i w:val="0"/>
          <w:sz w:val="24"/>
          <w:u w:val="none"/>
        </w:rPr>
        <w:t>Analysis.</w:t>
      </w:r>
      <w:r>
        <w:rPr>
          <w:rFonts w:ascii="Times New Roman" w:hAnsi="Times New Roman" w:cs="Times New Roman" w:eastAsia="Times New Roman"/>
          <w:b w:val="0"/>
          <w:i w:val="0"/>
          <w:sz w:val="24"/>
          <w:u w:val="none"/>
        </w:rPr>
        <w:t xml:space="preserve"> You elected to incorporate the assignment into the Mortgage to save recording cost and to streamline enforcement (note § 1 and § 3). The Term Sheet permits either approach (§ 5.2) and the Title Commitment expressly contemplates inclusion within the Mortgage (Requirement 5). Consequences to manage: (a) the instrument’s title and the granting clause must be broad enough to effect the assignment, which they are; (b) the “Loan Documents” definition must not refer to a separate assignment that does not exist — the draft refers to the assignment as incorporated in the Mortgage (Section 2.4 and Article 4); (c) the UCC-1 should describe accounts and rents; and (d) the closing checklist and the Term Sheet’s § 14.3(c) should be annotated to record the election, so that the closing binder is not missing a document the closing checklist calls for.</w:t>
      </w:r>
    </w:p>
    <w:p>
      <w:pPr>
        <w:keepNext/>
        <w:spacing w:before="160" w:after="80" w:line="240" w:lineRule="auto"/>
        <w:ind w:left="0"/>
        <w:jc w:val="left"/>
      </w:pPr>
      <w:r>
        <w:rPr>
          <w:rFonts w:ascii="Times New Roman" w:hAnsi="Times New Roman" w:cs="Times New Roman" w:eastAsia="Times New Roman"/>
          <w:b/>
          <w:i/>
          <w:sz w:val="24"/>
          <w:u w:val="none"/>
        </w:rPr>
        <w:t>K3. Term Sheet internal conflicts</w:t>
      </w:r>
    </w:p>
    <w:p>
      <w:pPr>
        <w:keepNext w:val="0"/>
        <w:spacing w:before="0" w:after="160" w:line="240" w:lineRule="auto"/>
        <w:ind w:left="0"/>
        <w:jc w:val="both"/>
      </w:pPr>
      <w:r>
        <w:rPr>
          <w:rFonts w:ascii="Times New Roman" w:hAnsi="Times New Roman" w:cs="Times New Roman" w:eastAsia="Times New Roman"/>
          <w:b w:val="0"/>
          <w:i w:val="0"/>
          <w:sz w:val="24"/>
          <w:u w:val="none"/>
        </w:rPr>
        <w:t>The conflicts identified in 4.9 (guaranty structure, occupancy, DSCR test date, DSCR cure, net worth obligor) should be resolved by Lender in writing before the Loan Documents are finalized, so that the closing file contains a single authoritative statement of each term. We should not resolve them ourselves by drafting, because each is a commercial term.</w:t>
      </w:r>
    </w:p>
    <w:p>
      <w:pPr>
        <w:keepNext/>
        <w:spacing w:before="160" w:after="80" w:line="240" w:lineRule="auto"/>
        <w:ind w:left="0"/>
        <w:jc w:val="left"/>
      </w:pPr>
      <w:r>
        <w:rPr>
          <w:rFonts w:ascii="Times New Roman" w:hAnsi="Times New Roman" w:cs="Times New Roman" w:eastAsia="Times New Roman"/>
          <w:b/>
          <w:i/>
          <w:sz w:val="24"/>
          <w:u w:val="none"/>
        </w:rPr>
        <w:t>K4. Party identification</w:t>
      </w:r>
    </w:p>
    <w:p>
      <w:pPr>
        <w:keepNext w:val="0"/>
        <w:spacing w:before="0" w:after="160" w:line="240" w:lineRule="auto"/>
        <w:ind w:left="0"/>
        <w:jc w:val="both"/>
      </w:pPr>
      <w:r>
        <w:rPr>
          <w:rFonts w:ascii="Times New Roman" w:hAnsi="Times New Roman" w:cs="Times New Roman" w:eastAsia="Times New Roman"/>
          <w:b/>
          <w:i w:val="0"/>
          <w:sz w:val="24"/>
          <w:u w:val="none"/>
        </w:rPr>
        <w:t>Analysis.</w:t>
      </w:r>
      <w:r>
        <w:rPr>
          <w:rFonts w:ascii="Times New Roman" w:hAnsi="Times New Roman" w:cs="Times New Roman" w:eastAsia="Times New Roman"/>
          <w:b w:val="0"/>
          <w:i w:val="0"/>
          <w:sz w:val="24"/>
          <w:u w:val="none"/>
        </w:rPr>
        <w:t xml:space="preserve"> Three identification points require confirmation: (a) the registered agent is stated as “Capitol Registered Agents Inc.” in the Term Sheet and “Statehouse Registered Agents, Inc.” in the Operating Agreement summary, at the same address — one is wrong and the South Carolina Secretary of State record is the source of truth; (b) the Term Sheet’s email domain for Mr. Prideaux is “coastalheritagebank.com” while the bank is named “Calverley Heritage Bank” throughout, which should be checked against the bank’s charter documents before the Note and Mortgage name the Lender; and (c) the Borrower’s identification numbers (SC SOS Filing No. 2024-0011287; EIN 84-6213750) appear consistently and match the Operating Agreement summary, and are recited in the Mortgage’s preamble and fixture filing (Section 2.3) so that UCC searches will find the correct debtor.</w:t>
      </w:r>
    </w:p>
    <w:p>
      <w:pPr>
        <w:keepNext/>
        <w:spacing w:before="160" w:after="80" w:line="240" w:lineRule="auto"/>
        <w:ind w:left="0"/>
        <w:jc w:val="left"/>
      </w:pPr>
      <w:r>
        <w:rPr>
          <w:rFonts w:ascii="Times New Roman" w:hAnsi="Times New Roman" w:cs="Times New Roman" w:eastAsia="Times New Roman"/>
          <w:b/>
          <w:i/>
          <w:sz w:val="24"/>
          <w:u w:val="none"/>
        </w:rPr>
        <w:t>K5. Documents to be in the closing binder</w:t>
      </w:r>
    </w:p>
    <w:p>
      <w:pPr>
        <w:keepNext w:val="0"/>
        <w:spacing w:before="0" w:after="160" w:line="240" w:lineRule="auto"/>
        <w:ind w:left="0"/>
        <w:jc w:val="both"/>
      </w:pPr>
      <w:r>
        <w:rPr>
          <w:rFonts w:ascii="Times New Roman" w:hAnsi="Times New Roman" w:cs="Times New Roman" w:eastAsia="Times New Roman"/>
          <w:b w:val="0"/>
          <w:i w:val="0"/>
          <w:sz w:val="24"/>
          <w:u w:val="none"/>
        </w:rPr>
        <w:t>In addition to the Loan Documents, the closing file should contain: the Term Sheet; the written Permitted Exceptions approval; the executed Operating Agreement Amendment with all three member signatures, the Tidewater GP authorization, the Harborline authority evidence, and the 75% member consent to the financing; the estoppels and SNDAs; the corrected draw schedule; the re-certified Survey; the final Title Policy or a marked-up commitment with the issuer’s unconditional commitment to issue all endorsements; the flood zone determination; the construction contract with all exhibits; the SCDHEC file and NFA letter; the baseline vapor barrier inspection; the insurance certificates naming Lender in each required capacity; the beneficial ownership certifications; and the closing statement demonstrating the sources and uses.</w:t>
      </w:r>
    </w:p>
    <w:p>
      <w:pPr>
        <w:keepNext/>
        <w:spacing w:before="200" w:after="120" w:line="240" w:lineRule="auto"/>
        <w:ind w:left="0"/>
        <w:jc w:val="left"/>
      </w:pPr>
      <w:r>
        <w:rPr>
          <w:rFonts w:ascii="Times New Roman" w:hAnsi="Times New Roman" w:cs="Times New Roman" w:eastAsia="Times New Roman"/>
          <w:b/>
          <w:i w:val="0"/>
          <w:sz w:val="24"/>
          <w:u w:val="none"/>
        </w:rPr>
        <w:t>L. Regulatory and Compliance Items</w:t>
      </w:r>
    </w:p>
    <w:p>
      <w:pPr>
        <w:keepNext/>
        <w:spacing w:before="160" w:after="80" w:line="240" w:lineRule="auto"/>
        <w:ind w:left="0"/>
        <w:jc w:val="left"/>
      </w:pPr>
      <w:r>
        <w:rPr>
          <w:rFonts w:ascii="Times New Roman" w:hAnsi="Times New Roman" w:cs="Times New Roman" w:eastAsia="Times New Roman"/>
          <w:b/>
          <w:i/>
          <w:sz w:val="24"/>
          <w:u w:val="none"/>
        </w:rPr>
        <w:t>L1. Appraisal independence and review</w:t>
      </w:r>
    </w:p>
    <w:p>
      <w:pPr>
        <w:keepNext w:val="0"/>
        <w:spacing w:before="0" w:after="160" w:line="240" w:lineRule="auto"/>
        <w:ind w:left="0"/>
        <w:jc w:val="both"/>
      </w:pPr>
      <w:r>
        <w:rPr>
          <w:rFonts w:ascii="Times New Roman" w:hAnsi="Times New Roman" w:cs="Times New Roman" w:eastAsia="Times New Roman"/>
          <w:b/>
          <w:i w:val="0"/>
          <w:sz w:val="24"/>
          <w:u w:val="none"/>
        </w:rPr>
        <w:t>Analysis.</w:t>
      </w:r>
      <w:r>
        <w:rPr>
          <w:rFonts w:ascii="Times New Roman" w:hAnsi="Times New Roman" w:cs="Times New Roman" w:eastAsia="Times New Roman"/>
          <w:b w:val="0"/>
          <w:i w:val="0"/>
          <w:sz w:val="24"/>
          <w:u w:val="none"/>
        </w:rPr>
        <w:t xml:space="preserve"> Lender is a state-chartered bank insured by the FDIC and is subject to the appraisal regulation applicable to its federal supervisor, including the requirement that appraisals for loans at or above the threshold be prepared by a state-certified appraiser and that an independent appraisal review be performed for loans presenting heightened risk. The Appraisal is addressed to Lender and states conformity with USPAP and FIRREA, but the reconciliation defect identified in 4.4 is exactly the kind of issue that an independent review should catch. The Mortgage requires Borrower to cooperate with and pay for appraisal updates (Section 14.5) but cannot cure a defective report.</w:t>
      </w:r>
    </w:p>
    <w:p>
      <w:pPr>
        <w:keepNext w:val="0"/>
        <w:spacing w:before="0" w:after="160" w:line="240" w:lineRule="auto"/>
        <w:ind w:left="0"/>
        <w:jc w:val="both"/>
      </w:pPr>
      <w:r>
        <w:rPr>
          <w:rFonts w:ascii="Times New Roman" w:hAnsi="Times New Roman" w:cs="Times New Roman" w:eastAsia="Times New Roman"/>
          <w:b/>
          <w:i w:val="0"/>
          <w:sz w:val="24"/>
          <w:u w:val="none"/>
        </w:rPr>
        <w:t>Action.</w:t>
      </w:r>
      <w:r>
        <w:rPr>
          <w:rFonts w:ascii="Times New Roman" w:hAnsi="Times New Roman" w:cs="Times New Roman" w:eastAsia="Times New Roman"/>
          <w:b w:val="0"/>
          <w:i w:val="0"/>
          <w:sz w:val="24"/>
          <w:u w:val="none"/>
        </w:rPr>
        <w:t xml:space="preserve"> Refer the Appraisal to Lender’s appraisal review function before closing and obtain either a corrected report or a documented review conclusion.</w:t>
      </w:r>
    </w:p>
    <w:p>
      <w:pPr>
        <w:keepNext/>
        <w:spacing w:before="160" w:after="80" w:line="240" w:lineRule="auto"/>
        <w:ind w:left="0"/>
        <w:jc w:val="left"/>
      </w:pPr>
      <w:r>
        <w:rPr>
          <w:rFonts w:ascii="Times New Roman" w:hAnsi="Times New Roman" w:cs="Times New Roman" w:eastAsia="Times New Roman"/>
          <w:b/>
          <w:i/>
          <w:sz w:val="24"/>
          <w:u w:val="none"/>
        </w:rPr>
        <w:t>L2. Flood Disaster Protection Act</w:t>
      </w:r>
    </w:p>
    <w:p>
      <w:pPr>
        <w:keepNext w:val="0"/>
        <w:spacing w:before="0" w:after="160" w:line="240" w:lineRule="auto"/>
        <w:ind w:left="0"/>
        <w:jc w:val="both"/>
      </w:pPr>
      <w:r>
        <w:rPr>
          <w:rFonts w:ascii="Times New Roman" w:hAnsi="Times New Roman" w:cs="Times New Roman" w:eastAsia="Times New Roman"/>
          <w:b/>
          <w:i w:val="0"/>
          <w:sz w:val="24"/>
          <w:u w:val="none"/>
        </w:rPr>
        <w:t>Analysis.</w:t>
      </w:r>
      <w:r>
        <w:rPr>
          <w:rFonts w:ascii="Times New Roman" w:hAnsi="Times New Roman" w:cs="Times New Roman" w:eastAsia="Times New Roman"/>
          <w:b w:val="0"/>
          <w:i w:val="0"/>
          <w:sz w:val="24"/>
          <w:u w:val="none"/>
        </w:rPr>
        <w:t xml:space="preserve"> If the current flood zone determination places any part of the Improvements in a Special Flood Hazard Area, the mandatory purchase, notice, and escrow requirements of the Flood Disaster Protection Act and its regulations apply, and the current $5,000,000 requirement would need to be tested against the lesser-of statutory calculation. The conflicting panel numbers in the record (I1) mean the determination cannot be assumed.</w:t>
      </w:r>
    </w:p>
    <w:p>
      <w:pPr>
        <w:keepNext/>
        <w:spacing w:before="160" w:after="80" w:line="240" w:lineRule="auto"/>
        <w:ind w:left="0"/>
        <w:jc w:val="left"/>
      </w:pPr>
      <w:r>
        <w:rPr>
          <w:rFonts w:ascii="Times New Roman" w:hAnsi="Times New Roman" w:cs="Times New Roman" w:eastAsia="Times New Roman"/>
          <w:b/>
          <w:i/>
          <w:sz w:val="24"/>
          <w:u w:val="none"/>
        </w:rPr>
        <w:t>L3. OFAC, beneficial ownership, and customer due diligence</w:t>
      </w:r>
    </w:p>
    <w:p>
      <w:pPr>
        <w:keepNext w:val="0"/>
        <w:spacing w:before="0" w:after="160" w:line="240" w:lineRule="auto"/>
        <w:ind w:left="0"/>
        <w:jc w:val="both"/>
      </w:pPr>
      <w:r>
        <w:rPr>
          <w:rFonts w:ascii="Times New Roman" w:hAnsi="Times New Roman" w:cs="Times New Roman" w:eastAsia="Times New Roman"/>
          <w:b/>
          <w:i w:val="0"/>
          <w:sz w:val="24"/>
          <w:u w:val="none"/>
        </w:rPr>
        <w:t>Analysis.</w:t>
      </w:r>
      <w:r>
        <w:rPr>
          <w:rFonts w:ascii="Times New Roman" w:hAnsi="Times New Roman" w:cs="Times New Roman" w:eastAsia="Times New Roman"/>
          <w:b w:val="0"/>
          <w:i w:val="0"/>
          <w:sz w:val="24"/>
          <w:u w:val="none"/>
        </w:rPr>
        <w:t xml:space="preserve"> The Mortgage contains representations as to OFAC status and beneficial ownership (Section 5.11). Lender’s customer due diligence obligations require certification of beneficial ownership for Borrower and each Member, including GDG (owned by Mr. Graydon), Tidewater (a Delaware limited partnership with a corporate general partner) and Harborline (whose owners are undisclosed). Borrower was formed on January 12, 2024, so its own beneficial ownership reporting obligation to FinCEN arose shortly after formation; confirm its compliance status as part of the file. Because the members are layered entities, the certifications should be completed on the certification form Lender uses for legal entity customers and should be obtained from each Member, not only from Borrower.</w:t>
      </w:r>
    </w:p>
    <w:p>
      <w:pPr>
        <w:keepNext/>
        <w:spacing w:before="160" w:after="80" w:line="240" w:lineRule="auto"/>
        <w:ind w:left="0"/>
        <w:jc w:val="left"/>
      </w:pPr>
      <w:r>
        <w:rPr>
          <w:rFonts w:ascii="Times New Roman" w:hAnsi="Times New Roman" w:cs="Times New Roman" w:eastAsia="Times New Roman"/>
          <w:b/>
          <w:i/>
          <w:sz w:val="24"/>
          <w:u w:val="none"/>
        </w:rPr>
        <w:t>L4. As-is LTV and credit approval</w:t>
      </w:r>
    </w:p>
    <w:p>
      <w:pPr>
        <w:keepNext w:val="0"/>
        <w:spacing w:before="0" w:after="160" w:line="240" w:lineRule="auto"/>
        <w:ind w:left="0"/>
        <w:jc w:val="both"/>
      </w:pPr>
      <w:r>
        <w:rPr>
          <w:rFonts w:ascii="Times New Roman" w:hAnsi="Times New Roman" w:cs="Times New Roman" w:eastAsia="Times New Roman"/>
          <w:b/>
          <w:i w:val="0"/>
          <w:sz w:val="24"/>
          <w:u w:val="none"/>
        </w:rPr>
        <w:t>Analysis.</w:t>
      </w:r>
      <w:r>
        <w:rPr>
          <w:rFonts w:ascii="Times New Roman" w:hAnsi="Times New Roman" w:cs="Times New Roman" w:eastAsia="Times New Roman"/>
          <w:b w:val="0"/>
          <w:i w:val="0"/>
          <w:sz w:val="24"/>
          <w:u w:val="none"/>
        </w:rPr>
        <w:t xml:space="preserve"> As-is LTV is 81.04%, above the range at which most banks will lend on commercial real estate without a documented exception. Your closing note asks Marcus to confirm whether the loan committee or board has approved an exception to the bank’s underwriting guidelines. That confirmation should be obtained in writing and placed in the file, because the as-is LTV is the ratio most likely to be questioned in an examination. Related: the acquisition-and-renovation structure may raise questions about high volatility commercial real estate classification for capital purposes; the 15% contributed capital and 80% as-completed LTV conditions appear to be satisfied on the record ($6,200,000 of equity is 26.38% of the $23,500,000 as-stabilized value, and the as-stabilized LTV is 62.77%), but the classification analysis should be confirmed by the bank’s capital reporting group.</w:t>
      </w:r>
    </w:p>
    <w:p>
      <w:pPr>
        <w:keepNext/>
        <w:spacing w:before="280" w:after="200" w:line="240" w:lineRule="auto"/>
        <w:ind w:left="0"/>
        <w:jc w:val="center"/>
      </w:pPr>
      <w:r>
        <w:rPr>
          <w:rFonts w:ascii="Times New Roman" w:hAnsi="Times New Roman" w:cs="Times New Roman" w:eastAsia="Times New Roman"/>
          <w:b/>
          <w:i w:val="0"/>
          <w:caps/>
          <w:sz w:val="24"/>
          <w:u w:val="none"/>
        </w:rPr>
        <w:t>6. TERM SHEET COMPLIANCE MATRIX</w:t>
      </w:r>
    </w:p>
    <w:p>
      <w:pPr>
        <w:keepNext w:val="0"/>
        <w:spacing w:before="0" w:after="160" w:line="240" w:lineRule="auto"/>
        <w:ind w:left="0"/>
        <w:jc w:val="both"/>
      </w:pPr>
      <w:r>
        <w:rPr>
          <w:rFonts w:ascii="Times New Roman" w:hAnsi="Times New Roman" w:cs="Times New Roman" w:eastAsia="Times New Roman"/>
          <w:b w:val="0"/>
          <w:i w:val="0"/>
          <w:sz w:val="24"/>
          <w:u w:val="none"/>
        </w:rPr>
        <w:t>The following matrix confirms that each Term Sheet provision affecting the Mortgage is implemented in the draft, and identifies the points at which the draft departs from, or goes beyond, the Term Sheet. “Implemented” means the provision appears in the draft without material change; “Addition” means the draft contains a provision not found in the Term Sheet; “Deviation” means the draft does not follow the Term Sheet and the divergence is flagged in Section 7.</w:t>
      </w:r>
    </w:p>
    <w:tbl>
      <w:tblPr>
        <w:tblStyle w:val="TableGrid"/>
        <w:tblW w:type="auto" w:w="0"/>
        <w:jc w:val="center"/>
        <w:tblLayout w:type="fixed"/>
        <w:tblLook w:firstColumn="1" w:firstRow="1" w:lastColumn="0" w:lastRow="0" w:noHBand="0" w:noVBand="1" w:val="04A0"/>
        <w:tblLayout w:type="fixed"/>
        <w:tblW w:w="9360" w:type="dxa"/>
        <w:tblCellMar>
          <w:left w:w="72" w:type="dxa"/>
          <w:right w:w="72" w:type="dxa"/>
          <w:top w:w="36" w:type="dxa"/>
          <w:bottom w:w="36" w:type="dxa"/>
        </w:tblCellMar>
      </w:tblPr>
      <w:tblGrid>
        <w:gridCol w:w="1376"/>
        <w:gridCol w:w="3578"/>
        <w:gridCol w:w="2615"/>
        <w:gridCol w:w="1789"/>
      </w:tblGrid>
      <w:tr>
        <w:tc>
          <w:tcPr>
            <w:tcW w:type="dxa" w:w="1376"/>
            <w:shd w:val="clear" w:color="auto" w:fill="D9D9D9"/>
          </w:tcPr>
          <w:p>
            <w:pPr>
              <w:spacing w:after="40" w:before="40" w:line="240" w:lineRule="auto"/>
              <w:jc w:val="left"/>
            </w:pPr>
            <w:r/>
            <w:r>
              <w:rPr>
                <w:rFonts w:ascii="Times New Roman" w:hAnsi="Times New Roman" w:cs="Times New Roman" w:eastAsia="Times New Roman"/>
                <w:b/>
                <w:i w:val="0"/>
                <w:sz w:val="18"/>
                <w:u w:val="none"/>
              </w:rPr>
              <w:t>Term Sheet</w:t>
            </w:r>
          </w:p>
        </w:tc>
        <w:tc>
          <w:tcPr>
            <w:tcW w:type="dxa" w:w="3579"/>
            <w:shd w:val="clear" w:color="auto" w:fill="D9D9D9"/>
          </w:tcPr>
          <w:p>
            <w:pPr>
              <w:spacing w:after="40" w:before="40" w:line="240" w:lineRule="auto"/>
              <w:jc w:val="left"/>
            </w:pPr>
            <w:r/>
            <w:r>
              <w:rPr>
                <w:rFonts w:ascii="Times New Roman" w:hAnsi="Times New Roman" w:cs="Times New Roman" w:eastAsia="Times New Roman"/>
                <w:b/>
                <w:i w:val="0"/>
                <w:sz w:val="18"/>
                <w:u w:val="none"/>
              </w:rPr>
              <w:t>Requirement</w:t>
            </w:r>
          </w:p>
        </w:tc>
        <w:tc>
          <w:tcPr>
            <w:tcW w:type="dxa" w:w="2615"/>
            <w:shd w:val="clear" w:color="auto" w:fill="D9D9D9"/>
          </w:tcPr>
          <w:p>
            <w:pPr>
              <w:spacing w:after="40" w:before="40" w:line="240" w:lineRule="auto"/>
              <w:jc w:val="left"/>
            </w:pPr>
            <w:r/>
            <w:r>
              <w:rPr>
                <w:rFonts w:ascii="Times New Roman" w:hAnsi="Times New Roman" w:cs="Times New Roman" w:eastAsia="Times New Roman"/>
                <w:b/>
                <w:i w:val="0"/>
                <w:sz w:val="18"/>
                <w:u w:val="none"/>
              </w:rPr>
              <w:t>Mortgage provision</w:t>
            </w:r>
          </w:p>
        </w:tc>
        <w:tc>
          <w:tcPr>
            <w:tcW w:type="dxa" w:w="1789"/>
            <w:shd w:val="clear" w:color="auto" w:fill="D9D9D9"/>
          </w:tcPr>
          <w:p>
            <w:pPr>
              <w:spacing w:after="40" w:before="40" w:line="240" w:lineRule="auto"/>
              <w:jc w:val="left"/>
            </w:pPr>
            <w:r/>
            <w:r>
              <w:rPr>
                <w:rFonts w:ascii="Times New Roman" w:hAnsi="Times New Roman" w:cs="Times New Roman" w:eastAsia="Times New Roman"/>
                <w:b/>
                <w:i w:val="0"/>
                <w:sz w:val="18"/>
                <w:u w:val="none"/>
              </w:rPr>
              <w:t>Status</w:t>
            </w:r>
          </w:p>
        </w:tc>
      </w:tr>
      <w:tr>
        <w:tc>
          <w:tcPr>
            <w:tcW w:type="dxa" w:w="1376"/>
          </w:tcPr>
          <w:p>
            <w:pPr>
              <w:spacing w:after="40" w:before="40" w:line="240" w:lineRule="auto"/>
              <w:jc w:val="left"/>
            </w:pPr>
            <w:r/>
            <w:r>
              <w:rPr>
                <w:rFonts w:ascii="Times New Roman" w:hAnsi="Times New Roman" w:cs="Times New Roman" w:eastAsia="Times New Roman"/>
                <w:b w:val="0"/>
                <w:i w:val="0"/>
                <w:sz w:val="18"/>
                <w:u w:val="none"/>
              </w:rPr>
              <w:t>§§ 1.1–1.4</w:t>
            </w:r>
          </w:p>
        </w:tc>
        <w:tc>
          <w:tcPr>
            <w:tcW w:type="dxa" w:w="3579"/>
          </w:tcPr>
          <w:p>
            <w:pPr>
              <w:spacing w:after="40" w:before="40" w:line="240" w:lineRule="auto"/>
              <w:jc w:val="left"/>
            </w:pPr>
            <w:r/>
            <w:r>
              <w:rPr>
                <w:rFonts w:ascii="Times New Roman" w:hAnsi="Times New Roman" w:cs="Times New Roman" w:eastAsia="Times New Roman"/>
                <w:b w:val="0"/>
                <w:i w:val="0"/>
                <w:sz w:val="18"/>
                <w:u w:val="none"/>
              </w:rPr>
              <w:t>Parties; Borrower as South Carolina LLC</w:t>
            </w:r>
          </w:p>
        </w:tc>
        <w:tc>
          <w:tcPr>
            <w:tcW w:type="dxa" w:w="2615"/>
          </w:tcPr>
          <w:p>
            <w:pPr>
              <w:spacing w:after="40" w:before="40" w:line="240" w:lineRule="auto"/>
              <w:jc w:val="left"/>
            </w:pPr>
            <w:r/>
            <w:r>
              <w:rPr>
                <w:rFonts w:ascii="Times New Roman" w:hAnsi="Times New Roman" w:cs="Times New Roman" w:eastAsia="Times New Roman"/>
                <w:b w:val="0"/>
                <w:i w:val="0"/>
                <w:sz w:val="18"/>
                <w:u w:val="none"/>
              </w:rPr>
              <w:t>Preamble; Article 1 definitions</w:t>
            </w:r>
          </w:p>
        </w:tc>
        <w:tc>
          <w:tcPr>
            <w:tcW w:type="dxa" w:w="1789"/>
          </w:tcPr>
          <w:p>
            <w:pPr>
              <w:spacing w:after="40" w:before="40" w:line="240" w:lineRule="auto"/>
              <w:jc w:val="left"/>
            </w:pPr>
            <w:r/>
            <w:r>
              <w:rPr>
                <w:rFonts w:ascii="Times New Roman" w:hAnsi="Times New Roman" w:cs="Times New Roman" w:eastAsia="Times New Roman"/>
                <w:b w:val="0"/>
                <w:i w:val="0"/>
                <w:sz w:val="18"/>
                <w:u w:val="none"/>
              </w:rPr>
              <w:t>Implemented</w:t>
            </w:r>
          </w:p>
        </w:tc>
      </w:tr>
      <w:tr>
        <w:tc>
          <w:tcPr>
            <w:tcW w:type="dxa" w:w="1376"/>
          </w:tcPr>
          <w:p>
            <w:pPr>
              <w:spacing w:after="40" w:before="40" w:line="240" w:lineRule="auto"/>
              <w:jc w:val="left"/>
            </w:pPr>
            <w:r/>
            <w:r>
              <w:rPr>
                <w:rFonts w:ascii="Times New Roman" w:hAnsi="Times New Roman" w:cs="Times New Roman" w:eastAsia="Times New Roman"/>
                <w:b w:val="0"/>
                <w:i w:val="0"/>
                <w:sz w:val="18"/>
                <w:u w:val="none"/>
              </w:rPr>
              <w:t>§ 2.1</w:t>
            </w:r>
          </w:p>
        </w:tc>
        <w:tc>
          <w:tcPr>
            <w:tcW w:type="dxa" w:w="3579"/>
          </w:tcPr>
          <w:p>
            <w:pPr>
              <w:spacing w:after="40" w:before="40" w:line="240" w:lineRule="auto"/>
              <w:jc w:val="left"/>
            </w:pPr>
            <w:r/>
            <w:r>
              <w:rPr>
                <w:rFonts w:ascii="Times New Roman" w:hAnsi="Times New Roman" w:cs="Times New Roman" w:eastAsia="Times New Roman"/>
                <w:b w:val="0"/>
                <w:i w:val="0"/>
                <w:sz w:val="18"/>
                <w:u w:val="none"/>
              </w:rPr>
              <w:t>Property description; three tax parcels and the Anson Lane strip</w:t>
            </w:r>
          </w:p>
        </w:tc>
        <w:tc>
          <w:tcPr>
            <w:tcW w:type="dxa" w:w="2615"/>
          </w:tcPr>
          <w:p>
            <w:pPr>
              <w:spacing w:after="40" w:before="40" w:line="240" w:lineRule="auto"/>
              <w:jc w:val="left"/>
            </w:pPr>
            <w:r/>
            <w:r>
              <w:rPr>
                <w:rFonts w:ascii="Times New Roman" w:hAnsi="Times New Roman" w:cs="Times New Roman" w:eastAsia="Times New Roman"/>
                <w:b w:val="0"/>
                <w:i w:val="0"/>
                <w:sz w:val="18"/>
                <w:u w:val="none"/>
              </w:rPr>
              <w:t>§ 2.1; Exhibit A</w:t>
            </w:r>
          </w:p>
        </w:tc>
        <w:tc>
          <w:tcPr>
            <w:tcW w:type="dxa" w:w="1789"/>
          </w:tcPr>
          <w:p>
            <w:pPr>
              <w:spacing w:after="40" w:before="40" w:line="240" w:lineRule="auto"/>
              <w:jc w:val="left"/>
            </w:pPr>
            <w:r/>
            <w:r>
              <w:rPr>
                <w:rFonts w:ascii="Times New Roman" w:hAnsi="Times New Roman" w:cs="Times New Roman" w:eastAsia="Times New Roman"/>
                <w:b w:val="0"/>
                <w:i w:val="0"/>
                <w:sz w:val="18"/>
                <w:u w:val="none"/>
              </w:rPr>
              <w:t>Implemented (metes and bounds pending)</w:t>
            </w:r>
          </w:p>
        </w:tc>
      </w:tr>
      <w:tr>
        <w:tc>
          <w:tcPr>
            <w:tcW w:type="dxa" w:w="1376"/>
          </w:tcPr>
          <w:p>
            <w:pPr>
              <w:spacing w:after="40" w:before="40" w:line="240" w:lineRule="auto"/>
              <w:jc w:val="left"/>
            </w:pPr>
            <w:r/>
            <w:r>
              <w:rPr>
                <w:rFonts w:ascii="Times New Roman" w:hAnsi="Times New Roman" w:cs="Times New Roman" w:eastAsia="Times New Roman"/>
                <w:b w:val="0"/>
                <w:i w:val="0"/>
                <w:sz w:val="18"/>
                <w:u w:val="none"/>
              </w:rPr>
              <w:t>§ 2.2</w:t>
            </w:r>
          </w:p>
        </w:tc>
        <w:tc>
          <w:tcPr>
            <w:tcW w:type="dxa" w:w="3579"/>
          </w:tcPr>
          <w:p>
            <w:pPr>
              <w:spacing w:after="40" w:before="40" w:line="240" w:lineRule="auto"/>
              <w:jc w:val="left"/>
            </w:pPr>
            <w:r/>
            <w:r>
              <w:rPr>
                <w:rFonts w:ascii="Times New Roman" w:hAnsi="Times New Roman" w:cs="Times New Roman" w:eastAsia="Times New Roman"/>
                <w:b w:val="0"/>
                <w:i w:val="0"/>
                <w:sz w:val="18"/>
                <w:u w:val="none"/>
              </w:rPr>
              <w:t>Improvements, fixtures, building systems</w:t>
            </w:r>
          </w:p>
        </w:tc>
        <w:tc>
          <w:tcPr>
            <w:tcW w:type="dxa" w:w="2615"/>
          </w:tcPr>
          <w:p>
            <w:pPr>
              <w:spacing w:after="40" w:before="40" w:line="240" w:lineRule="auto"/>
              <w:jc w:val="left"/>
            </w:pPr>
            <w:r/>
            <w:r>
              <w:rPr>
                <w:rFonts w:ascii="Times New Roman" w:hAnsi="Times New Roman" w:cs="Times New Roman" w:eastAsia="Times New Roman"/>
                <w:b w:val="0"/>
                <w:i w:val="0"/>
                <w:sz w:val="18"/>
                <w:u w:val="none"/>
              </w:rPr>
              <w:t>Article 1 (“Improvements”); § 2.1(c)</w:t>
            </w:r>
          </w:p>
        </w:tc>
        <w:tc>
          <w:tcPr>
            <w:tcW w:type="dxa" w:w="1789"/>
          </w:tcPr>
          <w:p>
            <w:pPr>
              <w:spacing w:after="40" w:before="40" w:line="240" w:lineRule="auto"/>
              <w:jc w:val="left"/>
            </w:pPr>
            <w:r/>
            <w:r>
              <w:rPr>
                <w:rFonts w:ascii="Times New Roman" w:hAnsi="Times New Roman" w:cs="Times New Roman" w:eastAsia="Times New Roman"/>
                <w:b w:val="0"/>
                <w:i w:val="0"/>
                <w:sz w:val="18"/>
                <w:u w:val="none"/>
              </w:rPr>
              <w:t>Implemented</w:t>
            </w:r>
          </w:p>
        </w:tc>
      </w:tr>
      <w:tr>
        <w:tc>
          <w:tcPr>
            <w:tcW w:type="dxa" w:w="1376"/>
          </w:tcPr>
          <w:p>
            <w:pPr>
              <w:spacing w:after="40" w:before="40" w:line="240" w:lineRule="auto"/>
              <w:jc w:val="left"/>
            </w:pPr>
            <w:r/>
            <w:r>
              <w:rPr>
                <w:rFonts w:ascii="Times New Roman" w:hAnsi="Times New Roman" w:cs="Times New Roman" w:eastAsia="Times New Roman"/>
                <w:b w:val="0"/>
                <w:i w:val="0"/>
                <w:sz w:val="18"/>
                <w:u w:val="none"/>
              </w:rPr>
              <w:t>§ 2.3</w:t>
            </w:r>
          </w:p>
        </w:tc>
        <w:tc>
          <w:tcPr>
            <w:tcW w:type="dxa" w:w="3579"/>
          </w:tcPr>
          <w:p>
            <w:pPr>
              <w:spacing w:after="40" w:before="40" w:line="240" w:lineRule="auto"/>
              <w:jc w:val="left"/>
            </w:pPr>
            <w:r/>
            <w:r>
              <w:rPr>
                <w:rFonts w:ascii="Times New Roman" w:hAnsi="Times New Roman" w:cs="Times New Roman" w:eastAsia="Times New Roman"/>
                <w:b w:val="0"/>
                <w:i w:val="0"/>
                <w:sz w:val="18"/>
                <w:u w:val="none"/>
              </w:rPr>
              <w:t>Tenancies; estoppels and SNDAs as closing conditions</w:t>
            </w:r>
          </w:p>
        </w:tc>
        <w:tc>
          <w:tcPr>
            <w:tcW w:type="dxa" w:w="2615"/>
          </w:tcPr>
          <w:p>
            <w:pPr>
              <w:spacing w:after="40" w:before="40" w:line="240" w:lineRule="auto"/>
              <w:jc w:val="left"/>
            </w:pPr>
            <w:r/>
            <w:r>
              <w:rPr>
                <w:rFonts w:ascii="Times New Roman" w:hAnsi="Times New Roman" w:cs="Times New Roman" w:eastAsia="Times New Roman"/>
                <w:b w:val="0"/>
                <w:i w:val="0"/>
                <w:sz w:val="18"/>
                <w:u w:val="none"/>
              </w:rPr>
              <w:t>§ 4.5; § 4.11</w:t>
            </w:r>
          </w:p>
        </w:tc>
        <w:tc>
          <w:tcPr>
            <w:tcW w:type="dxa" w:w="1789"/>
          </w:tcPr>
          <w:p>
            <w:pPr>
              <w:spacing w:after="40" w:before="40" w:line="240" w:lineRule="auto"/>
              <w:jc w:val="left"/>
            </w:pPr>
            <w:r/>
            <w:r>
              <w:rPr>
                <w:rFonts w:ascii="Times New Roman" w:hAnsi="Times New Roman" w:cs="Times New Roman" w:eastAsia="Times New Roman"/>
                <w:b w:val="0"/>
                <w:i w:val="0"/>
                <w:sz w:val="18"/>
                <w:u w:val="none"/>
              </w:rPr>
              <w:t>Implemented; tenant-side gaps flagged (B2–B4)</w:t>
            </w:r>
          </w:p>
        </w:tc>
      </w:tr>
      <w:tr>
        <w:tc>
          <w:tcPr>
            <w:tcW w:type="dxa" w:w="1376"/>
          </w:tcPr>
          <w:p>
            <w:pPr>
              <w:spacing w:after="40" w:before="40" w:line="240" w:lineRule="auto"/>
              <w:jc w:val="left"/>
            </w:pPr>
            <w:r/>
            <w:r>
              <w:rPr>
                <w:rFonts w:ascii="Times New Roman" w:hAnsi="Times New Roman" w:cs="Times New Roman" w:eastAsia="Times New Roman"/>
                <w:b w:val="0"/>
                <w:i w:val="0"/>
                <w:sz w:val="18"/>
                <w:u w:val="none"/>
              </w:rPr>
              <w:t>§ 3.1, 3.3</w:t>
            </w:r>
          </w:p>
        </w:tc>
        <w:tc>
          <w:tcPr>
            <w:tcW w:type="dxa" w:w="3579"/>
          </w:tcPr>
          <w:p>
            <w:pPr>
              <w:spacing w:after="40" w:before="40" w:line="240" w:lineRule="auto"/>
              <w:jc w:val="left"/>
            </w:pPr>
            <w:r/>
            <w:r>
              <w:rPr>
                <w:rFonts w:ascii="Times New Roman" w:hAnsi="Times New Roman" w:cs="Times New Roman" w:eastAsia="Times New Roman"/>
                <w:b w:val="0"/>
                <w:i w:val="0"/>
                <w:sz w:val="18"/>
                <w:u w:val="none"/>
              </w:rPr>
              <w:t>Loan amount; initial advance and Renovation Holdback</w:t>
            </w:r>
          </w:p>
        </w:tc>
        <w:tc>
          <w:tcPr>
            <w:tcW w:type="dxa" w:w="2615"/>
          </w:tcPr>
          <w:p>
            <w:pPr>
              <w:spacing w:after="40" w:before="40" w:line="240" w:lineRule="auto"/>
              <w:jc w:val="left"/>
            </w:pPr>
            <w:r/>
            <w:r>
              <w:rPr>
                <w:rFonts w:ascii="Times New Roman" w:hAnsi="Times New Roman" w:cs="Times New Roman" w:eastAsia="Times New Roman"/>
                <w:b w:val="0"/>
                <w:i w:val="0"/>
                <w:sz w:val="18"/>
                <w:u w:val="none"/>
              </w:rPr>
              <w:t>Recital A; § 2.8; Article 10</w:t>
            </w:r>
          </w:p>
        </w:tc>
        <w:tc>
          <w:tcPr>
            <w:tcW w:type="dxa" w:w="1789"/>
          </w:tcPr>
          <w:p>
            <w:pPr>
              <w:spacing w:after="40" w:before="40" w:line="240" w:lineRule="auto"/>
              <w:jc w:val="left"/>
            </w:pPr>
            <w:r/>
            <w:r>
              <w:rPr>
                <w:rFonts w:ascii="Times New Roman" w:hAnsi="Times New Roman" w:cs="Times New Roman" w:eastAsia="Times New Roman"/>
                <w:b w:val="0"/>
                <w:i w:val="0"/>
                <w:sz w:val="18"/>
                <w:u w:val="none"/>
              </w:rPr>
              <w:t>Implemented</w:t>
            </w:r>
          </w:p>
        </w:tc>
      </w:tr>
      <w:tr>
        <w:tc>
          <w:tcPr>
            <w:tcW w:type="dxa" w:w="1376"/>
          </w:tcPr>
          <w:p>
            <w:pPr>
              <w:spacing w:after="40" w:before="40" w:line="240" w:lineRule="auto"/>
              <w:jc w:val="left"/>
            </w:pPr>
            <w:r/>
            <w:r>
              <w:rPr>
                <w:rFonts w:ascii="Times New Roman" w:hAnsi="Times New Roman" w:cs="Times New Roman" w:eastAsia="Times New Roman"/>
                <w:b w:val="0"/>
                <w:i w:val="0"/>
                <w:sz w:val="18"/>
                <w:u w:val="none"/>
              </w:rPr>
              <w:t>§ 3.4</w:t>
            </w:r>
          </w:p>
        </w:tc>
        <w:tc>
          <w:tcPr>
            <w:tcW w:type="dxa" w:w="3579"/>
          </w:tcPr>
          <w:p>
            <w:pPr>
              <w:spacing w:after="40" w:before="40" w:line="240" w:lineRule="auto"/>
              <w:jc w:val="left"/>
            </w:pPr>
            <w:r/>
            <w:r>
              <w:rPr>
                <w:rFonts w:ascii="Times New Roman" w:hAnsi="Times New Roman" w:cs="Times New Roman" w:eastAsia="Times New Roman"/>
                <w:b w:val="0"/>
                <w:i w:val="0"/>
                <w:sz w:val="18"/>
                <w:u w:val="none"/>
              </w:rPr>
              <w:t>Total Project Cost; Borrower equity; renovation budget</w:t>
            </w:r>
          </w:p>
        </w:tc>
        <w:tc>
          <w:tcPr>
            <w:tcW w:type="dxa" w:w="2615"/>
          </w:tcPr>
          <w:p>
            <w:pPr>
              <w:spacing w:after="40" w:before="40" w:line="240" w:lineRule="auto"/>
              <w:jc w:val="left"/>
            </w:pPr>
            <w:r/>
            <w:r>
              <w:rPr>
                <w:rFonts w:ascii="Times New Roman" w:hAnsi="Times New Roman" w:cs="Times New Roman" w:eastAsia="Times New Roman"/>
                <w:b w:val="0"/>
                <w:i w:val="0"/>
                <w:sz w:val="18"/>
                <w:u w:val="none"/>
              </w:rPr>
              <w:t>Exhibit C; § 10.2; § 10.9</w:t>
            </w:r>
          </w:p>
        </w:tc>
        <w:tc>
          <w:tcPr>
            <w:tcW w:type="dxa" w:w="1789"/>
          </w:tcPr>
          <w:p>
            <w:pPr>
              <w:spacing w:after="40" w:before="40" w:line="240" w:lineRule="auto"/>
              <w:jc w:val="left"/>
            </w:pPr>
            <w:r/>
            <w:r>
              <w:rPr>
                <w:rFonts w:ascii="Times New Roman" w:hAnsi="Times New Roman" w:cs="Times New Roman" w:eastAsia="Times New Roman"/>
                <w:b w:val="0"/>
                <w:i w:val="0"/>
                <w:sz w:val="18"/>
                <w:u w:val="none"/>
              </w:rPr>
              <w:t>Implemented; gap flagged (G1)</w:t>
            </w:r>
          </w:p>
        </w:tc>
      </w:tr>
      <w:tr>
        <w:tc>
          <w:tcPr>
            <w:tcW w:type="dxa" w:w="1376"/>
          </w:tcPr>
          <w:p>
            <w:pPr>
              <w:spacing w:after="40" w:before="40" w:line="240" w:lineRule="auto"/>
              <w:jc w:val="left"/>
            </w:pPr>
            <w:r/>
            <w:r>
              <w:rPr>
                <w:rFonts w:ascii="Times New Roman" w:hAnsi="Times New Roman" w:cs="Times New Roman" w:eastAsia="Times New Roman"/>
                <w:b w:val="0"/>
                <w:i w:val="0"/>
                <w:sz w:val="18"/>
                <w:u w:val="none"/>
              </w:rPr>
              <w:t>§ 3.6</w:t>
            </w:r>
          </w:p>
        </w:tc>
        <w:tc>
          <w:tcPr>
            <w:tcW w:type="dxa" w:w="3579"/>
          </w:tcPr>
          <w:p>
            <w:pPr>
              <w:spacing w:after="40" w:before="40" w:line="240" w:lineRule="auto"/>
              <w:jc w:val="left"/>
            </w:pPr>
            <w:r/>
            <w:r>
              <w:rPr>
                <w:rFonts w:ascii="Times New Roman" w:hAnsi="Times New Roman" w:cs="Times New Roman" w:eastAsia="Times New Roman"/>
                <w:b w:val="0"/>
                <w:i w:val="0"/>
                <w:sz w:val="18"/>
                <w:u w:val="none"/>
              </w:rPr>
              <w:t>Daily SOFR + 2.85%; 3.00% SOFR floor</w:t>
            </w:r>
          </w:p>
        </w:tc>
        <w:tc>
          <w:tcPr>
            <w:tcW w:type="dxa" w:w="2615"/>
          </w:tcPr>
          <w:p>
            <w:pPr>
              <w:spacing w:after="40" w:before="40" w:line="240" w:lineRule="auto"/>
              <w:jc w:val="left"/>
            </w:pPr>
            <w:r/>
            <w:r>
              <w:rPr>
                <w:rFonts w:ascii="Times New Roman" w:hAnsi="Times New Roman" w:cs="Times New Roman" w:eastAsia="Times New Roman"/>
                <w:b w:val="0"/>
                <w:i w:val="0"/>
                <w:sz w:val="18"/>
                <w:u w:val="none"/>
              </w:rPr>
              <w:t>§ 3.1</w:t>
            </w:r>
          </w:p>
        </w:tc>
        <w:tc>
          <w:tcPr>
            <w:tcW w:type="dxa" w:w="1789"/>
          </w:tcPr>
          <w:p>
            <w:pPr>
              <w:spacing w:after="40" w:before="40" w:line="240" w:lineRule="auto"/>
              <w:jc w:val="left"/>
            </w:pPr>
            <w:r/>
            <w:r>
              <w:rPr>
                <w:rFonts w:ascii="Times New Roman" w:hAnsi="Times New Roman" w:cs="Times New Roman" w:eastAsia="Times New Roman"/>
                <w:b w:val="0"/>
                <w:i w:val="0"/>
                <w:sz w:val="18"/>
                <w:u w:val="none"/>
              </w:rPr>
              <w:t>Implemented; conventions deferred to Note (C5)</w:t>
            </w:r>
          </w:p>
        </w:tc>
      </w:tr>
      <w:tr>
        <w:tc>
          <w:tcPr>
            <w:tcW w:type="dxa" w:w="1376"/>
          </w:tcPr>
          <w:p>
            <w:pPr>
              <w:spacing w:after="40" w:before="40" w:line="240" w:lineRule="auto"/>
              <w:jc w:val="left"/>
            </w:pPr>
            <w:r/>
            <w:r>
              <w:rPr>
                <w:rFonts w:ascii="Times New Roman" w:hAnsi="Times New Roman" w:cs="Times New Roman" w:eastAsia="Times New Roman"/>
                <w:b w:val="0"/>
                <w:i w:val="0"/>
                <w:sz w:val="18"/>
                <w:u w:val="none"/>
              </w:rPr>
              <w:t>§ 3.7</w:t>
            </w:r>
          </w:p>
        </w:tc>
        <w:tc>
          <w:tcPr>
            <w:tcW w:type="dxa" w:w="3579"/>
          </w:tcPr>
          <w:p>
            <w:pPr>
              <w:spacing w:after="40" w:before="40" w:line="240" w:lineRule="auto"/>
              <w:jc w:val="left"/>
            </w:pPr>
            <w:r/>
            <w:r>
              <w:rPr>
                <w:rFonts w:ascii="Times New Roman" w:hAnsi="Times New Roman" w:cs="Times New Roman" w:eastAsia="Times New Roman"/>
                <w:b w:val="0"/>
                <w:i w:val="0"/>
                <w:sz w:val="18"/>
                <w:u w:val="none"/>
              </w:rPr>
              <w:t>Default Rate (Note Rate + 5.00%)</w:t>
            </w:r>
          </w:p>
        </w:tc>
        <w:tc>
          <w:tcPr>
            <w:tcW w:type="dxa" w:w="2615"/>
          </w:tcPr>
          <w:p>
            <w:pPr>
              <w:spacing w:after="40" w:before="40" w:line="240" w:lineRule="auto"/>
              <w:jc w:val="left"/>
            </w:pPr>
            <w:r/>
            <w:r>
              <w:rPr>
                <w:rFonts w:ascii="Times New Roman" w:hAnsi="Times New Roman" w:cs="Times New Roman" w:eastAsia="Times New Roman"/>
                <w:b w:val="0"/>
                <w:i w:val="0"/>
                <w:sz w:val="18"/>
                <w:u w:val="none"/>
              </w:rPr>
              <w:t>§ 3.4</w:t>
            </w:r>
          </w:p>
        </w:tc>
        <w:tc>
          <w:tcPr>
            <w:tcW w:type="dxa" w:w="1789"/>
          </w:tcPr>
          <w:p>
            <w:pPr>
              <w:spacing w:after="40" w:before="40" w:line="240" w:lineRule="auto"/>
              <w:jc w:val="left"/>
            </w:pPr>
            <w:r/>
            <w:r>
              <w:rPr>
                <w:rFonts w:ascii="Times New Roman" w:hAnsi="Times New Roman" w:cs="Times New Roman" w:eastAsia="Times New Roman"/>
                <w:b w:val="0"/>
                <w:i w:val="0"/>
                <w:sz w:val="18"/>
                <w:u w:val="none"/>
              </w:rPr>
              <w:t>Implemented</w:t>
            </w:r>
          </w:p>
        </w:tc>
      </w:tr>
      <w:tr>
        <w:tc>
          <w:tcPr>
            <w:tcW w:type="dxa" w:w="1376"/>
          </w:tcPr>
          <w:p>
            <w:pPr>
              <w:spacing w:after="40" w:before="40" w:line="240" w:lineRule="auto"/>
              <w:jc w:val="left"/>
            </w:pPr>
            <w:r/>
            <w:r>
              <w:rPr>
                <w:rFonts w:ascii="Times New Roman" w:hAnsi="Times New Roman" w:cs="Times New Roman" w:eastAsia="Times New Roman"/>
                <w:b w:val="0"/>
                <w:i w:val="0"/>
                <w:sz w:val="18"/>
                <w:u w:val="none"/>
              </w:rPr>
              <w:t>§ 3.8</w:t>
            </w:r>
          </w:p>
        </w:tc>
        <w:tc>
          <w:tcPr>
            <w:tcW w:type="dxa" w:w="3579"/>
          </w:tcPr>
          <w:p>
            <w:pPr>
              <w:spacing w:after="40" w:before="40" w:line="240" w:lineRule="auto"/>
              <w:jc w:val="left"/>
            </w:pPr>
            <w:r/>
            <w:r>
              <w:rPr>
                <w:rFonts w:ascii="Times New Roman" w:hAnsi="Times New Roman" w:cs="Times New Roman" w:eastAsia="Times New Roman"/>
                <w:b w:val="0"/>
                <w:i w:val="0"/>
                <w:sz w:val="18"/>
                <w:u w:val="none"/>
              </w:rPr>
              <w:t>Maturity April 15, 2030</w:t>
            </w:r>
          </w:p>
        </w:tc>
        <w:tc>
          <w:tcPr>
            <w:tcW w:type="dxa" w:w="2615"/>
          </w:tcPr>
          <w:p>
            <w:pPr>
              <w:spacing w:after="40" w:before="40" w:line="240" w:lineRule="auto"/>
              <w:jc w:val="left"/>
            </w:pPr>
            <w:r/>
            <w:r>
              <w:rPr>
                <w:rFonts w:ascii="Times New Roman" w:hAnsi="Times New Roman" w:cs="Times New Roman" w:eastAsia="Times New Roman"/>
                <w:b w:val="0"/>
                <w:i w:val="0"/>
                <w:sz w:val="18"/>
                <w:u w:val="none"/>
              </w:rPr>
              <w:t>Article 1; § 3.2</w:t>
            </w:r>
          </w:p>
        </w:tc>
        <w:tc>
          <w:tcPr>
            <w:tcW w:type="dxa" w:w="1789"/>
          </w:tcPr>
          <w:p>
            <w:pPr>
              <w:spacing w:after="40" w:before="40" w:line="240" w:lineRule="auto"/>
              <w:jc w:val="left"/>
            </w:pPr>
            <w:r/>
            <w:r>
              <w:rPr>
                <w:rFonts w:ascii="Times New Roman" w:hAnsi="Times New Roman" w:cs="Times New Roman" w:eastAsia="Times New Roman"/>
                <w:b w:val="0"/>
                <w:i w:val="0"/>
                <w:sz w:val="18"/>
                <w:u w:val="none"/>
              </w:rPr>
              <w:t>Implemented</w:t>
            </w:r>
          </w:p>
        </w:tc>
      </w:tr>
      <w:tr>
        <w:tc>
          <w:tcPr>
            <w:tcW w:type="dxa" w:w="1376"/>
          </w:tcPr>
          <w:p>
            <w:pPr>
              <w:spacing w:after="40" w:before="40" w:line="240" w:lineRule="auto"/>
              <w:jc w:val="left"/>
            </w:pPr>
            <w:r/>
            <w:r>
              <w:rPr>
                <w:rFonts w:ascii="Times New Roman" w:hAnsi="Times New Roman" w:cs="Times New Roman" w:eastAsia="Times New Roman"/>
                <w:b w:val="0"/>
                <w:i w:val="0"/>
                <w:sz w:val="18"/>
                <w:u w:val="none"/>
              </w:rPr>
              <w:t>§ 3.9</w:t>
            </w:r>
          </w:p>
        </w:tc>
        <w:tc>
          <w:tcPr>
            <w:tcW w:type="dxa" w:w="3579"/>
          </w:tcPr>
          <w:p>
            <w:pPr>
              <w:spacing w:after="40" w:before="40" w:line="240" w:lineRule="auto"/>
              <w:jc w:val="left"/>
            </w:pPr>
            <w:r/>
            <w:r>
              <w:rPr>
                <w:rFonts w:ascii="Times New Roman" w:hAnsi="Times New Roman" w:cs="Times New Roman" w:eastAsia="Times New Roman"/>
                <w:b w:val="0"/>
                <w:i w:val="0"/>
                <w:sz w:val="18"/>
                <w:u w:val="none"/>
              </w:rPr>
              <w:t>Interest-only to month 24; 25-year amortization thereafter</w:t>
            </w:r>
          </w:p>
        </w:tc>
        <w:tc>
          <w:tcPr>
            <w:tcW w:type="dxa" w:w="2615"/>
          </w:tcPr>
          <w:p>
            <w:pPr>
              <w:spacing w:after="40" w:before="40" w:line="240" w:lineRule="auto"/>
              <w:jc w:val="left"/>
            </w:pPr>
            <w:r/>
            <w:r>
              <w:rPr>
                <w:rFonts w:ascii="Times New Roman" w:hAnsi="Times New Roman" w:cs="Times New Roman" w:eastAsia="Times New Roman"/>
                <w:b w:val="0"/>
                <w:i w:val="0"/>
                <w:sz w:val="18"/>
                <w:u w:val="none"/>
              </w:rPr>
              <w:t>§ 3.3</w:t>
            </w:r>
          </w:p>
        </w:tc>
        <w:tc>
          <w:tcPr>
            <w:tcW w:type="dxa" w:w="1789"/>
          </w:tcPr>
          <w:p>
            <w:pPr>
              <w:spacing w:after="40" w:before="40" w:line="240" w:lineRule="auto"/>
              <w:jc w:val="left"/>
            </w:pPr>
            <w:r/>
            <w:r>
              <w:rPr>
                <w:rFonts w:ascii="Times New Roman" w:hAnsi="Times New Roman" w:cs="Times New Roman" w:eastAsia="Times New Roman"/>
                <w:b w:val="0"/>
                <w:i w:val="0"/>
                <w:sz w:val="18"/>
                <w:u w:val="none"/>
              </w:rPr>
              <w:t>Implemented</w:t>
            </w:r>
          </w:p>
        </w:tc>
      </w:tr>
      <w:tr>
        <w:tc>
          <w:tcPr>
            <w:tcW w:type="dxa" w:w="1376"/>
          </w:tcPr>
          <w:p>
            <w:pPr>
              <w:spacing w:after="40" w:before="40" w:line="240" w:lineRule="auto"/>
              <w:jc w:val="left"/>
            </w:pPr>
            <w:r/>
            <w:r>
              <w:rPr>
                <w:rFonts w:ascii="Times New Roman" w:hAnsi="Times New Roman" w:cs="Times New Roman" w:eastAsia="Times New Roman"/>
                <w:b w:val="0"/>
                <w:i w:val="0"/>
                <w:sz w:val="18"/>
                <w:u w:val="none"/>
              </w:rPr>
              <w:t>§ 3.10</w:t>
            </w:r>
          </w:p>
        </w:tc>
        <w:tc>
          <w:tcPr>
            <w:tcW w:type="dxa" w:w="3579"/>
          </w:tcPr>
          <w:p>
            <w:pPr>
              <w:spacing w:after="40" w:before="40" w:line="240" w:lineRule="auto"/>
              <w:jc w:val="left"/>
            </w:pPr>
            <w:r/>
            <w:r>
              <w:rPr>
                <w:rFonts w:ascii="Times New Roman" w:hAnsi="Times New Roman" w:cs="Times New Roman" w:eastAsia="Times New Roman"/>
                <w:b w:val="0"/>
                <w:i w:val="0"/>
                <w:sz w:val="18"/>
                <w:u w:val="none"/>
              </w:rPr>
              <w:t>Monthly payments on the 15th</w:t>
            </w:r>
          </w:p>
        </w:tc>
        <w:tc>
          <w:tcPr>
            <w:tcW w:type="dxa" w:w="2615"/>
          </w:tcPr>
          <w:p>
            <w:pPr>
              <w:spacing w:after="40" w:before="40" w:line="240" w:lineRule="auto"/>
              <w:jc w:val="left"/>
            </w:pPr>
            <w:r/>
            <w:r>
              <w:rPr>
                <w:rFonts w:ascii="Times New Roman" w:hAnsi="Times New Roman" w:cs="Times New Roman" w:eastAsia="Times New Roman"/>
                <w:b w:val="0"/>
                <w:i w:val="0"/>
                <w:sz w:val="18"/>
                <w:u w:val="none"/>
              </w:rPr>
              <w:t>§ 3.2</w:t>
            </w:r>
          </w:p>
        </w:tc>
        <w:tc>
          <w:tcPr>
            <w:tcW w:type="dxa" w:w="1789"/>
          </w:tcPr>
          <w:p>
            <w:pPr>
              <w:spacing w:after="40" w:before="40" w:line="240" w:lineRule="auto"/>
              <w:jc w:val="left"/>
            </w:pPr>
            <w:r/>
            <w:r>
              <w:rPr>
                <w:rFonts w:ascii="Times New Roman" w:hAnsi="Times New Roman" w:cs="Times New Roman" w:eastAsia="Times New Roman"/>
                <w:b w:val="0"/>
                <w:i w:val="0"/>
                <w:sz w:val="18"/>
                <w:u w:val="none"/>
              </w:rPr>
              <w:t>Implemented</w:t>
            </w:r>
          </w:p>
        </w:tc>
      </w:tr>
      <w:tr>
        <w:tc>
          <w:tcPr>
            <w:tcW w:type="dxa" w:w="1376"/>
          </w:tcPr>
          <w:p>
            <w:pPr>
              <w:spacing w:after="40" w:before="40" w:line="240" w:lineRule="auto"/>
              <w:jc w:val="left"/>
            </w:pPr>
            <w:r/>
            <w:r>
              <w:rPr>
                <w:rFonts w:ascii="Times New Roman" w:hAnsi="Times New Roman" w:cs="Times New Roman" w:eastAsia="Times New Roman"/>
                <w:b w:val="0"/>
                <w:i w:val="0"/>
                <w:sz w:val="18"/>
                <w:u w:val="none"/>
              </w:rPr>
              <w:t>§ 3.11</w:t>
            </w:r>
          </w:p>
        </w:tc>
        <w:tc>
          <w:tcPr>
            <w:tcW w:type="dxa" w:w="3579"/>
          </w:tcPr>
          <w:p>
            <w:pPr>
              <w:spacing w:after="40" w:before="40" w:line="240" w:lineRule="auto"/>
              <w:jc w:val="left"/>
            </w:pPr>
            <w:r/>
            <w:r>
              <w:rPr>
                <w:rFonts w:ascii="Times New Roman" w:hAnsi="Times New Roman" w:cs="Times New Roman" w:eastAsia="Times New Roman"/>
                <w:b w:val="0"/>
                <w:i w:val="0"/>
                <w:sz w:val="18"/>
                <w:u w:val="none"/>
              </w:rPr>
              <w:t>5% late charge after 10 calendar days</w:t>
            </w:r>
          </w:p>
        </w:tc>
        <w:tc>
          <w:tcPr>
            <w:tcW w:type="dxa" w:w="2615"/>
          </w:tcPr>
          <w:p>
            <w:pPr>
              <w:spacing w:after="40" w:before="40" w:line="240" w:lineRule="auto"/>
              <w:jc w:val="left"/>
            </w:pPr>
            <w:r/>
            <w:r>
              <w:rPr>
                <w:rFonts w:ascii="Times New Roman" w:hAnsi="Times New Roman" w:cs="Times New Roman" w:eastAsia="Times New Roman"/>
                <w:b w:val="0"/>
                <w:i w:val="0"/>
                <w:sz w:val="18"/>
                <w:u w:val="none"/>
              </w:rPr>
              <w:t>§ 3.5</w:t>
            </w:r>
          </w:p>
        </w:tc>
        <w:tc>
          <w:tcPr>
            <w:tcW w:type="dxa" w:w="1789"/>
          </w:tcPr>
          <w:p>
            <w:pPr>
              <w:spacing w:after="40" w:before="40" w:line="240" w:lineRule="auto"/>
              <w:jc w:val="left"/>
            </w:pPr>
            <w:r/>
            <w:r>
              <w:rPr>
                <w:rFonts w:ascii="Times New Roman" w:hAnsi="Times New Roman" w:cs="Times New Roman" w:eastAsia="Times New Roman"/>
                <w:b w:val="0"/>
                <w:i w:val="0"/>
                <w:sz w:val="18"/>
                <w:u w:val="none"/>
              </w:rPr>
              <w:t>Implemented</w:t>
            </w:r>
          </w:p>
        </w:tc>
      </w:tr>
      <w:tr>
        <w:tc>
          <w:tcPr>
            <w:tcW w:type="dxa" w:w="1376"/>
          </w:tcPr>
          <w:p>
            <w:pPr>
              <w:spacing w:after="40" w:before="40" w:line="240" w:lineRule="auto"/>
              <w:jc w:val="left"/>
            </w:pPr>
            <w:r/>
            <w:r>
              <w:rPr>
                <w:rFonts w:ascii="Times New Roman" w:hAnsi="Times New Roman" w:cs="Times New Roman" w:eastAsia="Times New Roman"/>
                <w:b w:val="0"/>
                <w:i w:val="0"/>
                <w:sz w:val="18"/>
                <w:u w:val="none"/>
              </w:rPr>
              <w:t>§ 4.1</w:t>
            </w:r>
          </w:p>
        </w:tc>
        <w:tc>
          <w:tcPr>
            <w:tcW w:type="dxa" w:w="3579"/>
          </w:tcPr>
          <w:p>
            <w:pPr>
              <w:spacing w:after="40" w:before="40" w:line="240" w:lineRule="auto"/>
              <w:jc w:val="left"/>
            </w:pPr>
            <w:r/>
            <w:r>
              <w:rPr>
                <w:rFonts w:ascii="Times New Roman" w:hAnsi="Times New Roman" w:cs="Times New Roman" w:eastAsia="Times New Roman"/>
                <w:b w:val="0"/>
                <w:i w:val="0"/>
                <w:sz w:val="18"/>
                <w:u w:val="none"/>
              </w:rPr>
              <w:t>24-month lockout</w:t>
            </w:r>
          </w:p>
        </w:tc>
        <w:tc>
          <w:tcPr>
            <w:tcW w:type="dxa" w:w="2615"/>
          </w:tcPr>
          <w:p>
            <w:pPr>
              <w:spacing w:after="40" w:before="40" w:line="240" w:lineRule="auto"/>
              <w:jc w:val="left"/>
            </w:pPr>
            <w:r/>
            <w:r>
              <w:rPr>
                <w:rFonts w:ascii="Times New Roman" w:hAnsi="Times New Roman" w:cs="Times New Roman" w:eastAsia="Times New Roman"/>
                <w:b w:val="0"/>
                <w:i w:val="0"/>
                <w:sz w:val="18"/>
                <w:u w:val="none"/>
              </w:rPr>
              <w:t>§ 3.7</w:t>
            </w:r>
          </w:p>
        </w:tc>
        <w:tc>
          <w:tcPr>
            <w:tcW w:type="dxa" w:w="1789"/>
          </w:tcPr>
          <w:p>
            <w:pPr>
              <w:spacing w:after="40" w:before="40" w:line="240" w:lineRule="auto"/>
              <w:jc w:val="left"/>
            </w:pPr>
            <w:r/>
            <w:r>
              <w:rPr>
                <w:rFonts w:ascii="Times New Roman" w:hAnsi="Times New Roman" w:cs="Times New Roman" w:eastAsia="Times New Roman"/>
                <w:b w:val="0"/>
                <w:i w:val="0"/>
                <w:sz w:val="18"/>
                <w:u w:val="none"/>
              </w:rPr>
              <w:t>Deviation (remedy); see 7.2</w:t>
            </w:r>
          </w:p>
        </w:tc>
      </w:tr>
      <w:tr>
        <w:tc>
          <w:tcPr>
            <w:tcW w:type="dxa" w:w="1376"/>
          </w:tcPr>
          <w:p>
            <w:pPr>
              <w:spacing w:after="40" w:before="40" w:line="240" w:lineRule="auto"/>
              <w:jc w:val="left"/>
            </w:pPr>
            <w:r/>
            <w:r>
              <w:rPr>
                <w:rFonts w:ascii="Times New Roman" w:hAnsi="Times New Roman" w:cs="Times New Roman" w:eastAsia="Times New Roman"/>
                <w:b w:val="0"/>
                <w:i w:val="0"/>
                <w:sz w:val="18"/>
                <w:u w:val="none"/>
              </w:rPr>
              <w:t>§ 4.2</w:t>
            </w:r>
          </w:p>
        </w:tc>
        <w:tc>
          <w:tcPr>
            <w:tcW w:type="dxa" w:w="3579"/>
          </w:tcPr>
          <w:p>
            <w:pPr>
              <w:spacing w:after="40" w:before="40" w:line="240" w:lineRule="auto"/>
              <w:jc w:val="left"/>
            </w:pPr>
            <w:r/>
            <w:r>
              <w:rPr>
                <w:rFonts w:ascii="Times New Roman" w:hAnsi="Times New Roman" w:cs="Times New Roman" w:eastAsia="Times New Roman"/>
                <w:b w:val="0"/>
                <w:i w:val="0"/>
                <w:sz w:val="18"/>
                <w:u w:val="none"/>
              </w:rPr>
              <w:t>Yield maintenance, months 25–48; greater of 1% or PV of net interest differential</w:t>
            </w:r>
          </w:p>
        </w:tc>
        <w:tc>
          <w:tcPr>
            <w:tcW w:type="dxa" w:w="2615"/>
          </w:tcPr>
          <w:p>
            <w:pPr>
              <w:spacing w:after="40" w:before="40" w:line="240" w:lineRule="auto"/>
              <w:jc w:val="left"/>
            </w:pPr>
            <w:r/>
            <w:r>
              <w:rPr>
                <w:rFonts w:ascii="Times New Roman" w:hAnsi="Times New Roman" w:cs="Times New Roman" w:eastAsia="Times New Roman"/>
                <w:b w:val="0"/>
                <w:i w:val="0"/>
                <w:sz w:val="18"/>
                <w:u w:val="none"/>
              </w:rPr>
              <w:t>§ 3.9; Exhibit D</w:t>
            </w:r>
          </w:p>
        </w:tc>
        <w:tc>
          <w:tcPr>
            <w:tcW w:type="dxa" w:w="1789"/>
          </w:tcPr>
          <w:p>
            <w:pPr>
              <w:spacing w:after="40" w:before="40" w:line="240" w:lineRule="auto"/>
              <w:jc w:val="left"/>
            </w:pPr>
            <w:r/>
            <w:r>
              <w:rPr>
                <w:rFonts w:ascii="Times New Roman" w:hAnsi="Times New Roman" w:cs="Times New Roman" w:eastAsia="Times New Roman"/>
                <w:b w:val="0"/>
                <w:i w:val="0"/>
                <w:sz w:val="18"/>
                <w:u w:val="none"/>
              </w:rPr>
              <w:t>Implemented per Term Sheet; see 7.1</w:t>
            </w:r>
          </w:p>
        </w:tc>
      </w:tr>
      <w:tr>
        <w:tc>
          <w:tcPr>
            <w:tcW w:type="dxa" w:w="1376"/>
          </w:tcPr>
          <w:p>
            <w:pPr>
              <w:spacing w:after="40" w:before="40" w:line="240" w:lineRule="auto"/>
              <w:jc w:val="left"/>
            </w:pPr>
            <w:r/>
            <w:r>
              <w:rPr>
                <w:rFonts w:ascii="Times New Roman" w:hAnsi="Times New Roman" w:cs="Times New Roman" w:eastAsia="Times New Roman"/>
                <w:b w:val="0"/>
                <w:i w:val="0"/>
                <w:sz w:val="18"/>
                <w:u w:val="none"/>
              </w:rPr>
              <w:t>§ 4.3</w:t>
            </w:r>
          </w:p>
        </w:tc>
        <w:tc>
          <w:tcPr>
            <w:tcW w:type="dxa" w:w="3579"/>
          </w:tcPr>
          <w:p>
            <w:pPr>
              <w:spacing w:after="40" w:before="40" w:line="240" w:lineRule="auto"/>
              <w:jc w:val="left"/>
            </w:pPr>
            <w:r/>
            <w:r>
              <w:rPr>
                <w:rFonts w:ascii="Times New Roman" w:hAnsi="Times New Roman" w:cs="Times New Roman" w:eastAsia="Times New Roman"/>
                <w:b w:val="0"/>
                <w:i w:val="0"/>
                <w:sz w:val="18"/>
                <w:u w:val="none"/>
              </w:rPr>
              <w:t>Open prepayment, months 49–60</w:t>
            </w:r>
          </w:p>
        </w:tc>
        <w:tc>
          <w:tcPr>
            <w:tcW w:type="dxa" w:w="2615"/>
          </w:tcPr>
          <w:p>
            <w:pPr>
              <w:spacing w:after="40" w:before="40" w:line="240" w:lineRule="auto"/>
              <w:jc w:val="left"/>
            </w:pPr>
            <w:r/>
            <w:r>
              <w:rPr>
                <w:rFonts w:ascii="Times New Roman" w:hAnsi="Times New Roman" w:cs="Times New Roman" w:eastAsia="Times New Roman"/>
                <w:b w:val="0"/>
                <w:i w:val="0"/>
                <w:sz w:val="18"/>
                <w:u w:val="none"/>
              </w:rPr>
              <w:t>§ 3.10</w:t>
            </w:r>
          </w:p>
        </w:tc>
        <w:tc>
          <w:tcPr>
            <w:tcW w:type="dxa" w:w="1789"/>
          </w:tcPr>
          <w:p>
            <w:pPr>
              <w:spacing w:after="40" w:before="40" w:line="240" w:lineRule="auto"/>
              <w:jc w:val="left"/>
            </w:pPr>
            <w:r/>
            <w:r>
              <w:rPr>
                <w:rFonts w:ascii="Times New Roman" w:hAnsi="Times New Roman" w:cs="Times New Roman" w:eastAsia="Times New Roman"/>
                <w:b w:val="0"/>
                <w:i w:val="0"/>
                <w:sz w:val="18"/>
                <w:u w:val="none"/>
              </w:rPr>
              <w:t>Implemented</w:t>
            </w:r>
          </w:p>
        </w:tc>
      </w:tr>
      <w:tr>
        <w:tc>
          <w:tcPr>
            <w:tcW w:type="dxa" w:w="1376"/>
          </w:tcPr>
          <w:p>
            <w:pPr>
              <w:spacing w:after="40" w:before="40" w:line="240" w:lineRule="auto"/>
              <w:jc w:val="left"/>
            </w:pPr>
            <w:r/>
            <w:r>
              <w:rPr>
                <w:rFonts w:ascii="Times New Roman" w:hAnsi="Times New Roman" w:cs="Times New Roman" w:eastAsia="Times New Roman"/>
                <w:b w:val="0"/>
                <w:i w:val="0"/>
                <w:sz w:val="18"/>
                <w:u w:val="none"/>
              </w:rPr>
              <w:t>§ 5.1(a)–(h)</w:t>
            </w:r>
          </w:p>
        </w:tc>
        <w:tc>
          <w:tcPr>
            <w:tcW w:type="dxa" w:w="3579"/>
          </w:tcPr>
          <w:p>
            <w:pPr>
              <w:spacing w:after="40" w:before="40" w:line="240" w:lineRule="auto"/>
              <w:jc w:val="left"/>
            </w:pPr>
            <w:r/>
            <w:r>
              <w:rPr>
                <w:rFonts w:ascii="Times New Roman" w:hAnsi="Times New Roman" w:cs="Times New Roman" w:eastAsia="Times New Roman"/>
                <w:b w:val="0"/>
                <w:i w:val="0"/>
                <w:sz w:val="18"/>
                <w:u w:val="none"/>
              </w:rPr>
              <w:t>Scope of collateral (fee interest, improvements, personal property, reserves, proceeds, permits, contracts, rents)</w:t>
            </w:r>
          </w:p>
        </w:tc>
        <w:tc>
          <w:tcPr>
            <w:tcW w:type="dxa" w:w="2615"/>
          </w:tcPr>
          <w:p>
            <w:pPr>
              <w:spacing w:after="40" w:before="40" w:line="240" w:lineRule="auto"/>
              <w:jc w:val="left"/>
            </w:pPr>
            <w:r/>
            <w:r>
              <w:rPr>
                <w:rFonts w:ascii="Times New Roman" w:hAnsi="Times New Roman" w:cs="Times New Roman" w:eastAsia="Times New Roman"/>
                <w:b w:val="0"/>
                <w:i w:val="0"/>
                <w:sz w:val="18"/>
                <w:u w:val="none"/>
              </w:rPr>
              <w:t>Article 2</w:t>
            </w:r>
          </w:p>
        </w:tc>
        <w:tc>
          <w:tcPr>
            <w:tcW w:type="dxa" w:w="1789"/>
          </w:tcPr>
          <w:p>
            <w:pPr>
              <w:spacing w:after="40" w:before="40" w:line="240" w:lineRule="auto"/>
              <w:jc w:val="left"/>
            </w:pPr>
            <w:r/>
            <w:r>
              <w:rPr>
                <w:rFonts w:ascii="Times New Roman" w:hAnsi="Times New Roman" w:cs="Times New Roman" w:eastAsia="Times New Roman"/>
                <w:b w:val="0"/>
                <w:i w:val="0"/>
                <w:sz w:val="18"/>
                <w:u w:val="none"/>
              </w:rPr>
              <w:t>Implemented</w:t>
            </w:r>
          </w:p>
        </w:tc>
      </w:tr>
      <w:tr>
        <w:tc>
          <w:tcPr>
            <w:tcW w:type="dxa" w:w="1376"/>
          </w:tcPr>
          <w:p>
            <w:pPr>
              <w:spacing w:after="40" w:before="40" w:line="240" w:lineRule="auto"/>
              <w:jc w:val="left"/>
            </w:pPr>
            <w:r/>
            <w:r>
              <w:rPr>
                <w:rFonts w:ascii="Times New Roman" w:hAnsi="Times New Roman" w:cs="Times New Roman" w:eastAsia="Times New Roman"/>
                <w:b w:val="0"/>
                <w:i w:val="0"/>
                <w:sz w:val="18"/>
                <w:u w:val="none"/>
              </w:rPr>
              <w:t>§ 5.2</w:t>
            </w:r>
          </w:p>
        </w:tc>
        <w:tc>
          <w:tcPr>
            <w:tcW w:type="dxa" w:w="3579"/>
          </w:tcPr>
          <w:p>
            <w:pPr>
              <w:spacing w:after="40" w:before="40" w:line="240" w:lineRule="auto"/>
              <w:jc w:val="left"/>
            </w:pPr>
            <w:r/>
            <w:r>
              <w:rPr>
                <w:rFonts w:ascii="Times New Roman" w:hAnsi="Times New Roman" w:cs="Times New Roman" w:eastAsia="Times New Roman"/>
                <w:b w:val="0"/>
                <w:i w:val="0"/>
                <w:sz w:val="18"/>
                <w:u w:val="none"/>
              </w:rPr>
              <w:t>Absolute assignment of leases and rents (may be incorporated)</w:t>
            </w:r>
          </w:p>
        </w:tc>
        <w:tc>
          <w:tcPr>
            <w:tcW w:type="dxa" w:w="2615"/>
          </w:tcPr>
          <w:p>
            <w:pPr>
              <w:spacing w:after="40" w:before="40" w:line="240" w:lineRule="auto"/>
              <w:jc w:val="left"/>
            </w:pPr>
            <w:r/>
            <w:r>
              <w:rPr>
                <w:rFonts w:ascii="Times New Roman" w:hAnsi="Times New Roman" w:cs="Times New Roman" w:eastAsia="Times New Roman"/>
                <w:b w:val="0"/>
                <w:i w:val="0"/>
                <w:sz w:val="18"/>
                <w:u w:val="none"/>
              </w:rPr>
              <w:t>Article 4; § 2.4</w:t>
            </w:r>
          </w:p>
        </w:tc>
        <w:tc>
          <w:tcPr>
            <w:tcW w:type="dxa" w:w="1789"/>
          </w:tcPr>
          <w:p>
            <w:pPr>
              <w:spacing w:after="40" w:before="40" w:line="240" w:lineRule="auto"/>
              <w:jc w:val="left"/>
            </w:pPr>
            <w:r/>
            <w:r>
              <w:rPr>
                <w:rFonts w:ascii="Times New Roman" w:hAnsi="Times New Roman" w:cs="Times New Roman" w:eastAsia="Times New Roman"/>
                <w:b w:val="0"/>
                <w:i w:val="0"/>
                <w:sz w:val="18"/>
                <w:u w:val="none"/>
              </w:rPr>
              <w:t>Implemented (incorporated)</w:t>
            </w:r>
          </w:p>
        </w:tc>
      </w:tr>
      <w:tr>
        <w:tc>
          <w:tcPr>
            <w:tcW w:type="dxa" w:w="1376"/>
          </w:tcPr>
          <w:p>
            <w:pPr>
              <w:spacing w:after="40" w:before="40" w:line="240" w:lineRule="auto"/>
              <w:jc w:val="left"/>
            </w:pPr>
            <w:r/>
            <w:r>
              <w:rPr>
                <w:rFonts w:ascii="Times New Roman" w:hAnsi="Times New Roman" w:cs="Times New Roman" w:eastAsia="Times New Roman"/>
                <w:b w:val="0"/>
                <w:i w:val="0"/>
                <w:sz w:val="18"/>
                <w:u w:val="none"/>
              </w:rPr>
              <w:t>§ 5.3</w:t>
            </w:r>
          </w:p>
        </w:tc>
        <w:tc>
          <w:tcPr>
            <w:tcW w:type="dxa" w:w="3579"/>
          </w:tcPr>
          <w:p>
            <w:pPr>
              <w:spacing w:after="40" w:before="40" w:line="240" w:lineRule="auto"/>
              <w:jc w:val="left"/>
            </w:pPr>
            <w:r/>
            <w:r>
              <w:rPr>
                <w:rFonts w:ascii="Times New Roman" w:hAnsi="Times New Roman" w:cs="Times New Roman" w:eastAsia="Times New Roman"/>
                <w:b w:val="0"/>
                <w:i w:val="0"/>
                <w:sz w:val="18"/>
                <w:u w:val="none"/>
              </w:rPr>
              <w:t>UCC-1 and fixture filing</w:t>
            </w:r>
          </w:p>
        </w:tc>
        <w:tc>
          <w:tcPr>
            <w:tcW w:type="dxa" w:w="2615"/>
          </w:tcPr>
          <w:p>
            <w:pPr>
              <w:spacing w:after="40" w:before="40" w:line="240" w:lineRule="auto"/>
              <w:jc w:val="left"/>
            </w:pPr>
            <w:r/>
            <w:r>
              <w:rPr>
                <w:rFonts w:ascii="Times New Roman" w:hAnsi="Times New Roman" w:cs="Times New Roman" w:eastAsia="Times New Roman"/>
                <w:b w:val="0"/>
                <w:i w:val="0"/>
                <w:sz w:val="18"/>
                <w:u w:val="none"/>
              </w:rPr>
              <w:t>§ 2.2; § 2.3</w:t>
            </w:r>
          </w:p>
        </w:tc>
        <w:tc>
          <w:tcPr>
            <w:tcW w:type="dxa" w:w="1789"/>
          </w:tcPr>
          <w:p>
            <w:pPr>
              <w:spacing w:after="40" w:before="40" w:line="240" w:lineRule="auto"/>
              <w:jc w:val="left"/>
            </w:pPr>
            <w:r/>
            <w:r>
              <w:rPr>
                <w:rFonts w:ascii="Times New Roman" w:hAnsi="Times New Roman" w:cs="Times New Roman" w:eastAsia="Times New Roman"/>
                <w:b w:val="0"/>
                <w:i w:val="0"/>
                <w:sz w:val="18"/>
                <w:u w:val="none"/>
              </w:rPr>
              <w:t>Implemented</w:t>
            </w:r>
          </w:p>
        </w:tc>
      </w:tr>
      <w:tr>
        <w:tc>
          <w:tcPr>
            <w:tcW w:type="dxa" w:w="1376"/>
          </w:tcPr>
          <w:p>
            <w:pPr>
              <w:spacing w:after="40" w:before="40" w:line="240" w:lineRule="auto"/>
              <w:jc w:val="left"/>
            </w:pPr>
            <w:r/>
            <w:r>
              <w:rPr>
                <w:rFonts w:ascii="Times New Roman" w:hAnsi="Times New Roman" w:cs="Times New Roman" w:eastAsia="Times New Roman"/>
                <w:b w:val="0"/>
                <w:i w:val="0"/>
                <w:sz w:val="18"/>
                <w:u w:val="none"/>
              </w:rPr>
              <w:t>§ 5.4</w:t>
            </w:r>
          </w:p>
        </w:tc>
        <w:tc>
          <w:tcPr>
            <w:tcW w:type="dxa" w:w="3579"/>
          </w:tcPr>
          <w:p>
            <w:pPr>
              <w:spacing w:after="40" w:before="40" w:line="240" w:lineRule="auto"/>
              <w:jc w:val="left"/>
            </w:pPr>
            <w:r/>
            <w:r>
              <w:rPr>
                <w:rFonts w:ascii="Times New Roman" w:hAnsi="Times New Roman" w:cs="Times New Roman" w:eastAsia="Times New Roman"/>
                <w:b w:val="0"/>
                <w:i w:val="0"/>
                <w:sz w:val="18"/>
                <w:u w:val="none"/>
              </w:rPr>
              <w:t>Environmental Indemnity</w:t>
            </w:r>
          </w:p>
        </w:tc>
        <w:tc>
          <w:tcPr>
            <w:tcW w:type="dxa" w:w="2615"/>
          </w:tcPr>
          <w:p>
            <w:pPr>
              <w:spacing w:after="40" w:before="40" w:line="240" w:lineRule="auto"/>
              <w:jc w:val="left"/>
            </w:pPr>
            <w:r/>
            <w:r>
              <w:rPr>
                <w:rFonts w:ascii="Times New Roman" w:hAnsi="Times New Roman" w:cs="Times New Roman" w:eastAsia="Times New Roman"/>
                <w:b w:val="0"/>
                <w:i w:val="0"/>
                <w:sz w:val="18"/>
                <w:u w:val="none"/>
              </w:rPr>
              <w:t>§ 9.5; § 17.4</w:t>
            </w:r>
          </w:p>
        </w:tc>
        <w:tc>
          <w:tcPr>
            <w:tcW w:type="dxa" w:w="1789"/>
          </w:tcPr>
          <w:p>
            <w:pPr>
              <w:spacing w:after="40" w:before="40" w:line="240" w:lineRule="auto"/>
              <w:jc w:val="left"/>
            </w:pPr>
            <w:r/>
            <w:r>
              <w:rPr>
                <w:rFonts w:ascii="Times New Roman" w:hAnsi="Times New Roman" w:cs="Times New Roman" w:eastAsia="Times New Roman"/>
                <w:b w:val="0"/>
                <w:i w:val="0"/>
                <w:sz w:val="18"/>
                <w:u w:val="none"/>
              </w:rPr>
              <w:t>Implemented</w:t>
            </w:r>
          </w:p>
        </w:tc>
      </w:tr>
      <w:tr>
        <w:tc>
          <w:tcPr>
            <w:tcW w:type="dxa" w:w="1376"/>
          </w:tcPr>
          <w:p>
            <w:pPr>
              <w:spacing w:after="40" w:before="40" w:line="240" w:lineRule="auto"/>
              <w:jc w:val="left"/>
            </w:pPr>
            <w:r/>
            <w:r>
              <w:rPr>
                <w:rFonts w:ascii="Times New Roman" w:hAnsi="Times New Roman" w:cs="Times New Roman" w:eastAsia="Times New Roman"/>
                <w:b w:val="0"/>
                <w:i w:val="0"/>
                <w:sz w:val="18"/>
                <w:u w:val="none"/>
              </w:rPr>
              <w:t>§ 5.5(a)–(c)</w:t>
            </w:r>
          </w:p>
        </w:tc>
        <w:tc>
          <w:tcPr>
            <w:tcW w:type="dxa" w:w="3579"/>
          </w:tcPr>
          <w:p>
            <w:pPr>
              <w:spacing w:after="40" w:before="40" w:line="240" w:lineRule="auto"/>
              <w:jc w:val="left"/>
            </w:pPr>
            <w:r/>
            <w:r>
              <w:rPr>
                <w:rFonts w:ascii="Times New Roman" w:hAnsi="Times New Roman" w:cs="Times New Roman" w:eastAsia="Times New Roman"/>
                <w:b w:val="0"/>
                <w:i w:val="0"/>
                <w:sz w:val="18"/>
                <w:u w:val="none"/>
              </w:rPr>
              <w:t>Non-recourse carve-outs; Completion Guaranty; interest shortfall guaranty</w:t>
            </w:r>
          </w:p>
        </w:tc>
        <w:tc>
          <w:tcPr>
            <w:tcW w:type="dxa" w:w="2615"/>
          </w:tcPr>
          <w:p>
            <w:pPr>
              <w:spacing w:after="40" w:before="40" w:line="240" w:lineRule="auto"/>
              <w:jc w:val="left"/>
            </w:pPr>
            <w:r/>
            <w:r>
              <w:rPr>
                <w:rFonts w:ascii="Times New Roman" w:hAnsi="Times New Roman" w:cs="Times New Roman" w:eastAsia="Times New Roman"/>
                <w:b w:val="0"/>
                <w:i w:val="0"/>
                <w:sz w:val="18"/>
                <w:u w:val="none"/>
              </w:rPr>
              <w:t>Recital C; § 10.10; Article 17</w:t>
            </w:r>
          </w:p>
        </w:tc>
        <w:tc>
          <w:tcPr>
            <w:tcW w:type="dxa" w:w="1789"/>
          </w:tcPr>
          <w:p>
            <w:pPr>
              <w:spacing w:after="40" w:before="40" w:line="240" w:lineRule="auto"/>
              <w:jc w:val="left"/>
            </w:pPr>
            <w:r/>
            <w:r>
              <w:rPr>
                <w:rFonts w:ascii="Times New Roman" w:hAnsi="Times New Roman" w:cs="Times New Roman" w:eastAsia="Times New Roman"/>
                <w:b w:val="0"/>
                <w:i w:val="0"/>
                <w:sz w:val="18"/>
                <w:u w:val="none"/>
              </w:rPr>
              <w:t>Implemented; guaranty caps flagged (F1, F7)</w:t>
            </w:r>
          </w:p>
        </w:tc>
      </w:tr>
      <w:tr>
        <w:tc>
          <w:tcPr>
            <w:tcW w:type="dxa" w:w="1376"/>
          </w:tcPr>
          <w:p>
            <w:pPr>
              <w:spacing w:after="40" w:before="40" w:line="240" w:lineRule="auto"/>
              <w:jc w:val="left"/>
            </w:pPr>
            <w:r/>
            <w:r>
              <w:rPr>
                <w:rFonts w:ascii="Times New Roman" w:hAnsi="Times New Roman" w:cs="Times New Roman" w:eastAsia="Times New Roman"/>
                <w:b w:val="0"/>
                <w:i w:val="0"/>
                <w:sz w:val="18"/>
                <w:u w:val="none"/>
              </w:rPr>
              <w:t>§ 5.6</w:t>
            </w:r>
          </w:p>
        </w:tc>
        <w:tc>
          <w:tcPr>
            <w:tcW w:type="dxa" w:w="3579"/>
          </w:tcPr>
          <w:p>
            <w:pPr>
              <w:spacing w:after="40" w:before="40" w:line="240" w:lineRule="auto"/>
              <w:jc w:val="left"/>
            </w:pPr>
            <w:r/>
            <w:r>
              <w:rPr>
                <w:rFonts w:ascii="Times New Roman" w:hAnsi="Times New Roman" w:cs="Times New Roman" w:eastAsia="Times New Roman"/>
                <w:b w:val="0"/>
                <w:i w:val="0"/>
                <w:sz w:val="18"/>
                <w:u w:val="none"/>
              </w:rPr>
              <w:t>Title policy and endorsements</w:t>
            </w:r>
          </w:p>
        </w:tc>
        <w:tc>
          <w:tcPr>
            <w:tcW w:type="dxa" w:w="2615"/>
          </w:tcPr>
          <w:p>
            <w:pPr>
              <w:spacing w:after="40" w:before="40" w:line="240" w:lineRule="auto"/>
              <w:jc w:val="left"/>
            </w:pPr>
            <w:r/>
            <w:r>
              <w:rPr>
                <w:rFonts w:ascii="Times New Roman" w:hAnsi="Times New Roman" w:cs="Times New Roman" w:eastAsia="Times New Roman"/>
                <w:b w:val="0"/>
                <w:i w:val="0"/>
                <w:sz w:val="18"/>
                <w:u w:val="none"/>
              </w:rPr>
              <w:t>Article 1; § 6.11; Exhibit B</w:t>
            </w:r>
          </w:p>
        </w:tc>
        <w:tc>
          <w:tcPr>
            <w:tcW w:type="dxa" w:w="1789"/>
          </w:tcPr>
          <w:p>
            <w:pPr>
              <w:spacing w:after="40" w:before="40" w:line="240" w:lineRule="auto"/>
              <w:jc w:val="left"/>
            </w:pPr>
            <w:r/>
            <w:r>
              <w:rPr>
                <w:rFonts w:ascii="Times New Roman" w:hAnsi="Times New Roman" w:cs="Times New Roman" w:eastAsia="Times New Roman"/>
                <w:b w:val="0"/>
                <w:i w:val="0"/>
                <w:sz w:val="18"/>
                <w:u w:val="none"/>
              </w:rPr>
              <w:t>Implemented; endorsements not yet ordered (A3)</w:t>
            </w:r>
          </w:p>
        </w:tc>
      </w:tr>
      <w:tr>
        <w:tc>
          <w:tcPr>
            <w:tcW w:type="dxa" w:w="1376"/>
          </w:tcPr>
          <w:p>
            <w:pPr>
              <w:spacing w:after="40" w:before="40" w:line="240" w:lineRule="auto"/>
              <w:jc w:val="left"/>
            </w:pPr>
            <w:r/>
            <w:r>
              <w:rPr>
                <w:rFonts w:ascii="Times New Roman" w:hAnsi="Times New Roman" w:cs="Times New Roman" w:eastAsia="Times New Roman"/>
                <w:b w:val="0"/>
                <w:i w:val="0"/>
                <w:sz w:val="18"/>
                <w:u w:val="none"/>
              </w:rPr>
              <w:t>§ 6.1</w:t>
            </w:r>
          </w:p>
        </w:tc>
        <w:tc>
          <w:tcPr>
            <w:tcW w:type="dxa" w:w="3579"/>
          </w:tcPr>
          <w:p>
            <w:pPr>
              <w:spacing w:after="40" w:before="40" w:line="240" w:lineRule="auto"/>
              <w:jc w:val="left"/>
            </w:pPr>
            <w:r/>
            <w:r>
              <w:rPr>
                <w:rFonts w:ascii="Times New Roman" w:hAnsi="Times New Roman" w:cs="Times New Roman" w:eastAsia="Times New Roman"/>
                <w:b w:val="0"/>
                <w:i w:val="0"/>
                <w:sz w:val="18"/>
                <w:u w:val="none"/>
              </w:rPr>
              <w:t>Tax and insurance escrow</w:t>
            </w:r>
          </w:p>
        </w:tc>
        <w:tc>
          <w:tcPr>
            <w:tcW w:type="dxa" w:w="2615"/>
          </w:tcPr>
          <w:p>
            <w:pPr>
              <w:spacing w:after="40" w:before="40" w:line="240" w:lineRule="auto"/>
              <w:jc w:val="left"/>
            </w:pPr>
            <w:r/>
            <w:r>
              <w:rPr>
                <w:rFonts w:ascii="Times New Roman" w:hAnsi="Times New Roman" w:cs="Times New Roman" w:eastAsia="Times New Roman"/>
                <w:b w:val="0"/>
                <w:i w:val="0"/>
                <w:sz w:val="18"/>
                <w:u w:val="none"/>
              </w:rPr>
              <w:t>§ 11.1</w:t>
            </w:r>
          </w:p>
        </w:tc>
        <w:tc>
          <w:tcPr>
            <w:tcW w:type="dxa" w:w="1789"/>
          </w:tcPr>
          <w:p>
            <w:pPr>
              <w:spacing w:after="40" w:before="40" w:line="240" w:lineRule="auto"/>
              <w:jc w:val="left"/>
            </w:pPr>
            <w:r/>
            <w:r>
              <w:rPr>
                <w:rFonts w:ascii="Times New Roman" w:hAnsi="Times New Roman" w:cs="Times New Roman" w:eastAsia="Times New Roman"/>
                <w:b w:val="0"/>
                <w:i w:val="0"/>
                <w:sz w:val="18"/>
                <w:u w:val="none"/>
              </w:rPr>
              <w:t>Implemented</w:t>
            </w:r>
          </w:p>
        </w:tc>
      </w:tr>
      <w:tr>
        <w:tc>
          <w:tcPr>
            <w:tcW w:type="dxa" w:w="1376"/>
          </w:tcPr>
          <w:p>
            <w:pPr>
              <w:spacing w:after="40" w:before="40" w:line="240" w:lineRule="auto"/>
              <w:jc w:val="left"/>
            </w:pPr>
            <w:r/>
            <w:r>
              <w:rPr>
                <w:rFonts w:ascii="Times New Roman" w:hAnsi="Times New Roman" w:cs="Times New Roman" w:eastAsia="Times New Roman"/>
                <w:b w:val="0"/>
                <w:i w:val="0"/>
                <w:sz w:val="18"/>
                <w:u w:val="none"/>
              </w:rPr>
              <w:t>§ 6.2</w:t>
            </w:r>
          </w:p>
        </w:tc>
        <w:tc>
          <w:tcPr>
            <w:tcW w:type="dxa" w:w="3579"/>
          </w:tcPr>
          <w:p>
            <w:pPr>
              <w:spacing w:after="40" w:before="40" w:line="240" w:lineRule="auto"/>
              <w:jc w:val="left"/>
            </w:pPr>
            <w:r/>
            <w:r>
              <w:rPr>
                <w:rFonts w:ascii="Times New Roman" w:hAnsi="Times New Roman" w:cs="Times New Roman" w:eastAsia="Times New Roman"/>
                <w:b w:val="0"/>
                <w:i w:val="0"/>
                <w:sz w:val="18"/>
                <w:u w:val="none"/>
              </w:rPr>
              <w:t>Capital replacement reserve of $645.83 monthly</w:t>
            </w:r>
          </w:p>
        </w:tc>
        <w:tc>
          <w:tcPr>
            <w:tcW w:type="dxa" w:w="2615"/>
          </w:tcPr>
          <w:p>
            <w:pPr>
              <w:spacing w:after="40" w:before="40" w:line="240" w:lineRule="auto"/>
              <w:jc w:val="left"/>
            </w:pPr>
            <w:r/>
            <w:r>
              <w:rPr>
                <w:rFonts w:ascii="Times New Roman" w:hAnsi="Times New Roman" w:cs="Times New Roman" w:eastAsia="Times New Roman"/>
                <w:b w:val="0"/>
                <w:i w:val="0"/>
                <w:sz w:val="18"/>
                <w:u w:val="none"/>
              </w:rPr>
              <w:t>§ 11.2</w:t>
            </w:r>
          </w:p>
        </w:tc>
        <w:tc>
          <w:tcPr>
            <w:tcW w:type="dxa" w:w="1789"/>
          </w:tcPr>
          <w:p>
            <w:pPr>
              <w:spacing w:after="40" w:before="40" w:line="240" w:lineRule="auto"/>
              <w:jc w:val="left"/>
            </w:pPr>
            <w:r/>
            <w:r>
              <w:rPr>
                <w:rFonts w:ascii="Times New Roman" w:hAnsi="Times New Roman" w:cs="Times New Roman" w:eastAsia="Times New Roman"/>
                <w:b w:val="0"/>
                <w:i w:val="0"/>
                <w:sz w:val="18"/>
                <w:u w:val="none"/>
              </w:rPr>
              <w:t>Implemented (arithmetic verified)</w:t>
            </w:r>
          </w:p>
        </w:tc>
      </w:tr>
      <w:tr>
        <w:tc>
          <w:tcPr>
            <w:tcW w:type="dxa" w:w="1376"/>
          </w:tcPr>
          <w:p>
            <w:pPr>
              <w:spacing w:after="40" w:before="40" w:line="240" w:lineRule="auto"/>
              <w:jc w:val="left"/>
            </w:pPr>
            <w:r/>
            <w:r>
              <w:rPr>
                <w:rFonts w:ascii="Times New Roman" w:hAnsi="Times New Roman" w:cs="Times New Roman" w:eastAsia="Times New Roman"/>
                <w:b w:val="0"/>
                <w:i w:val="0"/>
                <w:sz w:val="18"/>
                <w:u w:val="none"/>
              </w:rPr>
              <w:t>§ 6.3</w:t>
            </w:r>
          </w:p>
        </w:tc>
        <w:tc>
          <w:tcPr>
            <w:tcW w:type="dxa" w:w="3579"/>
          </w:tcPr>
          <w:p>
            <w:pPr>
              <w:spacing w:after="40" w:before="40" w:line="240" w:lineRule="auto"/>
              <w:jc w:val="left"/>
            </w:pPr>
            <w:r/>
            <w:r>
              <w:rPr>
                <w:rFonts w:ascii="Times New Roman" w:hAnsi="Times New Roman" w:cs="Times New Roman" w:eastAsia="Times New Roman"/>
                <w:b w:val="0"/>
                <w:i w:val="0"/>
                <w:sz w:val="18"/>
                <w:u w:val="none"/>
              </w:rPr>
              <w:t>$150,000 TI/LC reserve at closing; 30-day replenishment</w:t>
            </w:r>
          </w:p>
        </w:tc>
        <w:tc>
          <w:tcPr>
            <w:tcW w:type="dxa" w:w="2615"/>
          </w:tcPr>
          <w:p>
            <w:pPr>
              <w:spacing w:after="40" w:before="40" w:line="240" w:lineRule="auto"/>
              <w:jc w:val="left"/>
            </w:pPr>
            <w:r/>
            <w:r>
              <w:rPr>
                <w:rFonts w:ascii="Times New Roman" w:hAnsi="Times New Roman" w:cs="Times New Roman" w:eastAsia="Times New Roman"/>
                <w:b w:val="0"/>
                <w:i w:val="0"/>
                <w:sz w:val="18"/>
                <w:u w:val="none"/>
              </w:rPr>
              <w:t>§ 11.3</w:t>
            </w:r>
          </w:p>
        </w:tc>
        <w:tc>
          <w:tcPr>
            <w:tcW w:type="dxa" w:w="1789"/>
          </w:tcPr>
          <w:p>
            <w:pPr>
              <w:spacing w:after="40" w:before="40" w:line="240" w:lineRule="auto"/>
              <w:jc w:val="left"/>
            </w:pPr>
            <w:r/>
            <w:r>
              <w:rPr>
                <w:rFonts w:ascii="Times New Roman" w:hAnsi="Times New Roman" w:cs="Times New Roman" w:eastAsia="Times New Roman"/>
                <w:b w:val="0"/>
                <w:i w:val="0"/>
                <w:sz w:val="18"/>
                <w:u w:val="none"/>
              </w:rPr>
              <w:t>Implemented; funding gap flagged (G1)</w:t>
            </w:r>
          </w:p>
        </w:tc>
      </w:tr>
      <w:tr>
        <w:tc>
          <w:tcPr>
            <w:tcW w:type="dxa" w:w="1376"/>
          </w:tcPr>
          <w:p>
            <w:pPr>
              <w:spacing w:after="40" w:before="40" w:line="240" w:lineRule="auto"/>
              <w:jc w:val="left"/>
            </w:pPr>
            <w:r/>
            <w:r>
              <w:rPr>
                <w:rFonts w:ascii="Times New Roman" w:hAnsi="Times New Roman" w:cs="Times New Roman" w:eastAsia="Times New Roman"/>
                <w:b w:val="0"/>
                <w:i w:val="0"/>
                <w:sz w:val="18"/>
                <w:u w:val="none"/>
              </w:rPr>
              <w:t>§ 6.4, 8.4</w:t>
            </w:r>
          </w:p>
        </w:tc>
        <w:tc>
          <w:tcPr>
            <w:tcW w:type="dxa" w:w="3579"/>
          </w:tcPr>
          <w:p>
            <w:pPr>
              <w:spacing w:after="40" w:before="40" w:line="240" w:lineRule="auto"/>
              <w:jc w:val="left"/>
            </w:pPr>
            <w:r/>
            <w:r>
              <w:rPr>
                <w:rFonts w:ascii="Times New Roman" w:hAnsi="Times New Roman" w:cs="Times New Roman" w:eastAsia="Times New Roman"/>
                <w:b w:val="0"/>
                <w:i w:val="0"/>
                <w:sz w:val="18"/>
                <w:u w:val="none"/>
              </w:rPr>
              <w:t>Renovation Holdback; draw conditions; 10% retainage</w:t>
            </w:r>
          </w:p>
        </w:tc>
        <w:tc>
          <w:tcPr>
            <w:tcW w:type="dxa" w:w="2615"/>
          </w:tcPr>
          <w:p>
            <w:pPr>
              <w:spacing w:after="40" w:before="40" w:line="240" w:lineRule="auto"/>
              <w:jc w:val="left"/>
            </w:pPr>
            <w:r/>
            <w:r>
              <w:rPr>
                <w:rFonts w:ascii="Times New Roman" w:hAnsi="Times New Roman" w:cs="Times New Roman" w:eastAsia="Times New Roman"/>
                <w:b w:val="0"/>
                <w:i w:val="0"/>
                <w:sz w:val="18"/>
                <w:u w:val="none"/>
              </w:rPr>
              <w:t>§ 10.4–§ 10.6; Exhibit E</w:t>
            </w:r>
          </w:p>
        </w:tc>
        <w:tc>
          <w:tcPr>
            <w:tcW w:type="dxa" w:w="1789"/>
          </w:tcPr>
          <w:p>
            <w:pPr>
              <w:spacing w:after="40" w:before="40" w:line="240" w:lineRule="auto"/>
              <w:jc w:val="left"/>
            </w:pPr>
            <w:r/>
            <w:r>
              <w:rPr>
                <w:rFonts w:ascii="Times New Roman" w:hAnsi="Times New Roman" w:cs="Times New Roman" w:eastAsia="Times New Roman"/>
                <w:b w:val="0"/>
                <w:i w:val="0"/>
                <w:sz w:val="18"/>
                <w:u w:val="none"/>
              </w:rPr>
              <w:t>Implemented; schedule defects flagged (F2)</w:t>
            </w:r>
          </w:p>
        </w:tc>
      </w:tr>
      <w:tr>
        <w:tc>
          <w:tcPr>
            <w:tcW w:type="dxa" w:w="1376"/>
          </w:tcPr>
          <w:p>
            <w:pPr>
              <w:spacing w:after="40" w:before="40" w:line="240" w:lineRule="auto"/>
              <w:jc w:val="left"/>
            </w:pPr>
            <w:r/>
            <w:r>
              <w:rPr>
                <w:rFonts w:ascii="Times New Roman" w:hAnsi="Times New Roman" w:cs="Times New Roman" w:eastAsia="Times New Roman"/>
                <w:b w:val="0"/>
                <w:i w:val="0"/>
                <w:sz w:val="18"/>
                <w:u w:val="none"/>
              </w:rPr>
              <w:t>§ 7.1</w:t>
            </w:r>
          </w:p>
        </w:tc>
        <w:tc>
          <w:tcPr>
            <w:tcW w:type="dxa" w:w="3579"/>
          </w:tcPr>
          <w:p>
            <w:pPr>
              <w:spacing w:after="40" w:before="40" w:line="240" w:lineRule="auto"/>
              <w:jc w:val="left"/>
            </w:pPr>
            <w:r/>
            <w:r>
              <w:rPr>
                <w:rFonts w:ascii="Times New Roman" w:hAnsi="Times New Roman" w:cs="Times New Roman" w:eastAsia="Times New Roman"/>
                <w:b w:val="0"/>
                <w:i w:val="0"/>
                <w:sz w:val="18"/>
                <w:u w:val="none"/>
              </w:rPr>
              <w:t>DSCR 1.25x; quarterly testing from month 24</w:t>
            </w:r>
          </w:p>
        </w:tc>
        <w:tc>
          <w:tcPr>
            <w:tcW w:type="dxa" w:w="2615"/>
          </w:tcPr>
          <w:p>
            <w:pPr>
              <w:spacing w:after="40" w:before="40" w:line="240" w:lineRule="auto"/>
              <w:jc w:val="left"/>
            </w:pPr>
            <w:r/>
            <w:r>
              <w:rPr>
                <w:rFonts w:ascii="Times New Roman" w:hAnsi="Times New Roman" w:cs="Times New Roman" w:eastAsia="Times New Roman"/>
                <w:b w:val="0"/>
                <w:i w:val="0"/>
                <w:sz w:val="18"/>
                <w:u w:val="none"/>
              </w:rPr>
              <w:t>§ 14.1</w:t>
            </w:r>
          </w:p>
        </w:tc>
        <w:tc>
          <w:tcPr>
            <w:tcW w:type="dxa" w:w="1789"/>
          </w:tcPr>
          <w:p>
            <w:pPr>
              <w:spacing w:after="40" w:before="40" w:line="240" w:lineRule="auto"/>
              <w:jc w:val="left"/>
            </w:pPr>
            <w:r/>
            <w:r>
              <w:rPr>
                <w:rFonts w:ascii="Times New Roman" w:hAnsi="Times New Roman" w:cs="Times New Roman" w:eastAsia="Times New Roman"/>
                <w:b w:val="0"/>
                <w:i w:val="0"/>
                <w:sz w:val="18"/>
                <w:u w:val="none"/>
              </w:rPr>
              <w:t>Deviation (test date); see 7.6</w:t>
            </w:r>
          </w:p>
        </w:tc>
      </w:tr>
      <w:tr>
        <w:tc>
          <w:tcPr>
            <w:tcW w:type="dxa" w:w="1376"/>
          </w:tcPr>
          <w:p>
            <w:pPr>
              <w:spacing w:after="40" w:before="40" w:line="240" w:lineRule="auto"/>
              <w:jc w:val="left"/>
            </w:pPr>
            <w:r/>
            <w:r>
              <w:rPr>
                <w:rFonts w:ascii="Times New Roman" w:hAnsi="Times New Roman" w:cs="Times New Roman" w:eastAsia="Times New Roman"/>
                <w:b w:val="0"/>
                <w:i w:val="0"/>
                <w:sz w:val="18"/>
                <w:u w:val="none"/>
              </w:rPr>
              <w:t>§ 7.2</w:t>
            </w:r>
          </w:p>
        </w:tc>
        <w:tc>
          <w:tcPr>
            <w:tcW w:type="dxa" w:w="3579"/>
          </w:tcPr>
          <w:p>
            <w:pPr>
              <w:spacing w:after="40" w:before="40" w:line="240" w:lineRule="auto"/>
              <w:jc w:val="left"/>
            </w:pPr>
            <w:r/>
            <w:r>
              <w:rPr>
                <w:rFonts w:ascii="Times New Roman" w:hAnsi="Times New Roman" w:cs="Times New Roman" w:eastAsia="Times New Roman"/>
                <w:b w:val="0"/>
                <w:i w:val="0"/>
                <w:sz w:val="18"/>
                <w:u w:val="none"/>
              </w:rPr>
              <w:t>Net worth $1,000,000; liquidity $500,000</w:t>
            </w:r>
          </w:p>
        </w:tc>
        <w:tc>
          <w:tcPr>
            <w:tcW w:type="dxa" w:w="2615"/>
          </w:tcPr>
          <w:p>
            <w:pPr>
              <w:spacing w:after="40" w:before="40" w:line="240" w:lineRule="auto"/>
              <w:jc w:val="left"/>
            </w:pPr>
            <w:r/>
            <w:r>
              <w:rPr>
                <w:rFonts w:ascii="Times New Roman" w:hAnsi="Times New Roman" w:cs="Times New Roman" w:eastAsia="Times New Roman"/>
                <w:b w:val="0"/>
                <w:i w:val="0"/>
                <w:sz w:val="18"/>
                <w:u w:val="none"/>
              </w:rPr>
              <w:t>§ 14.2</w:t>
            </w:r>
          </w:p>
        </w:tc>
        <w:tc>
          <w:tcPr>
            <w:tcW w:type="dxa" w:w="1789"/>
          </w:tcPr>
          <w:p>
            <w:pPr>
              <w:spacing w:after="40" w:before="40" w:line="240" w:lineRule="auto"/>
              <w:jc w:val="left"/>
            </w:pPr>
            <w:r/>
            <w:r>
              <w:rPr>
                <w:rFonts w:ascii="Times New Roman" w:hAnsi="Times New Roman" w:cs="Times New Roman" w:eastAsia="Times New Roman"/>
                <w:b w:val="0"/>
                <w:i w:val="0"/>
                <w:sz w:val="18"/>
                <w:u w:val="none"/>
              </w:rPr>
              <w:t>Implemented on Borrower; see 7.5</w:t>
            </w:r>
          </w:p>
        </w:tc>
      </w:tr>
      <w:tr>
        <w:tc>
          <w:tcPr>
            <w:tcW w:type="dxa" w:w="1376"/>
          </w:tcPr>
          <w:p>
            <w:pPr>
              <w:spacing w:after="40" w:before="40" w:line="240" w:lineRule="auto"/>
              <w:jc w:val="left"/>
            </w:pPr>
            <w:r/>
            <w:r>
              <w:rPr>
                <w:rFonts w:ascii="Times New Roman" w:hAnsi="Times New Roman" w:cs="Times New Roman" w:eastAsia="Times New Roman"/>
                <w:b w:val="0"/>
                <w:i w:val="0"/>
                <w:sz w:val="18"/>
                <w:u w:val="none"/>
              </w:rPr>
              <w:t>§ 7.3</w:t>
            </w:r>
          </w:p>
        </w:tc>
        <w:tc>
          <w:tcPr>
            <w:tcW w:type="dxa" w:w="3579"/>
          </w:tcPr>
          <w:p>
            <w:pPr>
              <w:spacing w:after="40" w:before="40" w:line="240" w:lineRule="auto"/>
              <w:jc w:val="left"/>
            </w:pPr>
            <w:r/>
            <w:r>
              <w:rPr>
                <w:rFonts w:ascii="Times New Roman" w:hAnsi="Times New Roman" w:cs="Times New Roman" w:eastAsia="Times New Roman"/>
                <w:b w:val="0"/>
                <w:i w:val="0"/>
                <w:sz w:val="18"/>
                <w:u w:val="none"/>
              </w:rPr>
              <w:t>Reporting requirements</w:t>
            </w:r>
          </w:p>
        </w:tc>
        <w:tc>
          <w:tcPr>
            <w:tcW w:type="dxa" w:w="2615"/>
          </w:tcPr>
          <w:p>
            <w:pPr>
              <w:spacing w:after="40" w:before="40" w:line="240" w:lineRule="auto"/>
              <w:jc w:val="left"/>
            </w:pPr>
            <w:r/>
            <w:r>
              <w:rPr>
                <w:rFonts w:ascii="Times New Roman" w:hAnsi="Times New Roman" w:cs="Times New Roman" w:eastAsia="Times New Roman"/>
                <w:b w:val="0"/>
                <w:i w:val="0"/>
                <w:sz w:val="18"/>
                <w:u w:val="none"/>
              </w:rPr>
              <w:t>§ 14.3</w:t>
            </w:r>
          </w:p>
        </w:tc>
        <w:tc>
          <w:tcPr>
            <w:tcW w:type="dxa" w:w="1789"/>
          </w:tcPr>
          <w:p>
            <w:pPr>
              <w:spacing w:after="40" w:before="40" w:line="240" w:lineRule="auto"/>
              <w:jc w:val="left"/>
            </w:pPr>
            <w:r/>
            <w:r>
              <w:rPr>
                <w:rFonts w:ascii="Times New Roman" w:hAnsi="Times New Roman" w:cs="Times New Roman" w:eastAsia="Times New Roman"/>
                <w:b w:val="0"/>
                <w:i w:val="0"/>
                <w:sz w:val="18"/>
                <w:u w:val="none"/>
              </w:rPr>
              <w:t>Implemented; audited statements conflict with Operating Agreement (E3)</w:t>
            </w:r>
          </w:p>
        </w:tc>
      </w:tr>
      <w:tr>
        <w:tc>
          <w:tcPr>
            <w:tcW w:type="dxa" w:w="1376"/>
          </w:tcPr>
          <w:p>
            <w:pPr>
              <w:spacing w:after="40" w:before="40" w:line="240" w:lineRule="auto"/>
              <w:jc w:val="left"/>
            </w:pPr>
            <w:r/>
            <w:r>
              <w:rPr>
                <w:rFonts w:ascii="Times New Roman" w:hAnsi="Times New Roman" w:cs="Times New Roman" w:eastAsia="Times New Roman"/>
                <w:b w:val="0"/>
                <w:i w:val="0"/>
                <w:sz w:val="18"/>
                <w:u w:val="none"/>
              </w:rPr>
              <w:t>§ 8.1–8.3</w:t>
            </w:r>
          </w:p>
        </w:tc>
        <w:tc>
          <w:tcPr>
            <w:tcW w:type="dxa" w:w="3579"/>
          </w:tcPr>
          <w:p>
            <w:pPr>
              <w:spacing w:after="40" w:before="40" w:line="240" w:lineRule="auto"/>
              <w:jc w:val="left"/>
            </w:pPr>
            <w:r/>
            <w:r>
              <w:rPr>
                <w:rFonts w:ascii="Times New Roman" w:hAnsi="Times New Roman" w:cs="Times New Roman" w:eastAsia="Times New Roman"/>
                <w:b w:val="0"/>
                <w:i w:val="0"/>
                <w:sz w:val="18"/>
                <w:u w:val="none"/>
              </w:rPr>
              <w:t>General contractor; renovation budget; Substantial Completion by June 15, 2026</w:t>
            </w:r>
          </w:p>
        </w:tc>
        <w:tc>
          <w:tcPr>
            <w:tcW w:type="dxa" w:w="2615"/>
          </w:tcPr>
          <w:p>
            <w:pPr>
              <w:spacing w:after="40" w:before="40" w:line="240" w:lineRule="auto"/>
              <w:jc w:val="left"/>
            </w:pPr>
            <w:r/>
            <w:r>
              <w:rPr>
                <w:rFonts w:ascii="Times New Roman" w:hAnsi="Times New Roman" w:cs="Times New Roman" w:eastAsia="Times New Roman"/>
                <w:b w:val="0"/>
                <w:i w:val="0"/>
                <w:sz w:val="18"/>
                <w:u w:val="none"/>
              </w:rPr>
              <w:t>§ 10.1–§ 10.3; Exhibit C</w:t>
            </w:r>
          </w:p>
        </w:tc>
        <w:tc>
          <w:tcPr>
            <w:tcW w:type="dxa" w:w="1789"/>
          </w:tcPr>
          <w:p>
            <w:pPr>
              <w:spacing w:after="40" w:before="40" w:line="240" w:lineRule="auto"/>
              <w:jc w:val="left"/>
            </w:pPr>
            <w:r/>
            <w:r>
              <w:rPr>
                <w:rFonts w:ascii="Times New Roman" w:hAnsi="Times New Roman" w:cs="Times New Roman" w:eastAsia="Times New Roman"/>
                <w:b w:val="0"/>
                <w:i w:val="0"/>
                <w:sz w:val="18"/>
                <w:u w:val="none"/>
              </w:rPr>
              <w:t>Implemented</w:t>
            </w:r>
          </w:p>
        </w:tc>
      </w:tr>
      <w:tr>
        <w:tc>
          <w:tcPr>
            <w:tcW w:type="dxa" w:w="1376"/>
          </w:tcPr>
          <w:p>
            <w:pPr>
              <w:spacing w:after="40" w:before="40" w:line="240" w:lineRule="auto"/>
              <w:jc w:val="left"/>
            </w:pPr>
            <w:r/>
            <w:r>
              <w:rPr>
                <w:rFonts w:ascii="Times New Roman" w:hAnsi="Times New Roman" w:cs="Times New Roman" w:eastAsia="Times New Roman"/>
                <w:b w:val="0"/>
                <w:i w:val="0"/>
                <w:sz w:val="18"/>
                <w:u w:val="none"/>
              </w:rPr>
              <w:t>§ 9.1–9.5</w:t>
            </w:r>
          </w:p>
        </w:tc>
        <w:tc>
          <w:tcPr>
            <w:tcW w:type="dxa" w:w="3579"/>
          </w:tcPr>
          <w:p>
            <w:pPr>
              <w:spacing w:after="40" w:before="40" w:line="240" w:lineRule="auto"/>
              <w:jc w:val="left"/>
            </w:pPr>
            <w:r/>
            <w:r>
              <w:rPr>
                <w:rFonts w:ascii="Times New Roman" w:hAnsi="Times New Roman" w:cs="Times New Roman" w:eastAsia="Times New Roman"/>
                <w:b w:val="0"/>
                <w:i w:val="0"/>
                <w:sz w:val="18"/>
                <w:u w:val="none"/>
              </w:rPr>
              <w:t>Insurance (property, CGL, flood, builder’s risk, workers’ comp, umbrella, carrier ratings, notice)</w:t>
            </w:r>
          </w:p>
        </w:tc>
        <w:tc>
          <w:tcPr>
            <w:tcW w:type="dxa" w:w="2615"/>
          </w:tcPr>
          <w:p>
            <w:pPr>
              <w:spacing w:after="40" w:before="40" w:line="240" w:lineRule="auto"/>
              <w:jc w:val="left"/>
            </w:pPr>
            <w:r/>
            <w:r>
              <w:rPr>
                <w:rFonts w:ascii="Times New Roman" w:hAnsi="Times New Roman" w:cs="Times New Roman" w:eastAsia="Times New Roman"/>
                <w:b w:val="0"/>
                <w:i w:val="0"/>
                <w:sz w:val="18"/>
                <w:u w:val="none"/>
              </w:rPr>
              <w:t>Article 12</w:t>
            </w:r>
          </w:p>
        </w:tc>
        <w:tc>
          <w:tcPr>
            <w:tcW w:type="dxa" w:w="1789"/>
          </w:tcPr>
          <w:p>
            <w:pPr>
              <w:spacing w:after="40" w:before="40" w:line="240" w:lineRule="auto"/>
              <w:jc w:val="left"/>
            </w:pPr>
            <w:r/>
            <w:r>
              <w:rPr>
                <w:rFonts w:ascii="Times New Roman" w:hAnsi="Times New Roman" w:cs="Times New Roman" w:eastAsia="Times New Roman"/>
                <w:b w:val="0"/>
                <w:i w:val="0"/>
                <w:sz w:val="18"/>
                <w:u w:val="none"/>
              </w:rPr>
              <w:t>Implemented; flood panel conflict (I1)</w:t>
            </w:r>
          </w:p>
        </w:tc>
      </w:tr>
      <w:tr>
        <w:tc>
          <w:tcPr>
            <w:tcW w:type="dxa" w:w="1376"/>
          </w:tcPr>
          <w:p>
            <w:pPr>
              <w:spacing w:after="40" w:before="40" w:line="240" w:lineRule="auto"/>
              <w:jc w:val="left"/>
            </w:pPr>
            <w:r/>
            <w:r>
              <w:rPr>
                <w:rFonts w:ascii="Times New Roman" w:hAnsi="Times New Roman" w:cs="Times New Roman" w:eastAsia="Times New Roman"/>
                <w:b w:val="0"/>
                <w:i w:val="0"/>
                <w:sz w:val="18"/>
                <w:u w:val="none"/>
              </w:rPr>
              <w:t>§ 10.1</w:t>
            </w:r>
          </w:p>
        </w:tc>
        <w:tc>
          <w:tcPr>
            <w:tcW w:type="dxa" w:w="3579"/>
          </w:tcPr>
          <w:p>
            <w:pPr>
              <w:spacing w:after="40" w:before="40" w:line="240" w:lineRule="auto"/>
              <w:jc w:val="left"/>
            </w:pPr>
            <w:r/>
            <w:r>
              <w:rPr>
                <w:rFonts w:ascii="Times New Roman" w:hAnsi="Times New Roman" w:cs="Times New Roman" w:eastAsia="Times New Roman"/>
                <w:b w:val="0"/>
                <w:i w:val="0"/>
                <w:sz w:val="18"/>
                <w:u w:val="none"/>
              </w:rPr>
              <w:t>Single-purpose entity covenants</w:t>
            </w:r>
          </w:p>
        </w:tc>
        <w:tc>
          <w:tcPr>
            <w:tcW w:type="dxa" w:w="2615"/>
          </w:tcPr>
          <w:p>
            <w:pPr>
              <w:spacing w:after="40" w:before="40" w:line="240" w:lineRule="auto"/>
              <w:jc w:val="left"/>
            </w:pPr>
            <w:r/>
            <w:r>
              <w:rPr>
                <w:rFonts w:ascii="Times New Roman" w:hAnsi="Times New Roman" w:cs="Times New Roman" w:eastAsia="Times New Roman"/>
                <w:b w:val="0"/>
                <w:i w:val="0"/>
                <w:sz w:val="18"/>
                <w:u w:val="none"/>
              </w:rPr>
              <w:t>Article 7</w:t>
            </w:r>
          </w:p>
        </w:tc>
        <w:tc>
          <w:tcPr>
            <w:tcW w:type="dxa" w:w="1789"/>
          </w:tcPr>
          <w:p>
            <w:pPr>
              <w:spacing w:after="40" w:before="40" w:line="240" w:lineRule="auto"/>
              <w:jc w:val="left"/>
            </w:pPr>
            <w:r/>
            <w:r>
              <w:rPr>
                <w:rFonts w:ascii="Times New Roman" w:hAnsi="Times New Roman" w:cs="Times New Roman" w:eastAsia="Times New Roman"/>
                <w:b w:val="0"/>
                <w:i w:val="0"/>
                <w:sz w:val="18"/>
                <w:u w:val="none"/>
              </w:rPr>
              <w:t>Implemented; operating agreement amendment required (D1)</w:t>
            </w:r>
          </w:p>
        </w:tc>
      </w:tr>
      <w:tr>
        <w:tc>
          <w:tcPr>
            <w:tcW w:type="dxa" w:w="1376"/>
          </w:tcPr>
          <w:p>
            <w:pPr>
              <w:spacing w:after="40" w:before="40" w:line="240" w:lineRule="auto"/>
              <w:jc w:val="left"/>
            </w:pPr>
            <w:r/>
            <w:r>
              <w:rPr>
                <w:rFonts w:ascii="Times New Roman" w:hAnsi="Times New Roman" w:cs="Times New Roman" w:eastAsia="Times New Roman"/>
                <w:b w:val="0"/>
                <w:i w:val="0"/>
                <w:sz w:val="18"/>
                <w:u w:val="none"/>
              </w:rPr>
              <w:t>§ 10.2</w:t>
            </w:r>
          </w:p>
        </w:tc>
        <w:tc>
          <w:tcPr>
            <w:tcW w:type="dxa" w:w="3579"/>
          </w:tcPr>
          <w:p>
            <w:pPr>
              <w:spacing w:after="40" w:before="40" w:line="240" w:lineRule="auto"/>
              <w:jc w:val="left"/>
            </w:pPr>
            <w:r/>
            <w:r>
              <w:rPr>
                <w:rFonts w:ascii="Times New Roman" w:hAnsi="Times New Roman" w:cs="Times New Roman" w:eastAsia="Times New Roman"/>
                <w:b w:val="0"/>
                <w:i w:val="0"/>
                <w:sz w:val="18"/>
                <w:u w:val="none"/>
              </w:rPr>
              <w:t>No subordinate financing</w:t>
            </w:r>
          </w:p>
        </w:tc>
        <w:tc>
          <w:tcPr>
            <w:tcW w:type="dxa" w:w="2615"/>
          </w:tcPr>
          <w:p>
            <w:pPr>
              <w:spacing w:after="40" w:before="40" w:line="240" w:lineRule="auto"/>
              <w:jc w:val="left"/>
            </w:pPr>
            <w:r/>
            <w:r>
              <w:rPr>
                <w:rFonts w:ascii="Times New Roman" w:hAnsi="Times New Roman" w:cs="Times New Roman" w:eastAsia="Times New Roman"/>
                <w:b w:val="0"/>
                <w:i w:val="0"/>
                <w:sz w:val="18"/>
                <w:u w:val="none"/>
              </w:rPr>
              <w:t>§ 8.2</w:t>
            </w:r>
          </w:p>
        </w:tc>
        <w:tc>
          <w:tcPr>
            <w:tcW w:type="dxa" w:w="1789"/>
          </w:tcPr>
          <w:p>
            <w:pPr>
              <w:spacing w:after="40" w:before="40" w:line="240" w:lineRule="auto"/>
              <w:jc w:val="left"/>
            </w:pPr>
            <w:r/>
            <w:r>
              <w:rPr>
                <w:rFonts w:ascii="Times New Roman" w:hAnsi="Times New Roman" w:cs="Times New Roman" w:eastAsia="Times New Roman"/>
                <w:b w:val="0"/>
                <w:i w:val="0"/>
                <w:sz w:val="18"/>
                <w:u w:val="none"/>
              </w:rPr>
              <w:t>Implemented</w:t>
            </w:r>
          </w:p>
        </w:tc>
      </w:tr>
      <w:tr>
        <w:tc>
          <w:tcPr>
            <w:tcW w:type="dxa" w:w="1376"/>
          </w:tcPr>
          <w:p>
            <w:pPr>
              <w:spacing w:after="40" w:before="40" w:line="240" w:lineRule="auto"/>
              <w:jc w:val="left"/>
            </w:pPr>
            <w:r/>
            <w:r>
              <w:rPr>
                <w:rFonts w:ascii="Times New Roman" w:hAnsi="Times New Roman" w:cs="Times New Roman" w:eastAsia="Times New Roman"/>
                <w:b w:val="0"/>
                <w:i w:val="0"/>
                <w:sz w:val="18"/>
                <w:u w:val="none"/>
              </w:rPr>
              <w:t>§ 10.3</w:t>
            </w:r>
          </w:p>
        </w:tc>
        <w:tc>
          <w:tcPr>
            <w:tcW w:type="dxa" w:w="3579"/>
          </w:tcPr>
          <w:p>
            <w:pPr>
              <w:spacing w:after="40" w:before="40" w:line="240" w:lineRule="auto"/>
              <w:jc w:val="left"/>
            </w:pPr>
            <w:r/>
            <w:r>
              <w:rPr>
                <w:rFonts w:ascii="Times New Roman" w:hAnsi="Times New Roman" w:cs="Times New Roman" w:eastAsia="Times New Roman"/>
                <w:b w:val="0"/>
                <w:i w:val="0"/>
                <w:sz w:val="18"/>
                <w:u w:val="none"/>
              </w:rPr>
              <w:t>Transfer restrictions (10% / 25%)</w:t>
            </w:r>
          </w:p>
        </w:tc>
        <w:tc>
          <w:tcPr>
            <w:tcW w:type="dxa" w:w="2615"/>
          </w:tcPr>
          <w:p>
            <w:pPr>
              <w:spacing w:after="40" w:before="40" w:line="240" w:lineRule="auto"/>
              <w:jc w:val="left"/>
            </w:pPr>
            <w:r/>
            <w:r>
              <w:rPr>
                <w:rFonts w:ascii="Times New Roman" w:hAnsi="Times New Roman" w:cs="Times New Roman" w:eastAsia="Times New Roman"/>
                <w:b w:val="0"/>
                <w:i w:val="0"/>
                <w:sz w:val="18"/>
                <w:u w:val="none"/>
              </w:rPr>
              <w:t>§ 8.1</w:t>
            </w:r>
          </w:p>
        </w:tc>
        <w:tc>
          <w:tcPr>
            <w:tcW w:type="dxa" w:w="1789"/>
          </w:tcPr>
          <w:p>
            <w:pPr>
              <w:spacing w:after="40" w:before="40" w:line="240" w:lineRule="auto"/>
              <w:jc w:val="left"/>
            </w:pPr>
            <w:r/>
            <w:r>
              <w:rPr>
                <w:rFonts w:ascii="Times New Roman" w:hAnsi="Times New Roman" w:cs="Times New Roman" w:eastAsia="Times New Roman"/>
                <w:b w:val="0"/>
                <w:i w:val="0"/>
                <w:sz w:val="18"/>
                <w:u w:val="none"/>
              </w:rPr>
              <w:t>Addition (upstream and change-of-control); see D5</w:t>
            </w:r>
          </w:p>
        </w:tc>
      </w:tr>
      <w:tr>
        <w:tc>
          <w:tcPr>
            <w:tcW w:type="dxa" w:w="1376"/>
          </w:tcPr>
          <w:p>
            <w:pPr>
              <w:spacing w:after="40" w:before="40" w:line="240" w:lineRule="auto"/>
              <w:jc w:val="left"/>
            </w:pPr>
            <w:r/>
            <w:r>
              <w:rPr>
                <w:rFonts w:ascii="Times New Roman" w:hAnsi="Times New Roman" w:cs="Times New Roman" w:eastAsia="Times New Roman"/>
                <w:b w:val="0"/>
                <w:i w:val="0"/>
                <w:sz w:val="18"/>
                <w:u w:val="none"/>
              </w:rPr>
              <w:t>§ 10.4</w:t>
            </w:r>
          </w:p>
        </w:tc>
        <w:tc>
          <w:tcPr>
            <w:tcW w:type="dxa" w:w="3579"/>
          </w:tcPr>
          <w:p>
            <w:pPr>
              <w:spacing w:after="40" w:before="40" w:line="240" w:lineRule="auto"/>
              <w:jc w:val="left"/>
            </w:pPr>
            <w:r/>
            <w:r>
              <w:rPr>
                <w:rFonts w:ascii="Times New Roman" w:hAnsi="Times New Roman" w:cs="Times New Roman" w:eastAsia="Times New Roman"/>
                <w:b w:val="0"/>
                <w:i w:val="0"/>
                <w:sz w:val="18"/>
                <w:u w:val="none"/>
              </w:rPr>
              <w:t>Compliance with laws</w:t>
            </w:r>
          </w:p>
        </w:tc>
        <w:tc>
          <w:tcPr>
            <w:tcW w:type="dxa" w:w="2615"/>
          </w:tcPr>
          <w:p>
            <w:pPr>
              <w:spacing w:after="40" w:before="40" w:line="240" w:lineRule="auto"/>
              <w:jc w:val="left"/>
            </w:pPr>
            <w:r/>
            <w:r>
              <w:rPr>
                <w:rFonts w:ascii="Times New Roman" w:hAnsi="Times New Roman" w:cs="Times New Roman" w:eastAsia="Times New Roman"/>
                <w:b w:val="0"/>
                <w:i w:val="0"/>
                <w:sz w:val="18"/>
                <w:u w:val="none"/>
              </w:rPr>
              <w:t>§ 6.5; § 8.4</w:t>
            </w:r>
          </w:p>
        </w:tc>
        <w:tc>
          <w:tcPr>
            <w:tcW w:type="dxa" w:w="1789"/>
          </w:tcPr>
          <w:p>
            <w:pPr>
              <w:spacing w:after="40" w:before="40" w:line="240" w:lineRule="auto"/>
              <w:jc w:val="left"/>
            </w:pPr>
            <w:r/>
            <w:r>
              <w:rPr>
                <w:rFonts w:ascii="Times New Roman" w:hAnsi="Times New Roman" w:cs="Times New Roman" w:eastAsia="Times New Roman"/>
                <w:b w:val="0"/>
                <w:i w:val="0"/>
                <w:sz w:val="18"/>
                <w:u w:val="none"/>
              </w:rPr>
              <w:t>Implemented</w:t>
            </w:r>
          </w:p>
        </w:tc>
      </w:tr>
      <w:tr>
        <w:tc>
          <w:tcPr>
            <w:tcW w:type="dxa" w:w="1376"/>
          </w:tcPr>
          <w:p>
            <w:pPr>
              <w:spacing w:after="40" w:before="40" w:line="240" w:lineRule="auto"/>
              <w:jc w:val="left"/>
            </w:pPr>
            <w:r/>
            <w:r>
              <w:rPr>
                <w:rFonts w:ascii="Times New Roman" w:hAnsi="Times New Roman" w:cs="Times New Roman" w:eastAsia="Times New Roman"/>
                <w:b w:val="0"/>
                <w:i w:val="0"/>
                <w:sz w:val="18"/>
                <w:u w:val="none"/>
              </w:rPr>
              <w:t>§ 10.5</w:t>
            </w:r>
          </w:p>
        </w:tc>
        <w:tc>
          <w:tcPr>
            <w:tcW w:type="dxa" w:w="3579"/>
          </w:tcPr>
          <w:p>
            <w:pPr>
              <w:spacing w:after="40" w:before="40" w:line="240" w:lineRule="auto"/>
              <w:jc w:val="left"/>
            </w:pPr>
            <w:r/>
            <w:r>
              <w:rPr>
                <w:rFonts w:ascii="Times New Roman" w:hAnsi="Times New Roman" w:cs="Times New Roman" w:eastAsia="Times New Roman"/>
                <w:b w:val="0"/>
                <w:i w:val="0"/>
                <w:sz w:val="18"/>
                <w:u w:val="none"/>
              </w:rPr>
              <w:t>Maintenance and repair; no waste</w:t>
            </w:r>
          </w:p>
        </w:tc>
        <w:tc>
          <w:tcPr>
            <w:tcW w:type="dxa" w:w="2615"/>
          </w:tcPr>
          <w:p>
            <w:pPr>
              <w:spacing w:after="40" w:before="40" w:line="240" w:lineRule="auto"/>
              <w:jc w:val="left"/>
            </w:pPr>
            <w:r/>
            <w:r>
              <w:rPr>
                <w:rFonts w:ascii="Times New Roman" w:hAnsi="Times New Roman" w:cs="Times New Roman" w:eastAsia="Times New Roman"/>
                <w:b w:val="0"/>
                <w:i w:val="0"/>
                <w:sz w:val="18"/>
                <w:u w:val="none"/>
              </w:rPr>
              <w:t>§ 6.4</w:t>
            </w:r>
          </w:p>
        </w:tc>
        <w:tc>
          <w:tcPr>
            <w:tcW w:type="dxa" w:w="1789"/>
          </w:tcPr>
          <w:p>
            <w:pPr>
              <w:spacing w:after="40" w:before="40" w:line="240" w:lineRule="auto"/>
              <w:jc w:val="left"/>
            </w:pPr>
            <w:r/>
            <w:r>
              <w:rPr>
                <w:rFonts w:ascii="Times New Roman" w:hAnsi="Times New Roman" w:cs="Times New Roman" w:eastAsia="Times New Roman"/>
                <w:b w:val="0"/>
                <w:i w:val="0"/>
                <w:sz w:val="18"/>
                <w:u w:val="none"/>
              </w:rPr>
              <w:t>Implemented</w:t>
            </w:r>
          </w:p>
        </w:tc>
      </w:tr>
      <w:tr>
        <w:tc>
          <w:tcPr>
            <w:tcW w:type="dxa" w:w="1376"/>
          </w:tcPr>
          <w:p>
            <w:pPr>
              <w:spacing w:after="40" w:before="40" w:line="240" w:lineRule="auto"/>
              <w:jc w:val="left"/>
            </w:pPr>
            <w:r/>
            <w:r>
              <w:rPr>
                <w:rFonts w:ascii="Times New Roman" w:hAnsi="Times New Roman" w:cs="Times New Roman" w:eastAsia="Times New Roman"/>
                <w:b w:val="0"/>
                <w:i w:val="0"/>
                <w:sz w:val="18"/>
                <w:u w:val="none"/>
              </w:rPr>
              <w:t>§ 10.6</w:t>
            </w:r>
          </w:p>
        </w:tc>
        <w:tc>
          <w:tcPr>
            <w:tcW w:type="dxa" w:w="3579"/>
          </w:tcPr>
          <w:p>
            <w:pPr>
              <w:spacing w:after="40" w:before="40" w:line="240" w:lineRule="auto"/>
              <w:jc w:val="left"/>
            </w:pPr>
            <w:r/>
            <w:r>
              <w:rPr>
                <w:rFonts w:ascii="Times New Roman" w:hAnsi="Times New Roman" w:cs="Times New Roman" w:eastAsia="Times New Roman"/>
                <w:b w:val="0"/>
                <w:i w:val="0"/>
                <w:sz w:val="18"/>
                <w:u w:val="none"/>
              </w:rPr>
              <w:t>Leasing covenant; consent over leases over 5,000 SF or 5 years</w:t>
            </w:r>
          </w:p>
        </w:tc>
        <w:tc>
          <w:tcPr>
            <w:tcW w:type="dxa" w:w="2615"/>
          </w:tcPr>
          <w:p>
            <w:pPr>
              <w:spacing w:after="40" w:before="40" w:line="240" w:lineRule="auto"/>
              <w:jc w:val="left"/>
            </w:pPr>
            <w:r/>
            <w:r>
              <w:rPr>
                <w:rFonts w:ascii="Times New Roman" w:hAnsi="Times New Roman" w:cs="Times New Roman" w:eastAsia="Times New Roman"/>
                <w:b w:val="0"/>
                <w:i w:val="0"/>
                <w:sz w:val="18"/>
                <w:u w:val="none"/>
              </w:rPr>
              <w:t>§ 4.8</w:t>
            </w:r>
          </w:p>
        </w:tc>
        <w:tc>
          <w:tcPr>
            <w:tcW w:type="dxa" w:w="1789"/>
          </w:tcPr>
          <w:p>
            <w:pPr>
              <w:spacing w:after="40" w:before="40" w:line="240" w:lineRule="auto"/>
              <w:jc w:val="left"/>
            </w:pPr>
            <w:r/>
            <w:r>
              <w:rPr>
                <w:rFonts w:ascii="Times New Roman" w:hAnsi="Times New Roman" w:cs="Times New Roman" w:eastAsia="Times New Roman"/>
                <w:b w:val="0"/>
                <w:i w:val="0"/>
                <w:sz w:val="18"/>
                <w:u w:val="none"/>
              </w:rPr>
              <w:t>Addition (ROFR and exclusivity); see B4, B5, B7</w:t>
            </w:r>
          </w:p>
        </w:tc>
      </w:tr>
      <w:tr>
        <w:tc>
          <w:tcPr>
            <w:tcW w:type="dxa" w:w="1376"/>
          </w:tcPr>
          <w:p>
            <w:pPr>
              <w:spacing w:after="40" w:before="40" w:line="240" w:lineRule="auto"/>
              <w:jc w:val="left"/>
            </w:pPr>
            <w:r/>
            <w:r>
              <w:rPr>
                <w:rFonts w:ascii="Times New Roman" w:hAnsi="Times New Roman" w:cs="Times New Roman" w:eastAsia="Times New Roman"/>
                <w:b w:val="0"/>
                <w:i w:val="0"/>
                <w:sz w:val="18"/>
                <w:u w:val="none"/>
              </w:rPr>
              <w:t>§ 11.1(a)–(l)</w:t>
            </w:r>
          </w:p>
        </w:tc>
        <w:tc>
          <w:tcPr>
            <w:tcW w:type="dxa" w:w="3579"/>
          </w:tcPr>
          <w:p>
            <w:pPr>
              <w:spacing w:after="40" w:before="40" w:line="240" w:lineRule="auto"/>
              <w:jc w:val="left"/>
            </w:pPr>
            <w:r/>
            <w:r>
              <w:rPr>
                <w:rFonts w:ascii="Times New Roman" w:hAnsi="Times New Roman" w:cs="Times New Roman" w:eastAsia="Times New Roman"/>
                <w:b w:val="0"/>
                <w:i w:val="0"/>
                <w:sz w:val="18"/>
                <w:u w:val="none"/>
              </w:rPr>
              <w:t>Events of Default</w:t>
            </w:r>
          </w:p>
        </w:tc>
        <w:tc>
          <w:tcPr>
            <w:tcW w:type="dxa" w:w="2615"/>
          </w:tcPr>
          <w:p>
            <w:pPr>
              <w:spacing w:after="40" w:before="40" w:line="240" w:lineRule="auto"/>
              <w:jc w:val="left"/>
            </w:pPr>
            <w:r/>
            <w:r>
              <w:rPr>
                <w:rFonts w:ascii="Times New Roman" w:hAnsi="Times New Roman" w:cs="Times New Roman" w:eastAsia="Times New Roman"/>
                <w:b w:val="0"/>
                <w:i w:val="0"/>
                <w:sz w:val="18"/>
                <w:u w:val="none"/>
              </w:rPr>
              <w:t>§ 15.1</w:t>
            </w:r>
          </w:p>
        </w:tc>
        <w:tc>
          <w:tcPr>
            <w:tcW w:type="dxa" w:w="1789"/>
          </w:tcPr>
          <w:p>
            <w:pPr>
              <w:spacing w:after="40" w:before="40" w:line="240" w:lineRule="auto"/>
              <w:jc w:val="left"/>
            </w:pPr>
            <w:r/>
            <w:r>
              <w:rPr>
                <w:rFonts w:ascii="Times New Roman" w:hAnsi="Times New Roman" w:cs="Times New Roman" w:eastAsia="Times New Roman"/>
                <w:b w:val="0"/>
                <w:i w:val="0"/>
                <w:sz w:val="18"/>
                <w:u w:val="none"/>
              </w:rPr>
              <w:t>Implemented, with additions (m)–(r)</w:t>
            </w:r>
          </w:p>
        </w:tc>
      </w:tr>
      <w:tr>
        <w:tc>
          <w:tcPr>
            <w:tcW w:type="dxa" w:w="1376"/>
          </w:tcPr>
          <w:p>
            <w:pPr>
              <w:spacing w:after="40" w:before="40" w:line="240" w:lineRule="auto"/>
              <w:jc w:val="left"/>
            </w:pPr>
            <w:r/>
            <w:r>
              <w:rPr>
                <w:rFonts w:ascii="Times New Roman" w:hAnsi="Times New Roman" w:cs="Times New Roman" w:eastAsia="Times New Roman"/>
                <w:b w:val="0"/>
                <w:i w:val="0"/>
                <w:sz w:val="18"/>
                <w:u w:val="none"/>
              </w:rPr>
              <w:t>§ 11.2(a)–(c)</w:t>
            </w:r>
          </w:p>
        </w:tc>
        <w:tc>
          <w:tcPr>
            <w:tcW w:type="dxa" w:w="3579"/>
          </w:tcPr>
          <w:p>
            <w:pPr>
              <w:spacing w:after="40" w:before="40" w:line="240" w:lineRule="auto"/>
              <w:jc w:val="left"/>
            </w:pPr>
            <w:r/>
            <w:r>
              <w:rPr>
                <w:rFonts w:ascii="Times New Roman" w:hAnsi="Times New Roman" w:cs="Times New Roman" w:eastAsia="Times New Roman"/>
                <w:b w:val="0"/>
                <w:i w:val="0"/>
                <w:sz w:val="18"/>
                <w:u w:val="none"/>
              </w:rPr>
              <w:t>Cure periods</w:t>
            </w:r>
          </w:p>
        </w:tc>
        <w:tc>
          <w:tcPr>
            <w:tcW w:type="dxa" w:w="2615"/>
          </w:tcPr>
          <w:p>
            <w:pPr>
              <w:spacing w:after="40" w:before="40" w:line="240" w:lineRule="auto"/>
              <w:jc w:val="left"/>
            </w:pPr>
            <w:r/>
            <w:r>
              <w:rPr>
                <w:rFonts w:ascii="Times New Roman" w:hAnsi="Times New Roman" w:cs="Times New Roman" w:eastAsia="Times New Roman"/>
                <w:b w:val="0"/>
                <w:i w:val="0"/>
                <w:sz w:val="18"/>
                <w:u w:val="none"/>
              </w:rPr>
              <w:t>§ 15.3</w:t>
            </w:r>
          </w:p>
        </w:tc>
        <w:tc>
          <w:tcPr>
            <w:tcW w:type="dxa" w:w="1789"/>
          </w:tcPr>
          <w:p>
            <w:pPr>
              <w:spacing w:after="40" w:before="40" w:line="240" w:lineRule="auto"/>
              <w:jc w:val="left"/>
            </w:pPr>
            <w:r/>
            <w:r>
              <w:rPr>
                <w:rFonts w:ascii="Times New Roman" w:hAnsi="Times New Roman" w:cs="Times New Roman" w:eastAsia="Times New Roman"/>
                <w:b w:val="0"/>
                <w:i w:val="0"/>
                <w:sz w:val="18"/>
                <w:u w:val="none"/>
              </w:rPr>
              <w:t>Implemented; DSCR cure conflict flagged (4.9)</w:t>
            </w:r>
          </w:p>
        </w:tc>
      </w:tr>
      <w:tr>
        <w:tc>
          <w:tcPr>
            <w:tcW w:type="dxa" w:w="1376"/>
          </w:tcPr>
          <w:p>
            <w:pPr>
              <w:spacing w:after="40" w:before="40" w:line="240" w:lineRule="auto"/>
              <w:jc w:val="left"/>
            </w:pPr>
            <w:r/>
            <w:r>
              <w:rPr>
                <w:rFonts w:ascii="Times New Roman" w:hAnsi="Times New Roman" w:cs="Times New Roman" w:eastAsia="Times New Roman"/>
                <w:b w:val="0"/>
                <w:i w:val="0"/>
                <w:sz w:val="18"/>
                <w:u w:val="none"/>
              </w:rPr>
              <w:t>§ 13.1, 13.2</w:t>
            </w:r>
          </w:p>
        </w:tc>
        <w:tc>
          <w:tcPr>
            <w:tcW w:type="dxa" w:w="3579"/>
          </w:tcPr>
          <w:p>
            <w:pPr>
              <w:spacing w:after="40" w:before="40" w:line="240" w:lineRule="auto"/>
              <w:jc w:val="left"/>
            </w:pPr>
            <w:r/>
            <w:r>
              <w:rPr>
                <w:rFonts w:ascii="Times New Roman" w:hAnsi="Times New Roman" w:cs="Times New Roman" w:eastAsia="Times New Roman"/>
                <w:b w:val="0"/>
                <w:i w:val="0"/>
                <w:sz w:val="18"/>
                <w:u w:val="none"/>
              </w:rPr>
              <w:t>Origination fee; Borrower pays costs</w:t>
            </w:r>
          </w:p>
        </w:tc>
        <w:tc>
          <w:tcPr>
            <w:tcW w:type="dxa" w:w="2615"/>
          </w:tcPr>
          <w:p>
            <w:pPr>
              <w:spacing w:after="40" w:before="40" w:line="240" w:lineRule="auto"/>
              <w:jc w:val="left"/>
            </w:pPr>
            <w:r/>
            <w:r>
              <w:rPr>
                <w:rFonts w:ascii="Times New Roman" w:hAnsi="Times New Roman" w:cs="Times New Roman" w:eastAsia="Times New Roman"/>
                <w:b w:val="0"/>
                <w:i w:val="0"/>
                <w:sz w:val="18"/>
                <w:u w:val="none"/>
              </w:rPr>
              <w:t>§ 6.12; § 18.11</w:t>
            </w:r>
          </w:p>
        </w:tc>
        <w:tc>
          <w:tcPr>
            <w:tcW w:type="dxa" w:w="1789"/>
          </w:tcPr>
          <w:p>
            <w:pPr>
              <w:spacing w:after="40" w:before="40" w:line="240" w:lineRule="auto"/>
              <w:jc w:val="left"/>
            </w:pPr>
            <w:r/>
            <w:r>
              <w:rPr>
                <w:rFonts w:ascii="Times New Roman" w:hAnsi="Times New Roman" w:cs="Times New Roman" w:eastAsia="Times New Roman"/>
                <w:b w:val="0"/>
                <w:i w:val="0"/>
                <w:sz w:val="18"/>
                <w:u w:val="none"/>
              </w:rPr>
              <w:t>Implemented</w:t>
            </w:r>
          </w:p>
        </w:tc>
      </w:tr>
      <w:tr>
        <w:tc>
          <w:tcPr>
            <w:tcW w:type="dxa" w:w="1376"/>
          </w:tcPr>
          <w:p>
            <w:pPr>
              <w:spacing w:after="40" w:before="40" w:line="240" w:lineRule="auto"/>
              <w:jc w:val="left"/>
            </w:pPr>
            <w:r/>
            <w:r>
              <w:rPr>
                <w:rFonts w:ascii="Times New Roman" w:hAnsi="Times New Roman" w:cs="Times New Roman" w:eastAsia="Times New Roman"/>
                <w:b w:val="0"/>
                <w:i w:val="0"/>
                <w:sz w:val="18"/>
                <w:u w:val="none"/>
              </w:rPr>
              <w:t>§ 14.1</w:t>
            </w:r>
          </w:p>
        </w:tc>
        <w:tc>
          <w:tcPr>
            <w:tcW w:type="dxa" w:w="3579"/>
          </w:tcPr>
          <w:p>
            <w:pPr>
              <w:spacing w:after="40" w:before="40" w:line="240" w:lineRule="auto"/>
              <w:jc w:val="left"/>
            </w:pPr>
            <w:r/>
            <w:r>
              <w:rPr>
                <w:rFonts w:ascii="Times New Roman" w:hAnsi="Times New Roman" w:cs="Times New Roman" w:eastAsia="Times New Roman"/>
                <w:b w:val="0"/>
                <w:i w:val="0"/>
                <w:sz w:val="18"/>
                <w:u w:val="none"/>
              </w:rPr>
              <w:t>South Carolina law</w:t>
            </w:r>
          </w:p>
        </w:tc>
        <w:tc>
          <w:tcPr>
            <w:tcW w:type="dxa" w:w="2615"/>
          </w:tcPr>
          <w:p>
            <w:pPr>
              <w:spacing w:after="40" w:before="40" w:line="240" w:lineRule="auto"/>
              <w:jc w:val="left"/>
            </w:pPr>
            <w:r/>
            <w:r>
              <w:rPr>
                <w:rFonts w:ascii="Times New Roman" w:hAnsi="Times New Roman" w:cs="Times New Roman" w:eastAsia="Times New Roman"/>
                <w:b w:val="0"/>
                <w:i w:val="0"/>
                <w:sz w:val="18"/>
                <w:u w:val="none"/>
              </w:rPr>
              <w:t>§ 18.1; § 18.2</w:t>
            </w:r>
          </w:p>
        </w:tc>
        <w:tc>
          <w:tcPr>
            <w:tcW w:type="dxa" w:w="1789"/>
          </w:tcPr>
          <w:p>
            <w:pPr>
              <w:spacing w:after="40" w:before="40" w:line="240" w:lineRule="auto"/>
              <w:jc w:val="left"/>
            </w:pPr>
            <w:r/>
            <w:r>
              <w:rPr>
                <w:rFonts w:ascii="Times New Roman" w:hAnsi="Times New Roman" w:cs="Times New Roman" w:eastAsia="Times New Roman"/>
                <w:b w:val="0"/>
                <w:i w:val="0"/>
                <w:sz w:val="18"/>
                <w:u w:val="none"/>
              </w:rPr>
              <w:t>Implemented</w:t>
            </w:r>
          </w:p>
        </w:tc>
      </w:tr>
      <w:tr>
        <w:tc>
          <w:tcPr>
            <w:tcW w:type="dxa" w:w="1376"/>
          </w:tcPr>
          <w:p>
            <w:pPr>
              <w:spacing w:after="40" w:before="40" w:line="240" w:lineRule="auto"/>
              <w:jc w:val="left"/>
            </w:pPr>
            <w:r/>
            <w:r>
              <w:rPr>
                <w:rFonts w:ascii="Times New Roman" w:hAnsi="Times New Roman" w:cs="Times New Roman" w:eastAsia="Times New Roman"/>
                <w:b w:val="0"/>
                <w:i w:val="0"/>
                <w:sz w:val="18"/>
                <w:u w:val="none"/>
              </w:rPr>
              <w:t>§ 14.3</w:t>
            </w:r>
          </w:p>
        </w:tc>
        <w:tc>
          <w:tcPr>
            <w:tcW w:type="dxa" w:w="3579"/>
          </w:tcPr>
          <w:p>
            <w:pPr>
              <w:spacing w:after="40" w:before="40" w:line="240" w:lineRule="auto"/>
              <w:jc w:val="left"/>
            </w:pPr>
            <w:r/>
            <w:r>
              <w:rPr>
                <w:rFonts w:ascii="Times New Roman" w:hAnsi="Times New Roman" w:cs="Times New Roman" w:eastAsia="Times New Roman"/>
                <w:b w:val="0"/>
                <w:i w:val="0"/>
                <w:sz w:val="18"/>
                <w:u w:val="none"/>
              </w:rPr>
              <w:t>Loan Documents</w:t>
            </w:r>
          </w:p>
        </w:tc>
        <w:tc>
          <w:tcPr>
            <w:tcW w:type="dxa" w:w="2615"/>
          </w:tcPr>
          <w:p>
            <w:pPr>
              <w:spacing w:after="40" w:before="40" w:line="240" w:lineRule="auto"/>
              <w:jc w:val="left"/>
            </w:pPr>
            <w:r/>
            <w:r>
              <w:rPr>
                <w:rFonts w:ascii="Times New Roman" w:hAnsi="Times New Roman" w:cs="Times New Roman" w:eastAsia="Times New Roman"/>
                <w:b w:val="0"/>
                <w:i w:val="0"/>
                <w:sz w:val="18"/>
                <w:u w:val="none"/>
              </w:rPr>
              <w:t>Article 1 (“Loan Documents”)</w:t>
            </w:r>
          </w:p>
        </w:tc>
        <w:tc>
          <w:tcPr>
            <w:tcW w:type="dxa" w:w="1789"/>
          </w:tcPr>
          <w:p>
            <w:pPr>
              <w:spacing w:after="40" w:before="40" w:line="240" w:lineRule="auto"/>
              <w:jc w:val="left"/>
            </w:pPr>
            <w:r/>
            <w:r>
              <w:rPr>
                <w:rFonts w:ascii="Times New Roman" w:hAnsi="Times New Roman" w:cs="Times New Roman" w:eastAsia="Times New Roman"/>
                <w:b w:val="0"/>
                <w:i w:val="0"/>
                <w:sz w:val="18"/>
                <w:u w:val="none"/>
              </w:rPr>
              <w:t>Implemented; GC contract excluded (K1)</w:t>
            </w:r>
          </w:p>
        </w:tc>
      </w:tr>
    </w:tbl>
    <w:p>
      <w:pPr>
        <w:keepNext w:val="0"/>
        <w:spacing w:before="0" w:after="40" w:line="240" w:lineRule="auto"/>
        <w:ind w:left="0"/>
        <w:jc w:val="both"/>
      </w:pPr>
    </w:p>
    <w:p>
      <w:pPr>
        <w:keepNext/>
        <w:spacing w:before="280" w:after="200" w:line="240" w:lineRule="auto"/>
        <w:ind w:left="0"/>
        <w:jc w:val="center"/>
      </w:pPr>
      <w:r>
        <w:rPr>
          <w:rFonts w:ascii="Times New Roman" w:hAnsi="Times New Roman" w:cs="Times New Roman" w:eastAsia="Times New Roman"/>
          <w:b/>
          <w:i w:val="0"/>
          <w:caps/>
          <w:sz w:val="24"/>
          <w:u w:val="none"/>
        </w:rPr>
        <w:t>7. POINTS ON WHICH THE DRAFT DEPARTS FROM THE MARCH 18 INSTRUCTIONS OR FROM THE TERM SHEET</w:t>
      </w:r>
    </w:p>
    <w:p>
      <w:pPr>
        <w:keepNext w:val="0"/>
        <w:spacing w:before="0" w:after="160" w:line="240" w:lineRule="auto"/>
        <w:ind w:left="0"/>
        <w:jc w:val="both"/>
      </w:pPr>
      <w:r>
        <w:rPr>
          <w:rFonts w:ascii="Times New Roman" w:hAnsi="Times New Roman" w:cs="Times New Roman" w:eastAsia="Times New Roman"/>
          <w:b w:val="0"/>
          <w:i w:val="0"/>
          <w:sz w:val="24"/>
          <w:u w:val="none"/>
        </w:rPr>
        <w:t>Each item below requires a decision. In every case the draft adopts a position and flags it; none is left open in the instrument.</w:t>
      </w:r>
    </w:p>
    <w:tbl>
      <w:tblPr>
        <w:tblStyle w:val="TableGrid"/>
        <w:tblW w:type="auto" w:w="0"/>
        <w:jc w:val="center"/>
        <w:tblLayout w:type="fixed"/>
        <w:tblLook w:firstColumn="1" w:firstRow="1" w:lastColumn="0" w:lastRow="0" w:noHBand="0" w:noVBand="1" w:val="04A0"/>
        <w:tblLayout w:type="fixed"/>
        <w:tblW w:w="9360" w:type="dxa"/>
        <w:tblCellMar>
          <w:left w:w="72" w:type="dxa"/>
          <w:right w:w="72" w:type="dxa"/>
          <w:top w:w="36" w:type="dxa"/>
          <w:bottom w:w="36" w:type="dxa"/>
        </w:tblCellMar>
      </w:tblPr>
      <w:tblGrid>
        <w:gridCol w:w="614"/>
        <w:gridCol w:w="3279"/>
        <w:gridCol w:w="3006"/>
        <w:gridCol w:w="2459"/>
      </w:tblGrid>
      <w:tr>
        <w:tc>
          <w:tcPr>
            <w:tcW w:type="dxa" w:w="615"/>
            <w:shd w:val="clear" w:color="auto" w:fill="D9D9D9"/>
          </w:tcPr>
          <w:p>
            <w:pPr>
              <w:spacing w:after="40" w:before="40" w:line="240" w:lineRule="auto"/>
              <w:jc w:val="left"/>
            </w:pPr>
            <w:r/>
            <w:r>
              <w:rPr>
                <w:rFonts w:ascii="Times New Roman" w:hAnsi="Times New Roman" w:cs="Times New Roman" w:eastAsia="Times New Roman"/>
                <w:b/>
                <w:i w:val="0"/>
                <w:sz w:val="18"/>
                <w:u w:val="none"/>
              </w:rPr>
              <w:t>#</w:t>
            </w:r>
          </w:p>
        </w:tc>
        <w:tc>
          <w:tcPr>
            <w:tcW w:type="dxa" w:w="3279"/>
            <w:shd w:val="clear" w:color="auto" w:fill="D9D9D9"/>
          </w:tcPr>
          <w:p>
            <w:pPr>
              <w:spacing w:after="40" w:before="40" w:line="240" w:lineRule="auto"/>
              <w:jc w:val="left"/>
            </w:pPr>
            <w:r/>
            <w:r>
              <w:rPr>
                <w:rFonts w:ascii="Times New Roman" w:hAnsi="Times New Roman" w:cs="Times New Roman" w:eastAsia="Times New Roman"/>
                <w:b/>
                <w:i w:val="0"/>
                <w:sz w:val="18"/>
                <w:u w:val="none"/>
              </w:rPr>
              <w:t>Point</w:t>
            </w:r>
          </w:p>
        </w:tc>
        <w:tc>
          <w:tcPr>
            <w:tcW w:type="dxa" w:w="3006"/>
            <w:shd w:val="clear" w:color="auto" w:fill="D9D9D9"/>
          </w:tcPr>
          <w:p>
            <w:pPr>
              <w:spacing w:after="40" w:before="40" w:line="240" w:lineRule="auto"/>
              <w:jc w:val="left"/>
            </w:pPr>
            <w:r/>
            <w:r>
              <w:rPr>
                <w:rFonts w:ascii="Times New Roman" w:hAnsi="Times New Roman" w:cs="Times New Roman" w:eastAsia="Times New Roman"/>
                <w:b/>
                <w:i w:val="0"/>
                <w:sz w:val="18"/>
                <w:u w:val="none"/>
              </w:rPr>
              <w:t>Draft position and reason</w:t>
            </w:r>
          </w:p>
        </w:tc>
        <w:tc>
          <w:tcPr>
            <w:tcW w:type="dxa" w:w="2460"/>
            <w:shd w:val="clear" w:color="auto" w:fill="D9D9D9"/>
          </w:tcPr>
          <w:p>
            <w:pPr>
              <w:spacing w:after="40" w:before="40" w:line="240" w:lineRule="auto"/>
              <w:jc w:val="left"/>
            </w:pPr>
            <w:r/>
            <w:r>
              <w:rPr>
                <w:rFonts w:ascii="Times New Roman" w:hAnsi="Times New Roman" w:cs="Times New Roman" w:eastAsia="Times New Roman"/>
                <w:b/>
                <w:i w:val="0"/>
                <w:sz w:val="18"/>
                <w:u w:val="none"/>
              </w:rPr>
              <w:t>Decision needed</w:t>
            </w:r>
          </w:p>
        </w:tc>
      </w:tr>
      <w:tr>
        <w:tc>
          <w:tcPr>
            <w:tcW w:type="dxa" w:w="615"/>
          </w:tcPr>
          <w:p>
            <w:pPr>
              <w:spacing w:after="40" w:before="40" w:line="240" w:lineRule="auto"/>
              <w:jc w:val="left"/>
            </w:pPr>
            <w:r/>
            <w:r>
              <w:rPr>
                <w:rFonts w:ascii="Times New Roman" w:hAnsi="Times New Roman" w:cs="Times New Roman" w:eastAsia="Times New Roman"/>
                <w:b w:val="0"/>
                <w:i w:val="0"/>
                <w:sz w:val="18"/>
                <w:u w:val="none"/>
              </w:rPr>
              <w:t>7.1</w:t>
            </w:r>
          </w:p>
        </w:tc>
        <w:tc>
          <w:tcPr>
            <w:tcW w:type="dxa" w:w="3279"/>
          </w:tcPr>
          <w:p>
            <w:pPr>
              <w:spacing w:after="40" w:before="40" w:line="240" w:lineRule="auto"/>
              <w:jc w:val="left"/>
            </w:pPr>
            <w:r/>
            <w:r>
              <w:rPr>
                <w:rFonts w:ascii="Times New Roman" w:hAnsi="Times New Roman" w:cs="Times New Roman" w:eastAsia="Times New Roman"/>
                <w:b w:val="0"/>
                <w:i w:val="0"/>
                <w:sz w:val="18"/>
                <w:u w:val="none"/>
              </w:rPr>
              <w:t>Yield maintenance formula (note § 5 versus Term Sheet § 4.2(b))</w:t>
            </w:r>
          </w:p>
        </w:tc>
        <w:tc>
          <w:tcPr>
            <w:tcW w:type="dxa" w:w="3006"/>
          </w:tcPr>
          <w:p>
            <w:pPr>
              <w:spacing w:after="40" w:before="40" w:line="240" w:lineRule="auto"/>
              <w:jc w:val="left"/>
            </w:pPr>
            <w:r/>
            <w:r>
              <w:rPr>
                <w:rFonts w:ascii="Times New Roman" w:hAnsi="Times New Roman" w:cs="Times New Roman" w:eastAsia="Times New Roman"/>
                <w:b w:val="0"/>
                <w:i w:val="0"/>
                <w:sz w:val="18"/>
                <w:u w:val="none"/>
              </w:rPr>
              <w:t>Drafted to the Term Sheet: greater of 1.00% and the PV of the net interest differential, with the 50 bps added to the Treasury rate as the reinvestment rate and the discount rate. The note’s version omits the 1% floor and relocates the 50 bps, each of which changes the economics and departs from a binding term.</w:t>
            </w:r>
          </w:p>
        </w:tc>
        <w:tc>
          <w:tcPr>
            <w:tcW w:type="dxa" w:w="2460"/>
          </w:tcPr>
          <w:p>
            <w:pPr>
              <w:spacing w:after="40" w:before="40" w:line="240" w:lineRule="auto"/>
              <w:jc w:val="left"/>
            </w:pPr>
            <w:r/>
            <w:r>
              <w:rPr>
                <w:rFonts w:ascii="Times New Roman" w:hAnsi="Times New Roman" w:cs="Times New Roman" w:eastAsia="Times New Roman"/>
                <w:b w:val="0"/>
                <w:i w:val="0"/>
                <w:sz w:val="18"/>
                <w:u w:val="none"/>
              </w:rPr>
              <w:t>Confirm; if the note’s version is preferred, the Term Sheet must be amended</w:t>
            </w:r>
          </w:p>
        </w:tc>
      </w:tr>
      <w:tr>
        <w:tc>
          <w:tcPr>
            <w:tcW w:type="dxa" w:w="615"/>
          </w:tcPr>
          <w:p>
            <w:pPr>
              <w:spacing w:after="40" w:before="40" w:line="240" w:lineRule="auto"/>
              <w:jc w:val="left"/>
            </w:pPr>
            <w:r/>
            <w:r>
              <w:rPr>
                <w:rFonts w:ascii="Times New Roman" w:hAnsi="Times New Roman" w:cs="Times New Roman" w:eastAsia="Times New Roman"/>
                <w:b w:val="0"/>
                <w:i w:val="0"/>
                <w:sz w:val="18"/>
                <w:u w:val="none"/>
              </w:rPr>
              <w:t>7.2</w:t>
            </w:r>
          </w:p>
        </w:tc>
        <w:tc>
          <w:tcPr>
            <w:tcW w:type="dxa" w:w="3279"/>
          </w:tcPr>
          <w:p>
            <w:pPr>
              <w:spacing w:after="40" w:before="40" w:line="240" w:lineRule="auto"/>
              <w:jc w:val="left"/>
            </w:pPr>
            <w:r/>
            <w:r>
              <w:rPr>
                <w:rFonts w:ascii="Times New Roman" w:hAnsi="Times New Roman" w:cs="Times New Roman" w:eastAsia="Times New Roman"/>
                <w:b w:val="0"/>
                <w:i w:val="0"/>
                <w:sz w:val="18"/>
                <w:u w:val="none"/>
              </w:rPr>
              <w:t>Lockout remedy (note § 5 versus Term Sheet § 4.1)</w:t>
            </w:r>
          </w:p>
        </w:tc>
        <w:tc>
          <w:tcPr>
            <w:tcW w:type="dxa" w:w="3006"/>
          </w:tcPr>
          <w:p>
            <w:pPr>
              <w:spacing w:after="40" w:before="40" w:line="240" w:lineRule="auto"/>
              <w:jc w:val="left"/>
            </w:pPr>
            <w:r/>
            <w:r>
              <w:rPr>
                <w:rFonts w:ascii="Times New Roman" w:hAnsi="Times New Roman" w:cs="Times New Roman" w:eastAsia="Times New Roman"/>
                <w:b w:val="0"/>
                <w:i w:val="0"/>
                <w:sz w:val="18"/>
                <w:u w:val="none"/>
              </w:rPr>
              <w:t>Prepayment during the lockout remains prohibited, but the consequence of an accepted or deemed prepayment is the Yield Maintenance Premium rather than a void tender, because Term Sheet § 4.1 expressly prescribes “a prepayment premium as described in Section 4.2” for a prohibited prepayment.</w:t>
            </w:r>
          </w:p>
        </w:tc>
        <w:tc>
          <w:tcPr>
            <w:tcW w:type="dxa" w:w="2460"/>
          </w:tcPr>
          <w:p>
            <w:pPr>
              <w:spacing w:after="40" w:before="40" w:line="240" w:lineRule="auto"/>
              <w:jc w:val="left"/>
            </w:pPr>
            <w:r/>
            <w:r>
              <w:rPr>
                <w:rFonts w:ascii="Times New Roman" w:hAnsi="Times New Roman" w:cs="Times New Roman" w:eastAsia="Times New Roman"/>
                <w:b w:val="0"/>
                <w:i w:val="0"/>
                <w:sz w:val="18"/>
                <w:u w:val="none"/>
              </w:rPr>
              <w:t>Confirm; alternatively substitute a flat lockout premium</w:t>
            </w:r>
          </w:p>
        </w:tc>
      </w:tr>
      <w:tr>
        <w:tc>
          <w:tcPr>
            <w:tcW w:type="dxa" w:w="615"/>
          </w:tcPr>
          <w:p>
            <w:pPr>
              <w:spacing w:after="40" w:before="40" w:line="240" w:lineRule="auto"/>
              <w:jc w:val="left"/>
            </w:pPr>
            <w:r/>
            <w:r>
              <w:rPr>
                <w:rFonts w:ascii="Times New Roman" w:hAnsi="Times New Roman" w:cs="Times New Roman" w:eastAsia="Times New Roman"/>
                <w:b w:val="0"/>
                <w:i w:val="0"/>
                <w:sz w:val="18"/>
                <w:u w:val="none"/>
              </w:rPr>
              <w:t>7.3</w:t>
            </w:r>
          </w:p>
        </w:tc>
        <w:tc>
          <w:tcPr>
            <w:tcW w:type="dxa" w:w="3279"/>
          </w:tcPr>
          <w:p>
            <w:pPr>
              <w:spacing w:after="40" w:before="40" w:line="240" w:lineRule="auto"/>
              <w:jc w:val="left"/>
            </w:pPr>
            <w:r/>
            <w:r>
              <w:rPr>
                <w:rFonts w:ascii="Times New Roman" w:hAnsi="Times New Roman" w:cs="Times New Roman" w:eastAsia="Times New Roman"/>
                <w:b w:val="0"/>
                <w:i w:val="0"/>
                <w:sz w:val="18"/>
                <w:u w:val="none"/>
              </w:rPr>
              <w:t>Casualty and condemnation proceeds applied at par (note § 5)</w:t>
            </w:r>
          </w:p>
        </w:tc>
        <w:tc>
          <w:tcPr>
            <w:tcW w:type="dxa" w:w="3006"/>
          </w:tcPr>
          <w:p>
            <w:pPr>
              <w:spacing w:after="40" w:before="40" w:line="240" w:lineRule="auto"/>
              <w:jc w:val="left"/>
            </w:pPr>
            <w:r/>
            <w:r>
              <w:rPr>
                <w:rFonts w:ascii="Times New Roman" w:hAnsi="Times New Roman" w:cs="Times New Roman" w:eastAsia="Times New Roman"/>
                <w:b w:val="0"/>
                <w:i w:val="0"/>
                <w:sz w:val="18"/>
                <w:u w:val="none"/>
              </w:rPr>
              <w:t>Implemented as instructed. The Term Sheet is silent, so this is a concession to Borrower.</w:t>
            </w:r>
          </w:p>
        </w:tc>
        <w:tc>
          <w:tcPr>
            <w:tcW w:type="dxa" w:w="2460"/>
          </w:tcPr>
          <w:p>
            <w:pPr>
              <w:spacing w:after="40" w:before="40" w:line="240" w:lineRule="auto"/>
              <w:jc w:val="left"/>
            </w:pPr>
            <w:r/>
            <w:r>
              <w:rPr>
                <w:rFonts w:ascii="Times New Roman" w:hAnsi="Times New Roman" w:cs="Times New Roman" w:eastAsia="Times New Roman"/>
                <w:b w:val="0"/>
                <w:i w:val="0"/>
                <w:sz w:val="18"/>
                <w:u w:val="none"/>
              </w:rPr>
              <w:t>Confirm the concession</w:t>
            </w:r>
          </w:p>
        </w:tc>
      </w:tr>
      <w:tr>
        <w:tc>
          <w:tcPr>
            <w:tcW w:type="dxa" w:w="615"/>
          </w:tcPr>
          <w:p>
            <w:pPr>
              <w:spacing w:after="40" w:before="40" w:line="240" w:lineRule="auto"/>
              <w:jc w:val="left"/>
            </w:pPr>
            <w:r/>
            <w:r>
              <w:rPr>
                <w:rFonts w:ascii="Times New Roman" w:hAnsi="Times New Roman" w:cs="Times New Roman" w:eastAsia="Times New Roman"/>
                <w:b w:val="0"/>
                <w:i w:val="0"/>
                <w:sz w:val="18"/>
                <w:u w:val="none"/>
              </w:rPr>
              <w:t>7.4</w:t>
            </w:r>
          </w:p>
        </w:tc>
        <w:tc>
          <w:tcPr>
            <w:tcW w:type="dxa" w:w="3279"/>
          </w:tcPr>
          <w:p>
            <w:pPr>
              <w:spacing w:after="40" w:before="40" w:line="240" w:lineRule="auto"/>
              <w:jc w:val="left"/>
            </w:pPr>
            <w:r/>
            <w:r>
              <w:rPr>
                <w:rFonts w:ascii="Times New Roman" w:hAnsi="Times New Roman" w:cs="Times New Roman" w:eastAsia="Times New Roman"/>
                <w:b w:val="0"/>
                <w:i w:val="0"/>
                <w:sz w:val="18"/>
                <w:u w:val="none"/>
              </w:rPr>
              <w:t>Definition of “Loan Documents” (note § 1)</w:t>
            </w:r>
          </w:p>
        </w:tc>
        <w:tc>
          <w:tcPr>
            <w:tcW w:type="dxa" w:w="3006"/>
          </w:tcPr>
          <w:p>
            <w:pPr>
              <w:spacing w:after="40" w:before="40" w:line="240" w:lineRule="auto"/>
              <w:jc w:val="left"/>
            </w:pPr>
            <w:r/>
            <w:r>
              <w:rPr>
                <w:rFonts w:ascii="Times New Roman" w:hAnsi="Times New Roman" w:cs="Times New Roman" w:eastAsia="Times New Roman"/>
                <w:b w:val="0"/>
                <w:i w:val="0"/>
                <w:sz w:val="18"/>
                <w:u w:val="none"/>
              </w:rPr>
              <w:t>The Construction Contract and Renovation Budget are defined as Project Documents and assigned as collateral rather than made Loan Documents, so that a construction default does not automatically become a loan default.</w:t>
            </w:r>
          </w:p>
        </w:tc>
        <w:tc>
          <w:tcPr>
            <w:tcW w:type="dxa" w:w="2460"/>
          </w:tcPr>
          <w:p>
            <w:pPr>
              <w:spacing w:after="40" w:before="40" w:line="240" w:lineRule="auto"/>
              <w:jc w:val="left"/>
            </w:pPr>
            <w:r/>
            <w:r>
              <w:rPr>
                <w:rFonts w:ascii="Times New Roman" w:hAnsi="Times New Roman" w:cs="Times New Roman" w:eastAsia="Times New Roman"/>
                <w:b w:val="0"/>
                <w:i w:val="0"/>
                <w:sz w:val="18"/>
                <w:u w:val="none"/>
              </w:rPr>
              <w:t>Confirm</w:t>
            </w:r>
          </w:p>
        </w:tc>
      </w:tr>
      <w:tr>
        <w:tc>
          <w:tcPr>
            <w:tcW w:type="dxa" w:w="615"/>
          </w:tcPr>
          <w:p>
            <w:pPr>
              <w:spacing w:after="40" w:before="40" w:line="240" w:lineRule="auto"/>
              <w:jc w:val="left"/>
            </w:pPr>
            <w:r/>
            <w:r>
              <w:rPr>
                <w:rFonts w:ascii="Times New Roman" w:hAnsi="Times New Roman" w:cs="Times New Roman" w:eastAsia="Times New Roman"/>
                <w:b w:val="0"/>
                <w:i w:val="0"/>
                <w:sz w:val="18"/>
                <w:u w:val="none"/>
              </w:rPr>
              <w:t>7.5</w:t>
            </w:r>
          </w:p>
        </w:tc>
        <w:tc>
          <w:tcPr>
            <w:tcW w:type="dxa" w:w="3279"/>
          </w:tcPr>
          <w:p>
            <w:pPr>
              <w:spacing w:after="40" w:before="40" w:line="240" w:lineRule="auto"/>
              <w:jc w:val="left"/>
            </w:pPr>
            <w:r/>
            <w:r>
              <w:rPr>
                <w:rFonts w:ascii="Times New Roman" w:hAnsi="Times New Roman" w:cs="Times New Roman" w:eastAsia="Times New Roman"/>
                <w:b w:val="0"/>
                <w:i w:val="0"/>
                <w:sz w:val="18"/>
                <w:u w:val="none"/>
              </w:rPr>
              <w:t>Net worth and liquidity covenant obligor (note § 6 versus Term Sheet § 7.2)</w:t>
            </w:r>
          </w:p>
        </w:tc>
        <w:tc>
          <w:tcPr>
            <w:tcW w:type="dxa" w:w="3006"/>
          </w:tcPr>
          <w:p>
            <w:pPr>
              <w:spacing w:after="40" w:before="40" w:line="240" w:lineRule="auto"/>
              <w:jc w:val="left"/>
            </w:pPr>
            <w:r/>
            <w:r>
              <w:rPr>
                <w:rFonts w:ascii="Times New Roman" w:hAnsi="Times New Roman" w:cs="Times New Roman" w:eastAsia="Times New Roman"/>
                <w:b w:val="0"/>
                <w:i w:val="0"/>
                <w:sz w:val="18"/>
                <w:u w:val="none"/>
              </w:rPr>
              <w:t>Drafted on Borrower, as the Term Sheet provides, with a cross-reference to Guarantor’s separate covenants in the Guaranty.</w:t>
            </w:r>
          </w:p>
        </w:tc>
        <w:tc>
          <w:tcPr>
            <w:tcW w:type="dxa" w:w="2460"/>
          </w:tcPr>
          <w:p>
            <w:pPr>
              <w:spacing w:after="40" w:before="40" w:line="240" w:lineRule="auto"/>
              <w:jc w:val="left"/>
            </w:pPr>
            <w:r/>
            <w:r>
              <w:rPr>
                <w:rFonts w:ascii="Times New Roman" w:hAnsi="Times New Roman" w:cs="Times New Roman" w:eastAsia="Times New Roman"/>
                <w:b w:val="0"/>
                <w:i w:val="0"/>
                <w:sz w:val="18"/>
                <w:u w:val="none"/>
              </w:rPr>
              <w:t>Confirm which obligor Lender intends</w:t>
            </w:r>
          </w:p>
        </w:tc>
      </w:tr>
      <w:tr>
        <w:tc>
          <w:tcPr>
            <w:tcW w:type="dxa" w:w="615"/>
          </w:tcPr>
          <w:p>
            <w:pPr>
              <w:spacing w:after="40" w:before="40" w:line="240" w:lineRule="auto"/>
              <w:jc w:val="left"/>
            </w:pPr>
            <w:r/>
            <w:r>
              <w:rPr>
                <w:rFonts w:ascii="Times New Roman" w:hAnsi="Times New Roman" w:cs="Times New Roman" w:eastAsia="Times New Roman"/>
                <w:b w:val="0"/>
                <w:i w:val="0"/>
                <w:sz w:val="18"/>
                <w:u w:val="none"/>
              </w:rPr>
              <w:t>7.6</w:t>
            </w:r>
          </w:p>
        </w:tc>
        <w:tc>
          <w:tcPr>
            <w:tcW w:type="dxa" w:w="3279"/>
          </w:tcPr>
          <w:p>
            <w:pPr>
              <w:spacing w:after="40" w:before="40" w:line="240" w:lineRule="auto"/>
              <w:jc w:val="left"/>
            </w:pPr>
            <w:r/>
            <w:r>
              <w:rPr>
                <w:rFonts w:ascii="Times New Roman" w:hAnsi="Times New Roman" w:cs="Times New Roman" w:eastAsia="Times New Roman"/>
                <w:b w:val="0"/>
                <w:i w:val="0"/>
                <w:sz w:val="18"/>
                <w:u w:val="none"/>
              </w:rPr>
              <w:t>DSCR first test date (note § 6 versus Term Sheet § 7.1)</w:t>
            </w:r>
          </w:p>
        </w:tc>
        <w:tc>
          <w:tcPr>
            <w:tcW w:type="dxa" w:w="3006"/>
          </w:tcPr>
          <w:p>
            <w:pPr>
              <w:spacing w:after="40" w:before="40" w:line="240" w:lineRule="auto"/>
              <w:jc w:val="left"/>
            </w:pPr>
            <w:r/>
            <w:r>
              <w:rPr>
                <w:rFonts w:ascii="Times New Roman" w:hAnsi="Times New Roman" w:cs="Times New Roman" w:eastAsia="Times New Roman"/>
                <w:b w:val="0"/>
                <w:i w:val="0"/>
                <w:sz w:val="18"/>
                <w:u w:val="none"/>
              </w:rPr>
              <w:t>Drafted to the Term Sheet’s operative language: the first full fiscal quarter ending after month 24, i.e., the quarter ending June 30, 2027.</w:t>
            </w:r>
          </w:p>
        </w:tc>
        <w:tc>
          <w:tcPr>
            <w:tcW w:type="dxa" w:w="2460"/>
          </w:tcPr>
          <w:p>
            <w:pPr>
              <w:spacing w:after="40" w:before="40" w:line="240" w:lineRule="auto"/>
              <w:jc w:val="left"/>
            </w:pPr>
            <w:r/>
            <w:r>
              <w:rPr>
                <w:rFonts w:ascii="Times New Roman" w:hAnsi="Times New Roman" w:cs="Times New Roman" w:eastAsia="Times New Roman"/>
                <w:b w:val="0"/>
                <w:i w:val="0"/>
                <w:sz w:val="18"/>
                <w:u w:val="none"/>
              </w:rPr>
              <w:t>Confirm; note the covenant fails either way</w:t>
            </w:r>
          </w:p>
        </w:tc>
      </w:tr>
      <w:tr>
        <w:tc>
          <w:tcPr>
            <w:tcW w:type="dxa" w:w="615"/>
          </w:tcPr>
          <w:p>
            <w:pPr>
              <w:spacing w:after="40" w:before="40" w:line="240" w:lineRule="auto"/>
              <w:jc w:val="left"/>
            </w:pPr>
            <w:r/>
            <w:r>
              <w:rPr>
                <w:rFonts w:ascii="Times New Roman" w:hAnsi="Times New Roman" w:cs="Times New Roman" w:eastAsia="Times New Roman"/>
                <w:b w:val="0"/>
                <w:i w:val="0"/>
                <w:sz w:val="18"/>
                <w:u w:val="none"/>
              </w:rPr>
              <w:t>7.7</w:t>
            </w:r>
          </w:p>
        </w:tc>
        <w:tc>
          <w:tcPr>
            <w:tcW w:type="dxa" w:w="3279"/>
          </w:tcPr>
          <w:p>
            <w:pPr>
              <w:spacing w:after="40" w:before="40" w:line="240" w:lineRule="auto"/>
              <w:jc w:val="left"/>
            </w:pPr>
            <w:r/>
            <w:r>
              <w:rPr>
                <w:rFonts w:ascii="Times New Roman" w:hAnsi="Times New Roman" w:cs="Times New Roman" w:eastAsia="Times New Roman"/>
                <w:b w:val="0"/>
                <w:i w:val="0"/>
                <w:sz w:val="18"/>
                <w:u w:val="none"/>
              </w:rPr>
              <w:t>Environmental provisions (note § 6: “standard provisions in the mortgage should suffice”)</w:t>
            </w:r>
          </w:p>
        </w:tc>
        <w:tc>
          <w:tcPr>
            <w:tcW w:type="dxa" w:w="3006"/>
          </w:tcPr>
          <w:p>
            <w:pPr>
              <w:spacing w:after="40" w:before="40" w:line="240" w:lineRule="auto"/>
              <w:jc w:val="left"/>
            </w:pPr>
            <w:r/>
            <w:r>
              <w:rPr>
                <w:rFonts w:ascii="Times New Roman" w:hAnsi="Times New Roman" w:cs="Times New Roman" w:eastAsia="Times New Roman"/>
                <w:b w:val="0"/>
                <w:i w:val="0"/>
                <w:sz w:val="18"/>
                <w:u w:val="none"/>
              </w:rPr>
              <w:t>Article 9 contains specific LUR covenants and a defined Event of Default, because the Title Insurer’s note to us and the consultant’s recommendation to Lender both require them, and because the instrument carries the only protection Lender has (title insurance excludes environmental matters).</w:t>
            </w:r>
          </w:p>
        </w:tc>
        <w:tc>
          <w:tcPr>
            <w:tcW w:type="dxa" w:w="2460"/>
          </w:tcPr>
          <w:p>
            <w:pPr>
              <w:spacing w:after="40" w:before="40" w:line="240" w:lineRule="auto"/>
              <w:jc w:val="left"/>
            </w:pPr>
            <w:r/>
            <w:r>
              <w:rPr>
                <w:rFonts w:ascii="Times New Roman" w:hAnsi="Times New Roman" w:cs="Times New Roman" w:eastAsia="Times New Roman"/>
                <w:b w:val="0"/>
                <w:i w:val="0"/>
                <w:sz w:val="18"/>
                <w:u w:val="none"/>
              </w:rPr>
              <w:t>Confirm; no further action if agreed</w:t>
            </w:r>
          </w:p>
        </w:tc>
      </w:tr>
      <w:tr>
        <w:tc>
          <w:tcPr>
            <w:tcW w:type="dxa" w:w="615"/>
          </w:tcPr>
          <w:p>
            <w:pPr>
              <w:spacing w:after="40" w:before="40" w:line="240" w:lineRule="auto"/>
              <w:jc w:val="left"/>
            </w:pPr>
            <w:r/>
            <w:r>
              <w:rPr>
                <w:rFonts w:ascii="Times New Roman" w:hAnsi="Times New Roman" w:cs="Times New Roman" w:eastAsia="Times New Roman"/>
                <w:b w:val="0"/>
                <w:i w:val="0"/>
                <w:sz w:val="18"/>
                <w:u w:val="none"/>
              </w:rPr>
              <w:t>7.8</w:t>
            </w:r>
          </w:p>
        </w:tc>
        <w:tc>
          <w:tcPr>
            <w:tcW w:type="dxa" w:w="3279"/>
          </w:tcPr>
          <w:p>
            <w:pPr>
              <w:spacing w:after="40" w:before="40" w:line="240" w:lineRule="auto"/>
              <w:jc w:val="left"/>
            </w:pPr>
            <w:r/>
            <w:r>
              <w:rPr>
                <w:rFonts w:ascii="Times New Roman" w:hAnsi="Times New Roman" w:cs="Times New Roman" w:eastAsia="Times New Roman"/>
                <w:b w:val="0"/>
                <w:i w:val="0"/>
                <w:sz w:val="18"/>
                <w:u w:val="none"/>
              </w:rPr>
              <w:t>Anson Lane endorsement (note § 2 requests an ALTA 9)</w:t>
            </w:r>
          </w:p>
        </w:tc>
        <w:tc>
          <w:tcPr>
            <w:tcW w:type="dxa" w:w="3006"/>
          </w:tcPr>
          <w:p>
            <w:pPr>
              <w:spacing w:after="40" w:before="40" w:line="240" w:lineRule="auto"/>
              <w:jc w:val="left"/>
            </w:pPr>
            <w:r/>
            <w:r>
              <w:rPr>
                <w:rFonts w:ascii="Times New Roman" w:hAnsi="Times New Roman" w:cs="Times New Roman" w:eastAsia="Times New Roman"/>
                <w:b w:val="0"/>
                <w:i w:val="0"/>
                <w:sz w:val="18"/>
                <w:u w:val="none"/>
              </w:rPr>
              <w:t>Drafted to require affirmative coverage generally, identifying ALTA 34 (Identified Risk) as the appropriate instrument for a quitclaim vesting risk; ALTA 9 addresses restrictions, encroachments, and easements, not the sufficiency of the grantor’s title.</w:t>
            </w:r>
          </w:p>
        </w:tc>
        <w:tc>
          <w:tcPr>
            <w:tcW w:type="dxa" w:w="2460"/>
          </w:tcPr>
          <w:p>
            <w:pPr>
              <w:spacing w:after="40" w:before="40" w:line="240" w:lineRule="auto"/>
              <w:jc w:val="left"/>
            </w:pPr>
            <w:r/>
            <w:r>
              <w:rPr>
                <w:rFonts w:ascii="Times New Roman" w:hAnsi="Times New Roman" w:cs="Times New Roman" w:eastAsia="Times New Roman"/>
                <w:b w:val="0"/>
                <w:i w:val="0"/>
                <w:sz w:val="18"/>
                <w:u w:val="none"/>
              </w:rPr>
              <w:t>Confirm the endorsement strategy with the Title Insurer</w:t>
            </w:r>
          </w:p>
        </w:tc>
      </w:tr>
      <w:tr>
        <w:tc>
          <w:tcPr>
            <w:tcW w:type="dxa" w:w="615"/>
          </w:tcPr>
          <w:p>
            <w:pPr>
              <w:spacing w:after="40" w:before="40" w:line="240" w:lineRule="auto"/>
              <w:jc w:val="left"/>
            </w:pPr>
            <w:r/>
            <w:r>
              <w:rPr>
                <w:rFonts w:ascii="Times New Roman" w:hAnsi="Times New Roman" w:cs="Times New Roman" w:eastAsia="Times New Roman"/>
                <w:b w:val="0"/>
                <w:i w:val="0"/>
                <w:sz w:val="18"/>
                <w:u w:val="none"/>
              </w:rPr>
              <w:t>7.9</w:t>
            </w:r>
          </w:p>
        </w:tc>
        <w:tc>
          <w:tcPr>
            <w:tcW w:type="dxa" w:w="3279"/>
          </w:tcPr>
          <w:p>
            <w:pPr>
              <w:spacing w:after="40" w:before="40" w:line="240" w:lineRule="auto"/>
              <w:jc w:val="left"/>
            </w:pPr>
            <w:r/>
            <w:r>
              <w:rPr>
                <w:rFonts w:ascii="Times New Roman" w:hAnsi="Times New Roman" w:cs="Times New Roman" w:eastAsia="Times New Roman"/>
                <w:b w:val="0"/>
                <w:i w:val="0"/>
                <w:sz w:val="18"/>
                <w:u w:val="none"/>
              </w:rPr>
              <w:t>Waiver of redemption (note § 6)</w:t>
            </w:r>
          </w:p>
        </w:tc>
        <w:tc>
          <w:tcPr>
            <w:tcW w:type="dxa" w:w="3006"/>
          </w:tcPr>
          <w:p>
            <w:pPr>
              <w:spacing w:after="40" w:before="40" w:line="240" w:lineRule="auto"/>
              <w:jc w:val="left"/>
            </w:pPr>
            <w:r/>
            <w:r>
              <w:rPr>
                <w:rFonts w:ascii="Times New Roman" w:hAnsi="Times New Roman" w:cs="Times New Roman" w:eastAsia="Times New Roman"/>
                <w:b w:val="0"/>
                <w:i w:val="0"/>
                <w:sz w:val="18"/>
                <w:u w:val="none"/>
              </w:rPr>
              <w:t>Drafted as a waiver to the fullest extent permitted by law, with an express acknowledgment that statutory redemption and upset-bid rights cannot be waived in South Carolina.</w:t>
            </w:r>
          </w:p>
        </w:tc>
        <w:tc>
          <w:tcPr>
            <w:tcW w:type="dxa" w:w="2460"/>
          </w:tcPr>
          <w:p>
            <w:pPr>
              <w:spacing w:after="40" w:before="40" w:line="240" w:lineRule="auto"/>
              <w:jc w:val="left"/>
            </w:pPr>
            <w:r/>
            <w:r>
              <w:rPr>
                <w:rFonts w:ascii="Times New Roman" w:hAnsi="Times New Roman" w:cs="Times New Roman" w:eastAsia="Times New Roman"/>
                <w:b w:val="0"/>
                <w:i w:val="0"/>
                <w:sz w:val="18"/>
                <w:u w:val="none"/>
              </w:rPr>
              <w:t>Confirm</w:t>
            </w:r>
          </w:p>
        </w:tc>
      </w:tr>
      <w:tr>
        <w:tc>
          <w:tcPr>
            <w:tcW w:type="dxa" w:w="615"/>
          </w:tcPr>
          <w:p>
            <w:pPr>
              <w:spacing w:after="40" w:before="40" w:line="240" w:lineRule="auto"/>
              <w:jc w:val="left"/>
            </w:pPr>
            <w:r/>
            <w:r>
              <w:rPr>
                <w:rFonts w:ascii="Times New Roman" w:hAnsi="Times New Roman" w:cs="Times New Roman" w:eastAsia="Times New Roman"/>
                <w:b w:val="0"/>
                <w:i w:val="0"/>
                <w:sz w:val="18"/>
                <w:u w:val="none"/>
              </w:rPr>
              <w:t>7.10</w:t>
            </w:r>
          </w:p>
        </w:tc>
        <w:tc>
          <w:tcPr>
            <w:tcW w:type="dxa" w:w="3279"/>
          </w:tcPr>
          <w:p>
            <w:pPr>
              <w:spacing w:after="40" w:before="40" w:line="240" w:lineRule="auto"/>
              <w:jc w:val="left"/>
            </w:pPr>
            <w:r/>
            <w:r>
              <w:rPr>
                <w:rFonts w:ascii="Times New Roman" w:hAnsi="Times New Roman" w:cs="Times New Roman" w:eastAsia="Times New Roman"/>
                <w:b w:val="0"/>
                <w:i w:val="0"/>
                <w:sz w:val="18"/>
                <w:u w:val="none"/>
              </w:rPr>
              <w:t>SPE representations “as though the operating agreement already contains compliant provisions” (note § 4)</w:t>
            </w:r>
          </w:p>
        </w:tc>
        <w:tc>
          <w:tcPr>
            <w:tcW w:type="dxa" w:w="3006"/>
          </w:tcPr>
          <w:p>
            <w:pPr>
              <w:spacing w:after="40" w:before="40" w:line="240" w:lineRule="auto"/>
              <w:jc w:val="left"/>
            </w:pPr>
            <w:r/>
            <w:r>
              <w:rPr>
                <w:rFonts w:ascii="Times New Roman" w:hAnsi="Times New Roman" w:cs="Times New Roman" w:eastAsia="Times New Roman"/>
                <w:b w:val="0"/>
                <w:i w:val="0"/>
                <w:sz w:val="18"/>
                <w:u w:val="none"/>
              </w:rPr>
              <w:t>Implemented, but qualified by reference to the Operating Agreement “as amended by the Operating Agreement Amendment,” and the amendment is made a closing condition, so that the representation is true when made rather than aspirational.</w:t>
            </w:r>
          </w:p>
        </w:tc>
        <w:tc>
          <w:tcPr>
            <w:tcW w:type="dxa" w:w="2460"/>
          </w:tcPr>
          <w:p>
            <w:pPr>
              <w:spacing w:after="40" w:before="40" w:line="240" w:lineRule="auto"/>
              <w:jc w:val="left"/>
            </w:pPr>
            <w:r/>
            <w:r>
              <w:rPr>
                <w:rFonts w:ascii="Times New Roman" w:hAnsi="Times New Roman" w:cs="Times New Roman" w:eastAsia="Times New Roman"/>
                <w:b w:val="0"/>
                <w:i w:val="0"/>
                <w:sz w:val="18"/>
                <w:u w:val="none"/>
              </w:rPr>
              <w:t>Confirm you want the representation conditioned rather than absolute</w:t>
            </w:r>
          </w:p>
        </w:tc>
      </w:tr>
      <w:tr>
        <w:tc>
          <w:tcPr>
            <w:tcW w:type="dxa" w:w="615"/>
          </w:tcPr>
          <w:p>
            <w:pPr>
              <w:spacing w:after="40" w:before="40" w:line="240" w:lineRule="auto"/>
              <w:jc w:val="left"/>
            </w:pPr>
            <w:r/>
            <w:r>
              <w:rPr>
                <w:rFonts w:ascii="Times New Roman" w:hAnsi="Times New Roman" w:cs="Times New Roman" w:eastAsia="Times New Roman"/>
                <w:b w:val="0"/>
                <w:i w:val="0"/>
                <w:sz w:val="18"/>
                <w:u w:val="none"/>
              </w:rPr>
              <w:t>7.11</w:t>
            </w:r>
          </w:p>
        </w:tc>
        <w:tc>
          <w:tcPr>
            <w:tcW w:type="dxa" w:w="3279"/>
          </w:tcPr>
          <w:p>
            <w:pPr>
              <w:spacing w:after="40" w:before="40" w:line="240" w:lineRule="auto"/>
              <w:jc w:val="left"/>
            </w:pPr>
            <w:r/>
            <w:r>
              <w:rPr>
                <w:rFonts w:ascii="Times New Roman" w:hAnsi="Times New Roman" w:cs="Times New Roman" w:eastAsia="Times New Roman"/>
                <w:b w:val="0"/>
                <w:i w:val="0"/>
                <w:sz w:val="18"/>
                <w:u w:val="none"/>
              </w:rPr>
              <w:t>DSCR failure “without cure” (Term Sheet § 11.1(i) versus § 11.2(b))</w:t>
            </w:r>
          </w:p>
        </w:tc>
        <w:tc>
          <w:tcPr>
            <w:tcW w:type="dxa" w:w="3006"/>
          </w:tcPr>
          <w:p>
            <w:pPr>
              <w:spacing w:after="40" w:before="40" w:line="240" w:lineRule="auto"/>
              <w:jc w:val="left"/>
            </w:pPr>
            <w:r/>
            <w:r>
              <w:rPr>
                <w:rFonts w:ascii="Times New Roman" w:hAnsi="Times New Roman" w:cs="Times New Roman" w:eastAsia="Times New Roman"/>
                <w:b w:val="0"/>
                <w:i w:val="0"/>
                <w:sz w:val="18"/>
                <w:u w:val="none"/>
              </w:rPr>
              <w:t>The cure period in § 11.2(b) is applied, because the Term Sheet’s cure provision does not exclude DSCR failures from the non-monetary cure period and a “no cure” reading cannot be reconciled with it.</w:t>
            </w:r>
          </w:p>
        </w:tc>
        <w:tc>
          <w:tcPr>
            <w:tcW w:type="dxa" w:w="2460"/>
          </w:tcPr>
          <w:p>
            <w:pPr>
              <w:spacing w:after="40" w:before="40" w:line="240" w:lineRule="auto"/>
              <w:jc w:val="left"/>
            </w:pPr>
            <w:r/>
            <w:r>
              <w:rPr>
                <w:rFonts w:ascii="Times New Roman" w:hAnsi="Times New Roman" w:cs="Times New Roman" w:eastAsia="Times New Roman"/>
                <w:b w:val="0"/>
                <w:i w:val="0"/>
                <w:sz w:val="18"/>
                <w:u w:val="none"/>
              </w:rPr>
              <w:t>Confirm</w:t>
            </w:r>
          </w:p>
        </w:tc>
      </w:tr>
    </w:tbl>
    <w:p>
      <w:pPr>
        <w:keepNext w:val="0"/>
        <w:spacing w:before="0" w:after="40" w:line="240" w:lineRule="auto"/>
        <w:ind w:left="0"/>
        <w:jc w:val="both"/>
      </w:pPr>
    </w:p>
    <w:p>
      <w:pPr>
        <w:keepNext/>
        <w:spacing w:before="280" w:after="200" w:line="240" w:lineRule="auto"/>
        <w:ind w:left="0"/>
        <w:jc w:val="center"/>
      </w:pPr>
      <w:r>
        <w:rPr>
          <w:rFonts w:ascii="Times New Roman" w:hAnsi="Times New Roman" w:cs="Times New Roman" w:eastAsia="Times New Roman"/>
          <w:b/>
          <w:i w:val="0"/>
          <w:caps/>
          <w:sz w:val="24"/>
          <w:u w:val="none"/>
        </w:rPr>
        <w:t>8. OPEN ITEMS AND INSTRUCTIONS REQUESTED</w:t>
      </w:r>
    </w:p>
    <w:p>
      <w:pPr>
        <w:keepNext w:val="0"/>
        <w:spacing w:before="0" w:after="160" w:line="240" w:lineRule="auto"/>
        <w:ind w:left="0"/>
        <w:jc w:val="both"/>
      </w:pPr>
      <w:r>
        <w:rPr>
          <w:rFonts w:ascii="Times New Roman" w:hAnsi="Times New Roman" w:cs="Times New Roman" w:eastAsia="Times New Roman"/>
          <w:b w:val="0"/>
          <w:i w:val="0"/>
          <w:sz w:val="24"/>
          <w:u w:val="none"/>
        </w:rPr>
        <w:t>The following decisions are required before the draft is released to Marcus on April 1. Items marked “closing-blocking” must be resolved before the Loan Documents are executed.</w:t>
      </w:r>
    </w:p>
    <w:p>
      <w:pPr>
        <w:keepNext w:val="0"/>
        <w:spacing w:before="0" w:after="100" w:line="240" w:lineRule="auto"/>
        <w:ind w:left="403" w:hanging="403"/>
        <w:jc w:val="both"/>
      </w:pPr>
      <w:r>
        <w:rPr>
          <w:rFonts w:ascii="Times New Roman" w:hAnsi="Times New Roman" w:cs="Times New Roman" w:eastAsia="Times New Roman"/>
          <w:b w:val="0"/>
          <w:i w:val="0"/>
          <w:sz w:val="23"/>
          <w:u w:val="none"/>
        </w:rPr>
        <w:t xml:space="preserve">• </w:t>
      </w:r>
      <w:r>
        <w:rPr>
          <w:rFonts w:ascii="Times New Roman" w:hAnsi="Times New Roman" w:cs="Times New Roman" w:eastAsia="Times New Roman"/>
          <w:b/>
          <w:i w:val="0"/>
          <w:sz w:val="23"/>
          <w:u w:val="none"/>
        </w:rPr>
        <w:t>1. DSCR covenant (closing-blocking).</w:t>
      </w:r>
      <w:r>
        <w:rPr>
          <w:rFonts w:ascii="Times New Roman" w:hAnsi="Times New Roman" w:cs="Times New Roman" w:eastAsia="Times New Roman"/>
          <w:b w:val="0"/>
          <w:i w:val="0"/>
          <w:sz w:val="23"/>
          <w:u w:val="none"/>
        </w:rPr>
        <w:t xml:space="preserve"> The 1.25x covenant cannot be satisfied at any projection in the record. Please direct one of: (a) re-size the Loan; (b) reduce the covenant level; (c) extend the interest-only period beyond month 24; (d) defer the first test date; (e) convert the covenant into a cash-management trigger with a DSCR cure deposit right, which is our recommendation for a value-add loan of this kind; or (f) leave the covenant as drafted with the consequences accepted and documented.</w:t>
      </w:r>
    </w:p>
    <w:p>
      <w:pPr>
        <w:keepNext w:val="0"/>
        <w:spacing w:before="0" w:after="100" w:line="240" w:lineRule="auto"/>
        <w:ind w:left="403" w:hanging="403"/>
        <w:jc w:val="both"/>
      </w:pPr>
      <w:r>
        <w:rPr>
          <w:rFonts w:ascii="Times New Roman" w:hAnsi="Times New Roman" w:cs="Times New Roman" w:eastAsia="Times New Roman"/>
          <w:b w:val="0"/>
          <w:i w:val="0"/>
          <w:sz w:val="23"/>
          <w:u w:val="none"/>
        </w:rPr>
        <w:t xml:space="preserve">• </w:t>
      </w:r>
      <w:r>
        <w:rPr>
          <w:rFonts w:ascii="Times New Roman" w:hAnsi="Times New Roman" w:cs="Times New Roman" w:eastAsia="Times New Roman"/>
          <w:b/>
          <w:i w:val="0"/>
          <w:sz w:val="23"/>
          <w:u w:val="none"/>
        </w:rPr>
        <w:t>2. Appraisal (closing-blocking).</w:t>
      </w:r>
      <w:r>
        <w:rPr>
          <w:rFonts w:ascii="Times New Roman" w:hAnsi="Times New Roman" w:cs="Times New Roman" w:eastAsia="Times New Roman"/>
          <w:b w:val="0"/>
          <w:i w:val="0"/>
          <w:sz w:val="23"/>
          <w:u w:val="none"/>
        </w:rPr>
        <w:t xml:space="preserve"> Confirm that Lender will obtain an independent appraisal review and require a corrected or supplemental report reconciling the income approach. Confirm that Borrower bears the cost under Term Sheet § 13.2(b).</w:t>
      </w:r>
    </w:p>
    <w:p>
      <w:pPr>
        <w:keepNext w:val="0"/>
        <w:spacing w:before="0" w:after="100" w:line="240" w:lineRule="auto"/>
        <w:ind w:left="403" w:hanging="403"/>
        <w:jc w:val="both"/>
      </w:pPr>
      <w:r>
        <w:rPr>
          <w:rFonts w:ascii="Times New Roman" w:hAnsi="Times New Roman" w:cs="Times New Roman" w:eastAsia="Times New Roman"/>
          <w:b w:val="0"/>
          <w:i w:val="0"/>
          <w:sz w:val="23"/>
          <w:u w:val="none"/>
        </w:rPr>
        <w:t xml:space="preserve">• </w:t>
      </w:r>
      <w:r>
        <w:rPr>
          <w:rFonts w:ascii="Times New Roman" w:hAnsi="Times New Roman" w:cs="Times New Roman" w:eastAsia="Times New Roman"/>
          <w:b/>
          <w:i w:val="0"/>
          <w:sz w:val="23"/>
          <w:u w:val="none"/>
        </w:rPr>
        <w:t>3. Sources and uses (closing-blocking).</w:t>
      </w:r>
      <w:r>
        <w:rPr>
          <w:rFonts w:ascii="Times New Roman" w:hAnsi="Times New Roman" w:cs="Times New Roman" w:eastAsia="Times New Roman"/>
          <w:b w:val="0"/>
          <w:i w:val="0"/>
          <w:sz w:val="23"/>
          <w:u w:val="none"/>
        </w:rPr>
        <w:t xml:space="preserve"> Confirm how the $150,000 TI/LC reserve, the $147,500 origination fee, the $54,575 recording tax, and third-party closing costs are to be funded, given that the initial advance plus non-renovation equity exactly equals the purchase price.</w:t>
      </w:r>
    </w:p>
    <w:p>
      <w:pPr>
        <w:keepNext w:val="0"/>
        <w:spacing w:before="0" w:after="100" w:line="240" w:lineRule="auto"/>
        <w:ind w:left="403" w:hanging="403"/>
        <w:jc w:val="both"/>
      </w:pPr>
      <w:r>
        <w:rPr>
          <w:rFonts w:ascii="Times New Roman" w:hAnsi="Times New Roman" w:cs="Times New Roman" w:eastAsia="Times New Roman"/>
          <w:b w:val="0"/>
          <w:i w:val="0"/>
          <w:sz w:val="23"/>
          <w:u w:val="none"/>
        </w:rPr>
        <w:t xml:space="preserve">• </w:t>
      </w:r>
      <w:r>
        <w:rPr>
          <w:rFonts w:ascii="Times New Roman" w:hAnsi="Times New Roman" w:cs="Times New Roman" w:eastAsia="Times New Roman"/>
          <w:b/>
          <w:i w:val="0"/>
          <w:sz w:val="23"/>
          <w:u w:val="none"/>
        </w:rPr>
        <w:t>4. NOI and Annual Debt Service definitions.</w:t>
      </w:r>
      <w:r>
        <w:rPr>
          <w:rFonts w:ascii="Times New Roman" w:hAnsi="Times New Roman" w:cs="Times New Roman" w:eastAsia="Times New Roman"/>
          <w:b w:val="0"/>
          <w:i w:val="0"/>
          <w:sz w:val="23"/>
          <w:u w:val="none"/>
        </w:rPr>
        <w:t xml:space="preserve"> Confirm whether Annual Debt Service is to be calculated on a fully amortizing basis during the interest-only period (as drafted, and as the Rent Roll assumes) or on the basis of actual payments then required.</w:t>
      </w:r>
    </w:p>
    <w:p>
      <w:pPr>
        <w:keepNext w:val="0"/>
        <w:spacing w:before="0" w:after="100" w:line="240" w:lineRule="auto"/>
        <w:ind w:left="403" w:hanging="403"/>
        <w:jc w:val="both"/>
      </w:pPr>
      <w:r>
        <w:rPr>
          <w:rFonts w:ascii="Times New Roman" w:hAnsi="Times New Roman" w:cs="Times New Roman" w:eastAsia="Times New Roman"/>
          <w:b w:val="0"/>
          <w:i w:val="0"/>
          <w:sz w:val="23"/>
          <w:u w:val="none"/>
        </w:rPr>
        <w:t xml:space="preserve">• </w:t>
      </w:r>
      <w:r>
        <w:rPr>
          <w:rFonts w:ascii="Times New Roman" w:hAnsi="Times New Roman" w:cs="Times New Roman" w:eastAsia="Times New Roman"/>
          <w:b/>
          <w:i w:val="0"/>
          <w:sz w:val="23"/>
          <w:u w:val="none"/>
        </w:rPr>
        <w:t>5. Lease consent threshold.</w:t>
      </w:r>
      <w:r>
        <w:rPr>
          <w:rFonts w:ascii="Times New Roman" w:hAnsi="Times New Roman" w:cs="Times New Roman" w:eastAsia="Times New Roman"/>
          <w:b w:val="0"/>
          <w:i w:val="0"/>
          <w:sz w:val="23"/>
          <w:u w:val="none"/>
        </w:rPr>
        <w:t xml:space="preserve"> Confirm whether to reduce the 5,000 square foot threshold, or add a specific consent right for Bay 2 and Bay 3, so that Lender controls the letting of the vacant ground-floor bays.</w:t>
      </w:r>
    </w:p>
    <w:p>
      <w:pPr>
        <w:keepNext w:val="0"/>
        <w:spacing w:before="0" w:after="100" w:line="240" w:lineRule="auto"/>
        <w:ind w:left="403" w:hanging="403"/>
        <w:jc w:val="both"/>
      </w:pPr>
      <w:r>
        <w:rPr>
          <w:rFonts w:ascii="Times New Roman" w:hAnsi="Times New Roman" w:cs="Times New Roman" w:eastAsia="Times New Roman"/>
          <w:b w:val="0"/>
          <w:i w:val="0"/>
          <w:sz w:val="23"/>
          <w:u w:val="none"/>
        </w:rPr>
        <w:t xml:space="preserve">• </w:t>
      </w:r>
      <w:r>
        <w:rPr>
          <w:rFonts w:ascii="Times New Roman" w:hAnsi="Times New Roman" w:cs="Times New Roman" w:eastAsia="Times New Roman"/>
          <w:b/>
          <w:i w:val="0"/>
          <w:sz w:val="23"/>
          <w:u w:val="none"/>
        </w:rPr>
        <w:t>6. Net worth and liquidity obligor.</w:t>
      </w:r>
      <w:r>
        <w:rPr>
          <w:rFonts w:ascii="Times New Roman" w:hAnsi="Times New Roman" w:cs="Times New Roman" w:eastAsia="Times New Roman"/>
          <w:b w:val="0"/>
          <w:i w:val="0"/>
          <w:sz w:val="23"/>
          <w:u w:val="none"/>
        </w:rPr>
        <w:t xml:space="preserve"> Confirm Borrower, Guarantor, or both.</w:t>
      </w:r>
    </w:p>
    <w:p>
      <w:pPr>
        <w:keepNext w:val="0"/>
        <w:spacing w:before="0" w:after="100" w:line="240" w:lineRule="auto"/>
        <w:ind w:left="403" w:hanging="403"/>
        <w:jc w:val="both"/>
      </w:pPr>
      <w:r>
        <w:rPr>
          <w:rFonts w:ascii="Times New Roman" w:hAnsi="Times New Roman" w:cs="Times New Roman" w:eastAsia="Times New Roman"/>
          <w:b w:val="0"/>
          <w:i w:val="0"/>
          <w:sz w:val="23"/>
          <w:u w:val="none"/>
        </w:rPr>
        <w:t xml:space="preserve">• </w:t>
      </w:r>
      <w:r>
        <w:rPr>
          <w:rFonts w:ascii="Times New Roman" w:hAnsi="Times New Roman" w:cs="Times New Roman" w:eastAsia="Times New Roman"/>
          <w:b/>
          <w:i w:val="0"/>
          <w:sz w:val="23"/>
          <w:u w:val="none"/>
        </w:rPr>
        <w:t>7. Insurance default cure.</w:t>
      </w:r>
      <w:r>
        <w:rPr>
          <w:rFonts w:ascii="Times New Roman" w:hAnsi="Times New Roman" w:cs="Times New Roman" w:eastAsia="Times New Roman"/>
          <w:b w:val="0"/>
          <w:i w:val="0"/>
          <w:sz w:val="23"/>
          <w:u w:val="none"/>
        </w:rPr>
        <w:t xml:space="preserve"> Confirm whether a five-business-day cure should be available for an inadvertent lapse in coverage and proof of reinstatement.</w:t>
      </w:r>
    </w:p>
    <w:p>
      <w:pPr>
        <w:keepNext w:val="0"/>
        <w:spacing w:before="0" w:after="100" w:line="240" w:lineRule="auto"/>
        <w:ind w:left="403" w:hanging="403"/>
        <w:jc w:val="both"/>
      </w:pPr>
      <w:r>
        <w:rPr>
          <w:rFonts w:ascii="Times New Roman" w:hAnsi="Times New Roman" w:cs="Times New Roman" w:eastAsia="Times New Roman"/>
          <w:b w:val="0"/>
          <w:i w:val="0"/>
          <w:sz w:val="23"/>
          <w:u w:val="none"/>
        </w:rPr>
        <w:t xml:space="preserve">• </w:t>
      </w:r>
      <w:r>
        <w:rPr>
          <w:rFonts w:ascii="Times New Roman" w:hAnsi="Times New Roman" w:cs="Times New Roman" w:eastAsia="Times New Roman"/>
          <w:b/>
          <w:i w:val="0"/>
          <w:sz w:val="23"/>
          <w:u w:val="none"/>
        </w:rPr>
        <w:t>8. Yield maintenance.</w:t>
      </w:r>
      <w:r>
        <w:rPr>
          <w:rFonts w:ascii="Times New Roman" w:hAnsi="Times New Roman" w:cs="Times New Roman" w:eastAsia="Times New Roman"/>
          <w:b w:val="0"/>
          <w:i w:val="0"/>
          <w:sz w:val="23"/>
          <w:u w:val="none"/>
        </w:rPr>
        <w:t xml:space="preserve"> Confirm the Term Sheet formulation (7.1 above).</w:t>
      </w:r>
    </w:p>
    <w:p>
      <w:pPr>
        <w:keepNext w:val="0"/>
        <w:spacing w:before="0" w:after="100" w:line="240" w:lineRule="auto"/>
        <w:ind w:left="403" w:hanging="403"/>
        <w:jc w:val="both"/>
      </w:pPr>
      <w:r>
        <w:rPr>
          <w:rFonts w:ascii="Times New Roman" w:hAnsi="Times New Roman" w:cs="Times New Roman" w:eastAsia="Times New Roman"/>
          <w:b w:val="0"/>
          <w:i w:val="0"/>
          <w:sz w:val="23"/>
          <w:u w:val="none"/>
        </w:rPr>
        <w:t xml:space="preserve">• </w:t>
      </w:r>
      <w:r>
        <w:rPr>
          <w:rFonts w:ascii="Times New Roman" w:hAnsi="Times New Roman" w:cs="Times New Roman" w:eastAsia="Times New Roman"/>
          <w:b/>
          <w:i w:val="0"/>
          <w:sz w:val="23"/>
          <w:u w:val="none"/>
        </w:rPr>
        <w:t>9. Lockout remedy.</w:t>
      </w:r>
      <w:r>
        <w:rPr>
          <w:rFonts w:ascii="Times New Roman" w:hAnsi="Times New Roman" w:cs="Times New Roman" w:eastAsia="Times New Roman"/>
          <w:b w:val="0"/>
          <w:i w:val="0"/>
          <w:sz w:val="23"/>
          <w:u w:val="none"/>
        </w:rPr>
        <w:t xml:space="preserve"> Confirm the approach in 7.2 above.</w:t>
      </w:r>
    </w:p>
    <w:p>
      <w:pPr>
        <w:keepNext w:val="0"/>
        <w:spacing w:before="0" w:after="100" w:line="240" w:lineRule="auto"/>
        <w:ind w:left="403" w:hanging="403"/>
        <w:jc w:val="both"/>
      </w:pPr>
      <w:r>
        <w:rPr>
          <w:rFonts w:ascii="Times New Roman" w:hAnsi="Times New Roman" w:cs="Times New Roman" w:eastAsia="Times New Roman"/>
          <w:b w:val="0"/>
          <w:i w:val="0"/>
          <w:sz w:val="23"/>
          <w:u w:val="none"/>
        </w:rPr>
        <w:t xml:space="preserve">• </w:t>
      </w:r>
      <w:r>
        <w:rPr>
          <w:rFonts w:ascii="Times New Roman" w:hAnsi="Times New Roman" w:cs="Times New Roman" w:eastAsia="Times New Roman"/>
          <w:b/>
          <w:i w:val="0"/>
          <w:sz w:val="23"/>
          <w:u w:val="none"/>
        </w:rPr>
        <w:t>10. Casualty and condemnation at par.</w:t>
      </w:r>
      <w:r>
        <w:rPr>
          <w:rFonts w:ascii="Times New Roman" w:hAnsi="Times New Roman" w:cs="Times New Roman" w:eastAsia="Times New Roman"/>
          <w:b w:val="0"/>
          <w:i w:val="0"/>
          <w:sz w:val="23"/>
          <w:u w:val="none"/>
        </w:rPr>
        <w:t xml:space="preserve"> Confirm the concession in 7.3 above.</w:t>
      </w:r>
    </w:p>
    <w:p>
      <w:pPr>
        <w:keepNext w:val="0"/>
        <w:spacing w:before="0" w:after="100" w:line="240" w:lineRule="auto"/>
        <w:ind w:left="403" w:hanging="403"/>
        <w:jc w:val="both"/>
      </w:pPr>
      <w:r>
        <w:rPr>
          <w:rFonts w:ascii="Times New Roman" w:hAnsi="Times New Roman" w:cs="Times New Roman" w:eastAsia="Times New Roman"/>
          <w:b w:val="0"/>
          <w:i w:val="0"/>
          <w:sz w:val="23"/>
          <w:u w:val="none"/>
        </w:rPr>
        <w:t xml:space="preserve">• </w:t>
      </w:r>
      <w:r>
        <w:rPr>
          <w:rFonts w:ascii="Times New Roman" w:hAnsi="Times New Roman" w:cs="Times New Roman" w:eastAsia="Times New Roman"/>
          <w:b/>
          <w:i w:val="0"/>
          <w:sz w:val="23"/>
          <w:u w:val="none"/>
        </w:rPr>
        <w:t>11. DSCR test date.</w:t>
      </w:r>
      <w:r>
        <w:rPr>
          <w:rFonts w:ascii="Times New Roman" w:hAnsi="Times New Roman" w:cs="Times New Roman" w:eastAsia="Times New Roman"/>
          <w:b w:val="0"/>
          <w:i w:val="0"/>
          <w:sz w:val="23"/>
          <w:u w:val="none"/>
        </w:rPr>
        <w:t xml:space="preserve"> Confirm June 30, 2027 (Term Sheet operative language) or April 15, 2027 (Rent Roll and your note).</w:t>
      </w:r>
    </w:p>
    <w:p>
      <w:pPr>
        <w:keepNext w:val="0"/>
        <w:spacing w:before="0" w:after="100" w:line="240" w:lineRule="auto"/>
        <w:ind w:left="403" w:hanging="403"/>
        <w:jc w:val="both"/>
      </w:pPr>
      <w:r>
        <w:rPr>
          <w:rFonts w:ascii="Times New Roman" w:hAnsi="Times New Roman" w:cs="Times New Roman" w:eastAsia="Times New Roman"/>
          <w:b w:val="0"/>
          <w:i w:val="0"/>
          <w:sz w:val="23"/>
          <w:u w:val="none"/>
        </w:rPr>
        <w:t xml:space="preserve">• </w:t>
      </w:r>
      <w:r>
        <w:rPr>
          <w:rFonts w:ascii="Times New Roman" w:hAnsi="Times New Roman" w:cs="Times New Roman" w:eastAsia="Times New Roman"/>
          <w:b/>
          <w:i w:val="0"/>
          <w:sz w:val="23"/>
          <w:u w:val="none"/>
        </w:rPr>
        <w:t>12. Audited financial statements.</w:t>
      </w:r>
      <w:r>
        <w:rPr>
          <w:rFonts w:ascii="Times New Roman" w:hAnsi="Times New Roman" w:cs="Times New Roman" w:eastAsia="Times New Roman"/>
          <w:b w:val="0"/>
          <w:i w:val="0"/>
          <w:sz w:val="23"/>
          <w:u w:val="none"/>
        </w:rPr>
        <w:t xml:space="preserve"> Confirm whether to require audited statements (Term Sheet § 7.3(a)) or reviewed statements with certification (Operating Agreement § 6.2(b)).</w:t>
      </w:r>
    </w:p>
    <w:p>
      <w:pPr>
        <w:keepNext w:val="0"/>
        <w:spacing w:before="0" w:after="100" w:line="240" w:lineRule="auto"/>
        <w:ind w:left="403" w:hanging="403"/>
        <w:jc w:val="both"/>
      </w:pPr>
      <w:r>
        <w:rPr>
          <w:rFonts w:ascii="Times New Roman" w:hAnsi="Times New Roman" w:cs="Times New Roman" w:eastAsia="Times New Roman"/>
          <w:b w:val="0"/>
          <w:i w:val="0"/>
          <w:sz w:val="23"/>
          <w:u w:val="none"/>
        </w:rPr>
        <w:t xml:space="preserve">• </w:t>
      </w:r>
      <w:r>
        <w:rPr>
          <w:rFonts w:ascii="Times New Roman" w:hAnsi="Times New Roman" w:cs="Times New Roman" w:eastAsia="Times New Roman"/>
          <w:b/>
          <w:i w:val="0"/>
          <w:sz w:val="23"/>
          <w:u w:val="none"/>
        </w:rPr>
        <w:t>13. Force Majeure and the completion date.</w:t>
      </w:r>
      <w:r>
        <w:rPr>
          <w:rFonts w:ascii="Times New Roman" w:hAnsi="Times New Roman" w:cs="Times New Roman" w:eastAsia="Times New Roman"/>
          <w:b w:val="0"/>
          <w:i w:val="0"/>
          <w:sz w:val="23"/>
          <w:u w:val="none"/>
        </w:rPr>
        <w:t xml:space="preserve"> Confirm whether the Substantial Completion Deadline should shift day-for-day if the closing is delayed, and whether the sixty-day Force Majeure cap is adequate given hurricane exposure.</w:t>
      </w:r>
    </w:p>
    <w:p>
      <w:pPr>
        <w:keepNext w:val="0"/>
        <w:spacing w:before="0" w:after="100" w:line="240" w:lineRule="auto"/>
        <w:ind w:left="403" w:hanging="403"/>
        <w:jc w:val="both"/>
      </w:pPr>
      <w:r>
        <w:rPr>
          <w:rFonts w:ascii="Times New Roman" w:hAnsi="Times New Roman" w:cs="Times New Roman" w:eastAsia="Times New Roman"/>
          <w:b w:val="0"/>
          <w:i w:val="0"/>
          <w:sz w:val="23"/>
          <w:u w:val="none"/>
        </w:rPr>
        <w:t xml:space="preserve">• </w:t>
      </w:r>
      <w:r>
        <w:rPr>
          <w:rFonts w:ascii="Times New Roman" w:hAnsi="Times New Roman" w:cs="Times New Roman" w:eastAsia="Times New Roman"/>
          <w:b/>
          <w:i w:val="0"/>
          <w:sz w:val="23"/>
          <w:u w:val="none"/>
        </w:rPr>
        <w:t>14. Affiliate fees.</w:t>
      </w:r>
      <w:r>
        <w:rPr>
          <w:rFonts w:ascii="Times New Roman" w:hAnsi="Times New Roman" w:cs="Times New Roman" w:eastAsia="Times New Roman"/>
          <w:b w:val="0"/>
          <w:i w:val="0"/>
          <w:sz w:val="23"/>
          <w:u w:val="none"/>
        </w:rPr>
        <w:t xml:space="preserve"> Confirm that subordination and suspension of GDG’s asset management and development management fees (Mortgage § 6.18) is required, notwithstanding that the Term Sheet is silent.</w:t>
      </w:r>
    </w:p>
    <w:p>
      <w:pPr>
        <w:keepNext w:val="0"/>
        <w:spacing w:before="0" w:after="100" w:line="240" w:lineRule="auto"/>
        <w:ind w:left="403" w:hanging="403"/>
        <w:jc w:val="both"/>
      </w:pPr>
      <w:r>
        <w:rPr>
          <w:rFonts w:ascii="Times New Roman" w:hAnsi="Times New Roman" w:cs="Times New Roman" w:eastAsia="Times New Roman"/>
          <w:b w:val="0"/>
          <w:i w:val="0"/>
          <w:sz w:val="23"/>
          <w:u w:val="none"/>
        </w:rPr>
        <w:t xml:space="preserve">• </w:t>
      </w:r>
      <w:r>
        <w:rPr>
          <w:rFonts w:ascii="Times New Roman" w:hAnsi="Times New Roman" w:cs="Times New Roman" w:eastAsia="Times New Roman"/>
          <w:b/>
          <w:i w:val="0"/>
          <w:sz w:val="23"/>
          <w:u w:val="none"/>
        </w:rPr>
        <w:t>15. Upstream transfers and change of control.</w:t>
      </w:r>
      <w:r>
        <w:rPr>
          <w:rFonts w:ascii="Times New Roman" w:hAnsi="Times New Roman" w:cs="Times New Roman" w:eastAsia="Times New Roman"/>
          <w:b w:val="0"/>
          <w:i w:val="0"/>
          <w:sz w:val="23"/>
          <w:u w:val="none"/>
        </w:rPr>
        <w:t xml:space="preserve"> Confirm that the Section 8.1(c) extension to indirect transfers and changes of control is non-negotiable.</w:t>
      </w:r>
    </w:p>
    <w:p>
      <w:pPr>
        <w:keepNext w:val="0"/>
        <w:spacing w:before="0" w:after="100" w:line="240" w:lineRule="auto"/>
        <w:ind w:left="403" w:hanging="403"/>
        <w:jc w:val="both"/>
      </w:pPr>
      <w:r>
        <w:rPr>
          <w:rFonts w:ascii="Times New Roman" w:hAnsi="Times New Roman" w:cs="Times New Roman" w:eastAsia="Times New Roman"/>
          <w:b w:val="0"/>
          <w:i w:val="0"/>
          <w:sz w:val="23"/>
          <w:u w:val="none"/>
        </w:rPr>
        <w:t xml:space="preserve">• </w:t>
      </w:r>
      <w:r>
        <w:rPr>
          <w:rFonts w:ascii="Times New Roman" w:hAnsi="Times New Roman" w:cs="Times New Roman" w:eastAsia="Times New Roman"/>
          <w:b/>
          <w:i w:val="0"/>
          <w:sz w:val="23"/>
          <w:u w:val="none"/>
        </w:rPr>
        <w:t>16. Instrument type.</w:t>
      </w:r>
      <w:r>
        <w:rPr>
          <w:rFonts w:ascii="Times New Roman" w:hAnsi="Times New Roman" w:cs="Times New Roman" w:eastAsia="Times New Roman"/>
          <w:b w:val="0"/>
          <w:i w:val="0"/>
          <w:sz w:val="23"/>
          <w:u w:val="none"/>
        </w:rPr>
        <w:t xml:space="preserve"> Confirm that Lender wants a mortgage rather than a deed of trust (the Term Sheet specifies a mortgage; both are used in South Carolina and the remedies are the same).</w:t>
      </w:r>
    </w:p>
    <w:p>
      <w:pPr>
        <w:keepNext w:val="0"/>
        <w:spacing w:before="0" w:after="100" w:line="240" w:lineRule="auto"/>
        <w:ind w:left="403" w:hanging="403"/>
        <w:jc w:val="both"/>
      </w:pPr>
      <w:r>
        <w:rPr>
          <w:rFonts w:ascii="Times New Roman" w:hAnsi="Times New Roman" w:cs="Times New Roman" w:eastAsia="Times New Roman"/>
          <w:b w:val="0"/>
          <w:i w:val="0"/>
          <w:sz w:val="23"/>
          <w:u w:val="none"/>
        </w:rPr>
        <w:t xml:space="preserve">• </w:t>
      </w:r>
      <w:r>
        <w:rPr>
          <w:rFonts w:ascii="Times New Roman" w:hAnsi="Times New Roman" w:cs="Times New Roman" w:eastAsia="Times New Roman"/>
          <w:b/>
          <w:i w:val="0"/>
          <w:sz w:val="23"/>
          <w:u w:val="none"/>
        </w:rPr>
        <w:t>17. Cash management.</w:t>
      </w:r>
      <w:r>
        <w:rPr>
          <w:rFonts w:ascii="Times New Roman" w:hAnsi="Times New Roman" w:cs="Times New Roman" w:eastAsia="Times New Roman"/>
          <w:b w:val="0"/>
          <w:i w:val="0"/>
          <w:sz w:val="23"/>
          <w:u w:val="none"/>
        </w:rPr>
        <w:t xml:space="preserve"> Confirm whether Lender wants a lockbox or cash-management arrangement at closing or as a springing trigger on a DSCR shortfall. The Term Sheet is silent and the draft contains no cash management provisions.</w:t>
      </w:r>
    </w:p>
    <w:p>
      <w:pPr>
        <w:keepNext/>
        <w:spacing w:before="280" w:after="200" w:line="240" w:lineRule="auto"/>
        <w:ind w:left="0"/>
        <w:jc w:val="center"/>
      </w:pPr>
      <w:r>
        <w:rPr>
          <w:rFonts w:ascii="Times New Roman" w:hAnsi="Times New Roman" w:cs="Times New Roman" w:eastAsia="Times New Roman"/>
          <w:b/>
          <w:i w:val="0"/>
          <w:caps/>
          <w:sz w:val="24"/>
          <w:u w:val="none"/>
        </w:rPr>
        <w:t>9. RECOMMENDED ADDITIONS TO THE CLOSING CONDITIONS</w:t>
      </w:r>
    </w:p>
    <w:p>
      <w:pPr>
        <w:keepNext w:val="0"/>
        <w:spacing w:before="0" w:after="160" w:line="240" w:lineRule="auto"/>
        <w:ind w:left="0"/>
        <w:jc w:val="both"/>
      </w:pPr>
      <w:r>
        <w:rPr>
          <w:rFonts w:ascii="Times New Roman" w:hAnsi="Times New Roman" w:cs="Times New Roman" w:eastAsia="Times New Roman"/>
          <w:b w:val="0"/>
          <w:i w:val="0"/>
          <w:sz w:val="24"/>
          <w:u w:val="none"/>
        </w:rPr>
        <w:t>The following should be added to Term Sheet § 12.1 (or documented as conditions in the closing checklist) before the Loan Documents are executed. Items in italics are conditions precedent that Lender should not waive.</w:t>
      </w:r>
    </w:p>
    <w:p>
      <w:pPr>
        <w:keepNext w:val="0"/>
        <w:spacing w:before="0" w:after="100" w:line="240" w:lineRule="auto"/>
        <w:ind w:left="403" w:hanging="403"/>
        <w:jc w:val="both"/>
      </w:pPr>
      <w:r>
        <w:rPr>
          <w:rFonts w:ascii="Times New Roman" w:hAnsi="Times New Roman" w:cs="Times New Roman" w:eastAsia="Times New Roman"/>
          <w:b w:val="0"/>
          <w:i w:val="0"/>
          <w:sz w:val="23"/>
          <w:u w:val="none"/>
        </w:rPr>
        <w:t xml:space="preserve">• </w:t>
      </w:r>
      <w:r>
        <w:rPr>
          <w:rFonts w:ascii="Times New Roman" w:hAnsi="Times New Roman" w:cs="Times New Roman" w:eastAsia="Times New Roman"/>
          <w:b/>
          <w:i w:val="0"/>
          <w:sz w:val="23"/>
          <w:u w:val="none"/>
        </w:rPr>
        <w:t>Operating Agreement Amendment</w:t>
      </w:r>
      <w:r>
        <w:rPr>
          <w:rFonts w:ascii="Times New Roman" w:hAnsi="Times New Roman" w:cs="Times New Roman" w:eastAsia="Times New Roman"/>
          <w:b w:val="0"/>
          <w:i w:val="0"/>
          <w:sz w:val="23"/>
          <w:u w:val="none"/>
        </w:rPr>
        <w:t xml:space="preserve">, executed by all three Members, adding the Independent Manager requirement, the separateness covenants, the single-purpose restriction, and the unanimity requirement for bankruptcy, dissolution, merger, and consolidation. </w:t>
      </w:r>
      <w:r>
        <w:rPr>
          <w:rFonts w:ascii="Times New Roman" w:hAnsi="Times New Roman" w:cs="Times New Roman" w:eastAsia="Times New Roman"/>
          <w:b w:val="0"/>
          <w:i/>
          <w:sz w:val="23"/>
          <w:u w:val="none"/>
        </w:rPr>
        <w:t>Do not waive.</w:t>
      </w:r>
    </w:p>
    <w:p>
      <w:pPr>
        <w:keepNext w:val="0"/>
        <w:spacing w:before="0" w:after="100" w:line="240" w:lineRule="auto"/>
        <w:ind w:left="403" w:hanging="403"/>
        <w:jc w:val="both"/>
      </w:pPr>
      <w:r>
        <w:rPr>
          <w:rFonts w:ascii="Times New Roman" w:hAnsi="Times New Roman" w:cs="Times New Roman" w:eastAsia="Times New Roman"/>
          <w:b w:val="0"/>
          <w:i w:val="0"/>
          <w:sz w:val="23"/>
          <w:u w:val="none"/>
        </w:rPr>
        <w:t xml:space="preserve">• </w:t>
      </w:r>
      <w:r>
        <w:rPr>
          <w:rFonts w:ascii="Times New Roman" w:hAnsi="Times New Roman" w:cs="Times New Roman" w:eastAsia="Times New Roman"/>
          <w:b/>
          <w:i w:val="0"/>
          <w:sz w:val="23"/>
          <w:u w:val="none"/>
        </w:rPr>
        <w:t>Written consent of Members holding not less than 75%</w:t>
      </w:r>
      <w:r>
        <w:rPr>
          <w:rFonts w:ascii="Times New Roman" w:hAnsi="Times New Roman" w:cs="Times New Roman" w:eastAsia="Times New Roman"/>
          <w:b w:val="0"/>
          <w:i w:val="0"/>
          <w:sz w:val="23"/>
          <w:u w:val="none"/>
        </w:rPr>
        <w:t xml:space="preserve"> approving the Loan, the Mortgage, and the other Loan Documents (Operating Agreement § 3.2(ii)). </w:t>
      </w:r>
      <w:r>
        <w:rPr>
          <w:rFonts w:ascii="Times New Roman" w:hAnsi="Times New Roman" w:cs="Times New Roman" w:eastAsia="Times New Roman"/>
          <w:b w:val="0"/>
          <w:i/>
          <w:sz w:val="23"/>
          <w:u w:val="none"/>
        </w:rPr>
        <w:t>Do not waive.</w:t>
      </w:r>
    </w:p>
    <w:p>
      <w:pPr>
        <w:keepNext w:val="0"/>
        <w:spacing w:before="0" w:after="100" w:line="240" w:lineRule="auto"/>
        <w:ind w:left="403" w:hanging="403"/>
        <w:jc w:val="both"/>
      </w:pPr>
      <w:r>
        <w:rPr>
          <w:rFonts w:ascii="Times New Roman" w:hAnsi="Times New Roman" w:cs="Times New Roman" w:eastAsia="Times New Roman"/>
          <w:b w:val="0"/>
          <w:i w:val="0"/>
          <w:sz w:val="23"/>
          <w:u w:val="none"/>
        </w:rPr>
        <w:t xml:space="preserve">• </w:t>
      </w:r>
      <w:r>
        <w:rPr>
          <w:rFonts w:ascii="Times New Roman" w:hAnsi="Times New Roman" w:cs="Times New Roman" w:eastAsia="Times New Roman"/>
          <w:b/>
          <w:i w:val="0"/>
          <w:sz w:val="23"/>
          <w:u w:val="none"/>
        </w:rPr>
        <w:t>Tidewater GP Holdings LLC authorization</w:t>
      </w:r>
      <w:r>
        <w:rPr>
          <w:rFonts w:ascii="Times New Roman" w:hAnsi="Times New Roman" w:cs="Times New Roman" w:eastAsia="Times New Roman"/>
          <w:b w:val="0"/>
          <w:i w:val="0"/>
          <w:sz w:val="23"/>
          <w:u w:val="none"/>
        </w:rPr>
        <w:t xml:space="preserve"> (certificate or resolution) for Tidewater’s execution of the consent, the joinder, and the Operating Agreement Amendment; and Harborline authority evidence, including disclosure of its managing member and owners.</w:t>
      </w:r>
    </w:p>
    <w:p>
      <w:pPr>
        <w:keepNext w:val="0"/>
        <w:spacing w:before="0" w:after="100" w:line="240" w:lineRule="auto"/>
        <w:ind w:left="403" w:hanging="403"/>
        <w:jc w:val="both"/>
      </w:pPr>
      <w:r>
        <w:rPr>
          <w:rFonts w:ascii="Times New Roman" w:hAnsi="Times New Roman" w:cs="Times New Roman" w:eastAsia="Times New Roman"/>
          <w:b w:val="0"/>
          <w:i w:val="0"/>
          <w:sz w:val="23"/>
          <w:u w:val="none"/>
        </w:rPr>
        <w:t xml:space="preserve">• </w:t>
      </w:r>
      <w:r>
        <w:rPr>
          <w:rFonts w:ascii="Times New Roman" w:hAnsi="Times New Roman" w:cs="Times New Roman" w:eastAsia="Times New Roman"/>
          <w:b/>
          <w:i w:val="0"/>
          <w:sz w:val="23"/>
          <w:u w:val="none"/>
        </w:rPr>
        <w:t>Lowcountry Provisions Inc. estoppel and SNDA.</w:t>
      </w:r>
      <w:r>
        <w:rPr>
          <w:rFonts w:ascii="Times New Roman" w:hAnsi="Times New Roman" w:cs="Times New Roman" w:eastAsia="Times New Roman"/>
          <w:b w:val="0"/>
          <w:i w:val="0"/>
          <w:sz w:val="23"/>
          <w:u w:val="none"/>
        </w:rPr>
        <w:t xml:space="preserve"> </w:t>
      </w:r>
      <w:r>
        <w:rPr>
          <w:rFonts w:ascii="Times New Roman" w:hAnsi="Times New Roman" w:cs="Times New Roman" w:eastAsia="Times New Roman"/>
          <w:b w:val="0"/>
          <w:i/>
          <w:sz w:val="23"/>
          <w:u w:val="none"/>
        </w:rPr>
        <w:t>Do not waive.</w:t>
      </w:r>
      <w:r>
        <w:rPr>
          <w:rFonts w:ascii="Times New Roman" w:hAnsi="Times New Roman" w:cs="Times New Roman" w:eastAsia="Times New Roman"/>
          <w:b w:val="0"/>
          <w:i w:val="0"/>
          <w:sz w:val="23"/>
          <w:u w:val="none"/>
        </w:rPr>
        <w:t xml:space="preserve"> Harmon &amp; Wren and Tidemark estoppels and SNDAs, or the post-closing cure path in Mortgage § 4.5 with monthly reporting.</w:t>
      </w:r>
    </w:p>
    <w:p>
      <w:pPr>
        <w:keepNext w:val="0"/>
        <w:spacing w:before="0" w:after="100" w:line="240" w:lineRule="auto"/>
        <w:ind w:left="403" w:hanging="403"/>
        <w:jc w:val="both"/>
      </w:pPr>
      <w:r>
        <w:rPr>
          <w:rFonts w:ascii="Times New Roman" w:hAnsi="Times New Roman" w:cs="Times New Roman" w:eastAsia="Times New Roman"/>
          <w:b w:val="0"/>
          <w:i w:val="0"/>
          <w:sz w:val="23"/>
          <w:u w:val="none"/>
        </w:rPr>
        <w:t xml:space="preserve">• </w:t>
      </w:r>
      <w:r>
        <w:rPr>
          <w:rFonts w:ascii="Times New Roman" w:hAnsi="Times New Roman" w:cs="Times New Roman" w:eastAsia="Times New Roman"/>
          <w:b/>
          <w:i w:val="0"/>
          <w:sz w:val="23"/>
          <w:u w:val="none"/>
        </w:rPr>
        <w:t>Written Lender approval of the Permitted Exceptions</w:t>
      </w:r>
      <w:r>
        <w:rPr>
          <w:rFonts w:ascii="Times New Roman" w:hAnsi="Times New Roman" w:cs="Times New Roman" w:eastAsia="Times New Roman"/>
          <w:b w:val="0"/>
          <w:i w:val="0"/>
          <w:sz w:val="23"/>
          <w:u w:val="none"/>
        </w:rPr>
        <w:t xml:space="preserve">, conditioned on the survey, the ALTA 28.1 endorsement (or written risk acceptance), and written confirmation of coverage for the Anson Lane strip. </w:t>
      </w:r>
      <w:r>
        <w:rPr>
          <w:rFonts w:ascii="Times New Roman" w:hAnsi="Times New Roman" w:cs="Times New Roman" w:eastAsia="Times New Roman"/>
          <w:b w:val="0"/>
          <w:i/>
          <w:sz w:val="23"/>
          <w:u w:val="none"/>
        </w:rPr>
        <w:t>Do not waive.</w:t>
      </w:r>
    </w:p>
    <w:p>
      <w:pPr>
        <w:keepNext w:val="0"/>
        <w:spacing w:before="0" w:after="100" w:line="240" w:lineRule="auto"/>
        <w:ind w:left="403" w:hanging="403"/>
        <w:jc w:val="both"/>
      </w:pPr>
      <w:r>
        <w:rPr>
          <w:rFonts w:ascii="Times New Roman" w:hAnsi="Times New Roman" w:cs="Times New Roman" w:eastAsia="Times New Roman"/>
          <w:b w:val="0"/>
          <w:i w:val="0"/>
          <w:sz w:val="23"/>
          <w:u w:val="none"/>
        </w:rPr>
        <w:t xml:space="preserve">• </w:t>
      </w:r>
      <w:r>
        <w:rPr>
          <w:rFonts w:ascii="Times New Roman" w:hAnsi="Times New Roman" w:cs="Times New Roman" w:eastAsia="Times New Roman"/>
          <w:b/>
          <w:i w:val="0"/>
          <w:sz w:val="23"/>
          <w:u w:val="none"/>
        </w:rPr>
        <w:t>Re-certified ALTA/NSPS Survey</w:t>
      </w:r>
      <w:r>
        <w:rPr>
          <w:rFonts w:ascii="Times New Roman" w:hAnsi="Times New Roman" w:cs="Times New Roman" w:eastAsia="Times New Roman"/>
          <w:b w:val="0"/>
          <w:i w:val="0"/>
          <w:sz w:val="23"/>
          <w:u w:val="none"/>
        </w:rPr>
        <w:t>, certified to Lender, the Title Insurer, and Borrower, including the Table A items listed in the Title Insurer’s closer note.</w:t>
      </w:r>
    </w:p>
    <w:p>
      <w:pPr>
        <w:keepNext w:val="0"/>
        <w:spacing w:before="0" w:after="100" w:line="240" w:lineRule="auto"/>
        <w:ind w:left="403" w:hanging="403"/>
        <w:jc w:val="both"/>
      </w:pPr>
      <w:r>
        <w:rPr>
          <w:rFonts w:ascii="Times New Roman" w:hAnsi="Times New Roman" w:cs="Times New Roman" w:eastAsia="Times New Roman"/>
          <w:b w:val="0"/>
          <w:i w:val="0"/>
          <w:sz w:val="23"/>
          <w:u w:val="none"/>
        </w:rPr>
        <w:t xml:space="preserve">• </w:t>
      </w:r>
      <w:r>
        <w:rPr>
          <w:rFonts w:ascii="Times New Roman" w:hAnsi="Times New Roman" w:cs="Times New Roman" w:eastAsia="Times New Roman"/>
          <w:b/>
          <w:i w:val="0"/>
          <w:sz w:val="23"/>
          <w:u w:val="none"/>
        </w:rPr>
        <w:t>Final Title Policy or unconditional commitment</w:t>
      </w:r>
      <w:r>
        <w:rPr>
          <w:rFonts w:ascii="Times New Roman" w:hAnsi="Times New Roman" w:cs="Times New Roman" w:eastAsia="Times New Roman"/>
          <w:b w:val="0"/>
          <w:i w:val="0"/>
          <w:sz w:val="23"/>
          <w:u w:val="none"/>
        </w:rPr>
        <w:t xml:space="preserve"> to issue with the future advance, zoning, access, survey, comprehensive, and encroachment endorsements; special attention to the future advance endorsement given the Holdback.</w:t>
      </w:r>
    </w:p>
    <w:p>
      <w:pPr>
        <w:keepNext w:val="0"/>
        <w:spacing w:before="0" w:after="100" w:line="240" w:lineRule="auto"/>
        <w:ind w:left="403" w:hanging="403"/>
        <w:jc w:val="both"/>
      </w:pPr>
      <w:r>
        <w:rPr>
          <w:rFonts w:ascii="Times New Roman" w:hAnsi="Times New Roman" w:cs="Times New Roman" w:eastAsia="Times New Roman"/>
          <w:b w:val="0"/>
          <w:i w:val="0"/>
          <w:sz w:val="23"/>
          <w:u w:val="none"/>
        </w:rPr>
        <w:t xml:space="preserve">• </w:t>
      </w:r>
      <w:r>
        <w:rPr>
          <w:rFonts w:ascii="Times New Roman" w:hAnsi="Times New Roman" w:cs="Times New Roman" w:eastAsia="Times New Roman"/>
          <w:b/>
          <w:i w:val="0"/>
          <w:sz w:val="23"/>
          <w:u w:val="none"/>
        </w:rPr>
        <w:t>Current flood zone determination</w:t>
      </w:r>
      <w:r>
        <w:rPr>
          <w:rFonts w:ascii="Times New Roman" w:hAnsi="Times New Roman" w:cs="Times New Roman" w:eastAsia="Times New Roman"/>
          <w:b w:val="0"/>
          <w:i w:val="0"/>
          <w:sz w:val="23"/>
          <w:u w:val="none"/>
        </w:rPr>
        <w:t xml:space="preserve"> resolving the panel-number conflict, and confirmation that the $5,000,000 flood coverage is bound and the premium is funded.</w:t>
      </w:r>
    </w:p>
    <w:p>
      <w:pPr>
        <w:keepNext w:val="0"/>
        <w:spacing w:before="0" w:after="100" w:line="240" w:lineRule="auto"/>
        <w:ind w:left="403" w:hanging="403"/>
        <w:jc w:val="both"/>
      </w:pPr>
      <w:r>
        <w:rPr>
          <w:rFonts w:ascii="Times New Roman" w:hAnsi="Times New Roman" w:cs="Times New Roman" w:eastAsia="Times New Roman"/>
          <w:b w:val="0"/>
          <w:i w:val="0"/>
          <w:sz w:val="23"/>
          <w:u w:val="none"/>
        </w:rPr>
        <w:t xml:space="preserve">• </w:t>
      </w:r>
      <w:r>
        <w:rPr>
          <w:rFonts w:ascii="Times New Roman" w:hAnsi="Times New Roman" w:cs="Times New Roman" w:eastAsia="Times New Roman"/>
          <w:b/>
          <w:i w:val="0"/>
          <w:sz w:val="23"/>
          <w:u w:val="none"/>
        </w:rPr>
        <w:t>Corrected draw schedule</w:t>
      </w:r>
      <w:r>
        <w:rPr>
          <w:rFonts w:ascii="Times New Roman" w:hAnsi="Times New Roman" w:cs="Times New Roman" w:eastAsia="Times New Roman"/>
          <w:b w:val="0"/>
          <w:i w:val="0"/>
          <w:sz w:val="23"/>
          <w:u w:val="none"/>
        </w:rPr>
        <w:t xml:space="preserve"> tied line-by-line to the Renovation Budget, retainage-compliant, with the funding source for the elevator shortfall identified; and a certified closing statement demonstrating sources and uses. </w:t>
      </w:r>
      <w:r>
        <w:rPr>
          <w:rFonts w:ascii="Times New Roman" w:hAnsi="Times New Roman" w:cs="Times New Roman" w:eastAsia="Times New Roman"/>
          <w:b w:val="0"/>
          <w:i/>
          <w:sz w:val="23"/>
          <w:u w:val="none"/>
        </w:rPr>
        <w:t>Do not waive.</w:t>
      </w:r>
    </w:p>
    <w:p>
      <w:pPr>
        <w:keepNext w:val="0"/>
        <w:spacing w:before="0" w:after="100" w:line="240" w:lineRule="auto"/>
        <w:ind w:left="403" w:hanging="403"/>
        <w:jc w:val="both"/>
      </w:pPr>
      <w:r>
        <w:rPr>
          <w:rFonts w:ascii="Times New Roman" w:hAnsi="Times New Roman" w:cs="Times New Roman" w:eastAsia="Times New Roman"/>
          <w:b w:val="0"/>
          <w:i w:val="0"/>
          <w:sz w:val="23"/>
          <w:u w:val="none"/>
        </w:rPr>
        <w:t xml:space="preserve">• </w:t>
      </w:r>
      <w:r>
        <w:rPr>
          <w:rFonts w:ascii="Times New Roman" w:hAnsi="Times New Roman" w:cs="Times New Roman" w:eastAsia="Times New Roman"/>
          <w:b/>
          <w:i w:val="0"/>
          <w:sz w:val="23"/>
          <w:u w:val="none"/>
        </w:rPr>
        <w:t>Baseline vapor barrier inspection</w:t>
      </w:r>
      <w:r>
        <w:rPr>
          <w:rFonts w:ascii="Times New Roman" w:hAnsi="Times New Roman" w:cs="Times New Roman" w:eastAsia="Times New Roman"/>
          <w:b w:val="0"/>
          <w:i w:val="0"/>
          <w:sz w:val="23"/>
          <w:u w:val="none"/>
        </w:rPr>
        <w:t xml:space="preserve"> of the Bay 1 slab by a licensed professional, prior to closing or within thirty days after, with a copy to Lender (ESA recommendation).</w:t>
      </w:r>
    </w:p>
    <w:p>
      <w:pPr>
        <w:keepNext w:val="0"/>
        <w:spacing w:before="0" w:after="100" w:line="240" w:lineRule="auto"/>
        <w:ind w:left="403" w:hanging="403"/>
        <w:jc w:val="both"/>
      </w:pPr>
      <w:r>
        <w:rPr>
          <w:rFonts w:ascii="Times New Roman" w:hAnsi="Times New Roman" w:cs="Times New Roman" w:eastAsia="Times New Roman"/>
          <w:b w:val="0"/>
          <w:i w:val="0"/>
          <w:sz w:val="23"/>
          <w:u w:val="none"/>
        </w:rPr>
        <w:t xml:space="preserve">• </w:t>
      </w:r>
      <w:r>
        <w:rPr>
          <w:rFonts w:ascii="Times New Roman" w:hAnsi="Times New Roman" w:cs="Times New Roman" w:eastAsia="Times New Roman"/>
          <w:b/>
          <w:i w:val="0"/>
          <w:sz w:val="23"/>
          <w:u w:val="none"/>
        </w:rPr>
        <w:t>Complete SCDHEC file</w:t>
      </w:r>
      <w:r>
        <w:rPr>
          <w:rFonts w:ascii="Times New Roman" w:hAnsi="Times New Roman" w:cs="Times New Roman" w:eastAsia="Times New Roman"/>
          <w:b w:val="0"/>
          <w:i w:val="0"/>
          <w:sz w:val="23"/>
          <w:u w:val="none"/>
        </w:rPr>
        <w:t xml:space="preserve"> for Site ID No. SC-29403-0772, including the NFA letter with all conditions, and the January 22, 2025 Phase II waiver correspondence.</w:t>
      </w:r>
    </w:p>
    <w:p>
      <w:pPr>
        <w:keepNext w:val="0"/>
        <w:spacing w:before="0" w:after="100" w:line="240" w:lineRule="auto"/>
        <w:ind w:left="403" w:hanging="403"/>
        <w:jc w:val="both"/>
      </w:pPr>
      <w:r>
        <w:rPr>
          <w:rFonts w:ascii="Times New Roman" w:hAnsi="Times New Roman" w:cs="Times New Roman" w:eastAsia="Times New Roman"/>
          <w:b w:val="0"/>
          <w:i w:val="0"/>
          <w:sz w:val="23"/>
          <w:u w:val="none"/>
        </w:rPr>
        <w:t xml:space="preserve">• </w:t>
      </w:r>
      <w:r>
        <w:rPr>
          <w:rFonts w:ascii="Times New Roman" w:hAnsi="Times New Roman" w:cs="Times New Roman" w:eastAsia="Times New Roman"/>
          <w:b/>
          <w:i w:val="0"/>
          <w:sz w:val="23"/>
          <w:u w:val="none"/>
        </w:rPr>
        <w:t>Executed Construction Contract</w:t>
      </w:r>
      <w:r>
        <w:rPr>
          <w:rFonts w:ascii="Times New Roman" w:hAnsi="Times New Roman" w:cs="Times New Roman" w:eastAsia="Times New Roman"/>
          <w:b w:val="0"/>
          <w:i w:val="0"/>
          <w:sz w:val="23"/>
          <w:u w:val="none"/>
        </w:rPr>
        <w:t xml:space="preserve"> with all schedules and exhibits, and evidence that the General Contractor has been notified in writing of the LUR and the vapor barrier before mobilization.</w:t>
      </w:r>
    </w:p>
    <w:p>
      <w:pPr>
        <w:keepNext w:val="0"/>
        <w:spacing w:before="0" w:after="100" w:line="240" w:lineRule="auto"/>
        <w:ind w:left="403" w:hanging="403"/>
        <w:jc w:val="both"/>
      </w:pPr>
      <w:r>
        <w:rPr>
          <w:rFonts w:ascii="Times New Roman" w:hAnsi="Times New Roman" w:cs="Times New Roman" w:eastAsia="Times New Roman"/>
          <w:b w:val="0"/>
          <w:i w:val="0"/>
          <w:sz w:val="23"/>
          <w:u w:val="none"/>
        </w:rPr>
        <w:t xml:space="preserve">• </w:t>
      </w:r>
      <w:r>
        <w:rPr>
          <w:rFonts w:ascii="Times New Roman" w:hAnsi="Times New Roman" w:cs="Times New Roman" w:eastAsia="Times New Roman"/>
          <w:b/>
          <w:i w:val="0"/>
          <w:sz w:val="23"/>
          <w:u w:val="none"/>
        </w:rPr>
        <w:t>Beneficial ownership certifications</w:t>
      </w:r>
      <w:r>
        <w:rPr>
          <w:rFonts w:ascii="Times New Roman" w:hAnsi="Times New Roman" w:cs="Times New Roman" w:eastAsia="Times New Roman"/>
          <w:b w:val="0"/>
          <w:i w:val="0"/>
          <w:sz w:val="23"/>
          <w:u w:val="none"/>
        </w:rPr>
        <w:t xml:space="preserve"> for Borrower and each Member (including Tidewater’s general partner and Harborline), and OFAC certifications for Guarantor.</w:t>
      </w:r>
    </w:p>
    <w:p>
      <w:pPr>
        <w:keepNext w:val="0"/>
        <w:spacing w:before="0" w:after="100" w:line="240" w:lineRule="auto"/>
        <w:ind w:left="403" w:hanging="403"/>
        <w:jc w:val="both"/>
      </w:pPr>
      <w:r>
        <w:rPr>
          <w:rFonts w:ascii="Times New Roman" w:hAnsi="Times New Roman" w:cs="Times New Roman" w:eastAsia="Times New Roman"/>
          <w:b w:val="0"/>
          <w:i w:val="0"/>
          <w:sz w:val="23"/>
          <w:u w:val="none"/>
        </w:rPr>
        <w:t xml:space="preserve">• </w:t>
      </w:r>
      <w:r>
        <w:rPr>
          <w:rFonts w:ascii="Times New Roman" w:hAnsi="Times New Roman" w:cs="Times New Roman" w:eastAsia="Times New Roman"/>
          <w:b/>
          <w:i w:val="0"/>
          <w:sz w:val="23"/>
          <w:u w:val="none"/>
        </w:rPr>
        <w:t>Evidence of Borrower’s equity contribution</w:t>
      </w:r>
      <w:r>
        <w:rPr>
          <w:rFonts w:ascii="Times New Roman" w:hAnsi="Times New Roman" w:cs="Times New Roman" w:eastAsia="Times New Roman"/>
          <w:b w:val="0"/>
          <w:i w:val="0"/>
          <w:sz w:val="23"/>
          <w:u w:val="none"/>
        </w:rPr>
        <w:t xml:space="preserve"> of $6,200,000 (Term Sheet § 12.1(m)) </w:t>
      </w:r>
      <w:r>
        <w:rPr>
          <w:rFonts w:ascii="Times New Roman" w:hAnsi="Times New Roman" w:cs="Times New Roman" w:eastAsia="Times New Roman"/>
          <w:b/>
          <w:i w:val="0"/>
          <w:sz w:val="23"/>
          <w:u w:val="none"/>
        </w:rPr>
        <w:t>and of the additional funding required to close</w:t>
      </w:r>
      <w:r>
        <w:rPr>
          <w:rFonts w:ascii="Times New Roman" w:hAnsi="Times New Roman" w:cs="Times New Roman" w:eastAsia="Times New Roman"/>
          <w:b w:val="0"/>
          <w:i w:val="0"/>
          <w:sz w:val="23"/>
          <w:u w:val="none"/>
        </w:rPr>
        <w:t xml:space="preserve"> the sources-and-uses gap.</w:t>
      </w:r>
    </w:p>
    <w:p>
      <w:pPr>
        <w:keepNext w:val="0"/>
        <w:spacing w:before="0" w:after="100" w:line="240" w:lineRule="auto"/>
        <w:ind w:left="403" w:hanging="403"/>
        <w:jc w:val="both"/>
      </w:pPr>
      <w:r>
        <w:rPr>
          <w:rFonts w:ascii="Times New Roman" w:hAnsi="Times New Roman" w:cs="Times New Roman" w:eastAsia="Times New Roman"/>
          <w:b w:val="0"/>
          <w:i w:val="0"/>
          <w:sz w:val="23"/>
          <w:u w:val="none"/>
        </w:rPr>
        <w:t xml:space="preserve">• </w:t>
      </w:r>
      <w:r>
        <w:rPr>
          <w:rFonts w:ascii="Times New Roman" w:hAnsi="Times New Roman" w:cs="Times New Roman" w:eastAsia="Times New Roman"/>
          <w:b/>
          <w:i w:val="0"/>
          <w:sz w:val="23"/>
          <w:u w:val="none"/>
        </w:rPr>
        <w:t>Confirmation of the registered agent</w:t>
      </w:r>
      <w:r>
        <w:rPr>
          <w:rFonts w:ascii="Times New Roman" w:hAnsi="Times New Roman" w:cs="Times New Roman" w:eastAsia="Times New Roman"/>
          <w:b w:val="0"/>
          <w:i w:val="0"/>
          <w:sz w:val="23"/>
          <w:u w:val="none"/>
        </w:rPr>
        <w:t xml:space="preserve"> of record with the South Carolina Secretary of State, resolving the “Capitol” / “Statehouse” discrepancy, and of Borrower’s good standing and the accuracy of its legal name and filing number.</w:t>
      </w:r>
    </w:p>
    <w:p>
      <w:pPr>
        <w:keepNext w:val="0"/>
        <w:spacing w:before="0" w:after="100" w:line="240" w:lineRule="auto"/>
        <w:ind w:left="403" w:hanging="403"/>
        <w:jc w:val="both"/>
      </w:pPr>
      <w:r>
        <w:rPr>
          <w:rFonts w:ascii="Times New Roman" w:hAnsi="Times New Roman" w:cs="Times New Roman" w:eastAsia="Times New Roman"/>
          <w:b w:val="0"/>
          <w:i w:val="0"/>
          <w:sz w:val="23"/>
          <w:u w:val="none"/>
        </w:rPr>
        <w:t xml:space="preserve">• </w:t>
      </w:r>
      <w:r>
        <w:rPr>
          <w:rFonts w:ascii="Times New Roman" w:hAnsi="Times New Roman" w:cs="Times New Roman" w:eastAsia="Times New Roman"/>
          <w:b/>
          <w:i w:val="0"/>
          <w:sz w:val="23"/>
          <w:u w:val="none"/>
        </w:rPr>
        <w:t>Written confirmation from Lender’s credit function</w:t>
      </w:r>
      <w:r>
        <w:rPr>
          <w:rFonts w:ascii="Times New Roman" w:hAnsi="Times New Roman" w:cs="Times New Roman" w:eastAsia="Times New Roman"/>
          <w:b w:val="0"/>
          <w:i w:val="0"/>
          <w:sz w:val="23"/>
          <w:u w:val="none"/>
        </w:rPr>
        <w:t xml:space="preserve"> of loan committee or board approval of the as-is LTV exception, and confirmation of the HVCRE classification analysis.</w:t>
      </w:r>
    </w:p>
    <w:p>
      <w:pPr>
        <w:keepNext w:val="0"/>
        <w:spacing w:before="0" w:after="100" w:line="240" w:lineRule="auto"/>
        <w:ind w:left="403" w:hanging="403"/>
        <w:jc w:val="both"/>
      </w:pPr>
      <w:r>
        <w:rPr>
          <w:rFonts w:ascii="Times New Roman" w:hAnsi="Times New Roman" w:cs="Times New Roman" w:eastAsia="Times New Roman"/>
          <w:b w:val="0"/>
          <w:i w:val="0"/>
          <w:sz w:val="23"/>
          <w:u w:val="none"/>
        </w:rPr>
        <w:t xml:space="preserve">• </w:t>
      </w:r>
      <w:r>
        <w:rPr>
          <w:rFonts w:ascii="Times New Roman" w:hAnsi="Times New Roman" w:cs="Times New Roman" w:eastAsia="Times New Roman"/>
          <w:b/>
          <w:i w:val="0"/>
          <w:sz w:val="23"/>
          <w:u w:val="none"/>
        </w:rPr>
        <w:t>BAR approvals</w:t>
      </w:r>
      <w:r>
        <w:rPr>
          <w:rFonts w:ascii="Times New Roman" w:hAnsi="Times New Roman" w:cs="Times New Roman" w:eastAsia="Times New Roman"/>
          <w:b w:val="0"/>
          <w:i w:val="0"/>
          <w:sz w:val="23"/>
          <w:u w:val="none"/>
        </w:rPr>
        <w:t xml:space="preserve"> for the façade restoration, or a written schedule from Borrower’s architect confirming that no work requiring BAR approval precedes the applicable draw.</w:t>
      </w:r>
    </w:p>
    <w:p>
      <w:pPr>
        <w:keepNext/>
        <w:spacing w:before="280" w:after="200" w:line="240" w:lineRule="auto"/>
        <w:ind w:left="0"/>
        <w:jc w:val="center"/>
      </w:pPr>
      <w:r>
        <w:rPr>
          <w:rFonts w:ascii="Times New Roman" w:hAnsi="Times New Roman" w:cs="Times New Roman" w:eastAsia="Times New Roman"/>
          <w:b/>
          <w:i w:val="0"/>
          <w:caps/>
          <w:sz w:val="24"/>
          <w:u w:val="none"/>
        </w:rPr>
        <w:t>10. NEXT STEPS</w:t>
      </w:r>
    </w:p>
    <w:tbl>
      <w:tblPr>
        <w:tblStyle w:val="TableGrid"/>
        <w:tblW w:type="auto" w:w="0"/>
        <w:jc w:val="center"/>
        <w:tblLayout w:type="fixed"/>
        <w:tblLook w:firstColumn="1" w:firstRow="1" w:lastColumn="0" w:lastRow="0" w:noHBand="0" w:noVBand="1" w:val="04A0"/>
        <w:tblLayout w:type="fixed"/>
        <w:tblW w:w="9360" w:type="dxa"/>
        <w:tblCellMar>
          <w:left w:w="72" w:type="dxa"/>
          <w:right w:w="72" w:type="dxa"/>
          <w:top w:w="36" w:type="dxa"/>
          <w:bottom w:w="36" w:type="dxa"/>
        </w:tblCellMar>
      </w:tblPr>
      <w:tblGrid>
        <w:gridCol w:w="4404"/>
        <w:gridCol w:w="2615"/>
        <w:gridCol w:w="2339"/>
      </w:tblGrid>
      <w:tr>
        <w:tc>
          <w:tcPr>
            <w:tcW w:type="dxa" w:w="4405"/>
            <w:shd w:val="clear" w:color="auto" w:fill="D9D9D9"/>
          </w:tcPr>
          <w:p>
            <w:pPr>
              <w:spacing w:after="40" w:before="40" w:line="240" w:lineRule="auto"/>
              <w:jc w:val="left"/>
            </w:pPr>
            <w:r/>
            <w:r>
              <w:rPr>
                <w:rFonts w:ascii="Times New Roman" w:hAnsi="Times New Roman" w:cs="Times New Roman" w:eastAsia="Times New Roman"/>
                <w:b/>
                <w:i w:val="0"/>
                <w:sz w:val="18"/>
                <w:u w:val="none"/>
              </w:rPr>
              <w:t>Task</w:t>
            </w:r>
          </w:p>
        </w:tc>
        <w:tc>
          <w:tcPr>
            <w:tcW w:type="dxa" w:w="2615"/>
            <w:shd w:val="clear" w:color="auto" w:fill="D9D9D9"/>
          </w:tcPr>
          <w:p>
            <w:pPr>
              <w:spacing w:after="40" w:before="40" w:line="240" w:lineRule="auto"/>
              <w:jc w:val="left"/>
            </w:pPr>
            <w:r/>
            <w:r>
              <w:rPr>
                <w:rFonts w:ascii="Times New Roman" w:hAnsi="Times New Roman" w:cs="Times New Roman" w:eastAsia="Times New Roman"/>
                <w:b/>
                <w:i w:val="0"/>
                <w:sz w:val="18"/>
                <w:u w:val="none"/>
              </w:rPr>
              <w:t>Owner</w:t>
            </w:r>
          </w:p>
        </w:tc>
        <w:tc>
          <w:tcPr>
            <w:tcW w:type="dxa" w:w="2340"/>
            <w:shd w:val="clear" w:color="auto" w:fill="D9D9D9"/>
          </w:tcPr>
          <w:p>
            <w:pPr>
              <w:spacing w:after="40" w:before="40" w:line="240" w:lineRule="auto"/>
              <w:jc w:val="left"/>
            </w:pPr>
            <w:r/>
            <w:r>
              <w:rPr>
                <w:rFonts w:ascii="Times New Roman" w:hAnsi="Times New Roman" w:cs="Times New Roman" w:eastAsia="Times New Roman"/>
                <w:b/>
                <w:i w:val="0"/>
                <w:sz w:val="18"/>
                <w:u w:val="none"/>
              </w:rPr>
              <w:t>Target</w:t>
            </w:r>
          </w:p>
        </w:tc>
      </w:tr>
      <w:tr>
        <w:tc>
          <w:tcPr>
            <w:tcW w:type="dxa" w:w="4405"/>
          </w:tcPr>
          <w:p>
            <w:pPr>
              <w:spacing w:after="40" w:before="40" w:line="240" w:lineRule="auto"/>
              <w:jc w:val="left"/>
            </w:pPr>
            <w:r/>
            <w:r>
              <w:rPr>
                <w:rFonts w:ascii="Times New Roman" w:hAnsi="Times New Roman" w:cs="Times New Roman" w:eastAsia="Times New Roman"/>
                <w:b w:val="0"/>
                <w:i w:val="0"/>
                <w:sz w:val="18"/>
                <w:u w:val="none"/>
              </w:rPr>
              <w:t>Resolve items 1–3 in Section 8 (DSCR, appraisal, sources and uses)</w:t>
            </w:r>
          </w:p>
        </w:tc>
        <w:tc>
          <w:tcPr>
            <w:tcW w:type="dxa" w:w="2615"/>
          </w:tcPr>
          <w:p>
            <w:pPr>
              <w:spacing w:after="40" w:before="40" w:line="240" w:lineRule="auto"/>
              <w:jc w:val="left"/>
            </w:pPr>
            <w:r/>
            <w:r>
              <w:rPr>
                <w:rFonts w:ascii="Times New Roman" w:hAnsi="Times New Roman" w:cs="Times New Roman" w:eastAsia="Times New Roman"/>
                <w:b w:val="0"/>
                <w:i w:val="0"/>
                <w:sz w:val="18"/>
                <w:u w:val="none"/>
              </w:rPr>
              <w:t>K. Ashworth / M. Prideaux (Lender)</w:t>
            </w:r>
          </w:p>
        </w:tc>
        <w:tc>
          <w:tcPr>
            <w:tcW w:type="dxa" w:w="2340"/>
          </w:tcPr>
          <w:p>
            <w:pPr>
              <w:spacing w:after="40" w:before="40" w:line="240" w:lineRule="auto"/>
              <w:jc w:val="left"/>
            </w:pPr>
            <w:r/>
            <w:r>
              <w:rPr>
                <w:rFonts w:ascii="Times New Roman" w:hAnsi="Times New Roman" w:cs="Times New Roman" w:eastAsia="Times New Roman"/>
                <w:b w:val="0"/>
                <w:i w:val="0"/>
                <w:sz w:val="18"/>
                <w:u w:val="none"/>
              </w:rPr>
              <w:t>Before draft is released, April 1</w:t>
            </w:r>
          </w:p>
        </w:tc>
      </w:tr>
      <w:tr>
        <w:tc>
          <w:tcPr>
            <w:tcW w:type="dxa" w:w="4405"/>
          </w:tcPr>
          <w:p>
            <w:pPr>
              <w:spacing w:after="40" w:before="40" w:line="240" w:lineRule="auto"/>
              <w:jc w:val="left"/>
            </w:pPr>
            <w:r/>
            <w:r>
              <w:rPr>
                <w:rFonts w:ascii="Times New Roman" w:hAnsi="Times New Roman" w:cs="Times New Roman" w:eastAsia="Times New Roman"/>
                <w:b w:val="0"/>
                <w:i w:val="0"/>
                <w:sz w:val="18"/>
                <w:u w:val="none"/>
              </w:rPr>
              <w:t>Confirm items 8–11 (prepayment and lockout positions)</w:t>
            </w:r>
          </w:p>
        </w:tc>
        <w:tc>
          <w:tcPr>
            <w:tcW w:type="dxa" w:w="2615"/>
          </w:tcPr>
          <w:p>
            <w:pPr>
              <w:spacing w:after="40" w:before="40" w:line="240" w:lineRule="auto"/>
              <w:jc w:val="left"/>
            </w:pPr>
            <w:r/>
            <w:r>
              <w:rPr>
                <w:rFonts w:ascii="Times New Roman" w:hAnsi="Times New Roman" w:cs="Times New Roman" w:eastAsia="Times New Roman"/>
                <w:b w:val="0"/>
                <w:i w:val="0"/>
                <w:sz w:val="18"/>
                <w:u w:val="none"/>
              </w:rPr>
              <w:t>K. Ashworth / M. Prideaux</w:t>
            </w:r>
          </w:p>
        </w:tc>
        <w:tc>
          <w:tcPr>
            <w:tcW w:type="dxa" w:w="2340"/>
          </w:tcPr>
          <w:p>
            <w:pPr>
              <w:spacing w:after="40" w:before="40" w:line="240" w:lineRule="auto"/>
              <w:jc w:val="left"/>
            </w:pPr>
            <w:r/>
            <w:r>
              <w:rPr>
                <w:rFonts w:ascii="Times New Roman" w:hAnsi="Times New Roman" w:cs="Times New Roman" w:eastAsia="Times New Roman"/>
                <w:b w:val="0"/>
                <w:i w:val="0"/>
                <w:sz w:val="18"/>
                <w:u w:val="none"/>
              </w:rPr>
              <w:t>April 1</w:t>
            </w:r>
          </w:p>
        </w:tc>
      </w:tr>
      <w:tr>
        <w:tc>
          <w:tcPr>
            <w:tcW w:type="dxa" w:w="4405"/>
          </w:tcPr>
          <w:p>
            <w:pPr>
              <w:spacing w:after="40" w:before="40" w:line="240" w:lineRule="auto"/>
              <w:jc w:val="left"/>
            </w:pPr>
            <w:r/>
            <w:r>
              <w:rPr>
                <w:rFonts w:ascii="Times New Roman" w:hAnsi="Times New Roman" w:cs="Times New Roman" w:eastAsia="Times New Roman"/>
                <w:b w:val="0"/>
                <w:i w:val="0"/>
                <w:sz w:val="18"/>
                <w:u w:val="none"/>
              </w:rPr>
              <w:t>Prepare form of Operating Agreement Amendment</w:t>
            </w:r>
          </w:p>
        </w:tc>
        <w:tc>
          <w:tcPr>
            <w:tcW w:type="dxa" w:w="2615"/>
          </w:tcPr>
          <w:p>
            <w:pPr>
              <w:spacing w:after="40" w:before="40" w:line="240" w:lineRule="auto"/>
              <w:jc w:val="left"/>
            </w:pPr>
            <w:r/>
            <w:r>
              <w:rPr>
                <w:rFonts w:ascii="Times New Roman" w:hAnsi="Times New Roman" w:cs="Times New Roman" w:eastAsia="Times New Roman"/>
                <w:b w:val="0"/>
                <w:i w:val="0"/>
                <w:sz w:val="18"/>
                <w:u w:val="none"/>
              </w:rPr>
              <w:t>J. Vickers</w:t>
            </w:r>
          </w:p>
        </w:tc>
        <w:tc>
          <w:tcPr>
            <w:tcW w:type="dxa" w:w="2340"/>
          </w:tcPr>
          <w:p>
            <w:pPr>
              <w:spacing w:after="40" w:before="40" w:line="240" w:lineRule="auto"/>
              <w:jc w:val="left"/>
            </w:pPr>
            <w:r/>
            <w:r>
              <w:rPr>
                <w:rFonts w:ascii="Times New Roman" w:hAnsi="Times New Roman" w:cs="Times New Roman" w:eastAsia="Times New Roman"/>
                <w:b w:val="0"/>
                <w:i w:val="0"/>
                <w:sz w:val="18"/>
                <w:u w:val="none"/>
              </w:rPr>
              <w:t>April 4</w:t>
            </w:r>
          </w:p>
        </w:tc>
      </w:tr>
      <w:tr>
        <w:tc>
          <w:tcPr>
            <w:tcW w:type="dxa" w:w="4405"/>
          </w:tcPr>
          <w:p>
            <w:pPr>
              <w:spacing w:after="40" w:before="40" w:line="240" w:lineRule="auto"/>
              <w:jc w:val="left"/>
            </w:pPr>
            <w:r/>
            <w:r>
              <w:rPr>
                <w:rFonts w:ascii="Times New Roman" w:hAnsi="Times New Roman" w:cs="Times New Roman" w:eastAsia="Times New Roman"/>
                <w:b w:val="0"/>
                <w:i w:val="0"/>
                <w:sz w:val="18"/>
                <w:u w:val="none"/>
              </w:rPr>
              <w:t>Prepare forms of estoppel certificate, SNDA, and non-disturbance agreement</w:t>
            </w:r>
          </w:p>
        </w:tc>
        <w:tc>
          <w:tcPr>
            <w:tcW w:type="dxa" w:w="2615"/>
          </w:tcPr>
          <w:p>
            <w:pPr>
              <w:spacing w:after="40" w:before="40" w:line="240" w:lineRule="auto"/>
              <w:jc w:val="left"/>
            </w:pPr>
            <w:r/>
            <w:r>
              <w:rPr>
                <w:rFonts w:ascii="Times New Roman" w:hAnsi="Times New Roman" w:cs="Times New Roman" w:eastAsia="Times New Roman"/>
                <w:b w:val="0"/>
                <w:i w:val="0"/>
                <w:sz w:val="18"/>
                <w:u w:val="none"/>
              </w:rPr>
              <w:t>J. Vickers</w:t>
            </w:r>
          </w:p>
        </w:tc>
        <w:tc>
          <w:tcPr>
            <w:tcW w:type="dxa" w:w="2340"/>
          </w:tcPr>
          <w:p>
            <w:pPr>
              <w:spacing w:after="40" w:before="40" w:line="240" w:lineRule="auto"/>
              <w:jc w:val="left"/>
            </w:pPr>
            <w:r/>
            <w:r>
              <w:rPr>
                <w:rFonts w:ascii="Times New Roman" w:hAnsi="Times New Roman" w:cs="Times New Roman" w:eastAsia="Times New Roman"/>
                <w:b w:val="0"/>
                <w:i w:val="0"/>
                <w:sz w:val="18"/>
                <w:u w:val="none"/>
              </w:rPr>
              <w:t>April 4</w:t>
            </w:r>
          </w:p>
        </w:tc>
      </w:tr>
      <w:tr>
        <w:tc>
          <w:tcPr>
            <w:tcW w:type="dxa" w:w="4405"/>
          </w:tcPr>
          <w:p>
            <w:pPr>
              <w:spacing w:after="40" w:before="40" w:line="240" w:lineRule="auto"/>
              <w:jc w:val="left"/>
            </w:pPr>
            <w:r/>
            <w:r>
              <w:rPr>
                <w:rFonts w:ascii="Times New Roman" w:hAnsi="Times New Roman" w:cs="Times New Roman" w:eastAsia="Times New Roman"/>
                <w:b w:val="0"/>
                <w:i w:val="0"/>
                <w:sz w:val="18"/>
                <w:u w:val="none"/>
              </w:rPr>
              <w:t>Obtain written coverage confirmation for the Anson Lane strip and order endorsements</w:t>
            </w:r>
          </w:p>
        </w:tc>
        <w:tc>
          <w:tcPr>
            <w:tcW w:type="dxa" w:w="2615"/>
          </w:tcPr>
          <w:p>
            <w:pPr>
              <w:spacing w:after="40" w:before="40" w:line="240" w:lineRule="auto"/>
              <w:jc w:val="left"/>
            </w:pPr>
            <w:r/>
            <w:r>
              <w:rPr>
                <w:rFonts w:ascii="Times New Roman" w:hAnsi="Times New Roman" w:cs="Times New Roman" w:eastAsia="Times New Roman"/>
                <w:b w:val="0"/>
                <w:i w:val="0"/>
                <w:sz w:val="18"/>
                <w:u w:val="none"/>
              </w:rPr>
              <w:t>J. Vickers / Prestige Title</w:t>
            </w:r>
          </w:p>
        </w:tc>
        <w:tc>
          <w:tcPr>
            <w:tcW w:type="dxa" w:w="2340"/>
          </w:tcPr>
          <w:p>
            <w:pPr>
              <w:spacing w:after="40" w:before="40" w:line="240" w:lineRule="auto"/>
              <w:jc w:val="left"/>
            </w:pPr>
            <w:r/>
            <w:r>
              <w:rPr>
                <w:rFonts w:ascii="Times New Roman" w:hAnsi="Times New Roman" w:cs="Times New Roman" w:eastAsia="Times New Roman"/>
                <w:b w:val="0"/>
                <w:i w:val="0"/>
                <w:sz w:val="18"/>
                <w:u w:val="none"/>
              </w:rPr>
              <w:t>April 4</w:t>
            </w:r>
          </w:p>
        </w:tc>
      </w:tr>
      <w:tr>
        <w:tc>
          <w:tcPr>
            <w:tcW w:type="dxa" w:w="4405"/>
          </w:tcPr>
          <w:p>
            <w:pPr>
              <w:spacing w:after="40" w:before="40" w:line="240" w:lineRule="auto"/>
              <w:jc w:val="left"/>
            </w:pPr>
            <w:r/>
            <w:r>
              <w:rPr>
                <w:rFonts w:ascii="Times New Roman" w:hAnsi="Times New Roman" w:cs="Times New Roman" w:eastAsia="Times New Roman"/>
                <w:b w:val="0"/>
                <w:i w:val="0"/>
                <w:sz w:val="18"/>
                <w:u w:val="none"/>
              </w:rPr>
              <w:t>Order survey re-certification and baseline vapor barrier inspection</w:t>
            </w:r>
          </w:p>
        </w:tc>
        <w:tc>
          <w:tcPr>
            <w:tcW w:type="dxa" w:w="2615"/>
          </w:tcPr>
          <w:p>
            <w:pPr>
              <w:spacing w:after="40" w:before="40" w:line="240" w:lineRule="auto"/>
              <w:jc w:val="left"/>
            </w:pPr>
            <w:r/>
            <w:r>
              <w:rPr>
                <w:rFonts w:ascii="Times New Roman" w:hAnsi="Times New Roman" w:cs="Times New Roman" w:eastAsia="Times New Roman"/>
                <w:b w:val="0"/>
                <w:i w:val="0"/>
                <w:sz w:val="18"/>
                <w:u w:val="none"/>
              </w:rPr>
              <w:t>J. Vickers / Borrower</w:t>
            </w:r>
          </w:p>
        </w:tc>
        <w:tc>
          <w:tcPr>
            <w:tcW w:type="dxa" w:w="2340"/>
          </w:tcPr>
          <w:p>
            <w:pPr>
              <w:spacing w:after="40" w:before="40" w:line="240" w:lineRule="auto"/>
              <w:jc w:val="left"/>
            </w:pPr>
            <w:r/>
            <w:r>
              <w:rPr>
                <w:rFonts w:ascii="Times New Roman" w:hAnsi="Times New Roman" w:cs="Times New Roman" w:eastAsia="Times New Roman"/>
                <w:b w:val="0"/>
                <w:i w:val="0"/>
                <w:sz w:val="18"/>
                <w:u w:val="none"/>
              </w:rPr>
              <w:t>April 8</w:t>
            </w:r>
          </w:p>
        </w:tc>
      </w:tr>
      <w:tr>
        <w:tc>
          <w:tcPr>
            <w:tcW w:type="dxa" w:w="4405"/>
          </w:tcPr>
          <w:p>
            <w:pPr>
              <w:spacing w:after="40" w:before="40" w:line="240" w:lineRule="auto"/>
              <w:jc w:val="left"/>
            </w:pPr>
            <w:r/>
            <w:r>
              <w:rPr>
                <w:rFonts w:ascii="Times New Roman" w:hAnsi="Times New Roman" w:cs="Times New Roman" w:eastAsia="Times New Roman"/>
                <w:b w:val="0"/>
                <w:i w:val="0"/>
                <w:sz w:val="18"/>
                <w:u w:val="none"/>
              </w:rPr>
              <w:t>Confirm 75% member consent and Tidewater GP authorization</w:t>
            </w:r>
          </w:p>
        </w:tc>
        <w:tc>
          <w:tcPr>
            <w:tcW w:type="dxa" w:w="2615"/>
          </w:tcPr>
          <w:p>
            <w:pPr>
              <w:spacing w:after="40" w:before="40" w:line="240" w:lineRule="auto"/>
              <w:jc w:val="left"/>
            </w:pPr>
            <w:r/>
            <w:r>
              <w:rPr>
                <w:rFonts w:ascii="Times New Roman" w:hAnsi="Times New Roman" w:cs="Times New Roman" w:eastAsia="Times New Roman"/>
                <w:b w:val="0"/>
                <w:i w:val="0"/>
                <w:sz w:val="18"/>
                <w:u w:val="none"/>
              </w:rPr>
              <w:t>Borrower’s counsel (Cartwright &amp; Lyons LLP)</w:t>
            </w:r>
          </w:p>
        </w:tc>
        <w:tc>
          <w:tcPr>
            <w:tcW w:type="dxa" w:w="2340"/>
          </w:tcPr>
          <w:p>
            <w:pPr>
              <w:spacing w:after="40" w:before="40" w:line="240" w:lineRule="auto"/>
              <w:jc w:val="left"/>
            </w:pPr>
            <w:r/>
            <w:r>
              <w:rPr>
                <w:rFonts w:ascii="Times New Roman" w:hAnsi="Times New Roman" w:cs="Times New Roman" w:eastAsia="Times New Roman"/>
                <w:b w:val="0"/>
                <w:i w:val="0"/>
                <w:sz w:val="18"/>
                <w:u w:val="none"/>
              </w:rPr>
              <w:t>April 10</w:t>
            </w:r>
          </w:p>
        </w:tc>
      </w:tr>
      <w:tr>
        <w:tc>
          <w:tcPr>
            <w:tcW w:type="dxa" w:w="4405"/>
          </w:tcPr>
          <w:p>
            <w:pPr>
              <w:spacing w:after="40" w:before="40" w:line="240" w:lineRule="auto"/>
              <w:jc w:val="left"/>
            </w:pPr>
            <w:r/>
            <w:r>
              <w:rPr>
                <w:rFonts w:ascii="Times New Roman" w:hAnsi="Times New Roman" w:cs="Times New Roman" w:eastAsia="Times New Roman"/>
                <w:b w:val="0"/>
                <w:i w:val="0"/>
                <w:sz w:val="18"/>
                <w:u w:val="none"/>
              </w:rPr>
              <w:t>Reconcile the sources and uses and obtain the closing statement</w:t>
            </w:r>
          </w:p>
        </w:tc>
        <w:tc>
          <w:tcPr>
            <w:tcW w:type="dxa" w:w="2615"/>
          </w:tcPr>
          <w:p>
            <w:pPr>
              <w:spacing w:after="40" w:before="40" w:line="240" w:lineRule="auto"/>
              <w:jc w:val="left"/>
            </w:pPr>
            <w:r/>
            <w:r>
              <w:rPr>
                <w:rFonts w:ascii="Times New Roman" w:hAnsi="Times New Roman" w:cs="Times New Roman" w:eastAsia="Times New Roman"/>
                <w:b w:val="0"/>
                <w:i w:val="0"/>
                <w:sz w:val="18"/>
                <w:u w:val="none"/>
              </w:rPr>
              <w:t>Borrower / Prestige Title</w:t>
            </w:r>
          </w:p>
        </w:tc>
        <w:tc>
          <w:tcPr>
            <w:tcW w:type="dxa" w:w="2340"/>
          </w:tcPr>
          <w:p>
            <w:pPr>
              <w:spacing w:after="40" w:before="40" w:line="240" w:lineRule="auto"/>
              <w:jc w:val="left"/>
            </w:pPr>
            <w:r/>
            <w:r>
              <w:rPr>
                <w:rFonts w:ascii="Times New Roman" w:hAnsi="Times New Roman" w:cs="Times New Roman" w:eastAsia="Times New Roman"/>
                <w:b w:val="0"/>
                <w:i w:val="0"/>
                <w:sz w:val="18"/>
                <w:u w:val="none"/>
              </w:rPr>
              <w:t>April 10</w:t>
            </w:r>
          </w:p>
        </w:tc>
      </w:tr>
      <w:tr>
        <w:tc>
          <w:tcPr>
            <w:tcW w:type="dxa" w:w="4405"/>
          </w:tcPr>
          <w:p>
            <w:pPr>
              <w:spacing w:after="40" w:before="40" w:line="240" w:lineRule="auto"/>
              <w:jc w:val="left"/>
            </w:pPr>
            <w:r/>
            <w:r>
              <w:rPr>
                <w:rFonts w:ascii="Times New Roman" w:hAnsi="Times New Roman" w:cs="Times New Roman" w:eastAsia="Times New Roman"/>
                <w:b w:val="0"/>
                <w:i w:val="0"/>
                <w:sz w:val="18"/>
                <w:u w:val="none"/>
              </w:rPr>
              <w:t>Independent appraisal review</w:t>
            </w:r>
          </w:p>
        </w:tc>
        <w:tc>
          <w:tcPr>
            <w:tcW w:type="dxa" w:w="2615"/>
          </w:tcPr>
          <w:p>
            <w:pPr>
              <w:spacing w:after="40" w:before="40" w:line="240" w:lineRule="auto"/>
              <w:jc w:val="left"/>
            </w:pPr>
            <w:r/>
            <w:r>
              <w:rPr>
                <w:rFonts w:ascii="Times New Roman" w:hAnsi="Times New Roman" w:cs="Times New Roman" w:eastAsia="Times New Roman"/>
                <w:b w:val="0"/>
                <w:i w:val="0"/>
                <w:sz w:val="18"/>
                <w:u w:val="none"/>
              </w:rPr>
              <w:t>Lender’s credit function</w:t>
            </w:r>
          </w:p>
        </w:tc>
        <w:tc>
          <w:tcPr>
            <w:tcW w:type="dxa" w:w="2340"/>
          </w:tcPr>
          <w:p>
            <w:pPr>
              <w:spacing w:after="40" w:before="40" w:line="240" w:lineRule="auto"/>
              <w:jc w:val="left"/>
            </w:pPr>
            <w:r/>
            <w:r>
              <w:rPr>
                <w:rFonts w:ascii="Times New Roman" w:hAnsi="Times New Roman" w:cs="Times New Roman" w:eastAsia="Times New Roman"/>
                <w:b w:val="0"/>
                <w:i w:val="0"/>
                <w:sz w:val="18"/>
                <w:u w:val="none"/>
              </w:rPr>
              <w:t>April 10</w:t>
            </w:r>
          </w:p>
        </w:tc>
      </w:tr>
      <w:tr>
        <w:tc>
          <w:tcPr>
            <w:tcW w:type="dxa" w:w="4405"/>
          </w:tcPr>
          <w:p>
            <w:pPr>
              <w:spacing w:after="40" w:before="40" w:line="240" w:lineRule="auto"/>
              <w:jc w:val="left"/>
            </w:pPr>
            <w:r/>
            <w:r>
              <w:rPr>
                <w:rFonts w:ascii="Times New Roman" w:hAnsi="Times New Roman" w:cs="Times New Roman" w:eastAsia="Times New Roman"/>
                <w:b w:val="0"/>
                <w:i w:val="0"/>
                <w:sz w:val="18"/>
                <w:u w:val="none"/>
              </w:rPr>
              <w:t>Confirm registered agent, financing statements, and UCC search results</w:t>
            </w:r>
          </w:p>
        </w:tc>
        <w:tc>
          <w:tcPr>
            <w:tcW w:type="dxa" w:w="2615"/>
          </w:tcPr>
          <w:p>
            <w:pPr>
              <w:spacing w:after="40" w:before="40" w:line="240" w:lineRule="auto"/>
              <w:jc w:val="left"/>
            </w:pPr>
            <w:r/>
            <w:r>
              <w:rPr>
                <w:rFonts w:ascii="Times New Roman" w:hAnsi="Times New Roman" w:cs="Times New Roman" w:eastAsia="Times New Roman"/>
                <w:b w:val="0"/>
                <w:i w:val="0"/>
                <w:sz w:val="18"/>
                <w:u w:val="none"/>
              </w:rPr>
              <w:t>J. Vickers</w:t>
            </w:r>
          </w:p>
        </w:tc>
        <w:tc>
          <w:tcPr>
            <w:tcW w:type="dxa" w:w="2340"/>
          </w:tcPr>
          <w:p>
            <w:pPr>
              <w:spacing w:after="40" w:before="40" w:line="240" w:lineRule="auto"/>
              <w:jc w:val="left"/>
            </w:pPr>
            <w:r/>
            <w:r>
              <w:rPr>
                <w:rFonts w:ascii="Times New Roman" w:hAnsi="Times New Roman" w:cs="Times New Roman" w:eastAsia="Times New Roman"/>
                <w:b w:val="0"/>
                <w:i w:val="0"/>
                <w:sz w:val="18"/>
                <w:u w:val="none"/>
              </w:rPr>
              <w:t>April 10</w:t>
            </w:r>
          </w:p>
        </w:tc>
      </w:tr>
      <w:tr>
        <w:tc>
          <w:tcPr>
            <w:tcW w:type="dxa" w:w="4405"/>
          </w:tcPr>
          <w:p>
            <w:pPr>
              <w:spacing w:after="40" w:before="40" w:line="240" w:lineRule="auto"/>
              <w:jc w:val="left"/>
            </w:pPr>
            <w:r/>
            <w:r>
              <w:rPr>
                <w:rFonts w:ascii="Times New Roman" w:hAnsi="Times New Roman" w:cs="Times New Roman" w:eastAsia="Times New Roman"/>
                <w:b w:val="0"/>
                <w:i w:val="0"/>
                <w:sz w:val="18"/>
                <w:u w:val="none"/>
              </w:rPr>
              <w:t>Obtain full unredacted Operating Agreement, Leases, and Construction Contract</w:t>
            </w:r>
          </w:p>
        </w:tc>
        <w:tc>
          <w:tcPr>
            <w:tcW w:type="dxa" w:w="2615"/>
          </w:tcPr>
          <w:p>
            <w:pPr>
              <w:spacing w:after="40" w:before="40" w:line="240" w:lineRule="auto"/>
              <w:jc w:val="left"/>
            </w:pPr>
            <w:r/>
            <w:r>
              <w:rPr>
                <w:rFonts w:ascii="Times New Roman" w:hAnsi="Times New Roman" w:cs="Times New Roman" w:eastAsia="Times New Roman"/>
                <w:b w:val="0"/>
                <w:i w:val="0"/>
                <w:sz w:val="18"/>
                <w:u w:val="none"/>
              </w:rPr>
              <w:t>Borrower’s counsel</w:t>
            </w:r>
          </w:p>
        </w:tc>
        <w:tc>
          <w:tcPr>
            <w:tcW w:type="dxa" w:w="2340"/>
          </w:tcPr>
          <w:p>
            <w:pPr>
              <w:spacing w:after="40" w:before="40" w:line="240" w:lineRule="auto"/>
              <w:jc w:val="left"/>
            </w:pPr>
            <w:r/>
            <w:r>
              <w:rPr>
                <w:rFonts w:ascii="Times New Roman" w:hAnsi="Times New Roman" w:cs="Times New Roman" w:eastAsia="Times New Roman"/>
                <w:b w:val="0"/>
                <w:i w:val="0"/>
                <w:sz w:val="18"/>
                <w:u w:val="none"/>
              </w:rPr>
              <w:t>April 10</w:t>
            </w:r>
          </w:p>
        </w:tc>
      </w:tr>
      <w:tr>
        <w:tc>
          <w:tcPr>
            <w:tcW w:type="dxa" w:w="4405"/>
          </w:tcPr>
          <w:p>
            <w:pPr>
              <w:spacing w:after="40" w:before="40" w:line="240" w:lineRule="auto"/>
              <w:jc w:val="left"/>
            </w:pPr>
            <w:r/>
            <w:r>
              <w:rPr>
                <w:rFonts w:ascii="Times New Roman" w:hAnsi="Times New Roman" w:cs="Times New Roman" w:eastAsia="Times New Roman"/>
                <w:b w:val="0"/>
                <w:i w:val="0"/>
                <w:sz w:val="18"/>
                <w:u w:val="none"/>
              </w:rPr>
              <w:t>Circulate revised Mortgage and Note for Borrower comment</w:t>
            </w:r>
          </w:p>
        </w:tc>
        <w:tc>
          <w:tcPr>
            <w:tcW w:type="dxa" w:w="2615"/>
          </w:tcPr>
          <w:p>
            <w:pPr>
              <w:spacing w:after="40" w:before="40" w:line="240" w:lineRule="auto"/>
              <w:jc w:val="left"/>
            </w:pPr>
            <w:r/>
            <w:r>
              <w:rPr>
                <w:rFonts w:ascii="Times New Roman" w:hAnsi="Times New Roman" w:cs="Times New Roman" w:eastAsia="Times New Roman"/>
                <w:b w:val="0"/>
                <w:i w:val="0"/>
                <w:sz w:val="18"/>
                <w:u w:val="none"/>
              </w:rPr>
              <w:t>J. Vickers</w:t>
            </w:r>
          </w:p>
        </w:tc>
        <w:tc>
          <w:tcPr>
            <w:tcW w:type="dxa" w:w="2340"/>
          </w:tcPr>
          <w:p>
            <w:pPr>
              <w:spacing w:after="40" w:before="40" w:line="240" w:lineRule="auto"/>
              <w:jc w:val="left"/>
            </w:pPr>
            <w:r/>
            <w:r>
              <w:rPr>
                <w:rFonts w:ascii="Times New Roman" w:hAnsi="Times New Roman" w:cs="Times New Roman" w:eastAsia="Times New Roman"/>
                <w:b w:val="0"/>
                <w:i w:val="0"/>
                <w:sz w:val="18"/>
                <w:u w:val="none"/>
              </w:rPr>
              <w:t>April 11</w:t>
            </w:r>
          </w:p>
        </w:tc>
      </w:tr>
    </w:tbl>
    <w:p>
      <w:pPr>
        <w:keepNext w:val="0"/>
        <w:spacing w:before="0" w:after="40" w:line="240" w:lineRule="auto"/>
        <w:ind w:left="0"/>
        <w:jc w:val="both"/>
      </w:pPr>
    </w:p>
    <w:p>
      <w:pPr>
        <w:keepNext w:val="0"/>
        <w:spacing w:before="0" w:after="160" w:line="240" w:lineRule="auto"/>
        <w:ind w:left="0"/>
        <w:jc w:val="both"/>
      </w:pPr>
      <w:r>
        <w:rPr>
          <w:rFonts w:ascii="Times New Roman" w:hAnsi="Times New Roman" w:cs="Times New Roman" w:eastAsia="Times New Roman"/>
          <w:b/>
          <w:i w:val="0"/>
          <w:sz w:val="24"/>
          <w:u w:val="none"/>
        </w:rPr>
        <w:t>Note on timing.</w:t>
      </w:r>
      <w:r>
        <w:rPr>
          <w:rFonts w:ascii="Times New Roman" w:hAnsi="Times New Roman" w:cs="Times New Roman" w:eastAsia="Times New Roman"/>
          <w:b w:val="0"/>
          <w:i w:val="0"/>
          <w:sz w:val="24"/>
          <w:u w:val="none"/>
        </w:rPr>
        <w:t xml:space="preserve"> The closing is anticipated for April 15, 2025 and the Term Sheet terminates Lender’s obligation to fund if closing does not occur by May 15, 2025 (Term Sheet § 14.5). The conditions in Section 9 involving third parties — the Operating Agreement Amendment with three member signatures, the Tidewater GP authorization, the Lowcountry estoppel and SNDA, the survey re-certification, and the title endorsements — will not all be satisfied in the seven business days between April 4 and April 15 unless they are started this week. If they cannot be met, the alternatives are a documented waiver (which we do not recommend for the Operating Agreement Amendment or the Lowcountry estoppel) or an extension of the closing date, in which case the Term Sheet’s expiration date, the title commitment’s expiration (August 28, 2025), and the Phase I ESA’s 180-day currency (July 27, 2025) all need to be tracked.</w:t>
      </w:r>
    </w:p>
    <w:p>
      <w:pPr>
        <w:keepNext w:val="0"/>
        <w:spacing w:before="0" w:after="0" w:line="240" w:lineRule="auto"/>
        <w:ind w:left="0"/>
        <w:jc w:val="left"/>
      </w:pPr>
    </w:p>
    <w:p>
      <w:pPr>
        <w:keepNext w:val="0"/>
        <w:spacing w:before="0" w:after="160" w:line="240" w:lineRule="auto"/>
        <w:ind w:left="0"/>
        <w:jc w:val="both"/>
      </w:pPr>
      <w:r>
        <w:rPr>
          <w:rFonts w:ascii="Times New Roman" w:hAnsi="Times New Roman" w:cs="Times New Roman" w:eastAsia="Times New Roman"/>
          <w:b w:val="0"/>
          <w:i w:val="0"/>
          <w:sz w:val="24"/>
          <w:u w:val="none"/>
        </w:rPr>
        <w:t>Respectfully submitted,</w:t>
      </w:r>
    </w:p>
    <w:p>
      <w:pPr>
        <w:keepNext w:val="0"/>
        <w:spacing w:before="0" w:after="0" w:line="240" w:lineRule="auto"/>
        <w:ind w:left="0"/>
        <w:jc w:val="left"/>
      </w:pPr>
    </w:p>
    <w:p>
      <w:pPr>
        <w:keepNext w:val="0"/>
        <w:spacing w:before="0" w:after="0" w:line="240" w:lineRule="auto"/>
        <w:ind w:left="0"/>
        <w:jc w:val="left"/>
      </w:pPr>
      <w:r>
        <w:rPr>
          <w:rFonts w:ascii="Times New Roman" w:hAnsi="Times New Roman" w:cs="Times New Roman" w:eastAsia="Times New Roman"/>
          <w:b w:val="0"/>
          <w:i/>
          <w:sz w:val="24"/>
          <w:u w:val="none"/>
        </w:rPr>
        <w:t>___________________________</w:t>
      </w:r>
    </w:p>
    <w:p>
      <w:pPr>
        <w:keepNext w:val="0"/>
        <w:spacing w:before="0" w:after="0" w:line="240" w:lineRule="auto"/>
        <w:ind w:left="0"/>
        <w:jc w:val="left"/>
      </w:pPr>
      <w:r>
        <w:rPr>
          <w:rFonts w:ascii="Times New Roman" w:hAnsi="Times New Roman" w:cs="Times New Roman" w:eastAsia="Times New Roman"/>
          <w:b w:val="0"/>
          <w:i w:val="0"/>
          <w:sz w:val="24"/>
          <w:u w:val="none"/>
        </w:rPr>
        <w:t>Jordan Vickers</w:t>
      </w:r>
    </w:p>
    <w:p>
      <w:pPr>
        <w:keepNext w:val="0"/>
        <w:spacing w:before="0" w:after="0" w:line="240" w:lineRule="auto"/>
        <w:ind w:left="0"/>
        <w:jc w:val="left"/>
      </w:pPr>
      <w:r>
        <w:rPr>
          <w:rFonts w:ascii="Times New Roman" w:hAnsi="Times New Roman" w:cs="Times New Roman" w:eastAsia="Times New Roman"/>
          <w:b w:val="0"/>
          <w:i w:val="0"/>
          <w:sz w:val="24"/>
          <w:u w:val="none"/>
        </w:rPr>
        <w:t>Associate, Fielding, Ashworth &amp; Cole LLP</w:t>
      </w:r>
    </w:p>
    <w:p>
      <w:pPr>
        <w:keepNext w:val="0"/>
        <w:spacing w:before="0" w:after="0" w:line="240" w:lineRule="auto"/>
        <w:ind w:left="0"/>
        <w:jc w:val="left"/>
      </w:pPr>
    </w:p>
    <w:p>
      <w:pPr>
        <w:keepNext w:val="0"/>
        <w:spacing w:before="0" w:after="120" w:line="240" w:lineRule="auto"/>
        <w:ind w:left="0"/>
        <w:jc w:val="both"/>
      </w:pPr>
      <w:r>
        <w:rPr>
          <w:rFonts w:ascii="Times New Roman" w:hAnsi="Times New Roman" w:cs="Times New Roman" w:eastAsia="Times New Roman"/>
          <w:b w:val="0"/>
          <w:i/>
          <w:sz w:val="20"/>
          <w:u w:val="none"/>
        </w:rPr>
        <w:t>This memorandum is a privileged and confidential attorney work product prepared for the internal use of Fielding, Ashworth &amp; Cole LLP and its client. It reflects the documents identified in Section 3 and no others. Where the record is silent, incomplete, or internally inconsistent, that fact is stated rather than assumed. Nothing in this memorandum constitutes a legal opinion or a title opinion, and no conclusion should be drawn from the absence of comment on any provision of the source documents not material to the Mortgage.</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Times New Roman" w:hAnsi="Times New Roman" w:cs="Times New Roman" w:eastAsia="Times New Roman"/>
        <w:b w:val="0"/>
        <w:i w:val="0"/>
        <w:sz w:val="17"/>
        <w:u w:val="none"/>
      </w:rPr>
      <w:t xml:space="preserve">Privileged &amp; Confidential — Attorney Work Product — Fielding, Ashworth &amp; Cole LLP — Page </w:t>
    </w:r>
    <w:r>
      <w:rPr>
        <w:rFonts w:ascii="Times New Roman" w:hAnsi="Times New Roman"/>
        <w:sz w:val="17"/>
      </w:rPr>
      <w:fldChar w:fldCharType="begin"/>
      <w:instrText xml:space="preserve">PAGE</w:instrText>
      <w:fldChar w:fldCharType="end"/>
    </w:r>
    <w:r>
      <w:rPr>
        <w:rFonts w:ascii="Times New Roman" w:hAnsi="Times New Roman" w:cs="Times New Roman" w:eastAsia="Times New Roman"/>
        <w:b w:val="0"/>
        <w:i w:val="0"/>
        <w:sz w:val="17"/>
        <w:u w:val="none"/>
      </w:rPr>
      <w:t xml:space="preserve"> of </w:t>
    </w:r>
    <w:r>
      <w:rPr>
        <w:rFonts w:ascii="Times New Roman" w:hAnsi="Times New Roman"/>
        <w:sz w:val="17"/>
      </w:rP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Drafting Issues Memorandum — CHB CRE Loan No. 2025-CHS-0047</dc:title>
  <dc:subject>Mortgage and Security Agreement — drafting issues, verification, and open items</dc:subject>
  <dc:creator>Fielding, Ashworth &amp; Cole LLP</dc:creator>
  <cp:keywords/>
  <dc:description>Prepared for Catherine Ashworth and the loan file.</dc:description>
  <cp:lastModifiedBy/>
  <cp:revision>1</cp:revision>
  <dcterms:created xsi:type="dcterms:W3CDTF">2013-12-23T23:15:00Z</dcterms:created>
  <dcterms:modified xsi:type="dcterms:W3CDTF">2013-12-23T23:15:00Z</dcterms:modified>
  <cp:category>Privileged and Confidential — Attorney Work Product</cp:category>
</cp:coreProperties>
</file>