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i w:val="0"/>
          <w:sz w:val="26"/>
        </w:rPr>
        <w:t>HARGROVE &amp; LINDEN LLP</w:t>
      </w:r>
    </w:p>
    <w:p>
      <w:pPr>
        <w:spacing w:after="40"/>
      </w:pPr>
      <w:r>
        <w:rPr>
          <w:rFonts w:ascii="Times New Roman" w:hAnsi="Times New Roman"/>
          <w:b w:val="0"/>
          <w:i/>
          <w:sz w:val="17"/>
        </w:rPr>
        <w:t>1100 Constitution Avenue, Hartford, Connecticut 06103</w:t>
      </w:r>
    </w:p>
    <w:p>
      <w:pPr>
        <w:spacing w:after="280"/>
        <w:pBdr>
          <w:top w:val="single" w:sz="12" w:space="4" w:color="000000"/>
          <w:bottom w:val="single" w:sz="12" w:space="4" w:color="000000"/>
        </w:pBdr>
      </w:pPr>
      <w:r>
        <w:rPr>
          <w:rFonts w:ascii="Times New Roman" w:hAnsi="Times New Roman"/>
          <w:b/>
          <w:i w:val="0"/>
          <w:sz w:val="16"/>
        </w:rPr>
        <w:t>PRIVILEGED AND CONFIDENTIAL  •  ATTORNEY–CLIENT COMMUNICATION  •  ATTORNEY WORK PRODUCT  •  PREPARED IN ANTICIPATION OF LITIGATION</w:t>
      </w:r>
    </w:p>
    <w:tbl>
      <w:tblPr>
        <w:tblW w:type="auto" w:w="0"/>
        <w:tblLayout w:type="fixed"/>
        <w:tblLook w:firstColumn="1" w:firstRow="1" w:lastColumn="0" w:lastRow="0" w:noHBand="0" w:noVBand="1" w:val="04A0"/>
        <w:tblLayout w:type="fixed"/>
        <w:tblW w:type="dxa" w:w="9360"/>
      </w:tblPr>
      <w:tblGrid>
        <w:gridCol w:w="1224"/>
        <w:gridCol w:w="8136"/>
      </w:tblGrid>
      <w:tr>
        <w:tc>
          <w:tcPr>
            <w:tcW w:type="dxa" w:w="1224"/>
          </w:tcPr>
          <w:p>
            <w:pPr>
              <w:spacing w:after="60"/>
            </w:pPr>
            <w:r/>
            <w:r>
              <w:rPr>
                <w:rFonts w:ascii="Times New Roman" w:hAnsi="Times New Roman"/>
                <w:b/>
                <w:i w:val="0"/>
                <w:sz w:val="19"/>
              </w:rPr>
              <w:t>TO:</w:t>
            </w:r>
          </w:p>
        </w:tc>
        <w:tc>
          <w:tcPr>
            <w:tcW w:type="dxa" w:w="8136"/>
          </w:tcPr>
          <w:p>
            <w:pPr>
              <w:spacing w:after="60"/>
            </w:pPr>
            <w:r/>
            <w:r>
              <w:rPr>
                <w:rFonts w:ascii="Times New Roman" w:hAnsi="Times New Roman"/>
                <w:b w:val="0"/>
                <w:i w:val="0"/>
                <w:sz w:val="19"/>
              </w:rPr>
              <w:t>Marcus Ellison, Managing Member — Meridian Gateway Holdings LLC</w:t>
            </w:r>
          </w:p>
        </w:tc>
      </w:tr>
      <w:tr>
        <w:tc>
          <w:tcPr>
            <w:tcW w:type="dxa" w:w="1224"/>
          </w:tcPr>
          <w:p>
            <w:pPr>
              <w:spacing w:after="60"/>
            </w:pPr>
            <w:r/>
            <w:r>
              <w:rPr>
                <w:rFonts w:ascii="Times New Roman" w:hAnsi="Times New Roman"/>
                <w:b/>
                <w:i w:val="0"/>
                <w:sz w:val="19"/>
              </w:rPr>
              <w:t>CC:</w:t>
            </w:r>
          </w:p>
        </w:tc>
        <w:tc>
          <w:tcPr>
            <w:tcW w:type="dxa" w:w="8136"/>
          </w:tcPr>
          <w:p>
            <w:pPr>
              <w:spacing w:after="60"/>
            </w:pPr>
            <w:r/>
            <w:r>
              <w:rPr>
                <w:rFonts w:ascii="Times New Roman" w:hAnsi="Times New Roman"/>
                <w:b w:val="0"/>
                <w:i w:val="0"/>
                <w:sz w:val="19"/>
              </w:rPr>
              <w:t>Ansel Coventry III, Managing Partner — Coventry Capital Partners LP</w:t>
            </w:r>
          </w:p>
        </w:tc>
      </w:tr>
      <w:tr>
        <w:tc>
          <w:tcPr>
            <w:tcW w:type="dxa" w:w="1224"/>
          </w:tcPr>
          <w:p>
            <w:pPr>
              <w:spacing w:after="60"/>
            </w:pPr>
            <w:r/>
            <w:r>
              <w:rPr>
                <w:rFonts w:ascii="Times New Roman" w:hAnsi="Times New Roman"/>
                <w:b/>
                <w:i w:val="0"/>
                <w:sz w:val="19"/>
              </w:rPr>
              <w:t>FROM:</w:t>
            </w:r>
          </w:p>
        </w:tc>
        <w:tc>
          <w:tcPr>
            <w:tcW w:type="dxa" w:w="8136"/>
          </w:tcPr>
          <w:p>
            <w:pPr>
              <w:spacing w:after="60"/>
            </w:pPr>
            <w:r/>
            <w:r>
              <w:rPr>
                <w:rFonts w:ascii="Times New Roman" w:hAnsi="Times New Roman"/>
                <w:b w:val="0"/>
                <w:i w:val="0"/>
                <w:sz w:val="19"/>
              </w:rPr>
              <w:t>Rebecca Tsang, Lead Partner  •  Jordan Abernathy, Associate Counsel</w:t>
            </w:r>
          </w:p>
        </w:tc>
      </w:tr>
      <w:tr>
        <w:tc>
          <w:tcPr>
            <w:tcW w:type="dxa" w:w="1224"/>
          </w:tcPr>
          <w:p>
            <w:pPr>
              <w:spacing w:after="60"/>
            </w:pPr>
            <w:r/>
            <w:r>
              <w:rPr>
                <w:rFonts w:ascii="Times New Roman" w:hAnsi="Times New Roman"/>
                <w:b/>
                <w:i w:val="0"/>
                <w:sz w:val="19"/>
              </w:rPr>
              <w:t>DATE:</w:t>
            </w:r>
          </w:p>
        </w:tc>
        <w:tc>
          <w:tcPr>
            <w:tcW w:type="dxa" w:w="8136"/>
          </w:tcPr>
          <w:p>
            <w:pPr>
              <w:spacing w:after="60"/>
            </w:pPr>
            <w:r/>
            <w:r>
              <w:rPr>
                <w:rFonts w:ascii="Times New Roman" w:hAnsi="Times New Roman"/>
                <w:b w:val="0"/>
                <w:i w:val="0"/>
                <w:sz w:val="19"/>
              </w:rPr>
              <w:t>June 20, 2025</w:t>
            </w:r>
          </w:p>
        </w:tc>
      </w:tr>
      <w:tr>
        <w:tc>
          <w:tcPr>
            <w:tcW w:type="dxa" w:w="1224"/>
          </w:tcPr>
          <w:p>
            <w:pPr>
              <w:spacing w:after="60"/>
            </w:pPr>
            <w:r/>
            <w:r>
              <w:rPr>
                <w:rFonts w:ascii="Times New Roman" w:hAnsi="Times New Roman"/>
                <w:b/>
                <w:i w:val="0"/>
                <w:sz w:val="19"/>
              </w:rPr>
              <w:t>RE:</w:t>
            </w:r>
          </w:p>
        </w:tc>
        <w:tc>
          <w:tcPr>
            <w:tcW w:type="dxa" w:w="8136"/>
          </w:tcPr>
          <w:p>
            <w:pPr>
              <w:spacing w:after="60"/>
            </w:pPr>
            <w:r/>
            <w:r>
              <w:rPr>
                <w:rFonts w:ascii="Times New Roman" w:hAnsi="Times New Roman"/>
                <w:b w:val="0"/>
                <w:i w:val="0"/>
                <w:sz w:val="19"/>
              </w:rPr>
              <w:t>Drafting Issues Memorandum — Long-Term Ground Lease, 10–30 Pier Street, Port Calloway, CT (APN 127-003-0045); Issues, Conflicts and Gaps Across the Term Sheet, Title Commitment, Phase II Environmental Site Assessment, Construction Loan Term Sheet and Survey</w:t>
            </w:r>
          </w:p>
        </w:tc>
      </w:tr>
    </w:tbl>
    <w:p>
      <w:pPr>
        <w:spacing w:after="120"/>
      </w:pPr>
    </w:p>
    <w:p>
      <w:pPr>
        <w:spacing w:after="120"/>
        <w:ind w:left="0"/>
        <w:jc w:val="both"/>
      </w:pPr>
      <w:r>
        <w:rPr>
          <w:rFonts w:ascii="Times New Roman" w:hAnsi="Times New Roman"/>
          <w:b w:val="0"/>
          <w:i w:val="0"/>
        </w:rPr>
        <w:t>We have prepared the attached first draft of the Ground Lease Agreement (the "</w:t>
      </w:r>
      <w:r>
        <w:rPr>
          <w:rFonts w:ascii="Times New Roman" w:hAnsi="Times New Roman"/>
          <w:b/>
          <w:i w:val="0"/>
        </w:rPr>
        <w:t>Draft Lease</w:t>
      </w:r>
      <w:r>
        <w:rPr>
          <w:rFonts w:ascii="Times New Roman" w:hAnsi="Times New Roman"/>
          <w:b w:val="0"/>
          <w:i w:val="0"/>
        </w:rPr>
        <w:t>") for delivery to Howard Koss at Pryor Whitfield &amp; Koss LLP. This memorandum accompanies that draft. It records every issue, conflict and gap we identified across the source documents, sets out our independent recomputation of every figure used in the Draft Lease, identifies the provisions of the Draft Lease that respond to each issue, and lists the open items that require your decision, a third party's action, or further legal research before we can deliver or finalize the draft.</w:t>
      </w:r>
    </w:p>
    <w:p>
      <w:pPr>
        <w:keepNext/>
        <w:spacing w:before="320" w:after="160"/>
        <w:pBdr>
          <w:bottom w:val="single" w:sz="6" w:space="2" w:color="000000"/>
        </w:pBdr>
      </w:pPr>
      <w:r>
        <w:rPr>
          <w:rFonts w:ascii="Times New Roman" w:hAnsi="Times New Roman"/>
          <w:b/>
          <w:i w:val="0"/>
          <w:sz w:val="24"/>
        </w:rPr>
        <w:t>1.  PURPOSE, SCOPE AND SOURCES REVIEWED</w:t>
      </w:r>
    </w:p>
    <w:p>
      <w:pPr>
        <w:spacing w:after="120"/>
        <w:ind w:left="0"/>
        <w:jc w:val="both"/>
      </w:pPr>
      <w:r>
        <w:rPr>
          <w:rFonts w:ascii="Times New Roman" w:hAnsi="Times New Roman"/>
          <w:b w:val="0"/>
          <w:i w:val="0"/>
        </w:rPr>
        <w:t xml:space="preserve">1.1  </w:t>
      </w:r>
      <w:r>
        <w:rPr>
          <w:rFonts w:ascii="Times New Roman" w:hAnsi="Times New Roman"/>
          <w:b/>
          <w:i w:val="0"/>
        </w:rPr>
        <w:t>Purpose.</w:t>
      </w:r>
      <w:r>
        <w:rPr>
          <w:rFonts w:ascii="Times New Roman" w:hAnsi="Times New Roman"/>
          <w:b w:val="0"/>
          <w:i w:val="0"/>
        </w:rPr>
        <w:t xml:space="preserve"> You asked for two things: a first draft of the ground lease, and a memorandum identifying "any issues, conflicts, or gaps" across the term sheet, the title commitment, the Phase II ESA and the Bayside loan term sheet. This memorandum is the second of those; the Draft Lease is the first. We have also responded to the specific instructions in your June 15 email (reverter and improvement forfeiture; percentage rent; tax abatement timing; remediation credit mechanics; security deposit step-down; affordable housing; milestones and force majeure; assignment/ROFR). Where your instructions required a change to the negotiated Term Sheet, the change is flagged in the Draft Lease and catalogued in Part 9 below, because each such change requires Landlord Board action under Resolution No. 2025-047, § 4(d).</w:t>
      </w:r>
    </w:p>
    <w:p>
      <w:pPr>
        <w:spacing w:after="120"/>
        <w:ind w:left="0"/>
        <w:jc w:val="both"/>
      </w:pPr>
      <w:r>
        <w:rPr>
          <w:rFonts w:ascii="Times New Roman" w:hAnsi="Times New Roman"/>
          <w:b w:val="0"/>
          <w:i w:val="0"/>
        </w:rPr>
        <w:t xml:space="preserve">1.2  </w:t>
      </w:r>
      <w:r>
        <w:rPr>
          <w:rFonts w:ascii="Times New Roman" w:hAnsi="Times New Roman"/>
          <w:b/>
          <w:i w:val="0"/>
        </w:rPr>
        <w:t>Sources reviewed.</w:t>
      </w:r>
      <w:r>
        <w:rPr>
          <w:rFonts w:ascii="Times New Roman" w:hAnsi="Times New Roman"/>
          <w:b w:val="0"/>
          <w:i w:val="0"/>
        </w:rPr>
        <w:t xml:space="preserve"> We reviewed each of the following in full. Appendix 1 is a source-to-issue log recording where each material proposition, figure, date and obligation appears.</w:t>
      </w:r>
    </w:p>
    <w:tbl>
      <w:tblPr>
        <w:tblStyle w:val="TableGrid"/>
        <w:tblW w:type="auto" w:w="0"/>
        <w:jc w:val="center"/>
        <w:tblLayout w:type="fixed"/>
        <w:tblLook w:firstColumn="1" w:firstRow="1" w:lastColumn="0" w:lastRow="0" w:noHBand="0" w:noVBand="1" w:val="04A0"/>
        <w:tblLayout w:type="fixed"/>
        <w:tblW w:type="dxa" w:w="9360"/>
        <w:tblCellMar>
          <w:top w:w="20" w:type="dxa"/>
          <w:left w:w="60" w:type="dxa"/>
          <w:bottom w:w="20" w:type="dxa"/>
          <w:right w:w="60" w:type="dxa"/>
        </w:tblCellMar>
      </w:tblPr>
      <w:tblGrid>
        <w:gridCol w:w="432"/>
        <w:gridCol w:w="2952"/>
        <w:gridCol w:w="2232"/>
        <w:gridCol w:w="3744"/>
      </w:tblGrid>
      <w:tr>
        <w:trPr>
          <w:tblHeader w:val="true"/>
        </w:trPr>
        <w:tc>
          <w:tcPr>
            <w:tcW w:type="dxa" w:w="432"/>
            <w:shd w:val="clear" w:color="auto" w:fill="D9D9D9"/>
          </w:tcPr>
          <w:p>
            <w:pPr>
              <w:spacing w:before="20" w:after="20" w:line="240" w:lineRule="auto"/>
            </w:pPr>
            <w:r/>
            <w:r>
              <w:rPr>
                <w:rFonts w:ascii="Times New Roman" w:hAnsi="Times New Roman"/>
                <w:b/>
                <w:i w:val="0"/>
                <w:sz w:val="16"/>
              </w:rPr>
              <w:t>#</w:t>
            </w:r>
          </w:p>
        </w:tc>
        <w:tc>
          <w:tcPr>
            <w:tcW w:type="dxa" w:w="2952"/>
            <w:shd w:val="clear" w:color="auto" w:fill="D9D9D9"/>
          </w:tcPr>
          <w:p>
            <w:pPr>
              <w:spacing w:before="20" w:after="20" w:line="240" w:lineRule="auto"/>
            </w:pPr>
            <w:r/>
            <w:r>
              <w:rPr>
                <w:rFonts w:ascii="Times New Roman" w:hAnsi="Times New Roman"/>
                <w:b/>
                <w:i w:val="0"/>
                <w:sz w:val="16"/>
              </w:rPr>
              <w:t>Document</w:t>
            </w:r>
          </w:p>
        </w:tc>
        <w:tc>
          <w:tcPr>
            <w:tcW w:type="dxa" w:w="2232"/>
            <w:shd w:val="clear" w:color="auto" w:fill="D9D9D9"/>
          </w:tcPr>
          <w:p>
            <w:pPr>
              <w:spacing w:before="20" w:after="20" w:line="240" w:lineRule="auto"/>
            </w:pPr>
            <w:r/>
            <w:r>
              <w:rPr>
                <w:rFonts w:ascii="Times New Roman" w:hAnsi="Times New Roman"/>
                <w:b/>
                <w:i w:val="0"/>
                <w:sz w:val="16"/>
              </w:rPr>
              <w:t>Date / Reference</w:t>
            </w:r>
          </w:p>
        </w:tc>
        <w:tc>
          <w:tcPr>
            <w:tcW w:type="dxa" w:w="3744"/>
            <w:shd w:val="clear" w:color="auto" w:fill="D9D9D9"/>
          </w:tcPr>
          <w:p>
            <w:pPr>
              <w:spacing w:before="20" w:after="20" w:line="240" w:lineRule="auto"/>
            </w:pPr>
            <w:r/>
            <w:r>
              <w:rPr>
                <w:rFonts w:ascii="Times New Roman" w:hAnsi="Times New Roman"/>
                <w:b/>
                <w:i w:val="0"/>
                <w:sz w:val="16"/>
              </w:rPr>
              <w:t>Used for</w:t>
            </w:r>
          </w:p>
        </w:tc>
      </w:tr>
      <w:tr>
        <w:tc>
          <w:tcPr>
            <w:tcW w:type="dxa" w:w="432"/>
          </w:tcPr>
          <w:p>
            <w:pPr>
              <w:spacing w:before="20" w:after="20" w:line="240" w:lineRule="auto"/>
            </w:pPr>
            <w:r/>
            <w:r>
              <w:rPr>
                <w:rFonts w:ascii="Times New Roman" w:hAnsi="Times New Roman"/>
                <w:b w:val="0"/>
                <w:i w:val="0"/>
                <w:sz w:val="16"/>
              </w:rPr>
              <w:t>1</w:t>
            </w:r>
          </w:p>
        </w:tc>
        <w:tc>
          <w:tcPr>
            <w:tcW w:type="dxa" w:w="2952"/>
          </w:tcPr>
          <w:p>
            <w:pPr>
              <w:spacing w:before="20" w:after="20" w:line="240" w:lineRule="auto"/>
            </w:pPr>
            <w:r/>
            <w:r>
              <w:rPr>
                <w:rFonts w:ascii="Times New Roman" w:hAnsi="Times New Roman"/>
                <w:b w:val="0"/>
                <w:i w:val="0"/>
                <w:sz w:val="16"/>
              </w:rPr>
              <w:t>Client instructions email (M. Ellison to R. Tsang)</w:t>
            </w:r>
          </w:p>
        </w:tc>
        <w:tc>
          <w:tcPr>
            <w:tcW w:type="dxa" w:w="2232"/>
          </w:tcPr>
          <w:p>
            <w:pPr>
              <w:spacing w:before="20" w:after="20" w:line="240" w:lineRule="auto"/>
            </w:pPr>
            <w:r/>
            <w:r>
              <w:rPr>
                <w:rFonts w:ascii="Times New Roman" w:hAnsi="Times New Roman"/>
                <w:b w:val="0"/>
                <w:i w:val="0"/>
                <w:sz w:val="16"/>
              </w:rPr>
              <w:t>June 15, 2025, 09:47</w:t>
            </w:r>
          </w:p>
        </w:tc>
        <w:tc>
          <w:tcPr>
            <w:tcW w:type="dxa" w:w="3744"/>
          </w:tcPr>
          <w:p>
            <w:pPr>
              <w:spacing w:before="20" w:after="20" w:line="240" w:lineRule="auto"/>
            </w:pPr>
            <w:r/>
            <w:r>
              <w:rPr>
                <w:rFonts w:ascii="Times New Roman" w:hAnsi="Times New Roman"/>
                <w:b w:val="0"/>
                <w:i w:val="0"/>
                <w:sz w:val="16"/>
              </w:rPr>
              <w:t>Client priorities, business parameters, negotiation instructions</w:t>
            </w:r>
          </w:p>
        </w:tc>
      </w:tr>
      <w:tr>
        <w:tc>
          <w:tcPr>
            <w:tcW w:type="dxa" w:w="432"/>
          </w:tcPr>
          <w:p>
            <w:pPr>
              <w:spacing w:before="20" w:after="20" w:line="240" w:lineRule="auto"/>
            </w:pPr>
            <w:r/>
            <w:r>
              <w:rPr>
                <w:rFonts w:ascii="Times New Roman" w:hAnsi="Times New Roman"/>
                <w:b w:val="0"/>
                <w:i w:val="0"/>
                <w:sz w:val="16"/>
              </w:rPr>
              <w:t>2</w:t>
            </w:r>
          </w:p>
        </w:tc>
        <w:tc>
          <w:tcPr>
            <w:tcW w:type="dxa" w:w="2952"/>
          </w:tcPr>
          <w:p>
            <w:pPr>
              <w:spacing w:before="20" w:after="20" w:line="240" w:lineRule="auto"/>
            </w:pPr>
            <w:r/>
            <w:r>
              <w:rPr>
                <w:rFonts w:ascii="Times New Roman" w:hAnsi="Times New Roman"/>
                <w:b w:val="0"/>
                <w:i w:val="0"/>
                <w:sz w:val="16"/>
              </w:rPr>
              <w:t>Executed binding term sheet (Term Sheet)</w:t>
            </w:r>
          </w:p>
        </w:tc>
        <w:tc>
          <w:tcPr>
            <w:tcW w:type="dxa" w:w="2232"/>
          </w:tcPr>
          <w:p>
            <w:pPr>
              <w:spacing w:before="20" w:after="20" w:line="240" w:lineRule="auto"/>
            </w:pPr>
            <w:r/>
            <w:r>
              <w:rPr>
                <w:rFonts w:ascii="Times New Roman" w:hAnsi="Times New Roman"/>
                <w:b w:val="0"/>
                <w:i w:val="0"/>
                <w:sz w:val="16"/>
              </w:rPr>
              <w:t>June 10, 2025</w:t>
            </w:r>
          </w:p>
        </w:tc>
        <w:tc>
          <w:tcPr>
            <w:tcW w:type="dxa" w:w="3744"/>
          </w:tcPr>
          <w:p>
            <w:pPr>
              <w:spacing w:before="20" w:after="20" w:line="240" w:lineRule="auto"/>
            </w:pPr>
            <w:r/>
            <w:r>
              <w:rPr>
                <w:rFonts w:ascii="Times New Roman" w:hAnsi="Times New Roman"/>
                <w:b w:val="0"/>
                <w:i w:val="0"/>
                <w:sz w:val="16"/>
              </w:rPr>
              <w:t>Deal terms; the baseline against which the Draft Lease is measured</w:t>
            </w:r>
          </w:p>
        </w:tc>
      </w:tr>
      <w:tr>
        <w:tc>
          <w:tcPr>
            <w:tcW w:type="dxa" w:w="432"/>
          </w:tcPr>
          <w:p>
            <w:pPr>
              <w:spacing w:before="20" w:after="20" w:line="240" w:lineRule="auto"/>
            </w:pPr>
            <w:r/>
            <w:r>
              <w:rPr>
                <w:rFonts w:ascii="Times New Roman" w:hAnsi="Times New Roman"/>
                <w:b w:val="0"/>
                <w:i w:val="0"/>
                <w:sz w:val="16"/>
              </w:rPr>
              <w:t>3</w:t>
            </w:r>
          </w:p>
        </w:tc>
        <w:tc>
          <w:tcPr>
            <w:tcW w:type="dxa" w:w="2952"/>
          </w:tcPr>
          <w:p>
            <w:pPr>
              <w:spacing w:before="20" w:after="20" w:line="240" w:lineRule="auto"/>
            </w:pPr>
            <w:r/>
            <w:r>
              <w:rPr>
                <w:rFonts w:ascii="Times New Roman" w:hAnsi="Times New Roman"/>
                <w:b w:val="0"/>
                <w:i w:val="0"/>
                <w:sz w:val="16"/>
              </w:rPr>
              <w:t>Construction loan term sheet (Bayside)</w:t>
            </w:r>
          </w:p>
        </w:tc>
        <w:tc>
          <w:tcPr>
            <w:tcW w:type="dxa" w:w="2232"/>
          </w:tcPr>
          <w:p>
            <w:pPr>
              <w:spacing w:before="20" w:after="20" w:line="240" w:lineRule="auto"/>
            </w:pPr>
            <w:r/>
            <w:r>
              <w:rPr>
                <w:rFonts w:ascii="Times New Roman" w:hAnsi="Times New Roman"/>
                <w:b w:val="0"/>
                <w:i w:val="0"/>
                <w:sz w:val="16"/>
              </w:rPr>
              <w:t>May 28, 2025</w:t>
            </w:r>
          </w:p>
        </w:tc>
        <w:tc>
          <w:tcPr>
            <w:tcW w:type="dxa" w:w="3744"/>
          </w:tcPr>
          <w:p>
            <w:pPr>
              <w:spacing w:before="20" w:after="20" w:line="240" w:lineRule="auto"/>
            </w:pPr>
            <w:r/>
            <w:r>
              <w:rPr>
                <w:rFonts w:ascii="Times New Roman" w:hAnsi="Times New Roman"/>
                <w:b w:val="0"/>
                <w:i w:val="0"/>
                <w:sz w:val="16"/>
              </w:rPr>
              <w:t>Required ground lease provisions (§ 5.1–5.7); closing conditions (§ 6)</w:t>
            </w:r>
          </w:p>
        </w:tc>
      </w:tr>
      <w:tr>
        <w:tc>
          <w:tcPr>
            <w:tcW w:type="dxa" w:w="432"/>
          </w:tcPr>
          <w:p>
            <w:pPr>
              <w:spacing w:before="20" w:after="20" w:line="240" w:lineRule="auto"/>
            </w:pPr>
            <w:r/>
            <w:r>
              <w:rPr>
                <w:rFonts w:ascii="Times New Roman" w:hAnsi="Times New Roman"/>
                <w:b w:val="0"/>
                <w:i w:val="0"/>
                <w:sz w:val="16"/>
              </w:rPr>
              <w:t>4</w:t>
            </w:r>
          </w:p>
        </w:tc>
        <w:tc>
          <w:tcPr>
            <w:tcW w:type="dxa" w:w="2952"/>
          </w:tcPr>
          <w:p>
            <w:pPr>
              <w:spacing w:before="20" w:after="20" w:line="240" w:lineRule="auto"/>
            </w:pPr>
            <w:r/>
            <w:r>
              <w:rPr>
                <w:rFonts w:ascii="Times New Roman" w:hAnsi="Times New Roman"/>
                <w:b w:val="0"/>
                <w:i w:val="0"/>
                <w:sz w:val="16"/>
              </w:rPr>
              <w:t>Title commitment TC-2025-07821 (Ridgepoint)</w:t>
            </w:r>
          </w:p>
        </w:tc>
        <w:tc>
          <w:tcPr>
            <w:tcW w:type="dxa" w:w="2232"/>
          </w:tcPr>
          <w:p>
            <w:pPr>
              <w:spacing w:before="20" w:after="20" w:line="240" w:lineRule="auto"/>
            </w:pPr>
            <w:r/>
            <w:r>
              <w:rPr>
                <w:rFonts w:ascii="Times New Roman" w:hAnsi="Times New Roman"/>
                <w:b w:val="0"/>
                <w:i w:val="0"/>
                <w:sz w:val="16"/>
              </w:rPr>
              <w:t>Effective June 1, 2025</w:t>
            </w:r>
          </w:p>
        </w:tc>
        <w:tc>
          <w:tcPr>
            <w:tcW w:type="dxa" w:w="3744"/>
          </w:tcPr>
          <w:p>
            <w:pPr>
              <w:spacing w:before="20" w:after="20" w:line="240" w:lineRule="auto"/>
            </w:pPr>
            <w:r/>
            <w:r>
              <w:rPr>
                <w:rFonts w:ascii="Times New Roman" w:hAnsi="Times New Roman"/>
                <w:b w:val="0"/>
                <w:i w:val="0"/>
                <w:sz w:val="16"/>
              </w:rPr>
              <w:t>Title, Schedule B-I requirements, Schedule B-II exceptions, recorded instruments</w:t>
            </w:r>
          </w:p>
        </w:tc>
      </w:tr>
      <w:tr>
        <w:tc>
          <w:tcPr>
            <w:tcW w:type="dxa" w:w="432"/>
          </w:tcPr>
          <w:p>
            <w:pPr>
              <w:spacing w:before="20" w:after="20" w:line="240" w:lineRule="auto"/>
            </w:pPr>
            <w:r/>
            <w:r>
              <w:rPr>
                <w:rFonts w:ascii="Times New Roman" w:hAnsi="Times New Roman"/>
                <w:b w:val="0"/>
                <w:i w:val="0"/>
                <w:sz w:val="16"/>
              </w:rPr>
              <w:t>5</w:t>
            </w:r>
          </w:p>
        </w:tc>
        <w:tc>
          <w:tcPr>
            <w:tcW w:type="dxa" w:w="2952"/>
          </w:tcPr>
          <w:p>
            <w:pPr>
              <w:spacing w:before="20" w:after="20" w:line="240" w:lineRule="auto"/>
            </w:pPr>
            <w:r/>
            <w:r>
              <w:rPr>
                <w:rFonts w:ascii="Times New Roman" w:hAnsi="Times New Roman"/>
                <w:b w:val="0"/>
                <w:i w:val="0"/>
                <w:sz w:val="16"/>
              </w:rPr>
              <w:t>Phase II ESA executive summary (Halcyon HEC-2025-0412)</w:t>
            </w:r>
          </w:p>
        </w:tc>
        <w:tc>
          <w:tcPr>
            <w:tcW w:type="dxa" w:w="2232"/>
          </w:tcPr>
          <w:p>
            <w:pPr>
              <w:spacing w:before="20" w:after="20" w:line="240" w:lineRule="auto"/>
            </w:pPr>
            <w:r/>
            <w:r>
              <w:rPr>
                <w:rFonts w:ascii="Times New Roman" w:hAnsi="Times New Roman"/>
                <w:b w:val="0"/>
                <w:i w:val="0"/>
                <w:sz w:val="16"/>
              </w:rPr>
              <w:t>May 2, 2025</w:t>
            </w:r>
          </w:p>
        </w:tc>
        <w:tc>
          <w:tcPr>
            <w:tcW w:type="dxa" w:w="3744"/>
          </w:tcPr>
          <w:p>
            <w:pPr>
              <w:spacing w:before="20" w:after="20" w:line="240" w:lineRule="auto"/>
            </w:pPr>
            <w:r/>
            <w:r>
              <w:rPr>
                <w:rFonts w:ascii="Times New Roman" w:hAnsi="Times New Roman"/>
                <w:b w:val="0"/>
                <w:i w:val="0"/>
                <w:sz w:val="16"/>
              </w:rPr>
              <w:t>Environmental conditions, ELUR interpretation, remediation scope and cost</w:t>
            </w:r>
          </w:p>
        </w:tc>
      </w:tr>
      <w:tr>
        <w:tc>
          <w:tcPr>
            <w:tcW w:type="dxa" w:w="432"/>
          </w:tcPr>
          <w:p>
            <w:pPr>
              <w:spacing w:before="20" w:after="20" w:line="240" w:lineRule="auto"/>
            </w:pPr>
            <w:r/>
            <w:r>
              <w:rPr>
                <w:rFonts w:ascii="Times New Roman" w:hAnsi="Times New Roman"/>
                <w:b w:val="0"/>
                <w:i w:val="0"/>
                <w:sz w:val="16"/>
              </w:rPr>
              <w:t>6</w:t>
            </w:r>
          </w:p>
        </w:tc>
        <w:tc>
          <w:tcPr>
            <w:tcW w:type="dxa" w:w="2952"/>
          </w:tcPr>
          <w:p>
            <w:pPr>
              <w:spacing w:before="20" w:after="20" w:line="240" w:lineRule="auto"/>
            </w:pPr>
            <w:r/>
            <w:r>
              <w:rPr>
                <w:rFonts w:ascii="Times New Roman" w:hAnsi="Times New Roman"/>
                <w:b w:val="0"/>
                <w:i w:val="0"/>
                <w:sz w:val="16"/>
              </w:rPr>
              <w:t>ALTA/NSPS survey narrative and legal description (CLS-2025-0417)</w:t>
            </w:r>
          </w:p>
        </w:tc>
        <w:tc>
          <w:tcPr>
            <w:tcW w:type="dxa" w:w="2232"/>
          </w:tcPr>
          <w:p>
            <w:pPr>
              <w:spacing w:before="20" w:after="20" w:line="240" w:lineRule="auto"/>
            </w:pPr>
            <w:r/>
            <w:r>
              <w:rPr>
                <w:rFonts w:ascii="Times New Roman" w:hAnsi="Times New Roman"/>
                <w:b w:val="0"/>
                <w:i w:val="0"/>
                <w:sz w:val="16"/>
              </w:rPr>
              <w:t>Field April 20, 2025; plat April 28, 2025</w:t>
            </w:r>
          </w:p>
        </w:tc>
        <w:tc>
          <w:tcPr>
            <w:tcW w:type="dxa" w:w="3744"/>
          </w:tcPr>
          <w:p>
            <w:pPr>
              <w:spacing w:before="20" w:after="20" w:line="240" w:lineRule="auto"/>
            </w:pPr>
            <w:r/>
            <w:r>
              <w:rPr>
                <w:rFonts w:ascii="Times New Roman" w:hAnsi="Times New Roman"/>
                <w:b w:val="0"/>
                <w:i w:val="0"/>
                <w:sz w:val="16"/>
              </w:rPr>
              <w:t>Premises description, easements, topography, legal description</w:t>
            </w:r>
          </w:p>
        </w:tc>
      </w:tr>
      <w:tr>
        <w:tc>
          <w:tcPr>
            <w:tcW w:type="dxa" w:w="432"/>
          </w:tcPr>
          <w:p>
            <w:pPr>
              <w:spacing w:before="20" w:after="20" w:line="240" w:lineRule="auto"/>
            </w:pPr>
            <w:r/>
            <w:r>
              <w:rPr>
                <w:rFonts w:ascii="Times New Roman" w:hAnsi="Times New Roman"/>
                <w:b w:val="0"/>
                <w:i w:val="0"/>
                <w:sz w:val="16"/>
              </w:rPr>
              <w:t>7</w:t>
            </w:r>
          </w:p>
        </w:tc>
        <w:tc>
          <w:tcPr>
            <w:tcW w:type="dxa" w:w="2952"/>
          </w:tcPr>
          <w:p>
            <w:pPr>
              <w:spacing w:before="20" w:after="20" w:line="240" w:lineRule="auto"/>
            </w:pPr>
            <w:r/>
            <w:r>
              <w:rPr>
                <w:rFonts w:ascii="Times New Roman" w:hAnsi="Times New Roman"/>
                <w:b w:val="0"/>
                <w:i w:val="0"/>
                <w:sz w:val="16"/>
              </w:rPr>
              <w:t>Board Resolution No. 2025-047</w:t>
            </w:r>
          </w:p>
        </w:tc>
        <w:tc>
          <w:tcPr>
            <w:tcW w:type="dxa" w:w="2232"/>
          </w:tcPr>
          <w:p>
            <w:pPr>
              <w:spacing w:before="20" w:after="20" w:line="240" w:lineRule="auto"/>
            </w:pPr>
            <w:r/>
            <w:r>
              <w:rPr>
                <w:rFonts w:ascii="Times New Roman" w:hAnsi="Times New Roman"/>
                <w:b w:val="0"/>
                <w:i w:val="0"/>
                <w:sz w:val="16"/>
              </w:rPr>
              <w:t>Adopted June 5, 2025</w:t>
            </w:r>
          </w:p>
        </w:tc>
        <w:tc>
          <w:tcPr>
            <w:tcW w:type="dxa" w:w="3744"/>
          </w:tcPr>
          <w:p>
            <w:pPr>
              <w:spacing w:before="20" w:after="20" w:line="240" w:lineRule="auto"/>
            </w:pPr>
            <w:r/>
            <w:r>
              <w:rPr>
                <w:rFonts w:ascii="Times New Roman" w:hAnsi="Times New Roman"/>
                <w:b w:val="0"/>
                <w:i w:val="0"/>
                <w:sz w:val="16"/>
              </w:rPr>
              <w:t>Landlord's authority; limits on delegated authority</w:t>
            </w:r>
          </w:p>
        </w:tc>
      </w:tr>
    </w:tbl>
    <w:p>
      <w:pPr>
        <w:spacing w:after="40" w:before="0"/>
      </w:pPr>
    </w:p>
    <w:p>
      <w:pPr>
        <w:spacing w:after="120"/>
        <w:ind w:left="0"/>
        <w:jc w:val="both"/>
      </w:pPr>
      <w:r>
        <w:rPr>
          <w:rFonts w:ascii="Times New Roman" w:hAnsi="Times New Roman"/>
          <w:b w:val="0"/>
          <w:i w:val="0"/>
        </w:rPr>
        <w:t xml:space="preserve">1.3  </w:t>
      </w:r>
      <w:r>
        <w:rPr>
          <w:rFonts w:ascii="Times New Roman" w:hAnsi="Times New Roman"/>
          <w:b/>
          <w:i w:val="0"/>
        </w:rPr>
        <w:t>What we did not have.</w:t>
      </w:r>
      <w:r>
        <w:rPr>
          <w:rFonts w:ascii="Times New Roman" w:hAnsi="Times New Roman"/>
          <w:b w:val="0"/>
          <w:i w:val="0"/>
        </w:rPr>
        <w:t xml:space="preserve"> We did not have, and the Draft Lease assumes the existence of, the following. Their absence is itself a finding, and they are itemized in Part D: the Phase I ESA (only referenced); the full Phase II report and appendices (A–J, including boring logs, laboratory data and the ELUR text); the ELUR instrument itself; the 2019 Declaration of Right of First Refusal; the 2019 Declaration of Restrictive Covenants; the survey plat (Sheets 1 and 2) and the survey referenced in the title commitment (CLS-2025-0321); the Bayside loan documents and commitment letter; the Coventry preferred equity documentation; any zoning or site-plan determination; and any DEEP correspondence regarding the ELUR or the pending LUST file.</w:t>
      </w:r>
    </w:p>
    <w:p>
      <w:pPr>
        <w:spacing w:after="120"/>
        <w:ind w:left="0"/>
        <w:jc w:val="both"/>
      </w:pPr>
      <w:r>
        <w:rPr>
          <w:rFonts w:ascii="Times New Roman" w:hAnsi="Times New Roman"/>
          <w:b w:val="0"/>
          <w:i w:val="0"/>
        </w:rPr>
        <w:t xml:space="preserve">1.4  </w:t>
      </w:r>
      <w:r>
        <w:rPr>
          <w:rFonts w:ascii="Times New Roman" w:hAnsi="Times New Roman"/>
          <w:b/>
          <w:i w:val="0"/>
        </w:rPr>
        <w:t>Method and conventions.</w:t>
      </w:r>
      <w:r>
        <w:rPr>
          <w:rFonts w:ascii="Times New Roman" w:hAnsi="Times New Roman"/>
          <w:b w:val="0"/>
          <w:i w:val="0"/>
        </w:rPr>
        <w:t xml:space="preserve"> We extracted every figure, date, period, threshold and cross-reference from the record and recomputed each one independently (Part 2 and Appendix 3). We recomputed the two competing legal descriptions by traverse and shoelace computation (Part 3.1). We read the Draft Lease against the Bayside requirements line by line (Part 4.2). We have separated: (a) facts extracted from the record; (b) our computations; (c) legal characterizations; (d) open questions; and (e) recommendations. Where we characterize law, we say so and we identify whether it has been verified. </w:t>
      </w:r>
      <w:r>
        <w:rPr>
          <w:rFonts w:ascii="Times New Roman" w:hAnsi="Times New Roman"/>
          <w:b/>
          <w:i w:val="0"/>
        </w:rPr>
        <w:t>Nothing in this memorandum is a substitute for the independent legal research identified in Part 7, which we have not completed.</w:t>
      </w:r>
    </w:p>
    <w:p>
      <w:pPr>
        <w:keepNext/>
        <w:spacing w:before="320" w:after="160"/>
        <w:pBdr>
          <w:bottom w:val="single" w:sz="6" w:space="2" w:color="000000"/>
        </w:pBdr>
      </w:pPr>
      <w:r>
        <w:rPr>
          <w:rFonts w:ascii="Times New Roman" w:hAnsi="Times New Roman"/>
          <w:b/>
          <w:i w:val="0"/>
          <w:sz w:val="24"/>
        </w:rPr>
        <w:t>2.  EXECUTIVE SUMMARY AND TOP-RISK REGISTER</w:t>
      </w:r>
    </w:p>
    <w:p>
      <w:pPr>
        <w:spacing w:after="120"/>
        <w:ind w:left="0"/>
        <w:jc w:val="both"/>
      </w:pPr>
      <w:r>
        <w:rPr>
          <w:rFonts w:ascii="Times New Roman" w:hAnsi="Times New Roman"/>
          <w:b w:val="0"/>
          <w:i w:val="0"/>
        </w:rPr>
        <w:t xml:space="preserve">2.1  </w:t>
      </w:r>
      <w:r>
        <w:rPr>
          <w:rFonts w:ascii="Times New Roman" w:hAnsi="Times New Roman"/>
          <w:b/>
          <w:i w:val="0"/>
        </w:rPr>
        <w:t>Bottom line.</w:t>
      </w:r>
      <w:r>
        <w:rPr>
          <w:rFonts w:ascii="Times New Roman" w:hAnsi="Times New Roman"/>
          <w:b w:val="0"/>
          <w:i w:val="0"/>
        </w:rPr>
        <w:t xml:space="preserve"> The transaction is financeable in its current structure only if five things are fixed before the Draft Lease is negotiated: (i) the reverter/forfeiture provision; (ii) the lender protection package, which as drafted in the Term Sheet does not satisfy Bayside's § 5 conditions; (iii) the legal description, which as stated in the title commitment describes a parcel approximately twice the size of the Premises; (iv) the mechanics' lien, which the title company will not insure over and which the Term Sheet wrongly treats as a Permitted Exception; and (v) the recorded right of first refusal, which by its recorded terms contains no carve-out for leasehold mortgagee enforcement. Items (iii), (iv) and (v) are gating: without them, no leasehold title policy issues and the Bayside loan cannot close, whatever the business terms say.</w:t>
      </w:r>
    </w:p>
    <w:p>
      <w:pPr>
        <w:spacing w:after="120"/>
        <w:ind w:left="0"/>
        <w:jc w:val="both"/>
      </w:pPr>
      <w:r>
        <w:rPr>
          <w:rFonts w:ascii="Times New Roman" w:hAnsi="Times New Roman"/>
          <w:b w:val="0"/>
          <w:i w:val="0"/>
        </w:rPr>
        <w:t xml:space="preserve">2.2  </w:t>
      </w:r>
      <w:r>
        <w:rPr>
          <w:rFonts w:ascii="Times New Roman" w:hAnsi="Times New Roman"/>
          <w:b/>
          <w:i w:val="0"/>
        </w:rPr>
        <w:t>Top-risk register.</w:t>
      </w:r>
      <w:r>
        <w:rPr>
          <w:rFonts w:ascii="Times New Roman" w:hAnsi="Times New Roman"/>
          <w:b w:val="0"/>
          <w:i w:val="0"/>
        </w:rPr>
        <w:t xml:space="preserve"> The table below is risk-prioritized. Severity reflects the risk to Meridian (economic exposure, closing risk, or financing risk), not the difficulty of the fix.</w:t>
      </w:r>
    </w:p>
    <w:tbl>
      <w:tblPr>
        <w:tblStyle w:val="TableGrid"/>
        <w:tblW w:type="auto" w:w="0"/>
        <w:jc w:val="center"/>
        <w:tblLayout w:type="fixed"/>
        <w:tblLook w:firstColumn="1" w:firstRow="1" w:lastColumn="0" w:lastRow="0" w:noHBand="0" w:noVBand="1" w:val="04A0"/>
        <w:tblLayout w:type="fixed"/>
        <w:tblW w:type="dxa" w:w="9345"/>
        <w:tblCellMar>
          <w:top w:w="20" w:type="dxa"/>
          <w:left w:w="60" w:type="dxa"/>
          <w:bottom w:w="20" w:type="dxa"/>
          <w:right w:w="60" w:type="dxa"/>
        </w:tblCellMar>
      </w:tblPr>
      <w:tblGrid>
        <w:gridCol w:w="490"/>
        <w:gridCol w:w="2477"/>
        <w:gridCol w:w="3744"/>
        <w:gridCol w:w="792"/>
        <w:gridCol w:w="1843"/>
      </w:tblGrid>
      <w:tr>
        <w:trPr>
          <w:tblHeader w:val="true"/>
        </w:trPr>
        <w:tc>
          <w:tcPr>
            <w:tcW w:type="dxa" w:w="490"/>
            <w:shd w:val="clear" w:color="auto" w:fill="D9D9D9"/>
          </w:tcPr>
          <w:p>
            <w:pPr>
              <w:spacing w:before="20" w:after="20" w:line="240" w:lineRule="auto"/>
            </w:pPr>
            <w:r/>
            <w:r>
              <w:rPr>
                <w:rFonts w:ascii="Times New Roman" w:hAnsi="Times New Roman"/>
                <w:b/>
                <w:i w:val="0"/>
                <w:sz w:val="15"/>
              </w:rPr>
              <w:t>#</w:t>
            </w:r>
          </w:p>
        </w:tc>
        <w:tc>
          <w:tcPr>
            <w:tcW w:type="dxa" w:w="2477"/>
            <w:shd w:val="clear" w:color="auto" w:fill="D9D9D9"/>
          </w:tcPr>
          <w:p>
            <w:pPr>
              <w:spacing w:before="20" w:after="20" w:line="240" w:lineRule="auto"/>
            </w:pPr>
            <w:r/>
            <w:r>
              <w:rPr>
                <w:rFonts w:ascii="Times New Roman" w:hAnsi="Times New Roman"/>
                <w:b/>
                <w:i w:val="0"/>
                <w:sz w:val="15"/>
              </w:rPr>
              <w:t>Risk</w:t>
            </w:r>
          </w:p>
        </w:tc>
        <w:tc>
          <w:tcPr>
            <w:tcW w:type="dxa" w:w="3744"/>
            <w:shd w:val="clear" w:color="auto" w:fill="D9D9D9"/>
          </w:tcPr>
          <w:p>
            <w:pPr>
              <w:spacing w:before="20" w:after="20" w:line="240" w:lineRule="auto"/>
            </w:pPr>
            <w:r/>
            <w:r>
              <w:rPr>
                <w:rFonts w:ascii="Times New Roman" w:hAnsi="Times New Roman"/>
                <w:b/>
                <w:i w:val="0"/>
                <w:sz w:val="15"/>
              </w:rPr>
              <w:t>Why it matters</w:t>
            </w:r>
          </w:p>
        </w:tc>
        <w:tc>
          <w:tcPr>
            <w:tcW w:type="dxa" w:w="792"/>
            <w:shd w:val="clear" w:color="auto" w:fill="D9D9D9"/>
          </w:tcPr>
          <w:p>
            <w:pPr>
              <w:spacing w:before="20" w:after="20" w:line="240" w:lineRule="auto"/>
            </w:pPr>
            <w:r/>
            <w:r>
              <w:rPr>
                <w:rFonts w:ascii="Times New Roman" w:hAnsi="Times New Roman"/>
                <w:b/>
                <w:i w:val="0"/>
                <w:sz w:val="15"/>
              </w:rPr>
              <w:t>Sev.</w:t>
            </w:r>
          </w:p>
        </w:tc>
        <w:tc>
          <w:tcPr>
            <w:tcW w:type="dxa" w:w="1843"/>
            <w:shd w:val="clear" w:color="auto" w:fill="D9D9D9"/>
          </w:tcPr>
          <w:p>
            <w:pPr>
              <w:spacing w:before="20" w:after="20" w:line="240" w:lineRule="auto"/>
            </w:pPr>
            <w:r/>
            <w:r>
              <w:rPr>
                <w:rFonts w:ascii="Times New Roman" w:hAnsi="Times New Roman"/>
                <w:b/>
                <w:i w:val="0"/>
                <w:sz w:val="15"/>
              </w:rPr>
              <w:t>Draft Lease §</w:t>
            </w:r>
          </w:p>
        </w:tc>
      </w:tr>
      <w:tr>
        <w:tc>
          <w:tcPr>
            <w:tcW w:type="dxa" w:w="490"/>
          </w:tcPr>
          <w:p>
            <w:pPr>
              <w:spacing w:before="20" w:after="20" w:line="240" w:lineRule="auto"/>
            </w:pPr>
            <w:r/>
            <w:r>
              <w:rPr>
                <w:rFonts w:ascii="Times New Roman" w:hAnsi="Times New Roman"/>
                <w:b w:val="0"/>
                <w:i w:val="0"/>
                <w:sz w:val="15"/>
              </w:rPr>
              <w:t>1</w:t>
            </w:r>
          </w:p>
        </w:tc>
        <w:tc>
          <w:tcPr>
            <w:tcW w:type="dxa" w:w="2477"/>
          </w:tcPr>
          <w:p>
            <w:pPr>
              <w:spacing w:before="20" w:after="20" w:line="240" w:lineRule="auto"/>
            </w:pPr>
            <w:r/>
            <w:r>
              <w:rPr>
                <w:rFonts w:ascii="Times New Roman" w:hAnsi="Times New Roman"/>
                <w:b w:val="0"/>
                <w:i w:val="0"/>
                <w:sz w:val="15"/>
              </w:rPr>
              <w:t>Reverter/forfeiture: on a missed milestone the Authority takes $200–300M of improvements and keeps the $5.7M deposit, with no compensation</w:t>
            </w:r>
          </w:p>
        </w:tc>
        <w:tc>
          <w:tcPr>
            <w:tcW w:type="dxa" w:w="3744"/>
          </w:tcPr>
          <w:p>
            <w:pPr>
              <w:spacing w:before="20" w:after="20" w:line="240" w:lineRule="auto"/>
            </w:pPr>
            <w:r/>
            <w:r>
              <w:rPr>
                <w:rFonts w:ascii="Times New Roman" w:hAnsi="Times New Roman"/>
                <w:b w:val="0"/>
                <w:i w:val="0"/>
                <w:sz w:val="15"/>
              </w:rPr>
              <w:t>Exposure of $205.7M–$305.7M. Bayside will not lend against it. Likely unenforceable as a penalty, but that is not a financing strategy</w:t>
            </w:r>
          </w:p>
        </w:tc>
        <w:tc>
          <w:tcPr>
            <w:tcW w:type="dxa" w:w="792"/>
          </w:tcPr>
          <w:p>
            <w:pPr>
              <w:spacing w:before="20" w:after="20" w:line="240" w:lineRule="auto"/>
            </w:pPr>
            <w:r/>
            <w:r>
              <w:rPr>
                <w:rFonts w:ascii="Times New Roman" w:hAnsi="Times New Roman"/>
                <w:b w:val="0"/>
                <w:i w:val="0"/>
                <w:sz w:val="15"/>
              </w:rPr>
              <w:t>Critical</w:t>
            </w:r>
          </w:p>
        </w:tc>
        <w:tc>
          <w:tcPr>
            <w:tcW w:type="dxa" w:w="1843"/>
          </w:tcPr>
          <w:p>
            <w:pPr>
              <w:spacing w:before="20" w:after="20" w:line="240" w:lineRule="auto"/>
            </w:pPr>
            <w:r/>
            <w:r>
              <w:rPr>
                <w:rFonts w:ascii="Times New Roman" w:hAnsi="Times New Roman"/>
                <w:b w:val="0"/>
                <w:i w:val="0"/>
                <w:sz w:val="15"/>
              </w:rPr>
              <w:t>§§ 10.5, 10.6, 10.7, 10.9; Art. 9</w:t>
            </w:r>
          </w:p>
        </w:tc>
      </w:tr>
      <w:tr>
        <w:tc>
          <w:tcPr>
            <w:tcW w:type="dxa" w:w="490"/>
          </w:tcPr>
          <w:p>
            <w:pPr>
              <w:spacing w:before="20" w:after="20" w:line="240" w:lineRule="auto"/>
            </w:pPr>
            <w:r/>
            <w:r>
              <w:rPr>
                <w:rFonts w:ascii="Times New Roman" w:hAnsi="Times New Roman"/>
                <w:b w:val="0"/>
                <w:i w:val="0"/>
                <w:sz w:val="15"/>
              </w:rPr>
              <w:t>2</w:t>
            </w:r>
          </w:p>
        </w:tc>
        <w:tc>
          <w:tcPr>
            <w:tcW w:type="dxa" w:w="2477"/>
          </w:tcPr>
          <w:p>
            <w:pPr>
              <w:spacing w:before="20" w:after="20" w:line="240" w:lineRule="auto"/>
            </w:pPr>
            <w:r/>
            <w:r>
              <w:rPr>
                <w:rFonts w:ascii="Times New Roman" w:hAnsi="Times New Roman"/>
                <w:b w:val="0"/>
                <w:i w:val="0"/>
                <w:sz w:val="15"/>
              </w:rPr>
              <w:t>Term Sheet lender protections do not meet Bayside § 5.1–5.7</w:t>
            </w:r>
          </w:p>
        </w:tc>
        <w:tc>
          <w:tcPr>
            <w:tcW w:type="dxa" w:w="3744"/>
          </w:tcPr>
          <w:p>
            <w:pPr>
              <w:spacing w:before="20" w:after="20" w:line="240" w:lineRule="auto"/>
            </w:pPr>
            <w:r/>
            <w:r>
              <w:rPr>
                <w:rFonts w:ascii="Times New Roman" w:hAnsi="Times New Roman"/>
                <w:b w:val="0"/>
                <w:i w:val="0"/>
                <w:sz w:val="15"/>
              </w:rPr>
              <w:t>Five of seven requirements are not addressed; none is fully satisfied. Each is a condition precedent to loan closing</w:t>
            </w:r>
          </w:p>
        </w:tc>
        <w:tc>
          <w:tcPr>
            <w:tcW w:type="dxa" w:w="792"/>
          </w:tcPr>
          <w:p>
            <w:pPr>
              <w:spacing w:before="20" w:after="20" w:line="240" w:lineRule="auto"/>
            </w:pPr>
            <w:r/>
            <w:r>
              <w:rPr>
                <w:rFonts w:ascii="Times New Roman" w:hAnsi="Times New Roman"/>
                <w:b w:val="0"/>
                <w:i w:val="0"/>
                <w:sz w:val="15"/>
              </w:rPr>
              <w:t>Critical</w:t>
            </w:r>
          </w:p>
        </w:tc>
        <w:tc>
          <w:tcPr>
            <w:tcW w:type="dxa" w:w="1843"/>
          </w:tcPr>
          <w:p>
            <w:pPr>
              <w:spacing w:before="20" w:after="20" w:line="240" w:lineRule="auto"/>
            </w:pPr>
            <w:r/>
            <w:r>
              <w:rPr>
                <w:rFonts w:ascii="Times New Roman" w:hAnsi="Times New Roman"/>
                <w:b w:val="0"/>
                <w:i w:val="0"/>
                <w:sz w:val="15"/>
              </w:rPr>
              <w:t>Art. 9 (§§ 9.1–9.11); Ex. F</w:t>
            </w:r>
          </w:p>
        </w:tc>
      </w:tr>
      <w:tr>
        <w:tc>
          <w:tcPr>
            <w:tcW w:type="dxa" w:w="490"/>
          </w:tcPr>
          <w:p>
            <w:pPr>
              <w:spacing w:before="20" w:after="20" w:line="240" w:lineRule="auto"/>
            </w:pPr>
            <w:r/>
            <w:r>
              <w:rPr>
                <w:rFonts w:ascii="Times New Roman" w:hAnsi="Times New Roman"/>
                <w:b w:val="0"/>
                <w:i w:val="0"/>
                <w:sz w:val="15"/>
              </w:rPr>
              <w:t>3</w:t>
            </w:r>
          </w:p>
        </w:tc>
        <w:tc>
          <w:tcPr>
            <w:tcW w:type="dxa" w:w="2477"/>
          </w:tcPr>
          <w:p>
            <w:pPr>
              <w:spacing w:before="20" w:after="20" w:line="240" w:lineRule="auto"/>
            </w:pPr>
            <w:r/>
            <w:r>
              <w:rPr>
                <w:rFonts w:ascii="Times New Roman" w:hAnsi="Times New Roman"/>
                <w:b w:val="0"/>
                <w:i w:val="0"/>
                <w:sz w:val="15"/>
              </w:rPr>
              <w:t>Legal description error in title commitment</w:t>
            </w:r>
          </w:p>
        </w:tc>
        <w:tc>
          <w:tcPr>
            <w:tcW w:type="dxa" w:w="3744"/>
          </w:tcPr>
          <w:p>
            <w:pPr>
              <w:spacing w:before="20" w:after="20" w:line="240" w:lineRule="auto"/>
            </w:pPr>
            <w:r/>
            <w:r>
              <w:rPr>
                <w:rFonts w:ascii="Times New Roman" w:hAnsi="Times New Roman"/>
                <w:b w:val="0"/>
                <w:i w:val="0"/>
                <w:sz w:val="15"/>
              </w:rPr>
              <w:t>Stated courses enclose ~279,535 SF (6.42 ac) against a recited 3.2 ac; traverse miscloses 1.10 ft. Title cannot issue; $/SF rent basis is unsupported</w:t>
            </w:r>
          </w:p>
        </w:tc>
        <w:tc>
          <w:tcPr>
            <w:tcW w:type="dxa" w:w="792"/>
          </w:tcPr>
          <w:p>
            <w:pPr>
              <w:spacing w:before="20" w:after="20" w:line="240" w:lineRule="auto"/>
            </w:pPr>
            <w:r/>
            <w:r>
              <w:rPr>
                <w:rFonts w:ascii="Times New Roman" w:hAnsi="Times New Roman"/>
                <w:b w:val="0"/>
                <w:i w:val="0"/>
                <w:sz w:val="15"/>
              </w:rPr>
              <w:t>Critical</w:t>
            </w:r>
          </w:p>
        </w:tc>
        <w:tc>
          <w:tcPr>
            <w:tcW w:type="dxa" w:w="1843"/>
          </w:tcPr>
          <w:p>
            <w:pPr>
              <w:spacing w:before="20" w:after="20" w:line="240" w:lineRule="auto"/>
            </w:pPr>
            <w:r/>
            <w:r>
              <w:rPr>
                <w:rFonts w:ascii="Times New Roman" w:hAnsi="Times New Roman"/>
                <w:b w:val="0"/>
                <w:i w:val="0"/>
                <w:sz w:val="15"/>
              </w:rPr>
              <w:t>§ 2.3(b); § 16.2; Ex. A; Ex. G</w:t>
            </w:r>
          </w:p>
        </w:tc>
      </w:tr>
      <w:tr>
        <w:tc>
          <w:tcPr>
            <w:tcW w:type="dxa" w:w="490"/>
          </w:tcPr>
          <w:p>
            <w:pPr>
              <w:spacing w:before="20" w:after="20" w:line="240" w:lineRule="auto"/>
            </w:pPr>
            <w:r/>
            <w:r>
              <w:rPr>
                <w:rFonts w:ascii="Times New Roman" w:hAnsi="Times New Roman"/>
                <w:b w:val="0"/>
                <w:i w:val="0"/>
                <w:sz w:val="15"/>
              </w:rPr>
              <w:t>4</w:t>
            </w:r>
          </w:p>
        </w:tc>
        <w:tc>
          <w:tcPr>
            <w:tcW w:type="dxa" w:w="2477"/>
          </w:tcPr>
          <w:p>
            <w:pPr>
              <w:spacing w:before="20" w:after="20" w:line="240" w:lineRule="auto"/>
            </w:pPr>
            <w:r/>
            <w:r>
              <w:rPr>
                <w:rFonts w:ascii="Times New Roman" w:hAnsi="Times New Roman"/>
                <w:b w:val="0"/>
                <w:i w:val="0"/>
                <w:sz w:val="15"/>
              </w:rPr>
              <w:t>Mechanics' lien ($187,500, Calloway Marine Demolition)</w:t>
            </w:r>
          </w:p>
        </w:tc>
        <w:tc>
          <w:tcPr>
            <w:tcW w:type="dxa" w:w="3744"/>
          </w:tcPr>
          <w:p>
            <w:pPr>
              <w:spacing w:before="20" w:after="20" w:line="240" w:lineRule="auto"/>
            </w:pPr>
            <w:r/>
            <w:r>
              <w:rPr>
                <w:rFonts w:ascii="Times New Roman" w:hAnsi="Times New Roman"/>
                <w:b w:val="0"/>
                <w:i w:val="0"/>
                <w:sz w:val="15"/>
              </w:rPr>
              <w:t>Title Requirement 7 bars any policy until discharged; Term Sheet § 13 wrongly lists it as a Permitted Exception; Bayside § 6(c) bars unapproved exceptions</w:t>
            </w:r>
          </w:p>
        </w:tc>
        <w:tc>
          <w:tcPr>
            <w:tcW w:type="dxa" w:w="792"/>
          </w:tcPr>
          <w:p>
            <w:pPr>
              <w:spacing w:before="20" w:after="20" w:line="240" w:lineRule="auto"/>
            </w:pPr>
            <w:r/>
            <w:r>
              <w:rPr>
                <w:rFonts w:ascii="Times New Roman" w:hAnsi="Times New Roman"/>
                <w:b w:val="0"/>
                <w:i w:val="0"/>
                <w:sz w:val="15"/>
              </w:rPr>
              <w:t>High</w:t>
            </w:r>
          </w:p>
        </w:tc>
        <w:tc>
          <w:tcPr>
            <w:tcW w:type="dxa" w:w="1843"/>
          </w:tcPr>
          <w:p>
            <w:pPr>
              <w:spacing w:before="20" w:after="20" w:line="240" w:lineRule="auto"/>
            </w:pPr>
            <w:r/>
            <w:r>
              <w:rPr>
                <w:rFonts w:ascii="Times New Roman" w:hAnsi="Times New Roman"/>
                <w:b w:val="0"/>
                <w:i w:val="0"/>
                <w:sz w:val="15"/>
              </w:rPr>
              <w:t>§ 2.3(h); § 2.9(a); § 16.2; Ex. B, Part 6</w:t>
            </w:r>
          </w:p>
        </w:tc>
      </w:tr>
      <w:tr>
        <w:tc>
          <w:tcPr>
            <w:tcW w:type="dxa" w:w="490"/>
          </w:tcPr>
          <w:p>
            <w:pPr>
              <w:spacing w:before="20" w:after="20" w:line="240" w:lineRule="auto"/>
            </w:pPr>
            <w:r/>
            <w:r>
              <w:rPr>
                <w:rFonts w:ascii="Times New Roman" w:hAnsi="Times New Roman"/>
                <w:b w:val="0"/>
                <w:i w:val="0"/>
                <w:sz w:val="15"/>
              </w:rPr>
              <w:t>5</w:t>
            </w:r>
          </w:p>
        </w:tc>
        <w:tc>
          <w:tcPr>
            <w:tcW w:type="dxa" w:w="2477"/>
          </w:tcPr>
          <w:p>
            <w:pPr>
              <w:spacing w:before="20" w:after="20" w:line="240" w:lineRule="auto"/>
            </w:pPr>
            <w:r/>
            <w:r>
              <w:rPr>
                <w:rFonts w:ascii="Times New Roman" w:hAnsi="Times New Roman"/>
                <w:b w:val="0"/>
                <w:i w:val="0"/>
                <w:sz w:val="15"/>
              </w:rPr>
              <w:t>Recorded ROFR (Vol. 405, Pg. 55) has no mortgagee carve-out</w:t>
            </w:r>
          </w:p>
        </w:tc>
        <w:tc>
          <w:tcPr>
            <w:tcW w:type="dxa" w:w="3744"/>
          </w:tcPr>
          <w:p>
            <w:pPr>
              <w:spacing w:before="20" w:after="20" w:line="240" w:lineRule="auto"/>
            </w:pPr>
            <w:r/>
            <w:r>
              <w:rPr>
                <w:rFonts w:ascii="Times New Roman" w:hAnsi="Times New Roman"/>
                <w:b w:val="0"/>
                <w:i w:val="0"/>
                <w:sz w:val="15"/>
              </w:rPr>
              <w:t>A recorded instrument cannot be overridden by a lease term; blocks foreclosure, deed-in-lieu and New Lease transfers during the first 20 years</w:t>
            </w:r>
          </w:p>
        </w:tc>
        <w:tc>
          <w:tcPr>
            <w:tcW w:type="dxa" w:w="792"/>
          </w:tcPr>
          <w:p>
            <w:pPr>
              <w:spacing w:before="20" w:after="20" w:line="240" w:lineRule="auto"/>
            </w:pPr>
            <w:r/>
            <w:r>
              <w:rPr>
                <w:rFonts w:ascii="Times New Roman" w:hAnsi="Times New Roman"/>
                <w:b w:val="0"/>
                <w:i w:val="0"/>
                <w:sz w:val="15"/>
              </w:rPr>
              <w:t>High</w:t>
            </w:r>
          </w:p>
        </w:tc>
        <w:tc>
          <w:tcPr>
            <w:tcW w:type="dxa" w:w="1843"/>
          </w:tcPr>
          <w:p>
            <w:pPr>
              <w:spacing w:before="20" w:after="20" w:line="240" w:lineRule="auto"/>
            </w:pPr>
            <w:r/>
            <w:r>
              <w:rPr>
                <w:rFonts w:ascii="Times New Roman" w:hAnsi="Times New Roman"/>
                <w:b w:val="0"/>
                <w:i w:val="0"/>
                <w:sz w:val="15"/>
              </w:rPr>
              <w:t>§ 11.5 and drafting flag; Ex. B, Part 4</w:t>
            </w:r>
          </w:p>
        </w:tc>
      </w:tr>
      <w:tr>
        <w:tc>
          <w:tcPr>
            <w:tcW w:type="dxa" w:w="490"/>
          </w:tcPr>
          <w:p>
            <w:pPr>
              <w:spacing w:before="20" w:after="20" w:line="240" w:lineRule="auto"/>
            </w:pPr>
            <w:r/>
            <w:r>
              <w:rPr>
                <w:rFonts w:ascii="Times New Roman" w:hAnsi="Times New Roman"/>
                <w:b w:val="0"/>
                <w:i w:val="0"/>
                <w:sz w:val="15"/>
              </w:rPr>
              <w:t>6</w:t>
            </w:r>
          </w:p>
        </w:tc>
        <w:tc>
          <w:tcPr>
            <w:tcW w:type="dxa" w:w="2477"/>
          </w:tcPr>
          <w:p>
            <w:pPr>
              <w:spacing w:before="20" w:after="20" w:line="240" w:lineRule="auto"/>
            </w:pPr>
            <w:r/>
            <w:r>
              <w:rPr>
                <w:rFonts w:ascii="Times New Roman" w:hAnsi="Times New Roman"/>
                <w:b w:val="0"/>
                <w:i w:val="0"/>
                <w:sz w:val="15"/>
              </w:rPr>
              <w:t>Percentage rent: Breakpoint fixed at $28.5M for 99 years</w:t>
            </w:r>
          </w:p>
        </w:tc>
        <w:tc>
          <w:tcPr>
            <w:tcW w:type="dxa" w:w="3744"/>
          </w:tcPr>
          <w:p>
            <w:pPr>
              <w:spacing w:before="20" w:after="20" w:line="240" w:lineRule="auto"/>
            </w:pPr>
            <w:r/>
            <w:r>
              <w:rPr>
                <w:rFonts w:ascii="Times New Roman" w:hAnsi="Times New Roman"/>
                <w:b w:val="0"/>
                <w:i w:val="0"/>
                <w:sz w:val="15"/>
              </w:rPr>
              <w:t>Erodes from 8.84x Base Rent in Year 6 to 0.96x by Year 96 — becomes a gross-receipts tax, exactly the outcome you flagged</w:t>
            </w:r>
          </w:p>
        </w:tc>
        <w:tc>
          <w:tcPr>
            <w:tcW w:type="dxa" w:w="792"/>
          </w:tcPr>
          <w:p>
            <w:pPr>
              <w:spacing w:before="20" w:after="20" w:line="240" w:lineRule="auto"/>
            </w:pPr>
            <w:r/>
            <w:r>
              <w:rPr>
                <w:rFonts w:ascii="Times New Roman" w:hAnsi="Times New Roman"/>
                <w:b w:val="0"/>
                <w:i w:val="0"/>
                <w:sz w:val="15"/>
              </w:rPr>
              <w:t>High</w:t>
            </w:r>
          </w:p>
        </w:tc>
        <w:tc>
          <w:tcPr>
            <w:tcW w:type="dxa" w:w="1843"/>
          </w:tcPr>
          <w:p>
            <w:pPr>
              <w:spacing w:before="20" w:after="20" w:line="240" w:lineRule="auto"/>
            </w:pPr>
            <w:r/>
            <w:r>
              <w:rPr>
                <w:rFonts w:ascii="Times New Roman" w:hAnsi="Times New Roman"/>
                <w:b w:val="0"/>
                <w:i w:val="0"/>
                <w:sz w:val="15"/>
              </w:rPr>
              <w:t>§ 5.3 and drafting flag; Ex. D</w:t>
            </w:r>
          </w:p>
        </w:tc>
      </w:tr>
      <w:tr>
        <w:tc>
          <w:tcPr>
            <w:tcW w:type="dxa" w:w="490"/>
          </w:tcPr>
          <w:p>
            <w:pPr>
              <w:spacing w:before="20" w:after="20" w:line="240" w:lineRule="auto"/>
            </w:pPr>
            <w:r/>
            <w:r>
              <w:rPr>
                <w:rFonts w:ascii="Times New Roman" w:hAnsi="Times New Roman"/>
                <w:b w:val="0"/>
                <w:i w:val="0"/>
                <w:sz w:val="15"/>
              </w:rPr>
              <w:t>7</w:t>
            </w:r>
          </w:p>
        </w:tc>
        <w:tc>
          <w:tcPr>
            <w:tcW w:type="dxa" w:w="2477"/>
          </w:tcPr>
          <w:p>
            <w:pPr>
              <w:spacing w:before="20" w:after="20" w:line="240" w:lineRule="auto"/>
            </w:pPr>
            <w:r/>
            <w:r>
              <w:rPr>
                <w:rFonts w:ascii="Times New Roman" w:hAnsi="Times New Roman"/>
                <w:b w:val="0"/>
                <w:i w:val="0"/>
                <w:sz w:val="15"/>
              </w:rPr>
              <w:t>Tax abatement: delivered by the City, not the Authority; period starts on Lease Commencement Date</w:t>
            </w:r>
          </w:p>
        </w:tc>
        <w:tc>
          <w:tcPr>
            <w:tcW w:type="dxa" w:w="3744"/>
          </w:tcPr>
          <w:p>
            <w:pPr>
              <w:spacing w:before="20" w:after="20" w:line="240" w:lineRule="auto"/>
            </w:pPr>
            <w:r/>
            <w:r>
              <w:rPr>
                <w:rFonts w:ascii="Times New Roman" w:hAnsi="Times New Roman"/>
                <w:b w:val="0"/>
                <w:i w:val="0"/>
                <w:sz w:val="15"/>
              </w:rPr>
              <w:t>3 construction years consumed before rent commences; no enforceable backstop; statutory authority unverified</w:t>
            </w:r>
          </w:p>
        </w:tc>
        <w:tc>
          <w:tcPr>
            <w:tcW w:type="dxa" w:w="792"/>
          </w:tcPr>
          <w:p>
            <w:pPr>
              <w:spacing w:before="20" w:after="20" w:line="240" w:lineRule="auto"/>
            </w:pPr>
            <w:r/>
            <w:r>
              <w:rPr>
                <w:rFonts w:ascii="Times New Roman" w:hAnsi="Times New Roman"/>
                <w:b w:val="0"/>
                <w:i w:val="0"/>
                <w:sz w:val="15"/>
              </w:rPr>
              <w:t>High</w:t>
            </w:r>
          </w:p>
        </w:tc>
        <w:tc>
          <w:tcPr>
            <w:tcW w:type="dxa" w:w="1843"/>
          </w:tcPr>
          <w:p>
            <w:pPr>
              <w:spacing w:before="20" w:after="20" w:line="240" w:lineRule="auto"/>
            </w:pPr>
            <w:r/>
            <w:r>
              <w:rPr>
                <w:rFonts w:ascii="Times New Roman" w:hAnsi="Times New Roman"/>
                <w:b w:val="0"/>
                <w:i w:val="0"/>
                <w:sz w:val="15"/>
              </w:rPr>
              <w:t>§§ 6.6–6.9; § 2.3(f)</w:t>
            </w:r>
          </w:p>
        </w:tc>
      </w:tr>
      <w:tr>
        <w:tc>
          <w:tcPr>
            <w:tcW w:type="dxa" w:w="490"/>
          </w:tcPr>
          <w:p>
            <w:pPr>
              <w:spacing w:before="20" w:after="20" w:line="240" w:lineRule="auto"/>
            </w:pPr>
            <w:r/>
            <w:r>
              <w:rPr>
                <w:rFonts w:ascii="Times New Roman" w:hAnsi="Times New Roman"/>
                <w:b w:val="0"/>
                <w:i w:val="0"/>
                <w:sz w:val="15"/>
              </w:rPr>
              <w:t>8</w:t>
            </w:r>
          </w:p>
        </w:tc>
        <w:tc>
          <w:tcPr>
            <w:tcW w:type="dxa" w:w="2477"/>
          </w:tcPr>
          <w:p>
            <w:pPr>
              <w:spacing w:before="20" w:after="20" w:line="240" w:lineRule="auto"/>
            </w:pPr>
            <w:r/>
            <w:r>
              <w:rPr>
                <w:rFonts w:ascii="Times New Roman" w:hAnsi="Times New Roman"/>
                <w:b w:val="0"/>
                <w:i w:val="0"/>
                <w:sz w:val="15"/>
              </w:rPr>
              <w:t>ELUR prohibits ground-floor residential use; project program includes ground-floor lobby, amenity and leasing space</w:t>
            </w:r>
          </w:p>
        </w:tc>
        <w:tc>
          <w:tcPr>
            <w:tcW w:type="dxa" w:w="3744"/>
          </w:tcPr>
          <w:p>
            <w:pPr>
              <w:spacing w:before="20" w:after="20" w:line="240" w:lineRule="auto"/>
            </w:pPr>
            <w:r/>
            <w:r>
              <w:rPr>
                <w:rFonts w:ascii="Times New Roman" w:hAnsi="Times New Roman"/>
                <w:b w:val="0"/>
                <w:i w:val="0"/>
                <w:sz w:val="15"/>
              </w:rPr>
              <w:t>DEEP enforcement risk and a permitting risk that could delay Milestone 1; unresolved in the record</w:t>
            </w:r>
          </w:p>
        </w:tc>
        <w:tc>
          <w:tcPr>
            <w:tcW w:type="dxa" w:w="792"/>
          </w:tcPr>
          <w:p>
            <w:pPr>
              <w:spacing w:before="20" w:after="20" w:line="240" w:lineRule="auto"/>
            </w:pPr>
            <w:r/>
            <w:r>
              <w:rPr>
                <w:rFonts w:ascii="Times New Roman" w:hAnsi="Times New Roman"/>
                <w:b w:val="0"/>
                <w:i w:val="0"/>
                <w:sz w:val="15"/>
              </w:rPr>
              <w:t>High</w:t>
            </w:r>
          </w:p>
        </w:tc>
        <w:tc>
          <w:tcPr>
            <w:tcW w:type="dxa" w:w="1843"/>
          </w:tcPr>
          <w:p>
            <w:pPr>
              <w:spacing w:before="20" w:after="20" w:line="240" w:lineRule="auto"/>
            </w:pPr>
            <w:r/>
            <w:r>
              <w:rPr>
                <w:rFonts w:ascii="Times New Roman" w:hAnsi="Times New Roman"/>
                <w:b w:val="0"/>
                <w:i w:val="0"/>
                <w:sz w:val="15"/>
              </w:rPr>
              <w:t>§ 7.8; § 14.5; § 15.2</w:t>
            </w:r>
          </w:p>
        </w:tc>
      </w:tr>
      <w:tr>
        <w:tc>
          <w:tcPr>
            <w:tcW w:type="dxa" w:w="490"/>
          </w:tcPr>
          <w:p>
            <w:pPr>
              <w:spacing w:before="20" w:after="20" w:line="240" w:lineRule="auto"/>
            </w:pPr>
            <w:r/>
            <w:r>
              <w:rPr>
                <w:rFonts w:ascii="Times New Roman" w:hAnsi="Times New Roman"/>
                <w:b w:val="0"/>
                <w:i w:val="0"/>
                <w:sz w:val="15"/>
              </w:rPr>
              <w:t>9</w:t>
            </w:r>
          </w:p>
        </w:tc>
        <w:tc>
          <w:tcPr>
            <w:tcW w:type="dxa" w:w="2477"/>
          </w:tcPr>
          <w:p>
            <w:pPr>
              <w:spacing w:before="20" w:after="20" w:line="240" w:lineRule="auto"/>
            </w:pPr>
            <w:r/>
            <w:r>
              <w:rPr>
                <w:rFonts w:ascii="Times New Roman" w:hAnsi="Times New Roman"/>
                <w:b w:val="0"/>
                <w:i w:val="0"/>
                <w:sz w:val="15"/>
              </w:rPr>
              <w:t>Remediation overrun risk uncapped and estimate likely understated</w:t>
            </w:r>
          </w:p>
        </w:tc>
        <w:tc>
          <w:tcPr>
            <w:tcW w:type="dxa" w:w="3744"/>
          </w:tcPr>
          <w:p>
            <w:pPr>
              <w:spacing w:before="20" w:after="20" w:line="240" w:lineRule="auto"/>
            </w:pPr>
            <w:r/>
            <w:r>
              <w:rPr>
                <w:rFonts w:ascii="Times New Roman" w:hAnsi="Times New Roman"/>
                <w:b w:val="0"/>
                <w:i w:val="0"/>
                <w:sz w:val="15"/>
              </w:rPr>
              <w:t>Tenant bears all costs above $2.4M; below-grade parking could generate 7,000–27,000 CY of additional excavation against a 1,533 CY contaminated-soil estimate</w:t>
            </w:r>
          </w:p>
        </w:tc>
        <w:tc>
          <w:tcPr>
            <w:tcW w:type="dxa" w:w="792"/>
          </w:tcPr>
          <w:p>
            <w:pPr>
              <w:spacing w:before="20" w:after="20" w:line="240" w:lineRule="auto"/>
            </w:pPr>
            <w:r/>
            <w:r>
              <w:rPr>
                <w:rFonts w:ascii="Times New Roman" w:hAnsi="Times New Roman"/>
                <w:b w:val="0"/>
                <w:i w:val="0"/>
                <w:sz w:val="15"/>
              </w:rPr>
              <w:t>High</w:t>
            </w:r>
          </w:p>
        </w:tc>
        <w:tc>
          <w:tcPr>
            <w:tcW w:type="dxa" w:w="1843"/>
          </w:tcPr>
          <w:p>
            <w:pPr>
              <w:spacing w:before="20" w:after="20" w:line="240" w:lineRule="auto"/>
            </w:pPr>
            <w:r/>
            <w:r>
              <w:rPr>
                <w:rFonts w:ascii="Times New Roman" w:hAnsi="Times New Roman"/>
                <w:b w:val="0"/>
                <w:i w:val="0"/>
                <w:sz w:val="15"/>
              </w:rPr>
              <w:t>§ 7.4; § 7.5</w:t>
            </w:r>
          </w:p>
        </w:tc>
      </w:tr>
      <w:tr>
        <w:tc>
          <w:tcPr>
            <w:tcW w:type="dxa" w:w="490"/>
          </w:tcPr>
          <w:p>
            <w:pPr>
              <w:spacing w:before="20" w:after="20" w:line="240" w:lineRule="auto"/>
            </w:pPr>
            <w:r/>
            <w:r>
              <w:rPr>
                <w:rFonts w:ascii="Times New Roman" w:hAnsi="Times New Roman"/>
                <w:b w:val="0"/>
                <w:i w:val="0"/>
                <w:sz w:val="15"/>
              </w:rPr>
              <w:t>10</w:t>
            </w:r>
          </w:p>
        </w:tc>
        <w:tc>
          <w:tcPr>
            <w:tcW w:type="dxa" w:w="2477"/>
          </w:tcPr>
          <w:p>
            <w:pPr>
              <w:spacing w:before="20" w:after="20" w:line="240" w:lineRule="auto"/>
            </w:pPr>
            <w:r/>
            <w:r>
              <w:rPr>
                <w:rFonts w:ascii="Times New Roman" w:hAnsi="Times New Roman"/>
                <w:b w:val="0"/>
                <w:i w:val="0"/>
                <w:sz w:val="15"/>
              </w:rPr>
              <w:t>Bulkhead in "fair to poor" condition, cost unquantified and unallocated</w:t>
            </w:r>
          </w:p>
        </w:tc>
        <w:tc>
          <w:tcPr>
            <w:tcW w:type="dxa" w:w="3744"/>
          </w:tcPr>
          <w:p>
            <w:pPr>
              <w:spacing w:before="20" w:after="20" w:line="240" w:lineRule="auto"/>
            </w:pPr>
            <w:r/>
            <w:r>
              <w:rPr>
                <w:rFonts w:ascii="Times New Roman" w:hAnsi="Times New Roman"/>
                <w:b w:val="0"/>
                <w:i w:val="0"/>
                <w:sz w:val="15"/>
              </w:rPr>
              <w:t>Structural and cost risk sits with Tenant under a triple-net lease and again at surrender; survey notes 40 LF of cap already removed</w:t>
            </w:r>
          </w:p>
        </w:tc>
        <w:tc>
          <w:tcPr>
            <w:tcW w:type="dxa" w:w="792"/>
          </w:tcPr>
          <w:p>
            <w:pPr>
              <w:spacing w:before="20" w:after="20" w:line="240" w:lineRule="auto"/>
            </w:pPr>
            <w:r/>
            <w:r>
              <w:rPr>
                <w:rFonts w:ascii="Times New Roman" w:hAnsi="Times New Roman"/>
                <w:b w:val="0"/>
                <w:i w:val="0"/>
                <w:sz w:val="15"/>
              </w:rPr>
              <w:t>High</w:t>
            </w:r>
          </w:p>
        </w:tc>
        <w:tc>
          <w:tcPr>
            <w:tcW w:type="dxa" w:w="1843"/>
          </w:tcPr>
          <w:p>
            <w:pPr>
              <w:spacing w:before="20" w:after="20" w:line="240" w:lineRule="auto"/>
            </w:pPr>
            <w:r/>
            <w:r>
              <w:rPr>
                <w:rFonts w:ascii="Times New Roman" w:hAnsi="Times New Roman"/>
                <w:b w:val="0"/>
                <w:i w:val="0"/>
                <w:sz w:val="15"/>
              </w:rPr>
              <w:t>§ 2.9(b); § 14.3</w:t>
            </w:r>
          </w:p>
        </w:tc>
      </w:tr>
      <w:tr>
        <w:tc>
          <w:tcPr>
            <w:tcW w:type="dxa" w:w="490"/>
          </w:tcPr>
          <w:p>
            <w:pPr>
              <w:spacing w:before="20" w:after="20" w:line="240" w:lineRule="auto"/>
            </w:pPr>
            <w:r/>
            <w:r>
              <w:rPr>
                <w:rFonts w:ascii="Times New Roman" w:hAnsi="Times New Roman"/>
                <w:b w:val="0"/>
                <w:i w:val="0"/>
                <w:sz w:val="15"/>
              </w:rPr>
              <w:t>11</w:t>
            </w:r>
          </w:p>
        </w:tc>
        <w:tc>
          <w:tcPr>
            <w:tcW w:type="dxa" w:w="2477"/>
          </w:tcPr>
          <w:p>
            <w:pPr>
              <w:spacing w:before="20" w:after="20" w:line="240" w:lineRule="auto"/>
            </w:pPr>
            <w:r/>
            <w:r>
              <w:rPr>
                <w:rFonts w:ascii="Times New Roman" w:hAnsi="Times New Roman"/>
                <w:b w:val="0"/>
                <w:i w:val="0"/>
                <w:sz w:val="15"/>
              </w:rPr>
              <w:t>Survey is stale and title commitment expires before closing</w:t>
            </w:r>
          </w:p>
        </w:tc>
        <w:tc>
          <w:tcPr>
            <w:tcW w:type="dxa" w:w="3744"/>
          </w:tcPr>
          <w:p>
            <w:pPr>
              <w:spacing w:before="20" w:after="20" w:line="240" w:lineRule="auto"/>
            </w:pPr>
            <w:r/>
            <w:r>
              <w:rPr>
                <w:rFonts w:ascii="Times New Roman" w:hAnsi="Times New Roman"/>
                <w:b w:val="0"/>
                <w:i w:val="0"/>
                <w:sz w:val="15"/>
              </w:rPr>
              <w:t>Bayside § 6(d) requires a survey dated within 90 days of closing (survey date + 90 days = July 19, 2025); commitment expires Dec. 1, 2025</w:t>
            </w:r>
          </w:p>
        </w:tc>
        <w:tc>
          <w:tcPr>
            <w:tcW w:type="dxa" w:w="792"/>
          </w:tcPr>
          <w:p>
            <w:pPr>
              <w:spacing w:before="20" w:after="20" w:line="240" w:lineRule="auto"/>
            </w:pPr>
            <w:r/>
            <w:r>
              <w:rPr>
                <w:rFonts w:ascii="Times New Roman" w:hAnsi="Times New Roman"/>
                <w:b w:val="0"/>
                <w:i w:val="0"/>
                <w:sz w:val="15"/>
              </w:rPr>
              <w:t>Med.</w:t>
            </w:r>
          </w:p>
        </w:tc>
        <w:tc>
          <w:tcPr>
            <w:tcW w:type="dxa" w:w="1843"/>
          </w:tcPr>
          <w:p>
            <w:pPr>
              <w:spacing w:before="20" w:after="20" w:line="240" w:lineRule="auto"/>
            </w:pPr>
            <w:r/>
            <w:r>
              <w:rPr>
                <w:rFonts w:ascii="Times New Roman" w:hAnsi="Times New Roman"/>
                <w:b w:val="0"/>
                <w:i w:val="0"/>
                <w:sz w:val="15"/>
              </w:rPr>
              <w:t>§ 2.3(b), (c)</w:t>
            </w:r>
          </w:p>
        </w:tc>
      </w:tr>
      <w:tr>
        <w:tc>
          <w:tcPr>
            <w:tcW w:type="dxa" w:w="490"/>
          </w:tcPr>
          <w:p>
            <w:pPr>
              <w:spacing w:before="20" w:after="20" w:line="240" w:lineRule="auto"/>
            </w:pPr>
            <w:r/>
            <w:r>
              <w:rPr>
                <w:rFonts w:ascii="Times New Roman" w:hAnsi="Times New Roman"/>
                <w:b w:val="0"/>
                <w:i w:val="0"/>
                <w:sz w:val="15"/>
              </w:rPr>
              <w:t>12</w:t>
            </w:r>
          </w:p>
        </w:tc>
        <w:tc>
          <w:tcPr>
            <w:tcW w:type="dxa" w:w="2477"/>
          </w:tcPr>
          <w:p>
            <w:pPr>
              <w:spacing w:before="20" w:after="20" w:line="240" w:lineRule="auto"/>
            </w:pPr>
            <w:r/>
            <w:r>
              <w:rPr>
                <w:rFonts w:ascii="Times New Roman" w:hAnsi="Times New Roman"/>
                <w:b w:val="0"/>
                <w:i w:val="0"/>
                <w:sz w:val="15"/>
              </w:rPr>
              <w:t>Security deposit step-down undefined; LOC issuer conflict between Term Sheet and Board Resolution</w:t>
            </w:r>
          </w:p>
        </w:tc>
        <w:tc>
          <w:tcPr>
            <w:tcW w:type="dxa" w:w="3744"/>
          </w:tcPr>
          <w:p>
            <w:pPr>
              <w:spacing w:before="20" w:after="20" w:line="240" w:lineRule="auto"/>
            </w:pPr>
            <w:r/>
            <w:r>
              <w:rPr>
                <w:rFonts w:ascii="Times New Roman" w:hAnsi="Times New Roman"/>
                <w:b w:val="0"/>
                <w:i w:val="0"/>
                <w:sz w:val="15"/>
              </w:rPr>
              <w:t>"90% occupancy" is not defined for a mixed-use project; the Board recital requires a federally chartered bank</w:t>
            </w:r>
          </w:p>
        </w:tc>
        <w:tc>
          <w:tcPr>
            <w:tcW w:type="dxa" w:w="792"/>
          </w:tcPr>
          <w:p>
            <w:pPr>
              <w:spacing w:before="20" w:after="20" w:line="240" w:lineRule="auto"/>
            </w:pPr>
            <w:r/>
            <w:r>
              <w:rPr>
                <w:rFonts w:ascii="Times New Roman" w:hAnsi="Times New Roman"/>
                <w:b w:val="0"/>
                <w:i w:val="0"/>
                <w:sz w:val="15"/>
              </w:rPr>
              <w:t>Med.</w:t>
            </w:r>
          </w:p>
        </w:tc>
        <w:tc>
          <w:tcPr>
            <w:tcW w:type="dxa" w:w="1843"/>
          </w:tcPr>
          <w:p>
            <w:pPr>
              <w:spacing w:before="20" w:after="20" w:line="240" w:lineRule="auto"/>
            </w:pPr>
            <w:r/>
            <w:r>
              <w:rPr>
                <w:rFonts w:ascii="Times New Roman" w:hAnsi="Times New Roman"/>
                <w:b w:val="0"/>
                <w:i w:val="0"/>
                <w:sz w:val="15"/>
              </w:rPr>
              <w:t>§§ 8.3–8.4</w:t>
            </w:r>
          </w:p>
        </w:tc>
      </w:tr>
      <w:tr>
        <w:tc>
          <w:tcPr>
            <w:tcW w:type="dxa" w:w="490"/>
          </w:tcPr>
          <w:p>
            <w:pPr>
              <w:spacing w:before="20" w:after="20" w:line="240" w:lineRule="auto"/>
            </w:pPr>
            <w:r/>
            <w:r>
              <w:rPr>
                <w:rFonts w:ascii="Times New Roman" w:hAnsi="Times New Roman"/>
                <w:b w:val="0"/>
                <w:i w:val="0"/>
                <w:sz w:val="15"/>
              </w:rPr>
              <w:t>13</w:t>
            </w:r>
          </w:p>
        </w:tc>
        <w:tc>
          <w:tcPr>
            <w:tcW w:type="dxa" w:w="2477"/>
          </w:tcPr>
          <w:p>
            <w:pPr>
              <w:spacing w:before="20" w:after="20" w:line="240" w:lineRule="auto"/>
            </w:pPr>
            <w:r/>
            <w:r>
              <w:rPr>
                <w:rFonts w:ascii="Times New Roman" w:hAnsi="Times New Roman"/>
                <w:b w:val="0"/>
                <w:i w:val="0"/>
                <w:sz w:val="15"/>
              </w:rPr>
              <w:t>Material deviations from the Term Sheet require Board action</w:t>
            </w:r>
          </w:p>
        </w:tc>
        <w:tc>
          <w:tcPr>
            <w:tcW w:type="dxa" w:w="3744"/>
          </w:tcPr>
          <w:p>
            <w:pPr>
              <w:spacing w:before="20" w:after="20" w:line="240" w:lineRule="auto"/>
            </w:pPr>
            <w:r/>
            <w:r>
              <w:rPr>
                <w:rFonts w:ascii="Times New Roman" w:hAnsi="Times New Roman"/>
                <w:b w:val="0"/>
                <w:i w:val="0"/>
                <w:sz w:val="15"/>
              </w:rPr>
              <w:t>Resolution No. 2025-047, § 4(d) requires Board review of any deviation deemed material; several of our changes are</w:t>
            </w:r>
          </w:p>
        </w:tc>
        <w:tc>
          <w:tcPr>
            <w:tcW w:type="dxa" w:w="792"/>
          </w:tcPr>
          <w:p>
            <w:pPr>
              <w:spacing w:before="20" w:after="20" w:line="240" w:lineRule="auto"/>
            </w:pPr>
            <w:r/>
            <w:r>
              <w:rPr>
                <w:rFonts w:ascii="Times New Roman" w:hAnsi="Times New Roman"/>
                <w:b w:val="0"/>
                <w:i w:val="0"/>
                <w:sz w:val="15"/>
              </w:rPr>
              <w:t>High</w:t>
            </w:r>
          </w:p>
        </w:tc>
        <w:tc>
          <w:tcPr>
            <w:tcW w:type="dxa" w:w="1843"/>
          </w:tcPr>
          <w:p>
            <w:pPr>
              <w:spacing w:before="20" w:after="20" w:line="240" w:lineRule="auto"/>
            </w:pPr>
            <w:r/>
            <w:r>
              <w:rPr>
                <w:rFonts w:ascii="Times New Roman" w:hAnsi="Times New Roman"/>
                <w:b w:val="0"/>
                <w:i w:val="0"/>
                <w:sz w:val="15"/>
              </w:rPr>
              <w:t>Part 9 (deviation schedule)</w:t>
            </w:r>
          </w:p>
        </w:tc>
      </w:tr>
      <w:tr>
        <w:tc>
          <w:tcPr>
            <w:tcW w:type="dxa" w:w="490"/>
          </w:tcPr>
          <w:p>
            <w:pPr>
              <w:spacing w:before="20" w:after="20" w:line="240" w:lineRule="auto"/>
            </w:pPr>
            <w:r/>
            <w:r>
              <w:rPr>
                <w:rFonts w:ascii="Times New Roman" w:hAnsi="Times New Roman"/>
                <w:b w:val="0"/>
                <w:i w:val="0"/>
                <w:sz w:val="15"/>
              </w:rPr>
              <w:t>14</w:t>
            </w:r>
          </w:p>
        </w:tc>
        <w:tc>
          <w:tcPr>
            <w:tcW w:type="dxa" w:w="2477"/>
          </w:tcPr>
          <w:p>
            <w:pPr>
              <w:spacing w:before="20" w:after="20" w:line="240" w:lineRule="auto"/>
            </w:pPr>
            <w:r/>
            <w:r>
              <w:rPr>
                <w:rFonts w:ascii="Times New Roman" w:hAnsi="Times New Roman"/>
                <w:b w:val="0"/>
                <w:i w:val="0"/>
                <w:sz w:val="15"/>
              </w:rPr>
              <w:t>Financing term mismatch</w:t>
            </w:r>
          </w:p>
        </w:tc>
        <w:tc>
          <w:tcPr>
            <w:tcW w:type="dxa" w:w="3744"/>
          </w:tcPr>
          <w:p>
            <w:pPr>
              <w:spacing w:before="20" w:after="20" w:line="240" w:lineRule="auto"/>
            </w:pPr>
            <w:r/>
            <w:r>
              <w:rPr>
                <w:rFonts w:ascii="Times New Roman" w:hAnsi="Times New Roman"/>
                <w:b w:val="0"/>
                <w:i w:val="0"/>
                <w:sz w:val="15"/>
              </w:rPr>
              <w:t>Loan matures at 48 months (60 with extensions) but Milestone 3 is at 60 months and Milestone 4 at 84; Coventry's completion guaranty runs to the initial maturity</w:t>
            </w:r>
          </w:p>
        </w:tc>
        <w:tc>
          <w:tcPr>
            <w:tcW w:type="dxa" w:w="792"/>
          </w:tcPr>
          <w:p>
            <w:pPr>
              <w:spacing w:before="20" w:after="20" w:line="240" w:lineRule="auto"/>
            </w:pPr>
            <w:r/>
            <w:r>
              <w:rPr>
                <w:rFonts w:ascii="Times New Roman" w:hAnsi="Times New Roman"/>
                <w:b w:val="0"/>
                <w:i w:val="0"/>
                <w:sz w:val="15"/>
              </w:rPr>
              <w:t>Med.</w:t>
            </w:r>
          </w:p>
        </w:tc>
        <w:tc>
          <w:tcPr>
            <w:tcW w:type="dxa" w:w="1843"/>
          </w:tcPr>
          <w:p>
            <w:pPr>
              <w:spacing w:before="20" w:after="20" w:line="240" w:lineRule="auto"/>
            </w:pPr>
            <w:r/>
            <w:r>
              <w:rPr>
                <w:rFonts w:ascii="Times New Roman" w:hAnsi="Times New Roman"/>
                <w:b w:val="0"/>
                <w:i w:val="0"/>
                <w:sz w:val="15"/>
              </w:rPr>
              <w:t>Part 6.13</w:t>
            </w:r>
          </w:p>
        </w:tc>
      </w:tr>
      <w:tr>
        <w:tc>
          <w:tcPr>
            <w:tcW w:type="dxa" w:w="490"/>
          </w:tcPr>
          <w:p>
            <w:pPr>
              <w:spacing w:before="20" w:after="20" w:line="240" w:lineRule="auto"/>
            </w:pPr>
            <w:r/>
            <w:r>
              <w:rPr>
                <w:rFonts w:ascii="Times New Roman" w:hAnsi="Times New Roman"/>
                <w:b w:val="0"/>
                <w:i w:val="0"/>
                <w:sz w:val="15"/>
              </w:rPr>
              <w:t>15</w:t>
            </w:r>
          </w:p>
        </w:tc>
        <w:tc>
          <w:tcPr>
            <w:tcW w:type="dxa" w:w="2477"/>
          </w:tcPr>
          <w:p>
            <w:pPr>
              <w:spacing w:before="20" w:after="20" w:line="240" w:lineRule="auto"/>
            </w:pPr>
            <w:r/>
            <w:r>
              <w:rPr>
                <w:rFonts w:ascii="Times New Roman" w:hAnsi="Times New Roman"/>
                <w:b w:val="0"/>
                <w:i w:val="0"/>
                <w:sz w:val="15"/>
              </w:rPr>
              <w:t>Assignment/recapitalization constraints</w:t>
            </w:r>
          </w:p>
        </w:tc>
        <w:tc>
          <w:tcPr>
            <w:tcW w:type="dxa" w:w="3744"/>
          </w:tcPr>
          <w:p>
            <w:pPr>
              <w:spacing w:before="20" w:after="20" w:line="240" w:lineRule="auto"/>
            </w:pPr>
            <w:r/>
            <w:r>
              <w:rPr>
                <w:rFonts w:ascii="Times New Roman" w:hAnsi="Times New Roman"/>
                <w:b w:val="0"/>
                <w:i w:val="0"/>
                <w:sz w:val="15"/>
              </w:rPr>
              <w:t>ROFR plus consent regime could impede Coventry's liquidity path and the 100% membership-interest pledge Bayside requires</w:t>
            </w:r>
          </w:p>
        </w:tc>
        <w:tc>
          <w:tcPr>
            <w:tcW w:type="dxa" w:w="792"/>
          </w:tcPr>
          <w:p>
            <w:pPr>
              <w:spacing w:before="20" w:after="20" w:line="240" w:lineRule="auto"/>
            </w:pPr>
            <w:r/>
            <w:r>
              <w:rPr>
                <w:rFonts w:ascii="Times New Roman" w:hAnsi="Times New Roman"/>
                <w:b w:val="0"/>
                <w:i w:val="0"/>
                <w:sz w:val="15"/>
              </w:rPr>
              <w:t>Med.</w:t>
            </w:r>
          </w:p>
        </w:tc>
        <w:tc>
          <w:tcPr>
            <w:tcW w:type="dxa" w:w="1843"/>
          </w:tcPr>
          <w:p>
            <w:pPr>
              <w:spacing w:before="20" w:after="20" w:line="240" w:lineRule="auto"/>
            </w:pPr>
            <w:r/>
            <w:r>
              <w:rPr>
                <w:rFonts w:ascii="Times New Roman" w:hAnsi="Times New Roman"/>
                <w:b w:val="0"/>
                <w:i w:val="0"/>
                <w:sz w:val="15"/>
              </w:rPr>
              <w:t>§§ 11.1–11.7</w:t>
            </w:r>
          </w:p>
        </w:tc>
      </w:tr>
    </w:tbl>
    <w:p>
      <w:pPr>
        <w:spacing w:after="40" w:before="0"/>
      </w:pPr>
    </w:p>
    <w:p>
      <w:pPr>
        <w:spacing w:after="120"/>
        <w:ind w:left="0"/>
        <w:jc w:val="both"/>
      </w:pPr>
      <w:r>
        <w:rPr>
          <w:rFonts w:ascii="Times New Roman" w:hAnsi="Times New Roman"/>
          <w:b w:val="0"/>
          <w:i w:val="0"/>
        </w:rPr>
        <w:t xml:space="preserve">2.3  </w:t>
      </w:r>
      <w:r>
        <w:rPr>
          <w:rFonts w:ascii="Times New Roman" w:hAnsi="Times New Roman"/>
          <w:b/>
          <w:i w:val="0"/>
        </w:rPr>
        <w:t>What is not a problem.</w:t>
      </w:r>
      <w:r>
        <w:rPr>
          <w:rFonts w:ascii="Times New Roman" w:hAnsi="Times New Roman"/>
          <w:b w:val="0"/>
          <w:i w:val="0"/>
        </w:rPr>
        <w:t xml:space="preserve"> Several items you flagged as concerns are, on our recomputation, internally consistent and should not consume negotiating capital: the initial Base Rent and per-square-foot rate (Part 2.1, item 1); the security deposit and step-down amounts (items 7–8); the remediation credit waterfall (item 9); the tax abatement percentages and dollar amounts (item 11); and the milestone dates (item 15). The dollar amounts in the Term Sheet are, with two immaterial exceptions, arithmetically correct.</w:t>
      </w:r>
    </w:p>
    <w:p>
      <w:pPr>
        <w:spacing w:after="120"/>
        <w:ind w:left="0"/>
        <w:jc w:val="both"/>
      </w:pPr>
      <w:r>
        <w:rPr>
          <w:rFonts w:ascii="Times New Roman" w:hAnsi="Times New Roman"/>
          <w:b w:val="0"/>
          <w:i w:val="0"/>
        </w:rPr>
        <w:t xml:space="preserve">2.4  </w:t>
      </w:r>
      <w:r>
        <w:rPr>
          <w:rFonts w:ascii="Times New Roman" w:hAnsi="Times New Roman"/>
          <w:b/>
          <w:i w:val="0"/>
        </w:rPr>
        <w:t>A note on tone.</w:t>
      </w:r>
      <w:r>
        <w:rPr>
          <w:rFonts w:ascii="Times New Roman" w:hAnsi="Times New Roman"/>
          <w:b w:val="0"/>
          <w:i w:val="0"/>
        </w:rPr>
        <w:t xml:space="preserve"> Because this is a first draft to opposing counsel, the Draft Lease is drafted from Tenant's side but is intended to be negotiable rather than maximal: it retains the Authority's reverter concept (with compensation), retains the ROFR (narrowed), retains the affordable housing covenant and the public open space obligation, and does not seek to reduce Base Rent or the Percentage Rent rate. The provisions most likely to be characterized by Mr. Koss as "not substantially consistent with the Term Sheet" are catalogued in Part 9 with a suggested framing for each.</w:t>
      </w:r>
    </w:p>
    <w:p>
      <w:pPr>
        <w:keepNext/>
        <w:spacing w:before="320" w:after="160"/>
        <w:pBdr>
          <w:bottom w:val="single" w:sz="6" w:space="2" w:color="000000"/>
        </w:pBdr>
      </w:pPr>
      <w:r>
        <w:rPr>
          <w:rFonts w:ascii="Times New Roman" w:hAnsi="Times New Roman"/>
          <w:b/>
          <w:i w:val="0"/>
          <w:sz w:val="24"/>
        </w:rPr>
        <w:t>PART 2 — FIGURES, DATES AND THRESHOLDS INDEPENDENTLY RECOMPUTED</w:t>
      </w:r>
    </w:p>
    <w:p>
      <w:pPr>
        <w:spacing w:after="120"/>
        <w:ind w:left="0"/>
        <w:jc w:val="both"/>
      </w:pPr>
      <w:r>
        <w:rPr>
          <w:rFonts w:ascii="Times New Roman" w:hAnsi="Times New Roman"/>
          <w:b w:val="0"/>
          <w:i w:val="0"/>
        </w:rPr>
        <w:t>We recomputed every number that appears in the Term Sheet, the Phase II ESA and the Board Resolution rather than adopting the documents' own arithmetic. The full computation schedule is Appendix 3. Findings follow.</w:t>
      </w:r>
    </w:p>
    <w:p>
      <w:pPr>
        <w:keepNext/>
        <w:spacing w:before="240" w:after="100"/>
        <w:ind w:left="0"/>
      </w:pPr>
      <w:r>
        <w:rPr>
          <w:rFonts w:ascii="Times New Roman" w:hAnsi="Times New Roman"/>
          <w:b/>
          <w:i w:val="0"/>
          <w:sz w:val="21"/>
        </w:rPr>
        <w:t>2.1  Base Rent, escalation and the per-square-foot rate</w:t>
      </w:r>
    </w:p>
    <w:tbl>
      <w:tblPr>
        <w:tblStyle w:val="TableGrid"/>
        <w:tblW w:type="auto" w:w="0"/>
        <w:jc w:val="center"/>
        <w:tblLayout w:type="fixed"/>
        <w:tblLook w:firstColumn="1" w:firstRow="1" w:lastColumn="0" w:lastRow="0" w:noHBand="0" w:noVBand="1" w:val="04A0"/>
        <w:tblLayout w:type="fixed"/>
        <w:tblW w:type="dxa" w:w="9360"/>
        <w:tblCellMar>
          <w:top w:w="20" w:type="dxa"/>
          <w:left w:w="60" w:type="dxa"/>
          <w:bottom w:w="20" w:type="dxa"/>
          <w:right w:w="60" w:type="dxa"/>
        </w:tblCellMar>
      </w:tblPr>
      <w:tblGrid>
        <w:gridCol w:w="403"/>
        <w:gridCol w:w="2045"/>
        <w:gridCol w:w="2088"/>
        <w:gridCol w:w="2880"/>
        <w:gridCol w:w="1944"/>
      </w:tblGrid>
      <w:tr>
        <w:trPr>
          <w:tblHeader w:val="true"/>
        </w:trPr>
        <w:tc>
          <w:tcPr>
            <w:tcW w:type="dxa" w:w="403"/>
            <w:shd w:val="clear" w:color="auto" w:fill="D9D9D9"/>
          </w:tcPr>
          <w:p>
            <w:pPr>
              <w:spacing w:before="20" w:after="20" w:line="240" w:lineRule="auto"/>
            </w:pPr>
            <w:r/>
            <w:r>
              <w:rPr>
                <w:rFonts w:ascii="Times New Roman" w:hAnsi="Times New Roman"/>
                <w:b/>
                <w:i w:val="0"/>
                <w:sz w:val="15"/>
              </w:rPr>
              <w:t>#</w:t>
            </w:r>
          </w:p>
        </w:tc>
        <w:tc>
          <w:tcPr>
            <w:tcW w:type="dxa" w:w="2045"/>
            <w:shd w:val="clear" w:color="auto" w:fill="D9D9D9"/>
          </w:tcPr>
          <w:p>
            <w:pPr>
              <w:spacing w:before="20" w:after="20" w:line="240" w:lineRule="auto"/>
            </w:pPr>
            <w:r/>
            <w:r>
              <w:rPr>
                <w:rFonts w:ascii="Times New Roman" w:hAnsi="Times New Roman"/>
                <w:b/>
                <w:i w:val="0"/>
                <w:sz w:val="15"/>
              </w:rPr>
              <w:t>Item</w:t>
            </w:r>
          </w:p>
        </w:tc>
        <w:tc>
          <w:tcPr>
            <w:tcW w:type="dxa" w:w="2088"/>
            <w:shd w:val="clear" w:color="auto" w:fill="D9D9D9"/>
          </w:tcPr>
          <w:p>
            <w:pPr>
              <w:spacing w:before="20" w:after="20" w:line="240" w:lineRule="auto"/>
            </w:pPr>
            <w:r/>
            <w:r>
              <w:rPr>
                <w:rFonts w:ascii="Times New Roman" w:hAnsi="Times New Roman"/>
                <w:b/>
                <w:i w:val="0"/>
                <w:sz w:val="15"/>
              </w:rPr>
              <w:t>Record states</w:t>
            </w:r>
          </w:p>
        </w:tc>
        <w:tc>
          <w:tcPr>
            <w:tcW w:type="dxa" w:w="2880"/>
            <w:shd w:val="clear" w:color="auto" w:fill="D9D9D9"/>
          </w:tcPr>
          <w:p>
            <w:pPr>
              <w:spacing w:before="20" w:after="20" w:line="240" w:lineRule="auto"/>
            </w:pPr>
            <w:r/>
            <w:r>
              <w:rPr>
                <w:rFonts w:ascii="Times New Roman" w:hAnsi="Times New Roman"/>
                <w:b/>
                <w:i w:val="0"/>
                <w:sz w:val="15"/>
              </w:rPr>
              <w:t>Our recomputation</w:t>
            </w:r>
          </w:p>
        </w:tc>
        <w:tc>
          <w:tcPr>
            <w:tcW w:type="dxa" w:w="1944"/>
            <w:shd w:val="clear" w:color="auto" w:fill="D9D9D9"/>
          </w:tcPr>
          <w:p>
            <w:pPr>
              <w:spacing w:before="20" w:after="20" w:line="240" w:lineRule="auto"/>
            </w:pPr>
            <w:r/>
            <w:r>
              <w:rPr>
                <w:rFonts w:ascii="Times New Roman" w:hAnsi="Times New Roman"/>
                <w:b/>
                <w:i w:val="0"/>
                <w:sz w:val="15"/>
              </w:rPr>
              <w:t>Result</w:t>
            </w:r>
          </w:p>
        </w:tc>
      </w:tr>
      <w:tr>
        <w:tc>
          <w:tcPr>
            <w:tcW w:type="dxa" w:w="403"/>
          </w:tcPr>
          <w:p>
            <w:pPr>
              <w:spacing w:before="20" w:after="20" w:line="240" w:lineRule="auto"/>
            </w:pPr>
            <w:r/>
            <w:r>
              <w:rPr>
                <w:rFonts w:ascii="Times New Roman" w:hAnsi="Times New Roman"/>
                <w:b w:val="0"/>
                <w:i w:val="0"/>
                <w:sz w:val="15"/>
              </w:rPr>
              <w:t>1</w:t>
            </w:r>
          </w:p>
        </w:tc>
        <w:tc>
          <w:tcPr>
            <w:tcW w:type="dxa" w:w="2045"/>
          </w:tcPr>
          <w:p>
            <w:pPr>
              <w:spacing w:before="20" w:after="20" w:line="240" w:lineRule="auto"/>
            </w:pPr>
            <w:r/>
            <w:r>
              <w:rPr>
                <w:rFonts w:ascii="Times New Roman" w:hAnsi="Times New Roman"/>
                <w:b w:val="0"/>
                <w:i w:val="0"/>
                <w:sz w:val="15"/>
              </w:rPr>
              <w:t>Rent per square foot</w:t>
            </w:r>
          </w:p>
        </w:tc>
        <w:tc>
          <w:tcPr>
            <w:tcW w:type="dxa" w:w="2088"/>
          </w:tcPr>
          <w:p>
            <w:pPr>
              <w:spacing w:before="20" w:after="20" w:line="240" w:lineRule="auto"/>
            </w:pPr>
            <w:r/>
            <w:r>
              <w:rPr>
                <w:rFonts w:ascii="Times New Roman" w:hAnsi="Times New Roman"/>
                <w:b w:val="0"/>
                <w:i w:val="0"/>
                <w:sz w:val="15"/>
              </w:rPr>
              <w:t>$20.45/SF ($2,850,000 ÷ 139,392 SF)</w:t>
            </w:r>
          </w:p>
        </w:tc>
        <w:tc>
          <w:tcPr>
            <w:tcW w:type="dxa" w:w="2880"/>
          </w:tcPr>
          <w:p>
            <w:pPr>
              <w:spacing w:before="20" w:after="20" w:line="240" w:lineRule="auto"/>
            </w:pPr>
            <w:r/>
            <w:r>
              <w:rPr>
                <w:rFonts w:ascii="Times New Roman" w:hAnsi="Times New Roman"/>
                <w:b w:val="0"/>
                <w:i w:val="0"/>
                <w:sz w:val="15"/>
              </w:rPr>
              <w:t>$20.4466</w:t>
            </w:r>
          </w:p>
        </w:tc>
        <w:tc>
          <w:tcPr>
            <w:tcW w:type="dxa" w:w="1944"/>
          </w:tcPr>
          <w:p>
            <w:pPr>
              <w:spacing w:before="20" w:after="20" w:line="240" w:lineRule="auto"/>
            </w:pPr>
            <w:r/>
            <w:r>
              <w:rPr>
                <w:rFonts w:ascii="Times New Roman" w:hAnsi="Times New Roman"/>
                <w:b w:val="0"/>
                <w:i w:val="0"/>
                <w:sz w:val="15"/>
              </w:rPr>
              <w:t>Correct as rounded</w:t>
            </w:r>
          </w:p>
        </w:tc>
      </w:tr>
      <w:tr>
        <w:tc>
          <w:tcPr>
            <w:tcW w:type="dxa" w:w="403"/>
          </w:tcPr>
          <w:p>
            <w:pPr>
              <w:spacing w:before="20" w:after="20" w:line="240" w:lineRule="auto"/>
            </w:pPr>
            <w:r/>
            <w:r>
              <w:rPr>
                <w:rFonts w:ascii="Times New Roman" w:hAnsi="Times New Roman"/>
                <w:b w:val="0"/>
                <w:i w:val="0"/>
                <w:sz w:val="15"/>
              </w:rPr>
              <w:t>2</w:t>
            </w:r>
          </w:p>
        </w:tc>
        <w:tc>
          <w:tcPr>
            <w:tcW w:type="dxa" w:w="2045"/>
          </w:tcPr>
          <w:p>
            <w:pPr>
              <w:spacing w:before="20" w:after="20" w:line="240" w:lineRule="auto"/>
            </w:pPr>
            <w:r/>
            <w:r>
              <w:rPr>
                <w:rFonts w:ascii="Times New Roman" w:hAnsi="Times New Roman"/>
                <w:b w:val="0"/>
                <w:i w:val="0"/>
                <w:sz w:val="15"/>
              </w:rPr>
              <w:t>Monthly Base Rent</w:t>
            </w:r>
          </w:p>
        </w:tc>
        <w:tc>
          <w:tcPr>
            <w:tcW w:type="dxa" w:w="2088"/>
          </w:tcPr>
          <w:p>
            <w:pPr>
              <w:spacing w:before="20" w:after="20" w:line="240" w:lineRule="auto"/>
            </w:pPr>
            <w:r/>
            <w:r>
              <w:rPr>
                <w:rFonts w:ascii="Times New Roman" w:hAnsi="Times New Roman"/>
                <w:b w:val="0"/>
                <w:i w:val="0"/>
                <w:sz w:val="15"/>
              </w:rPr>
              <w:t>$237,500 ($2,850,000 ÷ 12)</w:t>
            </w:r>
          </w:p>
        </w:tc>
        <w:tc>
          <w:tcPr>
            <w:tcW w:type="dxa" w:w="2880"/>
          </w:tcPr>
          <w:p>
            <w:pPr>
              <w:spacing w:before="20" w:after="20" w:line="240" w:lineRule="auto"/>
            </w:pPr>
            <w:r/>
            <w:r>
              <w:rPr>
                <w:rFonts w:ascii="Times New Roman" w:hAnsi="Times New Roman"/>
                <w:b w:val="0"/>
                <w:i w:val="0"/>
                <w:sz w:val="15"/>
              </w:rPr>
              <w:t>$237,500.00</w:t>
            </w:r>
          </w:p>
        </w:tc>
        <w:tc>
          <w:tcPr>
            <w:tcW w:type="dxa" w:w="1944"/>
          </w:tcPr>
          <w:p>
            <w:pPr>
              <w:spacing w:before="20" w:after="20" w:line="240" w:lineRule="auto"/>
            </w:pPr>
            <w:r/>
            <w:r>
              <w:rPr>
                <w:rFonts w:ascii="Times New Roman" w:hAnsi="Times New Roman"/>
                <w:b w:val="0"/>
                <w:i w:val="0"/>
                <w:sz w:val="15"/>
              </w:rPr>
              <w:t>Correct</w:t>
            </w:r>
          </w:p>
        </w:tc>
      </w:tr>
      <w:tr>
        <w:tc>
          <w:tcPr>
            <w:tcW w:type="dxa" w:w="403"/>
          </w:tcPr>
          <w:p>
            <w:pPr>
              <w:spacing w:before="20" w:after="20" w:line="240" w:lineRule="auto"/>
            </w:pPr>
            <w:r/>
            <w:r>
              <w:rPr>
                <w:rFonts w:ascii="Times New Roman" w:hAnsi="Times New Roman"/>
                <w:b w:val="0"/>
                <w:i w:val="0"/>
                <w:sz w:val="15"/>
              </w:rPr>
              <w:t>3</w:t>
            </w:r>
          </w:p>
        </w:tc>
        <w:tc>
          <w:tcPr>
            <w:tcW w:type="dxa" w:w="2045"/>
          </w:tcPr>
          <w:p>
            <w:pPr>
              <w:spacing w:before="20" w:after="20" w:line="240" w:lineRule="auto"/>
            </w:pPr>
            <w:r/>
            <w:r>
              <w:rPr>
                <w:rFonts w:ascii="Times New Roman" w:hAnsi="Times New Roman"/>
                <w:b w:val="0"/>
                <w:i w:val="0"/>
                <w:sz w:val="15"/>
              </w:rPr>
              <w:t>Years 6–10 annual Base Rent</w:t>
            </w:r>
          </w:p>
        </w:tc>
        <w:tc>
          <w:tcPr>
            <w:tcW w:type="dxa" w:w="2088"/>
          </w:tcPr>
          <w:p>
            <w:pPr>
              <w:spacing w:before="20" w:after="20" w:line="240" w:lineRule="auto"/>
            </w:pPr>
            <w:r/>
            <w:r>
              <w:rPr>
                <w:rFonts w:ascii="Times New Roman" w:hAnsi="Times New Roman"/>
                <w:b w:val="0"/>
                <w:i w:val="0"/>
                <w:sz w:val="15"/>
              </w:rPr>
              <w:t>$3,224,500</w:t>
            </w:r>
          </w:p>
        </w:tc>
        <w:tc>
          <w:tcPr>
            <w:tcW w:type="dxa" w:w="2880"/>
          </w:tcPr>
          <w:p>
            <w:pPr>
              <w:spacing w:before="20" w:after="20" w:line="240" w:lineRule="auto"/>
            </w:pPr>
            <w:r/>
            <w:r>
              <w:rPr>
                <w:rFonts w:ascii="Times New Roman" w:hAnsi="Times New Roman"/>
                <w:b w:val="0"/>
                <w:i w:val="0"/>
                <w:sz w:val="15"/>
              </w:rPr>
              <w:t>$3,224,513.41 ($2,850,000 × 1.025^5)</w:t>
            </w:r>
          </w:p>
        </w:tc>
        <w:tc>
          <w:tcPr>
            <w:tcW w:type="dxa" w:w="1944"/>
          </w:tcPr>
          <w:p>
            <w:pPr>
              <w:spacing w:before="20" w:after="20" w:line="240" w:lineRule="auto"/>
            </w:pPr>
            <w:r/>
            <w:r>
              <w:rPr>
                <w:rFonts w:ascii="Times New Roman" w:hAnsi="Times New Roman"/>
                <w:b w:val="0"/>
                <w:i w:val="0"/>
                <w:sz w:val="15"/>
              </w:rPr>
              <w:t>Understated by $13.41</w:t>
            </w:r>
          </w:p>
        </w:tc>
      </w:tr>
      <w:tr>
        <w:tc>
          <w:tcPr>
            <w:tcW w:type="dxa" w:w="403"/>
          </w:tcPr>
          <w:p>
            <w:pPr>
              <w:spacing w:before="20" w:after="20" w:line="240" w:lineRule="auto"/>
            </w:pPr>
            <w:r/>
            <w:r>
              <w:rPr>
                <w:rFonts w:ascii="Times New Roman" w:hAnsi="Times New Roman"/>
                <w:b w:val="0"/>
                <w:i w:val="0"/>
                <w:sz w:val="15"/>
              </w:rPr>
              <w:t>4</w:t>
            </w:r>
          </w:p>
        </w:tc>
        <w:tc>
          <w:tcPr>
            <w:tcW w:type="dxa" w:w="2045"/>
          </w:tcPr>
          <w:p>
            <w:pPr>
              <w:spacing w:before="20" w:after="20" w:line="240" w:lineRule="auto"/>
            </w:pPr>
            <w:r/>
            <w:r>
              <w:rPr>
                <w:rFonts w:ascii="Times New Roman" w:hAnsi="Times New Roman"/>
                <w:b w:val="0"/>
                <w:i w:val="0"/>
                <w:sz w:val="15"/>
              </w:rPr>
              <w:t>Years 11–15 annual Base Rent</w:t>
            </w:r>
          </w:p>
        </w:tc>
        <w:tc>
          <w:tcPr>
            <w:tcW w:type="dxa" w:w="2088"/>
          </w:tcPr>
          <w:p>
            <w:pPr>
              <w:spacing w:before="20" w:after="20" w:line="240" w:lineRule="auto"/>
            </w:pPr>
            <w:r/>
            <w:r>
              <w:rPr>
                <w:rFonts w:ascii="Times New Roman" w:hAnsi="Times New Roman"/>
                <w:b w:val="0"/>
                <w:i w:val="0"/>
                <w:sz w:val="15"/>
              </w:rPr>
              <w:t>$3,648,200</w:t>
            </w:r>
          </w:p>
        </w:tc>
        <w:tc>
          <w:tcPr>
            <w:tcW w:type="dxa" w:w="2880"/>
          </w:tcPr>
          <w:p>
            <w:pPr>
              <w:spacing w:before="20" w:after="20" w:line="240" w:lineRule="auto"/>
            </w:pPr>
            <w:r/>
            <w:r>
              <w:rPr>
                <w:rFonts w:ascii="Times New Roman" w:hAnsi="Times New Roman"/>
                <w:b w:val="0"/>
                <w:i w:val="0"/>
                <w:sz w:val="15"/>
              </w:rPr>
              <w:t>$3,648,240.95 ($2,850,000 × 1.025^10)</w:t>
            </w:r>
          </w:p>
        </w:tc>
        <w:tc>
          <w:tcPr>
            <w:tcW w:type="dxa" w:w="1944"/>
          </w:tcPr>
          <w:p>
            <w:pPr>
              <w:spacing w:before="20" w:after="20" w:line="240" w:lineRule="auto"/>
            </w:pPr>
            <w:r/>
            <w:r>
              <w:rPr>
                <w:rFonts w:ascii="Times New Roman" w:hAnsi="Times New Roman"/>
                <w:b w:val="0"/>
                <w:i w:val="0"/>
                <w:sz w:val="15"/>
              </w:rPr>
              <w:t>Understated by $40.95</w:t>
            </w:r>
          </w:p>
        </w:tc>
      </w:tr>
      <w:tr>
        <w:tc>
          <w:tcPr>
            <w:tcW w:type="dxa" w:w="403"/>
          </w:tcPr>
          <w:p>
            <w:pPr>
              <w:spacing w:before="20" w:after="20" w:line="240" w:lineRule="auto"/>
            </w:pPr>
            <w:r/>
            <w:r>
              <w:rPr>
                <w:rFonts w:ascii="Times New Roman" w:hAnsi="Times New Roman"/>
                <w:b w:val="0"/>
                <w:i w:val="0"/>
                <w:sz w:val="15"/>
              </w:rPr>
              <w:t>5</w:t>
            </w:r>
          </w:p>
        </w:tc>
        <w:tc>
          <w:tcPr>
            <w:tcW w:type="dxa" w:w="2045"/>
          </w:tcPr>
          <w:p>
            <w:pPr>
              <w:spacing w:before="20" w:after="20" w:line="240" w:lineRule="auto"/>
            </w:pPr>
            <w:r/>
            <w:r>
              <w:rPr>
                <w:rFonts w:ascii="Times New Roman" w:hAnsi="Times New Roman"/>
                <w:b w:val="0"/>
                <w:i w:val="0"/>
                <w:sz w:val="15"/>
              </w:rPr>
              <w:t>Years 6–10 monthly</w:t>
            </w:r>
          </w:p>
        </w:tc>
        <w:tc>
          <w:tcPr>
            <w:tcW w:type="dxa" w:w="2088"/>
          </w:tcPr>
          <w:p>
            <w:pPr>
              <w:spacing w:before="20" w:after="20" w:line="240" w:lineRule="auto"/>
            </w:pPr>
            <w:r/>
            <w:r>
              <w:rPr>
                <w:rFonts w:ascii="Times New Roman" w:hAnsi="Times New Roman"/>
                <w:b w:val="0"/>
                <w:i w:val="0"/>
                <w:sz w:val="15"/>
              </w:rPr>
              <w:t>≈ $268,708</w:t>
            </w:r>
          </w:p>
        </w:tc>
        <w:tc>
          <w:tcPr>
            <w:tcW w:type="dxa" w:w="2880"/>
          </w:tcPr>
          <w:p>
            <w:pPr>
              <w:spacing w:before="20" w:after="20" w:line="240" w:lineRule="auto"/>
            </w:pPr>
            <w:r/>
            <w:r>
              <w:rPr>
                <w:rFonts w:ascii="Times New Roman" w:hAnsi="Times New Roman"/>
                <w:b w:val="0"/>
                <w:i w:val="0"/>
                <w:sz w:val="15"/>
              </w:rPr>
              <w:t>$268,709.45</w:t>
            </w:r>
          </w:p>
        </w:tc>
        <w:tc>
          <w:tcPr>
            <w:tcW w:type="dxa" w:w="1944"/>
          </w:tcPr>
          <w:p>
            <w:pPr>
              <w:spacing w:before="20" w:after="20" w:line="240" w:lineRule="auto"/>
            </w:pPr>
            <w:r/>
            <w:r>
              <w:rPr>
                <w:rFonts w:ascii="Times New Roman" w:hAnsi="Times New Roman"/>
                <w:b w:val="0"/>
                <w:i w:val="0"/>
                <w:sz w:val="15"/>
              </w:rPr>
              <w:t>Correct as rounded</w:t>
            </w:r>
          </w:p>
        </w:tc>
      </w:tr>
      <w:tr>
        <w:tc>
          <w:tcPr>
            <w:tcW w:type="dxa" w:w="403"/>
          </w:tcPr>
          <w:p>
            <w:pPr>
              <w:spacing w:before="20" w:after="20" w:line="240" w:lineRule="auto"/>
            </w:pPr>
            <w:r/>
            <w:r>
              <w:rPr>
                <w:rFonts w:ascii="Times New Roman" w:hAnsi="Times New Roman"/>
                <w:b w:val="0"/>
                <w:i w:val="0"/>
                <w:sz w:val="15"/>
              </w:rPr>
              <w:t>6</w:t>
            </w:r>
          </w:p>
        </w:tc>
        <w:tc>
          <w:tcPr>
            <w:tcW w:type="dxa" w:w="2045"/>
          </w:tcPr>
          <w:p>
            <w:pPr>
              <w:spacing w:before="20" w:after="20" w:line="240" w:lineRule="auto"/>
            </w:pPr>
            <w:r/>
            <w:r>
              <w:rPr>
                <w:rFonts w:ascii="Times New Roman" w:hAnsi="Times New Roman"/>
                <w:b w:val="0"/>
                <w:i w:val="0"/>
                <w:sz w:val="15"/>
              </w:rPr>
              <w:t>Years 11–15 monthly</w:t>
            </w:r>
          </w:p>
        </w:tc>
        <w:tc>
          <w:tcPr>
            <w:tcW w:type="dxa" w:w="2088"/>
          </w:tcPr>
          <w:p>
            <w:pPr>
              <w:spacing w:before="20" w:after="20" w:line="240" w:lineRule="auto"/>
            </w:pPr>
            <w:r/>
            <w:r>
              <w:rPr>
                <w:rFonts w:ascii="Times New Roman" w:hAnsi="Times New Roman"/>
                <w:b w:val="0"/>
                <w:i w:val="0"/>
                <w:sz w:val="15"/>
              </w:rPr>
              <w:t>≈ $304,017</w:t>
            </w:r>
          </w:p>
        </w:tc>
        <w:tc>
          <w:tcPr>
            <w:tcW w:type="dxa" w:w="2880"/>
          </w:tcPr>
          <w:p>
            <w:pPr>
              <w:spacing w:before="20" w:after="20" w:line="240" w:lineRule="auto"/>
            </w:pPr>
            <w:r/>
            <w:r>
              <w:rPr>
                <w:rFonts w:ascii="Times New Roman" w:hAnsi="Times New Roman"/>
                <w:b w:val="0"/>
                <w:i w:val="0"/>
                <w:sz w:val="15"/>
              </w:rPr>
              <w:t>$304,020.08</w:t>
            </w:r>
          </w:p>
        </w:tc>
        <w:tc>
          <w:tcPr>
            <w:tcW w:type="dxa" w:w="1944"/>
          </w:tcPr>
          <w:p>
            <w:pPr>
              <w:spacing w:before="20" w:after="20" w:line="240" w:lineRule="auto"/>
            </w:pPr>
            <w:r/>
            <w:r>
              <w:rPr>
                <w:rFonts w:ascii="Times New Roman" w:hAnsi="Times New Roman"/>
                <w:b w:val="0"/>
                <w:i w:val="0"/>
                <w:sz w:val="15"/>
              </w:rPr>
              <w:t>Correct as rounded</w:t>
            </w:r>
          </w:p>
        </w:tc>
      </w:tr>
    </w:tbl>
    <w:p>
      <w:pPr>
        <w:spacing w:after="40" w:before="0"/>
      </w:pPr>
    </w:p>
    <w:p>
      <w:pPr>
        <w:spacing w:after="120"/>
        <w:ind w:left="0"/>
        <w:jc w:val="both"/>
      </w:pPr>
      <w:r>
        <w:rPr>
          <w:rFonts w:ascii="Times New Roman" w:hAnsi="Times New Roman"/>
          <w:b w:val="0"/>
          <w:i w:val="0"/>
        </w:rPr>
        <w:t>Items 3 and 4 arise because the Term Sheet compounded the rounded Year 6 figure ($3,224,500 × 1.025^5 = $3,648,225.78) rather than the initial Base Rent. The aggregate difference is about $54 per annum — economically immaterial, but it would produce two different rent schedules depending on which sentence of the lease a reader applied. Section 4.3 of the Draft Lease states the schedule as controlling and reconciles the difference expressly, so that neither side can later argue that a scrivener's rounding was a negotiated term. If Mr. Koss prefers the Term Sheet figures, we should accept them and conform the schedule — the point is the internal consistency, not the $54.</w:t>
      </w:r>
    </w:p>
    <w:p>
      <w:pPr>
        <w:keepNext/>
        <w:spacing w:before="240" w:after="100"/>
        <w:ind w:left="0"/>
      </w:pPr>
      <w:r>
        <w:rPr>
          <w:rFonts w:ascii="Times New Roman" w:hAnsi="Times New Roman"/>
          <w:b/>
          <w:i w:val="0"/>
          <w:sz w:val="21"/>
        </w:rPr>
        <w:t>2.2  Security deposit and remediation credit</w:t>
      </w:r>
    </w:p>
    <w:tbl>
      <w:tblPr>
        <w:tblStyle w:val="TableGrid"/>
        <w:tblW w:type="auto" w:w="0"/>
        <w:jc w:val="center"/>
        <w:tblLayout w:type="fixed"/>
        <w:tblLook w:firstColumn="1" w:firstRow="1" w:lastColumn="0" w:lastRow="0" w:noHBand="0" w:noVBand="1" w:val="04A0"/>
        <w:tblLayout w:type="fixed"/>
        <w:tblW w:type="dxa" w:w="9360"/>
        <w:tblCellMar>
          <w:top w:w="20" w:type="dxa"/>
          <w:left w:w="60" w:type="dxa"/>
          <w:bottom w:w="20" w:type="dxa"/>
          <w:right w:w="60" w:type="dxa"/>
        </w:tblCellMar>
      </w:tblPr>
      <w:tblGrid>
        <w:gridCol w:w="403"/>
        <w:gridCol w:w="2045"/>
        <w:gridCol w:w="2664"/>
        <w:gridCol w:w="3096"/>
        <w:gridCol w:w="1152"/>
      </w:tblGrid>
      <w:tr>
        <w:trPr>
          <w:tblHeader w:val="true"/>
        </w:trPr>
        <w:tc>
          <w:tcPr>
            <w:tcW w:type="dxa" w:w="403"/>
            <w:shd w:val="clear" w:color="auto" w:fill="D9D9D9"/>
          </w:tcPr>
          <w:p>
            <w:pPr>
              <w:spacing w:before="20" w:after="20" w:line="240" w:lineRule="auto"/>
            </w:pPr>
            <w:r/>
            <w:r>
              <w:rPr>
                <w:rFonts w:ascii="Times New Roman" w:hAnsi="Times New Roman"/>
                <w:b/>
                <w:i w:val="0"/>
                <w:sz w:val="15"/>
              </w:rPr>
              <w:t>#</w:t>
            </w:r>
          </w:p>
        </w:tc>
        <w:tc>
          <w:tcPr>
            <w:tcW w:type="dxa" w:w="2045"/>
            <w:shd w:val="clear" w:color="auto" w:fill="D9D9D9"/>
          </w:tcPr>
          <w:p>
            <w:pPr>
              <w:spacing w:before="20" w:after="20" w:line="240" w:lineRule="auto"/>
            </w:pPr>
            <w:r/>
            <w:r>
              <w:rPr>
                <w:rFonts w:ascii="Times New Roman" w:hAnsi="Times New Roman"/>
                <w:b/>
                <w:i w:val="0"/>
                <w:sz w:val="15"/>
              </w:rPr>
              <w:t>Item</w:t>
            </w:r>
          </w:p>
        </w:tc>
        <w:tc>
          <w:tcPr>
            <w:tcW w:type="dxa" w:w="2664"/>
            <w:shd w:val="clear" w:color="auto" w:fill="D9D9D9"/>
          </w:tcPr>
          <w:p>
            <w:pPr>
              <w:spacing w:before="20" w:after="20" w:line="240" w:lineRule="auto"/>
            </w:pPr>
            <w:r/>
            <w:r>
              <w:rPr>
                <w:rFonts w:ascii="Times New Roman" w:hAnsi="Times New Roman"/>
                <w:b/>
                <w:i w:val="0"/>
                <w:sz w:val="15"/>
              </w:rPr>
              <w:t>Record states</w:t>
            </w:r>
          </w:p>
        </w:tc>
        <w:tc>
          <w:tcPr>
            <w:tcW w:type="dxa" w:w="3096"/>
            <w:shd w:val="clear" w:color="auto" w:fill="D9D9D9"/>
          </w:tcPr>
          <w:p>
            <w:pPr>
              <w:spacing w:before="20" w:after="20" w:line="240" w:lineRule="auto"/>
            </w:pPr>
            <w:r/>
            <w:r>
              <w:rPr>
                <w:rFonts w:ascii="Times New Roman" w:hAnsi="Times New Roman"/>
                <w:b/>
                <w:i w:val="0"/>
                <w:sz w:val="15"/>
              </w:rPr>
              <w:t>Our recomputation</w:t>
            </w:r>
          </w:p>
        </w:tc>
        <w:tc>
          <w:tcPr>
            <w:tcW w:type="dxa" w:w="1152"/>
            <w:shd w:val="clear" w:color="auto" w:fill="D9D9D9"/>
          </w:tcPr>
          <w:p>
            <w:pPr>
              <w:spacing w:before="20" w:after="20" w:line="240" w:lineRule="auto"/>
            </w:pPr>
            <w:r/>
            <w:r>
              <w:rPr>
                <w:rFonts w:ascii="Times New Roman" w:hAnsi="Times New Roman"/>
                <w:b/>
                <w:i w:val="0"/>
                <w:sz w:val="15"/>
              </w:rPr>
              <w:t>Result</w:t>
            </w:r>
          </w:p>
        </w:tc>
      </w:tr>
      <w:tr>
        <w:tc>
          <w:tcPr>
            <w:tcW w:type="dxa" w:w="403"/>
          </w:tcPr>
          <w:p>
            <w:pPr>
              <w:spacing w:before="20" w:after="20" w:line="240" w:lineRule="auto"/>
            </w:pPr>
            <w:r/>
            <w:r>
              <w:rPr>
                <w:rFonts w:ascii="Times New Roman" w:hAnsi="Times New Roman"/>
                <w:b w:val="0"/>
                <w:i w:val="0"/>
                <w:sz w:val="15"/>
              </w:rPr>
              <w:t>7</w:t>
            </w:r>
          </w:p>
        </w:tc>
        <w:tc>
          <w:tcPr>
            <w:tcW w:type="dxa" w:w="2045"/>
          </w:tcPr>
          <w:p>
            <w:pPr>
              <w:spacing w:before="20" w:after="20" w:line="240" w:lineRule="auto"/>
            </w:pPr>
            <w:r/>
            <w:r>
              <w:rPr>
                <w:rFonts w:ascii="Times New Roman" w:hAnsi="Times New Roman"/>
                <w:b w:val="0"/>
                <w:i w:val="0"/>
                <w:sz w:val="15"/>
              </w:rPr>
              <w:t>Security deposit</w:t>
            </w:r>
          </w:p>
        </w:tc>
        <w:tc>
          <w:tcPr>
            <w:tcW w:type="dxa" w:w="2664"/>
          </w:tcPr>
          <w:p>
            <w:pPr>
              <w:spacing w:before="20" w:after="20" w:line="240" w:lineRule="auto"/>
            </w:pPr>
            <w:r/>
            <w:r>
              <w:rPr>
                <w:rFonts w:ascii="Times New Roman" w:hAnsi="Times New Roman"/>
                <w:b w:val="0"/>
                <w:i w:val="0"/>
                <w:sz w:val="15"/>
              </w:rPr>
              <w:t>$5,700,000 = 24 × $237,500</w:t>
            </w:r>
          </w:p>
        </w:tc>
        <w:tc>
          <w:tcPr>
            <w:tcW w:type="dxa" w:w="3096"/>
          </w:tcPr>
          <w:p>
            <w:pPr>
              <w:spacing w:before="20" w:after="20" w:line="240" w:lineRule="auto"/>
            </w:pPr>
            <w:r/>
            <w:r>
              <w:rPr>
                <w:rFonts w:ascii="Times New Roman" w:hAnsi="Times New Roman"/>
                <w:b w:val="0"/>
                <w:i w:val="0"/>
                <w:sz w:val="15"/>
              </w:rPr>
              <w:t>$5,700,000.00</w:t>
            </w:r>
          </w:p>
        </w:tc>
        <w:tc>
          <w:tcPr>
            <w:tcW w:type="dxa" w:w="1152"/>
          </w:tcPr>
          <w:p>
            <w:pPr>
              <w:spacing w:before="20" w:after="20" w:line="240" w:lineRule="auto"/>
            </w:pPr>
            <w:r/>
            <w:r>
              <w:rPr>
                <w:rFonts w:ascii="Times New Roman" w:hAnsi="Times New Roman"/>
                <w:b w:val="0"/>
                <w:i w:val="0"/>
                <w:sz w:val="15"/>
              </w:rPr>
              <w:t>Correct</w:t>
            </w:r>
          </w:p>
        </w:tc>
      </w:tr>
      <w:tr>
        <w:tc>
          <w:tcPr>
            <w:tcW w:type="dxa" w:w="403"/>
          </w:tcPr>
          <w:p>
            <w:pPr>
              <w:spacing w:before="20" w:after="20" w:line="240" w:lineRule="auto"/>
            </w:pPr>
            <w:r/>
            <w:r>
              <w:rPr>
                <w:rFonts w:ascii="Times New Roman" w:hAnsi="Times New Roman"/>
                <w:b w:val="0"/>
                <w:i w:val="0"/>
                <w:sz w:val="15"/>
              </w:rPr>
              <w:t>8</w:t>
            </w:r>
          </w:p>
        </w:tc>
        <w:tc>
          <w:tcPr>
            <w:tcW w:type="dxa" w:w="2045"/>
          </w:tcPr>
          <w:p>
            <w:pPr>
              <w:spacing w:before="20" w:after="20" w:line="240" w:lineRule="auto"/>
            </w:pPr>
            <w:r/>
            <w:r>
              <w:rPr>
                <w:rFonts w:ascii="Times New Roman" w:hAnsi="Times New Roman"/>
                <w:b w:val="0"/>
                <w:i w:val="0"/>
                <w:sz w:val="15"/>
              </w:rPr>
              <w:t>Step-down amount</w:t>
            </w:r>
          </w:p>
        </w:tc>
        <w:tc>
          <w:tcPr>
            <w:tcW w:type="dxa" w:w="2664"/>
          </w:tcPr>
          <w:p>
            <w:pPr>
              <w:spacing w:before="20" w:after="20" w:line="240" w:lineRule="auto"/>
            </w:pPr>
            <w:r/>
            <w:r>
              <w:rPr>
                <w:rFonts w:ascii="Times New Roman" w:hAnsi="Times New Roman"/>
                <w:b w:val="0"/>
                <w:i w:val="0"/>
                <w:sz w:val="15"/>
              </w:rPr>
              <w:t>$2,850,000 = 12 × $237,500</w:t>
            </w:r>
          </w:p>
        </w:tc>
        <w:tc>
          <w:tcPr>
            <w:tcW w:type="dxa" w:w="3096"/>
          </w:tcPr>
          <w:p>
            <w:pPr>
              <w:spacing w:before="20" w:after="20" w:line="240" w:lineRule="auto"/>
            </w:pPr>
            <w:r/>
            <w:r>
              <w:rPr>
                <w:rFonts w:ascii="Times New Roman" w:hAnsi="Times New Roman"/>
                <w:b w:val="0"/>
                <w:i w:val="0"/>
                <w:sz w:val="15"/>
              </w:rPr>
              <w:t>$2,850,000.00</w:t>
            </w:r>
          </w:p>
        </w:tc>
        <w:tc>
          <w:tcPr>
            <w:tcW w:type="dxa" w:w="1152"/>
          </w:tcPr>
          <w:p>
            <w:pPr>
              <w:spacing w:before="20" w:after="20" w:line="240" w:lineRule="auto"/>
            </w:pPr>
            <w:r/>
            <w:r>
              <w:rPr>
                <w:rFonts w:ascii="Times New Roman" w:hAnsi="Times New Roman"/>
                <w:b w:val="0"/>
                <w:i w:val="0"/>
                <w:sz w:val="15"/>
              </w:rPr>
              <w:t>Correct</w:t>
            </w:r>
          </w:p>
        </w:tc>
      </w:tr>
      <w:tr>
        <w:tc>
          <w:tcPr>
            <w:tcW w:type="dxa" w:w="403"/>
          </w:tcPr>
          <w:p>
            <w:pPr>
              <w:spacing w:before="20" w:after="20" w:line="240" w:lineRule="auto"/>
            </w:pPr>
            <w:r/>
            <w:r>
              <w:rPr>
                <w:rFonts w:ascii="Times New Roman" w:hAnsi="Times New Roman"/>
                <w:b w:val="0"/>
                <w:i w:val="0"/>
                <w:sz w:val="15"/>
              </w:rPr>
              <w:t>9</w:t>
            </w:r>
          </w:p>
        </w:tc>
        <w:tc>
          <w:tcPr>
            <w:tcW w:type="dxa" w:w="2045"/>
          </w:tcPr>
          <w:p>
            <w:pPr>
              <w:spacing w:before="20" w:after="20" w:line="240" w:lineRule="auto"/>
            </w:pPr>
            <w:r/>
            <w:r>
              <w:rPr>
                <w:rFonts w:ascii="Times New Roman" w:hAnsi="Times New Roman"/>
                <w:b w:val="0"/>
                <w:i w:val="0"/>
                <w:sz w:val="15"/>
              </w:rPr>
              <w:t>Remediation credit waterfall</w:t>
            </w:r>
          </w:p>
        </w:tc>
        <w:tc>
          <w:tcPr>
            <w:tcW w:type="dxa" w:w="2664"/>
          </w:tcPr>
          <w:p>
            <w:pPr>
              <w:spacing w:before="20" w:after="20" w:line="240" w:lineRule="auto"/>
            </w:pPr>
            <w:r/>
            <w:r>
              <w:rPr>
                <w:rFonts w:ascii="Times New Roman" w:hAnsi="Times New Roman"/>
                <w:b w:val="0"/>
                <w:i w:val="0"/>
                <w:sz w:val="15"/>
              </w:rPr>
              <w:t>Months 1–7 at $0; month 8 credit $137,500, Tenant pays $100,000</w:t>
            </w:r>
          </w:p>
        </w:tc>
        <w:tc>
          <w:tcPr>
            <w:tcW w:type="dxa" w:w="3096"/>
          </w:tcPr>
          <w:p>
            <w:pPr>
              <w:spacing w:before="20" w:after="20" w:line="240" w:lineRule="auto"/>
            </w:pPr>
            <w:r/>
            <w:r>
              <w:rPr>
                <w:rFonts w:ascii="Times New Roman" w:hAnsi="Times New Roman"/>
                <w:b w:val="0"/>
                <w:i w:val="0"/>
                <w:sz w:val="15"/>
              </w:rPr>
              <w:t>7 × $237,500 = $1,662,500; $1,800,000 − $1,662,500 = $137,500; $237,500 − $137,500 = $100,000</w:t>
            </w:r>
          </w:p>
        </w:tc>
        <w:tc>
          <w:tcPr>
            <w:tcW w:type="dxa" w:w="1152"/>
          </w:tcPr>
          <w:p>
            <w:pPr>
              <w:spacing w:before="20" w:after="20" w:line="240" w:lineRule="auto"/>
            </w:pPr>
            <w:r/>
            <w:r>
              <w:rPr>
                <w:rFonts w:ascii="Times New Roman" w:hAnsi="Times New Roman"/>
                <w:b w:val="0"/>
                <w:i w:val="0"/>
                <w:sz w:val="15"/>
              </w:rPr>
              <w:t>Correct and internally consistent</w:t>
            </w:r>
          </w:p>
        </w:tc>
      </w:tr>
      <w:tr>
        <w:tc>
          <w:tcPr>
            <w:tcW w:type="dxa" w:w="403"/>
          </w:tcPr>
          <w:p>
            <w:pPr>
              <w:spacing w:before="20" w:after="20" w:line="240" w:lineRule="auto"/>
            </w:pPr>
            <w:r/>
            <w:r>
              <w:rPr>
                <w:rFonts w:ascii="Times New Roman" w:hAnsi="Times New Roman"/>
                <w:b w:val="0"/>
                <w:i w:val="0"/>
                <w:sz w:val="15"/>
              </w:rPr>
              <w:t>10</w:t>
            </w:r>
          </w:p>
        </w:tc>
        <w:tc>
          <w:tcPr>
            <w:tcW w:type="dxa" w:w="2045"/>
          </w:tcPr>
          <w:p>
            <w:pPr>
              <w:spacing w:before="20" w:after="20" w:line="240" w:lineRule="auto"/>
            </w:pPr>
            <w:r/>
            <w:r>
              <w:rPr>
                <w:rFonts w:ascii="Times New Roman" w:hAnsi="Times New Roman"/>
                <w:b w:val="0"/>
                <w:i w:val="0"/>
                <w:sz w:val="15"/>
              </w:rPr>
              <w:t>Tenant remediation share</w:t>
            </w:r>
          </w:p>
        </w:tc>
        <w:tc>
          <w:tcPr>
            <w:tcW w:type="dxa" w:w="2664"/>
          </w:tcPr>
          <w:p>
            <w:pPr>
              <w:spacing w:before="20" w:after="20" w:line="240" w:lineRule="auto"/>
            </w:pPr>
            <w:r/>
            <w:r>
              <w:rPr>
                <w:rFonts w:ascii="Times New Roman" w:hAnsi="Times New Roman"/>
                <w:b w:val="0"/>
                <w:i w:val="0"/>
                <w:sz w:val="15"/>
              </w:rPr>
              <w:t>$600,000</w:t>
            </w:r>
          </w:p>
        </w:tc>
        <w:tc>
          <w:tcPr>
            <w:tcW w:type="dxa" w:w="3096"/>
          </w:tcPr>
          <w:p>
            <w:pPr>
              <w:spacing w:before="20" w:after="20" w:line="240" w:lineRule="auto"/>
            </w:pPr>
            <w:r/>
            <w:r>
              <w:rPr>
                <w:rFonts w:ascii="Times New Roman" w:hAnsi="Times New Roman"/>
                <w:b w:val="0"/>
                <w:i w:val="0"/>
                <w:sz w:val="15"/>
              </w:rPr>
              <w:t>$2,400,000 − $1,800,000 = $600,000</w:t>
            </w:r>
          </w:p>
        </w:tc>
        <w:tc>
          <w:tcPr>
            <w:tcW w:type="dxa" w:w="1152"/>
          </w:tcPr>
          <w:p>
            <w:pPr>
              <w:spacing w:before="20" w:after="20" w:line="240" w:lineRule="auto"/>
            </w:pPr>
            <w:r/>
            <w:r>
              <w:rPr>
                <w:rFonts w:ascii="Times New Roman" w:hAnsi="Times New Roman"/>
                <w:b w:val="0"/>
                <w:i w:val="0"/>
                <w:sz w:val="15"/>
              </w:rPr>
              <w:t>Correct</w:t>
            </w:r>
          </w:p>
        </w:tc>
      </w:tr>
    </w:tbl>
    <w:p>
      <w:pPr>
        <w:spacing w:after="40" w:before="0"/>
      </w:pPr>
    </w:p>
    <w:p>
      <w:pPr>
        <w:keepNext/>
        <w:spacing w:before="240" w:after="100"/>
        <w:ind w:left="0"/>
      </w:pPr>
      <w:r>
        <w:rPr>
          <w:rFonts w:ascii="Times New Roman" w:hAnsi="Times New Roman"/>
          <w:b/>
          <w:i w:val="0"/>
          <w:sz w:val="21"/>
        </w:rPr>
        <w:t>2.3  Taxes and the tax abatement</w:t>
      </w:r>
    </w:p>
    <w:tbl>
      <w:tblPr>
        <w:tblStyle w:val="TableGrid"/>
        <w:tblW w:type="auto" w:w="0"/>
        <w:jc w:val="center"/>
        <w:tblLayout w:type="fixed"/>
        <w:tblLook w:firstColumn="1" w:firstRow="1" w:lastColumn="0" w:lastRow="0" w:noHBand="0" w:noVBand="1" w:val="04A0"/>
        <w:tblLayout w:type="fixed"/>
        <w:tblW w:type="dxa" w:w="9360"/>
        <w:tblCellMar>
          <w:top w:w="20" w:type="dxa"/>
          <w:left w:w="60" w:type="dxa"/>
          <w:bottom w:w="20" w:type="dxa"/>
          <w:right w:w="60" w:type="dxa"/>
        </w:tblCellMar>
      </w:tblPr>
      <w:tblGrid>
        <w:gridCol w:w="432"/>
        <w:gridCol w:w="2016"/>
        <w:gridCol w:w="1656"/>
        <w:gridCol w:w="3816"/>
        <w:gridCol w:w="1440"/>
      </w:tblGrid>
      <w:tr>
        <w:trPr>
          <w:tblHeader w:val="true"/>
        </w:trPr>
        <w:tc>
          <w:tcPr>
            <w:tcW w:type="dxa" w:w="432"/>
            <w:shd w:val="clear" w:color="auto" w:fill="D9D9D9"/>
          </w:tcPr>
          <w:p>
            <w:pPr>
              <w:spacing w:before="20" w:after="20" w:line="240" w:lineRule="auto"/>
            </w:pPr>
            <w:r/>
            <w:r>
              <w:rPr>
                <w:rFonts w:ascii="Times New Roman" w:hAnsi="Times New Roman"/>
                <w:b/>
                <w:i w:val="0"/>
                <w:sz w:val="15"/>
              </w:rPr>
              <w:t>#</w:t>
            </w:r>
          </w:p>
        </w:tc>
        <w:tc>
          <w:tcPr>
            <w:tcW w:type="dxa" w:w="2016"/>
            <w:shd w:val="clear" w:color="auto" w:fill="D9D9D9"/>
          </w:tcPr>
          <w:p>
            <w:pPr>
              <w:spacing w:before="20" w:after="20" w:line="240" w:lineRule="auto"/>
            </w:pPr>
            <w:r/>
            <w:r>
              <w:rPr>
                <w:rFonts w:ascii="Times New Roman" w:hAnsi="Times New Roman"/>
                <w:b/>
                <w:i w:val="0"/>
                <w:sz w:val="15"/>
              </w:rPr>
              <w:t>Item</w:t>
            </w:r>
          </w:p>
        </w:tc>
        <w:tc>
          <w:tcPr>
            <w:tcW w:type="dxa" w:w="1656"/>
            <w:shd w:val="clear" w:color="auto" w:fill="D9D9D9"/>
          </w:tcPr>
          <w:p>
            <w:pPr>
              <w:spacing w:before="20" w:after="20" w:line="240" w:lineRule="auto"/>
            </w:pPr>
            <w:r/>
            <w:r>
              <w:rPr>
                <w:rFonts w:ascii="Times New Roman" w:hAnsi="Times New Roman"/>
                <w:b/>
                <w:i w:val="0"/>
                <w:sz w:val="15"/>
              </w:rPr>
              <w:t>Record states</w:t>
            </w:r>
          </w:p>
        </w:tc>
        <w:tc>
          <w:tcPr>
            <w:tcW w:type="dxa" w:w="3816"/>
            <w:shd w:val="clear" w:color="auto" w:fill="D9D9D9"/>
          </w:tcPr>
          <w:p>
            <w:pPr>
              <w:spacing w:before="20" w:after="20" w:line="240" w:lineRule="auto"/>
            </w:pPr>
            <w:r/>
            <w:r>
              <w:rPr>
                <w:rFonts w:ascii="Times New Roman" w:hAnsi="Times New Roman"/>
                <w:b/>
                <w:i w:val="0"/>
                <w:sz w:val="15"/>
              </w:rPr>
              <w:t>Our recomputation</w:t>
            </w:r>
          </w:p>
        </w:tc>
        <w:tc>
          <w:tcPr>
            <w:tcW w:type="dxa" w:w="1440"/>
            <w:shd w:val="clear" w:color="auto" w:fill="D9D9D9"/>
          </w:tcPr>
          <w:p>
            <w:pPr>
              <w:spacing w:before="20" w:after="20" w:line="240" w:lineRule="auto"/>
            </w:pPr>
            <w:r/>
            <w:r>
              <w:rPr>
                <w:rFonts w:ascii="Times New Roman" w:hAnsi="Times New Roman"/>
                <w:b/>
                <w:i w:val="0"/>
                <w:sz w:val="15"/>
              </w:rPr>
              <w:t>Result</w:t>
            </w:r>
          </w:p>
        </w:tc>
      </w:tr>
      <w:tr>
        <w:tc>
          <w:tcPr>
            <w:tcW w:type="dxa" w:w="432"/>
          </w:tcPr>
          <w:p>
            <w:pPr>
              <w:spacing w:before="20" w:after="20" w:line="240" w:lineRule="auto"/>
            </w:pPr>
            <w:r/>
            <w:r>
              <w:rPr>
                <w:rFonts w:ascii="Times New Roman" w:hAnsi="Times New Roman"/>
                <w:b w:val="0"/>
                <w:i w:val="0"/>
                <w:sz w:val="15"/>
              </w:rPr>
              <w:t>11a</w:t>
            </w:r>
          </w:p>
        </w:tc>
        <w:tc>
          <w:tcPr>
            <w:tcW w:type="dxa" w:w="2016"/>
          </w:tcPr>
          <w:p>
            <w:pPr>
              <w:spacing w:before="20" w:after="20" w:line="240" w:lineRule="auto"/>
            </w:pPr>
            <w:r/>
            <w:r>
              <w:rPr>
                <w:rFonts w:ascii="Times New Roman" w:hAnsi="Times New Roman"/>
                <w:b w:val="0"/>
                <w:i w:val="0"/>
                <w:sz w:val="15"/>
              </w:rPr>
              <w:t>Current taxes (land only)</w:t>
            </w:r>
          </w:p>
        </w:tc>
        <w:tc>
          <w:tcPr>
            <w:tcW w:type="dxa" w:w="1656"/>
          </w:tcPr>
          <w:p>
            <w:pPr>
              <w:spacing w:before="20" w:after="20" w:line="240" w:lineRule="auto"/>
            </w:pPr>
            <w:r/>
            <w:r>
              <w:rPr>
                <w:rFonts w:ascii="Times New Roman" w:hAnsi="Times New Roman"/>
                <w:b w:val="0"/>
                <w:i w:val="0"/>
                <w:sz w:val="15"/>
              </w:rPr>
              <w:t>$145,950</w:t>
            </w:r>
          </w:p>
        </w:tc>
        <w:tc>
          <w:tcPr>
            <w:tcW w:type="dxa" w:w="3816"/>
          </w:tcPr>
          <w:p>
            <w:pPr>
              <w:spacing w:before="20" w:after="20" w:line="240" w:lineRule="auto"/>
            </w:pPr>
            <w:r/>
            <w:r>
              <w:rPr>
                <w:rFonts w:ascii="Times New Roman" w:hAnsi="Times New Roman"/>
                <w:b w:val="0"/>
                <w:i w:val="0"/>
                <w:sz w:val="15"/>
              </w:rPr>
              <w:t>$4,200,000 × 0.03475 = $145,950.00</w:t>
            </w:r>
          </w:p>
        </w:tc>
        <w:tc>
          <w:tcPr>
            <w:tcW w:type="dxa" w:w="1440"/>
          </w:tcPr>
          <w:p>
            <w:pPr>
              <w:spacing w:before="20" w:after="20" w:line="240" w:lineRule="auto"/>
            </w:pPr>
            <w:r/>
            <w:r>
              <w:rPr>
                <w:rFonts w:ascii="Times New Roman" w:hAnsi="Times New Roman"/>
                <w:b w:val="0"/>
                <w:i w:val="0"/>
                <w:sz w:val="15"/>
              </w:rPr>
              <w:t>Correct</w:t>
            </w:r>
          </w:p>
        </w:tc>
      </w:tr>
      <w:tr>
        <w:tc>
          <w:tcPr>
            <w:tcW w:type="dxa" w:w="432"/>
          </w:tcPr>
          <w:p>
            <w:pPr>
              <w:spacing w:before="20" w:after="20" w:line="240" w:lineRule="auto"/>
            </w:pPr>
            <w:r/>
            <w:r>
              <w:rPr>
                <w:rFonts w:ascii="Times New Roman" w:hAnsi="Times New Roman"/>
                <w:b w:val="0"/>
                <w:i w:val="0"/>
                <w:sz w:val="15"/>
              </w:rPr>
              <w:t>11b</w:t>
            </w:r>
          </w:p>
        </w:tc>
        <w:tc>
          <w:tcPr>
            <w:tcW w:type="dxa" w:w="2016"/>
          </w:tcPr>
          <w:p>
            <w:pPr>
              <w:spacing w:before="20" w:after="20" w:line="240" w:lineRule="auto"/>
            </w:pPr>
            <w:r/>
            <w:r>
              <w:rPr>
                <w:rFonts w:ascii="Times New Roman" w:hAnsi="Times New Roman"/>
                <w:b w:val="0"/>
                <w:i w:val="0"/>
                <w:sz w:val="15"/>
              </w:rPr>
              <w:t>Full-build taxes</w:t>
            </w:r>
          </w:p>
        </w:tc>
        <w:tc>
          <w:tcPr>
            <w:tcW w:type="dxa" w:w="1656"/>
          </w:tcPr>
          <w:p>
            <w:pPr>
              <w:spacing w:before="20" w:after="20" w:line="240" w:lineRule="auto"/>
            </w:pPr>
            <w:r/>
            <w:r>
              <w:rPr>
                <w:rFonts w:ascii="Times New Roman" w:hAnsi="Times New Roman"/>
                <w:b w:val="0"/>
                <w:i w:val="0"/>
                <w:sz w:val="15"/>
              </w:rPr>
              <w:t>$6,185,500</w:t>
            </w:r>
          </w:p>
        </w:tc>
        <w:tc>
          <w:tcPr>
            <w:tcW w:type="dxa" w:w="3816"/>
          </w:tcPr>
          <w:p>
            <w:pPr>
              <w:spacing w:before="20" w:after="20" w:line="240" w:lineRule="auto"/>
            </w:pPr>
            <w:r/>
            <w:r>
              <w:rPr>
                <w:rFonts w:ascii="Times New Roman" w:hAnsi="Times New Roman"/>
                <w:b w:val="0"/>
                <w:i w:val="0"/>
                <w:sz w:val="15"/>
              </w:rPr>
              <w:t>$178,000,000 × 0.03475 = $6,185,500.00</w:t>
            </w:r>
          </w:p>
        </w:tc>
        <w:tc>
          <w:tcPr>
            <w:tcW w:type="dxa" w:w="1440"/>
          </w:tcPr>
          <w:p>
            <w:pPr>
              <w:spacing w:before="20" w:after="20" w:line="240" w:lineRule="auto"/>
            </w:pPr>
            <w:r/>
            <w:r>
              <w:rPr>
                <w:rFonts w:ascii="Times New Roman" w:hAnsi="Times New Roman"/>
                <w:b w:val="0"/>
                <w:i w:val="0"/>
                <w:sz w:val="15"/>
              </w:rPr>
              <w:t>Correct</w:t>
            </w:r>
          </w:p>
        </w:tc>
      </w:tr>
      <w:tr>
        <w:tc>
          <w:tcPr>
            <w:tcW w:type="dxa" w:w="432"/>
          </w:tcPr>
          <w:p>
            <w:pPr>
              <w:spacing w:before="20" w:after="20" w:line="240" w:lineRule="auto"/>
            </w:pPr>
            <w:r/>
            <w:r>
              <w:rPr>
                <w:rFonts w:ascii="Times New Roman" w:hAnsi="Times New Roman"/>
                <w:b w:val="0"/>
                <w:i w:val="0"/>
                <w:sz w:val="15"/>
              </w:rPr>
              <w:t>11c</w:t>
            </w:r>
          </w:p>
        </w:tc>
        <w:tc>
          <w:tcPr>
            <w:tcW w:type="dxa" w:w="2016"/>
          </w:tcPr>
          <w:p>
            <w:pPr>
              <w:spacing w:before="20" w:after="20" w:line="240" w:lineRule="auto"/>
            </w:pPr>
            <w:r/>
            <w:r>
              <w:rPr>
                <w:rFonts w:ascii="Times New Roman" w:hAnsi="Times New Roman"/>
                <w:b w:val="0"/>
                <w:i w:val="0"/>
                <w:sz w:val="15"/>
              </w:rPr>
              <w:t>Years 1–5 (25%)</w:t>
            </w:r>
          </w:p>
        </w:tc>
        <w:tc>
          <w:tcPr>
            <w:tcW w:type="dxa" w:w="1656"/>
          </w:tcPr>
          <w:p>
            <w:pPr>
              <w:spacing w:before="20" w:after="20" w:line="240" w:lineRule="auto"/>
            </w:pPr>
            <w:r/>
            <w:r>
              <w:rPr>
                <w:rFonts w:ascii="Times New Roman" w:hAnsi="Times New Roman"/>
                <w:b w:val="0"/>
                <w:i w:val="0"/>
                <w:sz w:val="15"/>
              </w:rPr>
              <w:t>$1,546,375</w:t>
            </w:r>
          </w:p>
        </w:tc>
        <w:tc>
          <w:tcPr>
            <w:tcW w:type="dxa" w:w="3816"/>
          </w:tcPr>
          <w:p>
            <w:pPr>
              <w:spacing w:before="20" w:after="20" w:line="240" w:lineRule="auto"/>
            </w:pPr>
            <w:r/>
            <w:r>
              <w:rPr>
                <w:rFonts w:ascii="Times New Roman" w:hAnsi="Times New Roman"/>
                <w:b w:val="0"/>
                <w:i w:val="0"/>
                <w:sz w:val="15"/>
              </w:rPr>
              <w:t>$178,000,000 × 0.25 × 0.03475 = $1,546,375.00</w:t>
            </w:r>
          </w:p>
        </w:tc>
        <w:tc>
          <w:tcPr>
            <w:tcW w:type="dxa" w:w="1440"/>
          </w:tcPr>
          <w:p>
            <w:pPr>
              <w:spacing w:before="20" w:after="20" w:line="240" w:lineRule="auto"/>
            </w:pPr>
            <w:r/>
            <w:r>
              <w:rPr>
                <w:rFonts w:ascii="Times New Roman" w:hAnsi="Times New Roman"/>
                <w:b w:val="0"/>
                <w:i w:val="0"/>
                <w:sz w:val="15"/>
              </w:rPr>
              <w:t>Correct</w:t>
            </w:r>
          </w:p>
        </w:tc>
      </w:tr>
      <w:tr>
        <w:tc>
          <w:tcPr>
            <w:tcW w:type="dxa" w:w="432"/>
          </w:tcPr>
          <w:p>
            <w:pPr>
              <w:spacing w:before="20" w:after="20" w:line="240" w:lineRule="auto"/>
            </w:pPr>
            <w:r/>
            <w:r>
              <w:rPr>
                <w:rFonts w:ascii="Times New Roman" w:hAnsi="Times New Roman"/>
                <w:b w:val="0"/>
                <w:i w:val="0"/>
                <w:sz w:val="15"/>
              </w:rPr>
              <w:t>11d</w:t>
            </w:r>
          </w:p>
        </w:tc>
        <w:tc>
          <w:tcPr>
            <w:tcW w:type="dxa" w:w="2016"/>
          </w:tcPr>
          <w:p>
            <w:pPr>
              <w:spacing w:before="20" w:after="20" w:line="240" w:lineRule="auto"/>
            </w:pPr>
            <w:r/>
            <w:r>
              <w:rPr>
                <w:rFonts w:ascii="Times New Roman" w:hAnsi="Times New Roman"/>
                <w:b w:val="0"/>
                <w:i w:val="0"/>
                <w:sz w:val="15"/>
              </w:rPr>
              <w:t>Years 6–10 (50%)</w:t>
            </w:r>
          </w:p>
        </w:tc>
        <w:tc>
          <w:tcPr>
            <w:tcW w:type="dxa" w:w="1656"/>
          </w:tcPr>
          <w:p>
            <w:pPr>
              <w:spacing w:before="20" w:after="20" w:line="240" w:lineRule="auto"/>
            </w:pPr>
            <w:r/>
            <w:r>
              <w:rPr>
                <w:rFonts w:ascii="Times New Roman" w:hAnsi="Times New Roman"/>
                <w:b w:val="0"/>
                <w:i w:val="0"/>
                <w:sz w:val="15"/>
              </w:rPr>
              <w:t>$3,092,750</w:t>
            </w:r>
          </w:p>
        </w:tc>
        <w:tc>
          <w:tcPr>
            <w:tcW w:type="dxa" w:w="3816"/>
          </w:tcPr>
          <w:p>
            <w:pPr>
              <w:spacing w:before="20" w:after="20" w:line="240" w:lineRule="auto"/>
            </w:pPr>
            <w:r/>
            <w:r>
              <w:rPr>
                <w:rFonts w:ascii="Times New Roman" w:hAnsi="Times New Roman"/>
                <w:b w:val="0"/>
                <w:i w:val="0"/>
                <w:sz w:val="15"/>
              </w:rPr>
              <w:t>$178,000,000 × 0.50 × 0.03475 = $3,092,750.00</w:t>
            </w:r>
          </w:p>
        </w:tc>
        <w:tc>
          <w:tcPr>
            <w:tcW w:type="dxa" w:w="1440"/>
          </w:tcPr>
          <w:p>
            <w:pPr>
              <w:spacing w:before="20" w:after="20" w:line="240" w:lineRule="auto"/>
            </w:pPr>
            <w:r/>
            <w:r>
              <w:rPr>
                <w:rFonts w:ascii="Times New Roman" w:hAnsi="Times New Roman"/>
                <w:b w:val="0"/>
                <w:i w:val="0"/>
                <w:sz w:val="15"/>
              </w:rPr>
              <w:t>Correct</w:t>
            </w:r>
          </w:p>
        </w:tc>
      </w:tr>
      <w:tr>
        <w:tc>
          <w:tcPr>
            <w:tcW w:type="dxa" w:w="432"/>
          </w:tcPr>
          <w:p>
            <w:pPr>
              <w:spacing w:before="20" w:after="20" w:line="240" w:lineRule="auto"/>
            </w:pPr>
            <w:r/>
            <w:r>
              <w:rPr>
                <w:rFonts w:ascii="Times New Roman" w:hAnsi="Times New Roman"/>
                <w:b w:val="0"/>
                <w:i w:val="0"/>
                <w:sz w:val="15"/>
              </w:rPr>
              <w:t>11e</w:t>
            </w:r>
          </w:p>
        </w:tc>
        <w:tc>
          <w:tcPr>
            <w:tcW w:type="dxa" w:w="2016"/>
          </w:tcPr>
          <w:p>
            <w:pPr>
              <w:spacing w:before="20" w:after="20" w:line="240" w:lineRule="auto"/>
            </w:pPr>
            <w:r/>
            <w:r>
              <w:rPr>
                <w:rFonts w:ascii="Times New Roman" w:hAnsi="Times New Roman"/>
                <w:b w:val="0"/>
                <w:i w:val="0"/>
                <w:sz w:val="15"/>
              </w:rPr>
              <w:t>Years 11–15 (75%)</w:t>
            </w:r>
          </w:p>
        </w:tc>
        <w:tc>
          <w:tcPr>
            <w:tcW w:type="dxa" w:w="1656"/>
          </w:tcPr>
          <w:p>
            <w:pPr>
              <w:spacing w:before="20" w:after="20" w:line="240" w:lineRule="auto"/>
            </w:pPr>
            <w:r/>
            <w:r>
              <w:rPr>
                <w:rFonts w:ascii="Times New Roman" w:hAnsi="Times New Roman"/>
                <w:b w:val="0"/>
                <w:i w:val="0"/>
                <w:sz w:val="15"/>
              </w:rPr>
              <w:t>$4,639,125</w:t>
            </w:r>
          </w:p>
        </w:tc>
        <w:tc>
          <w:tcPr>
            <w:tcW w:type="dxa" w:w="3816"/>
          </w:tcPr>
          <w:p>
            <w:pPr>
              <w:spacing w:before="20" w:after="20" w:line="240" w:lineRule="auto"/>
            </w:pPr>
            <w:r/>
            <w:r>
              <w:rPr>
                <w:rFonts w:ascii="Times New Roman" w:hAnsi="Times New Roman"/>
                <w:b w:val="0"/>
                <w:i w:val="0"/>
                <w:sz w:val="15"/>
              </w:rPr>
              <w:t>$178,000,000 × 0.75 × 0.03475 = $4,639,125.00</w:t>
            </w:r>
          </w:p>
        </w:tc>
        <w:tc>
          <w:tcPr>
            <w:tcW w:type="dxa" w:w="1440"/>
          </w:tcPr>
          <w:p>
            <w:pPr>
              <w:spacing w:before="20" w:after="20" w:line="240" w:lineRule="auto"/>
            </w:pPr>
            <w:r/>
            <w:r>
              <w:rPr>
                <w:rFonts w:ascii="Times New Roman" w:hAnsi="Times New Roman"/>
                <w:b w:val="0"/>
                <w:i w:val="0"/>
                <w:sz w:val="15"/>
              </w:rPr>
              <w:t>Correct</w:t>
            </w:r>
          </w:p>
        </w:tc>
      </w:tr>
      <w:tr>
        <w:tc>
          <w:tcPr>
            <w:tcW w:type="dxa" w:w="432"/>
          </w:tcPr>
          <w:p>
            <w:pPr>
              <w:spacing w:before="20" w:after="20" w:line="240" w:lineRule="auto"/>
            </w:pPr>
            <w:r/>
            <w:r>
              <w:rPr>
                <w:rFonts w:ascii="Times New Roman" w:hAnsi="Times New Roman"/>
                <w:b w:val="0"/>
                <w:i w:val="0"/>
                <w:sz w:val="15"/>
              </w:rPr>
              <w:t>11f</w:t>
            </w:r>
          </w:p>
        </w:tc>
        <w:tc>
          <w:tcPr>
            <w:tcW w:type="dxa" w:w="2016"/>
          </w:tcPr>
          <w:p>
            <w:pPr>
              <w:spacing w:before="20" w:after="20" w:line="240" w:lineRule="auto"/>
            </w:pPr>
            <w:r/>
            <w:r>
              <w:rPr>
                <w:rFonts w:ascii="Times New Roman" w:hAnsi="Times New Roman"/>
                <w:b w:val="0"/>
                <w:i w:val="0"/>
                <w:sz w:val="15"/>
              </w:rPr>
              <w:t>Aggregate value of the abatement</w:t>
            </w:r>
          </w:p>
        </w:tc>
        <w:tc>
          <w:tcPr>
            <w:tcW w:type="dxa" w:w="1656"/>
          </w:tcPr>
          <w:p>
            <w:pPr>
              <w:spacing w:before="20" w:after="20" w:line="240" w:lineRule="auto"/>
            </w:pPr>
            <w:r/>
            <w:r>
              <w:rPr>
                <w:rFonts w:ascii="Times New Roman" w:hAnsi="Times New Roman"/>
                <w:b w:val="0"/>
                <w:i w:val="0"/>
                <w:sz w:val="15"/>
              </w:rPr>
              <w:t>not stated</w:t>
            </w:r>
          </w:p>
        </w:tc>
        <w:tc>
          <w:tcPr>
            <w:tcW w:type="dxa" w:w="3816"/>
          </w:tcPr>
          <w:p>
            <w:pPr>
              <w:spacing w:before="20" w:after="20" w:line="240" w:lineRule="auto"/>
            </w:pPr>
            <w:r/>
            <w:r>
              <w:rPr>
                <w:rFonts w:ascii="Times New Roman" w:hAnsi="Times New Roman"/>
                <w:b w:val="0"/>
                <w:i w:val="0"/>
                <w:sz w:val="15"/>
              </w:rPr>
              <w:t>$46,391,250 over 15 years (5 × $4,639,125 + 5 × $3,092,750 + 5 × $1,546,375)</w:t>
            </w:r>
          </w:p>
        </w:tc>
        <w:tc>
          <w:tcPr>
            <w:tcW w:type="dxa" w:w="1440"/>
          </w:tcPr>
          <w:p>
            <w:pPr>
              <w:spacing w:before="20" w:after="20" w:line="240" w:lineRule="auto"/>
            </w:pPr>
            <w:r/>
            <w:r>
              <w:rPr>
                <w:rFonts w:ascii="Times New Roman" w:hAnsi="Times New Roman"/>
                <w:b w:val="0"/>
                <w:i w:val="0"/>
                <w:sz w:val="15"/>
              </w:rPr>
              <w:t>New figure — useful for Board presentation</w:t>
            </w:r>
          </w:p>
        </w:tc>
      </w:tr>
    </w:tbl>
    <w:p>
      <w:pPr>
        <w:spacing w:after="40" w:before="0"/>
      </w:pPr>
    </w:p>
    <w:p>
      <w:pPr>
        <w:spacing w:after="120"/>
        <w:ind w:left="0"/>
        <w:jc w:val="both"/>
      </w:pPr>
      <w:r>
        <w:rPr>
          <w:rFonts w:ascii="Times New Roman" w:hAnsi="Times New Roman"/>
          <w:b w:val="0"/>
          <w:i w:val="0"/>
        </w:rPr>
        <w:t xml:space="preserve">The percentages and amounts are correct, but note the structural point in Part 6.2 below: the abatement is calculated as a percentage of the </w:t>
      </w:r>
      <w:r>
        <w:rPr>
          <w:rFonts w:ascii="Times New Roman" w:hAnsi="Times New Roman"/>
          <w:b w:val="0"/>
          <w:i/>
        </w:rPr>
        <w:t>post-development assessed value</w:t>
      </w:r>
      <w:r>
        <w:rPr>
          <w:rFonts w:ascii="Times New Roman" w:hAnsi="Times New Roman"/>
          <w:b w:val="0"/>
          <w:i w:val="0"/>
        </w:rPr>
        <w:t xml:space="preserve"> that will not exist during construction. Because the Term Sheet starts the 15-year clock on the Lease Commencement Date, approximately three of the fifteen years (October 2025 – September 2028) fall before Rent Commencement, when the improvements are not yet on the grand list. The aggregate value of the abatement stated above is therefore only achievable if the clock is re-anchored.</w:t>
      </w:r>
    </w:p>
    <w:p>
      <w:pPr>
        <w:keepNext/>
        <w:spacing w:before="240" w:after="100"/>
        <w:ind w:left="0"/>
      </w:pPr>
      <w:r>
        <w:rPr>
          <w:rFonts w:ascii="Times New Roman" w:hAnsi="Times New Roman"/>
          <w:b/>
          <w:i w:val="0"/>
          <w:sz w:val="21"/>
        </w:rPr>
        <w:t>2.4  Capital stack and uses</w:t>
      </w:r>
    </w:p>
    <w:p>
      <w:pPr>
        <w:spacing w:after="120"/>
        <w:ind w:left="0"/>
        <w:jc w:val="both"/>
      </w:pPr>
      <w:r>
        <w:rPr>
          <w:rFonts w:ascii="Times New Roman" w:hAnsi="Times New Roman"/>
          <w:b w:val="0"/>
          <w:i w:val="0"/>
        </w:rPr>
        <w:t>Sources ($285,000,000 loan + $95,000,000 Coventry preferred equity + $45,000,000 Meridian co-invest = $425,000,000) and uses ($352,000,000 hard + $38,500,000 soft + $34,500,000 contingency = $425,000,000) both reconcile. Loan-to-cost is 67.06% (the Term Sheet states 67.1%). Equity is 32.94%. Bayside's 1.00% origination fee on $285,000,000 is $2,850,000, correct.</w:t>
      </w:r>
    </w:p>
    <w:p>
      <w:pPr>
        <w:spacing w:after="120"/>
        <w:ind w:left="0"/>
        <w:jc w:val="both"/>
      </w:pPr>
      <w:r>
        <w:rPr>
          <w:rFonts w:ascii="Times New Roman" w:hAnsi="Times New Roman"/>
          <w:b/>
          <w:i w:val="0"/>
        </w:rPr>
        <w:t>Two items appear to be unbudgeted.</w:t>
      </w:r>
      <w:r>
        <w:rPr>
          <w:rFonts w:ascii="Times New Roman" w:hAnsi="Times New Roman"/>
          <w:b w:val="0"/>
          <w:i w:val="0"/>
        </w:rPr>
        <w:t xml:space="preserve"> First, the environmental remediation: the Phase II estimate is $2,400,000, of which Tenant's net share is $600,000, but neither figure appears in the uses of funds. Second, the bulkhead: the Phase II expressly excludes bulkhead repair or replacement from its $2.4M estimate and recommends a separate structural assessment. We do not know the magnitude, but a 480-foot steel sheet pile and concrete cap rehabilitation on a coastal site is a seven-figure item, not a rounding error. Both should be added to the uses (or confirmed as within the hard-cost contingency) before the loan budget is finalized with Bayside, because Bayside's condition (g) requires an approved construction budget.</w:t>
      </w:r>
    </w:p>
    <w:p>
      <w:pPr>
        <w:keepNext/>
        <w:spacing w:before="240" w:after="100"/>
        <w:ind w:left="0"/>
      </w:pPr>
      <w:r>
        <w:rPr>
          <w:rFonts w:ascii="Times New Roman" w:hAnsi="Times New Roman"/>
          <w:b/>
          <w:i w:val="0"/>
          <w:sz w:val="21"/>
        </w:rPr>
        <w:t>2.5  Milestones and other date intervals</w:t>
      </w:r>
    </w:p>
    <w:tbl>
      <w:tblPr>
        <w:tblStyle w:val="TableGrid"/>
        <w:tblW w:type="auto" w:w="0"/>
        <w:jc w:val="center"/>
        <w:tblLayout w:type="fixed"/>
        <w:tblLook w:firstColumn="1" w:firstRow="1" w:lastColumn="0" w:lastRow="0" w:noHBand="0" w:noVBand="1" w:val="04A0"/>
        <w:tblLayout w:type="fixed"/>
        <w:tblW w:type="dxa" w:w="9360"/>
        <w:tblCellMar>
          <w:top w:w="20" w:type="dxa"/>
          <w:left w:w="60" w:type="dxa"/>
          <w:bottom w:w="20" w:type="dxa"/>
          <w:right w:w="60" w:type="dxa"/>
        </w:tblCellMar>
      </w:tblPr>
      <w:tblGrid>
        <w:gridCol w:w="432"/>
        <w:gridCol w:w="2232"/>
        <w:gridCol w:w="1728"/>
        <w:gridCol w:w="3240"/>
        <w:gridCol w:w="1728"/>
      </w:tblGrid>
      <w:tr>
        <w:trPr>
          <w:tblHeader w:val="true"/>
        </w:trPr>
        <w:tc>
          <w:tcPr>
            <w:tcW w:type="dxa" w:w="432"/>
            <w:shd w:val="clear" w:color="auto" w:fill="D9D9D9"/>
          </w:tcPr>
          <w:p>
            <w:pPr>
              <w:spacing w:before="20" w:after="20" w:line="240" w:lineRule="auto"/>
            </w:pPr>
            <w:r/>
            <w:r>
              <w:rPr>
                <w:rFonts w:ascii="Times New Roman" w:hAnsi="Times New Roman"/>
                <w:b/>
                <w:i w:val="0"/>
                <w:sz w:val="15"/>
              </w:rPr>
              <w:t>#</w:t>
            </w:r>
          </w:p>
        </w:tc>
        <w:tc>
          <w:tcPr>
            <w:tcW w:type="dxa" w:w="2232"/>
            <w:shd w:val="clear" w:color="auto" w:fill="D9D9D9"/>
          </w:tcPr>
          <w:p>
            <w:pPr>
              <w:spacing w:before="20" w:after="20" w:line="240" w:lineRule="auto"/>
            </w:pPr>
            <w:r/>
            <w:r>
              <w:rPr>
                <w:rFonts w:ascii="Times New Roman" w:hAnsi="Times New Roman"/>
                <w:b/>
                <w:i w:val="0"/>
                <w:sz w:val="15"/>
              </w:rPr>
              <w:t>Item</w:t>
            </w:r>
          </w:p>
        </w:tc>
        <w:tc>
          <w:tcPr>
            <w:tcW w:type="dxa" w:w="1728"/>
            <w:shd w:val="clear" w:color="auto" w:fill="D9D9D9"/>
          </w:tcPr>
          <w:p>
            <w:pPr>
              <w:spacing w:before="20" w:after="20" w:line="240" w:lineRule="auto"/>
            </w:pPr>
            <w:r/>
            <w:r>
              <w:rPr>
                <w:rFonts w:ascii="Times New Roman" w:hAnsi="Times New Roman"/>
                <w:b/>
                <w:i w:val="0"/>
                <w:sz w:val="15"/>
              </w:rPr>
              <w:t>Record states</w:t>
            </w:r>
          </w:p>
        </w:tc>
        <w:tc>
          <w:tcPr>
            <w:tcW w:type="dxa" w:w="3240"/>
            <w:shd w:val="clear" w:color="auto" w:fill="D9D9D9"/>
          </w:tcPr>
          <w:p>
            <w:pPr>
              <w:spacing w:before="20" w:after="20" w:line="240" w:lineRule="auto"/>
            </w:pPr>
            <w:r/>
            <w:r>
              <w:rPr>
                <w:rFonts w:ascii="Times New Roman" w:hAnsi="Times New Roman"/>
                <w:b/>
                <w:i w:val="0"/>
                <w:sz w:val="15"/>
              </w:rPr>
              <w:t>Our recomputation</w:t>
            </w:r>
          </w:p>
        </w:tc>
        <w:tc>
          <w:tcPr>
            <w:tcW w:type="dxa" w:w="1728"/>
            <w:shd w:val="clear" w:color="auto" w:fill="D9D9D9"/>
          </w:tcPr>
          <w:p>
            <w:pPr>
              <w:spacing w:before="20" w:after="20" w:line="240" w:lineRule="auto"/>
            </w:pPr>
            <w:r/>
            <w:r>
              <w:rPr>
                <w:rFonts w:ascii="Times New Roman" w:hAnsi="Times New Roman"/>
                <w:b/>
                <w:i w:val="0"/>
                <w:sz w:val="15"/>
              </w:rPr>
              <w:t>Result</w:t>
            </w:r>
          </w:p>
        </w:tc>
      </w:tr>
      <w:tr>
        <w:tc>
          <w:tcPr>
            <w:tcW w:type="dxa" w:w="432"/>
          </w:tcPr>
          <w:p>
            <w:pPr>
              <w:spacing w:before="20" w:after="20" w:line="240" w:lineRule="auto"/>
            </w:pPr>
            <w:r/>
            <w:r>
              <w:rPr>
                <w:rFonts w:ascii="Times New Roman" w:hAnsi="Times New Roman"/>
                <w:b w:val="0"/>
                <w:i w:val="0"/>
                <w:sz w:val="15"/>
              </w:rPr>
              <w:t>15</w:t>
            </w:r>
          </w:p>
        </w:tc>
        <w:tc>
          <w:tcPr>
            <w:tcW w:type="dxa" w:w="2232"/>
          </w:tcPr>
          <w:p>
            <w:pPr>
              <w:spacing w:before="20" w:after="20" w:line="240" w:lineRule="auto"/>
            </w:pPr>
            <w:r/>
            <w:r>
              <w:rPr>
                <w:rFonts w:ascii="Times New Roman" w:hAnsi="Times New Roman"/>
                <w:b w:val="0"/>
                <w:i w:val="0"/>
                <w:sz w:val="15"/>
              </w:rPr>
              <w:t>Milestone 1 (18 months)</w:t>
            </w:r>
          </w:p>
        </w:tc>
        <w:tc>
          <w:tcPr>
            <w:tcW w:type="dxa" w:w="1728"/>
          </w:tcPr>
          <w:p>
            <w:pPr>
              <w:spacing w:before="20" w:after="20" w:line="240" w:lineRule="auto"/>
            </w:pPr>
            <w:r/>
            <w:r>
              <w:rPr>
                <w:rFonts w:ascii="Times New Roman" w:hAnsi="Times New Roman"/>
                <w:b w:val="0"/>
                <w:i w:val="0"/>
                <w:sz w:val="15"/>
              </w:rPr>
              <w:t>April 1, 2027</w:t>
            </w:r>
          </w:p>
        </w:tc>
        <w:tc>
          <w:tcPr>
            <w:tcW w:type="dxa" w:w="3240"/>
          </w:tcPr>
          <w:p>
            <w:pPr>
              <w:spacing w:before="20" w:after="20" w:line="240" w:lineRule="auto"/>
            </w:pPr>
            <w:r/>
            <w:r>
              <w:rPr>
                <w:rFonts w:ascii="Times New Roman" w:hAnsi="Times New Roman"/>
                <w:b w:val="0"/>
                <w:i w:val="0"/>
                <w:sz w:val="15"/>
              </w:rPr>
              <w:t>October 1, 2025 + 18 months = April 1, 2027</w:t>
            </w:r>
          </w:p>
        </w:tc>
        <w:tc>
          <w:tcPr>
            <w:tcW w:type="dxa" w:w="1728"/>
          </w:tcPr>
          <w:p>
            <w:pPr>
              <w:spacing w:before="20" w:after="20" w:line="240" w:lineRule="auto"/>
            </w:pPr>
            <w:r/>
            <w:r>
              <w:rPr>
                <w:rFonts w:ascii="Times New Roman" w:hAnsi="Times New Roman"/>
                <w:b w:val="0"/>
                <w:i w:val="0"/>
                <w:sz w:val="15"/>
              </w:rPr>
              <w:t>Correct</w:t>
            </w:r>
          </w:p>
        </w:tc>
      </w:tr>
      <w:tr>
        <w:tc>
          <w:tcPr>
            <w:tcW w:type="dxa" w:w="432"/>
          </w:tcPr>
          <w:p>
            <w:pPr>
              <w:spacing w:before="20" w:after="20" w:line="240" w:lineRule="auto"/>
            </w:pPr>
            <w:r/>
            <w:r>
              <w:rPr>
                <w:rFonts w:ascii="Times New Roman" w:hAnsi="Times New Roman"/>
                <w:b w:val="0"/>
                <w:i w:val="0"/>
                <w:sz w:val="15"/>
              </w:rPr>
              <w:t>16</w:t>
            </w:r>
          </w:p>
        </w:tc>
        <w:tc>
          <w:tcPr>
            <w:tcW w:type="dxa" w:w="2232"/>
          </w:tcPr>
          <w:p>
            <w:pPr>
              <w:spacing w:before="20" w:after="20" w:line="240" w:lineRule="auto"/>
            </w:pPr>
            <w:r/>
            <w:r>
              <w:rPr>
                <w:rFonts w:ascii="Times New Roman" w:hAnsi="Times New Roman"/>
                <w:b w:val="0"/>
                <w:i w:val="0"/>
                <w:sz w:val="15"/>
              </w:rPr>
              <w:t>Milestone 2 (42 months)</w:t>
            </w:r>
          </w:p>
        </w:tc>
        <w:tc>
          <w:tcPr>
            <w:tcW w:type="dxa" w:w="1728"/>
          </w:tcPr>
          <w:p>
            <w:pPr>
              <w:spacing w:before="20" w:after="20" w:line="240" w:lineRule="auto"/>
            </w:pPr>
            <w:r/>
            <w:r>
              <w:rPr>
                <w:rFonts w:ascii="Times New Roman" w:hAnsi="Times New Roman"/>
                <w:b w:val="0"/>
                <w:i w:val="0"/>
                <w:sz w:val="15"/>
              </w:rPr>
              <w:t>April 1, 2029</w:t>
            </w:r>
          </w:p>
        </w:tc>
        <w:tc>
          <w:tcPr>
            <w:tcW w:type="dxa" w:w="3240"/>
          </w:tcPr>
          <w:p>
            <w:pPr>
              <w:spacing w:before="20" w:after="20" w:line="240" w:lineRule="auto"/>
            </w:pPr>
            <w:r/>
            <w:r>
              <w:rPr>
                <w:rFonts w:ascii="Times New Roman" w:hAnsi="Times New Roman"/>
                <w:b w:val="0"/>
                <w:i w:val="0"/>
                <w:sz w:val="15"/>
              </w:rPr>
              <w:t>October 1, 2025 + 42 months = April 1, 2029</w:t>
            </w:r>
          </w:p>
        </w:tc>
        <w:tc>
          <w:tcPr>
            <w:tcW w:type="dxa" w:w="1728"/>
          </w:tcPr>
          <w:p>
            <w:pPr>
              <w:spacing w:before="20" w:after="20" w:line="240" w:lineRule="auto"/>
            </w:pPr>
            <w:r/>
            <w:r>
              <w:rPr>
                <w:rFonts w:ascii="Times New Roman" w:hAnsi="Times New Roman"/>
                <w:b w:val="0"/>
                <w:i w:val="0"/>
                <w:sz w:val="15"/>
              </w:rPr>
              <w:t>Correct</w:t>
            </w:r>
          </w:p>
        </w:tc>
      </w:tr>
      <w:tr>
        <w:tc>
          <w:tcPr>
            <w:tcW w:type="dxa" w:w="432"/>
          </w:tcPr>
          <w:p>
            <w:pPr>
              <w:spacing w:before="20" w:after="20" w:line="240" w:lineRule="auto"/>
            </w:pPr>
            <w:r/>
            <w:r>
              <w:rPr>
                <w:rFonts w:ascii="Times New Roman" w:hAnsi="Times New Roman"/>
                <w:b w:val="0"/>
                <w:i w:val="0"/>
                <w:sz w:val="15"/>
              </w:rPr>
              <w:t>17</w:t>
            </w:r>
          </w:p>
        </w:tc>
        <w:tc>
          <w:tcPr>
            <w:tcW w:type="dxa" w:w="2232"/>
          </w:tcPr>
          <w:p>
            <w:pPr>
              <w:spacing w:before="20" w:after="20" w:line="240" w:lineRule="auto"/>
            </w:pPr>
            <w:r/>
            <w:r>
              <w:rPr>
                <w:rFonts w:ascii="Times New Roman" w:hAnsi="Times New Roman"/>
                <w:b w:val="0"/>
                <w:i w:val="0"/>
                <w:sz w:val="15"/>
              </w:rPr>
              <w:t>Milestone 3 (60 months)</w:t>
            </w:r>
          </w:p>
        </w:tc>
        <w:tc>
          <w:tcPr>
            <w:tcW w:type="dxa" w:w="1728"/>
          </w:tcPr>
          <w:p>
            <w:pPr>
              <w:spacing w:before="20" w:after="20" w:line="240" w:lineRule="auto"/>
            </w:pPr>
            <w:r/>
            <w:r>
              <w:rPr>
                <w:rFonts w:ascii="Times New Roman" w:hAnsi="Times New Roman"/>
                <w:b w:val="0"/>
                <w:i w:val="0"/>
                <w:sz w:val="15"/>
              </w:rPr>
              <w:t>October 1, 2030</w:t>
            </w:r>
          </w:p>
        </w:tc>
        <w:tc>
          <w:tcPr>
            <w:tcW w:type="dxa" w:w="3240"/>
          </w:tcPr>
          <w:p>
            <w:pPr>
              <w:spacing w:before="20" w:after="20" w:line="240" w:lineRule="auto"/>
            </w:pPr>
            <w:r/>
            <w:r>
              <w:rPr>
                <w:rFonts w:ascii="Times New Roman" w:hAnsi="Times New Roman"/>
                <w:b w:val="0"/>
                <w:i w:val="0"/>
                <w:sz w:val="15"/>
              </w:rPr>
              <w:t>October 1, 2025 + 60 months = October 1, 2030</w:t>
            </w:r>
          </w:p>
        </w:tc>
        <w:tc>
          <w:tcPr>
            <w:tcW w:type="dxa" w:w="1728"/>
          </w:tcPr>
          <w:p>
            <w:pPr>
              <w:spacing w:before="20" w:after="20" w:line="240" w:lineRule="auto"/>
            </w:pPr>
            <w:r/>
            <w:r>
              <w:rPr>
                <w:rFonts w:ascii="Times New Roman" w:hAnsi="Times New Roman"/>
                <w:b w:val="0"/>
                <w:i w:val="0"/>
                <w:sz w:val="15"/>
              </w:rPr>
              <w:t>Correct</w:t>
            </w:r>
          </w:p>
        </w:tc>
      </w:tr>
      <w:tr>
        <w:tc>
          <w:tcPr>
            <w:tcW w:type="dxa" w:w="432"/>
          </w:tcPr>
          <w:p>
            <w:pPr>
              <w:spacing w:before="20" w:after="20" w:line="240" w:lineRule="auto"/>
            </w:pPr>
            <w:r/>
            <w:r>
              <w:rPr>
                <w:rFonts w:ascii="Times New Roman" w:hAnsi="Times New Roman"/>
                <w:b w:val="0"/>
                <w:i w:val="0"/>
                <w:sz w:val="15"/>
              </w:rPr>
              <w:t>18</w:t>
            </w:r>
          </w:p>
        </w:tc>
        <w:tc>
          <w:tcPr>
            <w:tcW w:type="dxa" w:w="2232"/>
          </w:tcPr>
          <w:p>
            <w:pPr>
              <w:spacing w:before="20" w:after="20" w:line="240" w:lineRule="auto"/>
            </w:pPr>
            <w:r/>
            <w:r>
              <w:rPr>
                <w:rFonts w:ascii="Times New Roman" w:hAnsi="Times New Roman"/>
                <w:b w:val="0"/>
                <w:i w:val="0"/>
                <w:sz w:val="15"/>
              </w:rPr>
              <w:t>Milestone 4 (84 months)</w:t>
            </w:r>
          </w:p>
        </w:tc>
        <w:tc>
          <w:tcPr>
            <w:tcW w:type="dxa" w:w="1728"/>
          </w:tcPr>
          <w:p>
            <w:pPr>
              <w:spacing w:before="20" w:after="20" w:line="240" w:lineRule="auto"/>
            </w:pPr>
            <w:r/>
            <w:r>
              <w:rPr>
                <w:rFonts w:ascii="Times New Roman" w:hAnsi="Times New Roman"/>
                <w:b w:val="0"/>
                <w:i w:val="0"/>
                <w:sz w:val="15"/>
              </w:rPr>
              <w:t>October 1, 2032</w:t>
            </w:r>
          </w:p>
        </w:tc>
        <w:tc>
          <w:tcPr>
            <w:tcW w:type="dxa" w:w="3240"/>
          </w:tcPr>
          <w:p>
            <w:pPr>
              <w:spacing w:before="20" w:after="20" w:line="240" w:lineRule="auto"/>
            </w:pPr>
            <w:r/>
            <w:r>
              <w:rPr>
                <w:rFonts w:ascii="Times New Roman" w:hAnsi="Times New Roman"/>
                <w:b w:val="0"/>
                <w:i w:val="0"/>
                <w:sz w:val="15"/>
              </w:rPr>
              <w:t>October 1, 2025 + 84 months = October 1, 2032</w:t>
            </w:r>
          </w:p>
        </w:tc>
        <w:tc>
          <w:tcPr>
            <w:tcW w:type="dxa" w:w="1728"/>
          </w:tcPr>
          <w:p>
            <w:pPr>
              <w:spacing w:before="20" w:after="20" w:line="240" w:lineRule="auto"/>
            </w:pPr>
            <w:r/>
            <w:r>
              <w:rPr>
                <w:rFonts w:ascii="Times New Roman" w:hAnsi="Times New Roman"/>
                <w:b w:val="0"/>
                <w:i w:val="0"/>
                <w:sz w:val="15"/>
              </w:rPr>
              <w:t>Correct</w:t>
            </w:r>
          </w:p>
        </w:tc>
      </w:tr>
      <w:tr>
        <w:tc>
          <w:tcPr>
            <w:tcW w:type="dxa" w:w="432"/>
          </w:tcPr>
          <w:p>
            <w:pPr>
              <w:spacing w:before="20" w:after="20" w:line="240" w:lineRule="auto"/>
            </w:pPr>
            <w:r/>
            <w:r>
              <w:rPr>
                <w:rFonts w:ascii="Times New Roman" w:hAnsi="Times New Roman"/>
                <w:b w:val="0"/>
                <w:i w:val="0"/>
                <w:sz w:val="15"/>
              </w:rPr>
              <w:t>19</w:t>
            </w:r>
          </w:p>
        </w:tc>
        <w:tc>
          <w:tcPr>
            <w:tcW w:type="dxa" w:w="2232"/>
          </w:tcPr>
          <w:p>
            <w:pPr>
              <w:spacing w:before="20" w:after="20" w:line="240" w:lineRule="auto"/>
            </w:pPr>
            <w:r/>
            <w:r>
              <w:rPr>
                <w:rFonts w:ascii="Times New Roman" w:hAnsi="Times New Roman"/>
                <w:b w:val="0"/>
                <w:i w:val="0"/>
                <w:sz w:val="15"/>
              </w:rPr>
              <w:t>Rent Commencement (36 months)</w:t>
            </w:r>
          </w:p>
        </w:tc>
        <w:tc>
          <w:tcPr>
            <w:tcW w:type="dxa" w:w="1728"/>
          </w:tcPr>
          <w:p>
            <w:pPr>
              <w:spacing w:before="20" w:after="20" w:line="240" w:lineRule="auto"/>
            </w:pPr>
            <w:r/>
            <w:r>
              <w:rPr>
                <w:rFonts w:ascii="Times New Roman" w:hAnsi="Times New Roman"/>
                <w:b w:val="0"/>
                <w:i w:val="0"/>
                <w:sz w:val="15"/>
              </w:rPr>
              <w:t>October 1, 2028</w:t>
            </w:r>
          </w:p>
        </w:tc>
        <w:tc>
          <w:tcPr>
            <w:tcW w:type="dxa" w:w="3240"/>
          </w:tcPr>
          <w:p>
            <w:pPr>
              <w:spacing w:before="20" w:after="20" w:line="240" w:lineRule="auto"/>
            </w:pPr>
            <w:r/>
            <w:r>
              <w:rPr>
                <w:rFonts w:ascii="Times New Roman" w:hAnsi="Times New Roman"/>
                <w:b w:val="0"/>
                <w:i w:val="0"/>
                <w:sz w:val="15"/>
              </w:rPr>
              <w:t>October 1, 2025 + 36 months = October 1, 2028</w:t>
            </w:r>
          </w:p>
        </w:tc>
        <w:tc>
          <w:tcPr>
            <w:tcW w:type="dxa" w:w="1728"/>
          </w:tcPr>
          <w:p>
            <w:pPr>
              <w:spacing w:before="20" w:after="20" w:line="240" w:lineRule="auto"/>
            </w:pPr>
            <w:r/>
            <w:r>
              <w:rPr>
                <w:rFonts w:ascii="Times New Roman" w:hAnsi="Times New Roman"/>
                <w:b w:val="0"/>
                <w:i w:val="0"/>
                <w:sz w:val="15"/>
              </w:rPr>
              <w:t>Correct</w:t>
            </w:r>
          </w:p>
        </w:tc>
      </w:tr>
      <w:tr>
        <w:tc>
          <w:tcPr>
            <w:tcW w:type="dxa" w:w="432"/>
          </w:tcPr>
          <w:p>
            <w:pPr>
              <w:spacing w:before="20" w:after="20" w:line="240" w:lineRule="auto"/>
            </w:pPr>
            <w:r/>
            <w:r>
              <w:rPr>
                <w:rFonts w:ascii="Times New Roman" w:hAnsi="Times New Roman"/>
                <w:b w:val="0"/>
                <w:i w:val="0"/>
                <w:sz w:val="15"/>
              </w:rPr>
              <w:t>20</w:t>
            </w:r>
          </w:p>
        </w:tc>
        <w:tc>
          <w:tcPr>
            <w:tcW w:type="dxa" w:w="2232"/>
          </w:tcPr>
          <w:p>
            <w:pPr>
              <w:spacing w:before="20" w:after="20" w:line="240" w:lineRule="auto"/>
            </w:pPr>
            <w:r/>
            <w:r>
              <w:rPr>
                <w:rFonts w:ascii="Times New Roman" w:hAnsi="Times New Roman"/>
                <w:b w:val="0"/>
                <w:i w:val="0"/>
                <w:sz w:val="15"/>
              </w:rPr>
              <w:t>Expiration</w:t>
            </w:r>
          </w:p>
        </w:tc>
        <w:tc>
          <w:tcPr>
            <w:tcW w:type="dxa" w:w="1728"/>
          </w:tcPr>
          <w:p>
            <w:pPr>
              <w:spacing w:before="20" w:after="20" w:line="240" w:lineRule="auto"/>
            </w:pPr>
            <w:r/>
            <w:r>
              <w:rPr>
                <w:rFonts w:ascii="Times New Roman" w:hAnsi="Times New Roman"/>
                <w:b w:val="0"/>
                <w:i w:val="0"/>
                <w:sz w:val="15"/>
              </w:rPr>
              <w:t>September 30, 2124</w:t>
            </w:r>
          </w:p>
        </w:tc>
        <w:tc>
          <w:tcPr>
            <w:tcW w:type="dxa" w:w="3240"/>
          </w:tcPr>
          <w:p>
            <w:pPr>
              <w:spacing w:before="20" w:after="20" w:line="240" w:lineRule="auto"/>
            </w:pPr>
            <w:r/>
            <w:r>
              <w:rPr>
                <w:rFonts w:ascii="Times New Roman" w:hAnsi="Times New Roman"/>
                <w:b w:val="0"/>
                <w:i w:val="0"/>
                <w:sz w:val="15"/>
              </w:rPr>
              <w:t>99 years from October 1, 2025 = September 30, 2124</w:t>
            </w:r>
          </w:p>
        </w:tc>
        <w:tc>
          <w:tcPr>
            <w:tcW w:type="dxa" w:w="1728"/>
          </w:tcPr>
          <w:p>
            <w:pPr>
              <w:spacing w:before="20" w:after="20" w:line="240" w:lineRule="auto"/>
            </w:pPr>
            <w:r/>
            <w:r>
              <w:rPr>
                <w:rFonts w:ascii="Times New Roman" w:hAnsi="Times New Roman"/>
                <w:b w:val="0"/>
                <w:i w:val="0"/>
                <w:sz w:val="15"/>
              </w:rPr>
              <w:t>Correct</w:t>
            </w:r>
          </w:p>
        </w:tc>
      </w:tr>
      <w:tr>
        <w:tc>
          <w:tcPr>
            <w:tcW w:type="dxa" w:w="432"/>
          </w:tcPr>
          <w:p>
            <w:pPr>
              <w:spacing w:before="20" w:after="20" w:line="240" w:lineRule="auto"/>
            </w:pPr>
            <w:r/>
            <w:r>
              <w:rPr>
                <w:rFonts w:ascii="Times New Roman" w:hAnsi="Times New Roman"/>
                <w:b w:val="0"/>
                <w:i w:val="0"/>
                <w:sz w:val="15"/>
              </w:rPr>
              <w:t>21</w:t>
            </w:r>
          </w:p>
        </w:tc>
        <w:tc>
          <w:tcPr>
            <w:tcW w:type="dxa" w:w="2232"/>
          </w:tcPr>
          <w:p>
            <w:pPr>
              <w:spacing w:before="20" w:after="20" w:line="240" w:lineRule="auto"/>
            </w:pPr>
            <w:r/>
            <w:r>
              <w:rPr>
                <w:rFonts w:ascii="Times New Roman" w:hAnsi="Times New Roman"/>
                <w:b w:val="0"/>
                <w:i w:val="0"/>
                <w:sz w:val="15"/>
              </w:rPr>
              <w:t>ROFR period (20 years)</w:t>
            </w:r>
          </w:p>
        </w:tc>
        <w:tc>
          <w:tcPr>
            <w:tcW w:type="dxa" w:w="1728"/>
          </w:tcPr>
          <w:p>
            <w:pPr>
              <w:spacing w:before="20" w:after="20" w:line="240" w:lineRule="auto"/>
            </w:pPr>
            <w:r/>
            <w:r>
              <w:rPr>
                <w:rFonts w:ascii="Times New Roman" w:hAnsi="Times New Roman"/>
                <w:b w:val="0"/>
                <w:i w:val="0"/>
                <w:sz w:val="15"/>
              </w:rPr>
              <w:t>through September 30, 2045</w:t>
            </w:r>
          </w:p>
        </w:tc>
        <w:tc>
          <w:tcPr>
            <w:tcW w:type="dxa" w:w="3240"/>
          </w:tcPr>
          <w:p>
            <w:pPr>
              <w:spacing w:before="20" w:after="20" w:line="240" w:lineRule="auto"/>
            </w:pPr>
            <w:r/>
            <w:r>
              <w:rPr>
                <w:rFonts w:ascii="Times New Roman" w:hAnsi="Times New Roman"/>
                <w:b w:val="0"/>
                <w:i w:val="0"/>
                <w:sz w:val="15"/>
              </w:rPr>
              <w:t>October 1, 2025 + 20 years = September 30, 2045</w:t>
            </w:r>
          </w:p>
        </w:tc>
        <w:tc>
          <w:tcPr>
            <w:tcW w:type="dxa" w:w="1728"/>
          </w:tcPr>
          <w:p>
            <w:pPr>
              <w:spacing w:before="20" w:after="20" w:line="240" w:lineRule="auto"/>
            </w:pPr>
            <w:r/>
            <w:r>
              <w:rPr>
                <w:rFonts w:ascii="Times New Roman" w:hAnsi="Times New Roman"/>
                <w:b w:val="0"/>
                <w:i w:val="0"/>
                <w:sz w:val="15"/>
              </w:rPr>
              <w:t>Correct</w:t>
            </w:r>
          </w:p>
        </w:tc>
      </w:tr>
      <w:tr>
        <w:tc>
          <w:tcPr>
            <w:tcW w:type="dxa" w:w="432"/>
          </w:tcPr>
          <w:p>
            <w:pPr>
              <w:spacing w:before="20" w:after="20" w:line="240" w:lineRule="auto"/>
            </w:pPr>
            <w:r/>
            <w:r>
              <w:rPr>
                <w:rFonts w:ascii="Times New Roman" w:hAnsi="Times New Roman"/>
                <w:b w:val="0"/>
                <w:i w:val="0"/>
                <w:sz w:val="15"/>
              </w:rPr>
              <w:t>22</w:t>
            </w:r>
          </w:p>
        </w:tc>
        <w:tc>
          <w:tcPr>
            <w:tcW w:type="dxa" w:w="2232"/>
          </w:tcPr>
          <w:p>
            <w:pPr>
              <w:spacing w:before="20" w:after="20" w:line="240" w:lineRule="auto"/>
            </w:pPr>
            <w:r/>
            <w:r>
              <w:rPr>
                <w:rFonts w:ascii="Times New Roman" w:hAnsi="Times New Roman"/>
                <w:b w:val="0"/>
                <w:i w:val="0"/>
                <w:sz w:val="15"/>
              </w:rPr>
              <w:t>Alteration restriction (final 10 years)</w:t>
            </w:r>
          </w:p>
        </w:tc>
        <w:tc>
          <w:tcPr>
            <w:tcW w:type="dxa" w:w="1728"/>
          </w:tcPr>
          <w:p>
            <w:pPr>
              <w:spacing w:before="20" w:after="20" w:line="240" w:lineRule="auto"/>
            </w:pPr>
            <w:r/>
            <w:r>
              <w:rPr>
                <w:rFonts w:ascii="Times New Roman" w:hAnsi="Times New Roman"/>
                <w:b w:val="0"/>
                <w:i w:val="0"/>
                <w:sz w:val="15"/>
              </w:rPr>
              <w:t>from October 1, 2114</w:t>
            </w:r>
          </w:p>
        </w:tc>
        <w:tc>
          <w:tcPr>
            <w:tcW w:type="dxa" w:w="3240"/>
          </w:tcPr>
          <w:p>
            <w:pPr>
              <w:spacing w:before="20" w:after="20" w:line="240" w:lineRule="auto"/>
            </w:pPr>
            <w:r/>
            <w:r>
              <w:rPr>
                <w:rFonts w:ascii="Times New Roman" w:hAnsi="Times New Roman"/>
                <w:b w:val="0"/>
                <w:i w:val="0"/>
                <w:sz w:val="15"/>
              </w:rPr>
              <w:t>October 1, 2124 − 10 years = October 1, 2114</w:t>
            </w:r>
          </w:p>
        </w:tc>
        <w:tc>
          <w:tcPr>
            <w:tcW w:type="dxa" w:w="1728"/>
          </w:tcPr>
          <w:p>
            <w:pPr>
              <w:spacing w:before="20" w:after="20" w:line="240" w:lineRule="auto"/>
            </w:pPr>
            <w:r/>
            <w:r>
              <w:rPr>
                <w:rFonts w:ascii="Times New Roman" w:hAnsi="Times New Roman"/>
                <w:b w:val="0"/>
                <w:i w:val="0"/>
                <w:sz w:val="15"/>
              </w:rPr>
              <w:t>Correct</w:t>
            </w:r>
          </w:p>
        </w:tc>
      </w:tr>
      <w:tr>
        <w:tc>
          <w:tcPr>
            <w:tcW w:type="dxa" w:w="432"/>
          </w:tcPr>
          <w:p>
            <w:pPr>
              <w:spacing w:before="20" w:after="20" w:line="240" w:lineRule="auto"/>
            </w:pPr>
            <w:r/>
            <w:r>
              <w:rPr>
                <w:rFonts w:ascii="Times New Roman" w:hAnsi="Times New Roman"/>
                <w:b w:val="0"/>
                <w:i w:val="0"/>
                <w:sz w:val="15"/>
              </w:rPr>
              <w:t>23</w:t>
            </w:r>
          </w:p>
        </w:tc>
        <w:tc>
          <w:tcPr>
            <w:tcW w:type="dxa" w:w="2232"/>
          </w:tcPr>
          <w:p>
            <w:pPr>
              <w:spacing w:before="20" w:after="20" w:line="240" w:lineRule="auto"/>
            </w:pPr>
            <w:r/>
            <w:r>
              <w:rPr>
                <w:rFonts w:ascii="Times New Roman" w:hAnsi="Times New Roman"/>
                <w:b w:val="0"/>
                <w:i w:val="0"/>
                <w:sz w:val="15"/>
              </w:rPr>
              <w:t>Force majeure cap</w:t>
            </w:r>
          </w:p>
        </w:tc>
        <w:tc>
          <w:tcPr>
            <w:tcW w:type="dxa" w:w="1728"/>
          </w:tcPr>
          <w:p>
            <w:pPr>
              <w:spacing w:before="20" w:after="20" w:line="240" w:lineRule="auto"/>
            </w:pPr>
            <w:r/>
            <w:r>
              <w:rPr>
                <w:rFonts w:ascii="Times New Roman" w:hAnsi="Times New Roman"/>
                <w:b w:val="0"/>
                <w:i w:val="0"/>
                <w:sz w:val="15"/>
              </w:rPr>
              <w:t>12 months FM + 6 months permitting; aggregate 18</w:t>
            </w:r>
          </w:p>
        </w:tc>
        <w:tc>
          <w:tcPr>
            <w:tcW w:type="dxa" w:w="3240"/>
          </w:tcPr>
          <w:p>
            <w:pPr>
              <w:spacing w:before="20" w:after="20" w:line="240" w:lineRule="auto"/>
            </w:pPr>
            <w:r/>
            <w:r>
              <w:rPr>
                <w:rFonts w:ascii="Times New Roman" w:hAnsi="Times New Roman"/>
                <w:b w:val="0"/>
                <w:i w:val="0"/>
                <w:sz w:val="15"/>
              </w:rPr>
              <w:t>12 + 6 = 18</w:t>
            </w:r>
          </w:p>
        </w:tc>
        <w:tc>
          <w:tcPr>
            <w:tcW w:type="dxa" w:w="1728"/>
          </w:tcPr>
          <w:p>
            <w:pPr>
              <w:spacing w:before="20" w:after="20" w:line="240" w:lineRule="auto"/>
            </w:pPr>
            <w:r/>
            <w:r>
              <w:rPr>
                <w:rFonts w:ascii="Times New Roman" w:hAnsi="Times New Roman"/>
                <w:b w:val="0"/>
                <w:i w:val="0"/>
                <w:sz w:val="15"/>
              </w:rPr>
              <w:t>Correct</w:t>
            </w:r>
          </w:p>
        </w:tc>
      </w:tr>
      <w:tr>
        <w:tc>
          <w:tcPr>
            <w:tcW w:type="dxa" w:w="432"/>
          </w:tcPr>
          <w:p>
            <w:pPr>
              <w:spacing w:before="20" w:after="20" w:line="240" w:lineRule="auto"/>
            </w:pPr>
            <w:r/>
            <w:r>
              <w:rPr>
                <w:rFonts w:ascii="Times New Roman" w:hAnsi="Times New Roman"/>
                <w:b w:val="0"/>
                <w:i w:val="0"/>
                <w:sz w:val="15"/>
              </w:rPr>
              <w:t>24</w:t>
            </w:r>
          </w:p>
        </w:tc>
        <w:tc>
          <w:tcPr>
            <w:tcW w:type="dxa" w:w="2232"/>
          </w:tcPr>
          <w:p>
            <w:pPr>
              <w:spacing w:before="20" w:after="20" w:line="240" w:lineRule="auto"/>
            </w:pPr>
            <w:r/>
            <w:r>
              <w:rPr>
                <w:rFonts w:ascii="Times New Roman" w:hAnsi="Times New Roman"/>
                <w:b w:val="0"/>
                <w:i w:val="0"/>
                <w:sz w:val="15"/>
              </w:rPr>
              <w:t>Title commitment expiration</w:t>
            </w:r>
          </w:p>
        </w:tc>
        <w:tc>
          <w:tcPr>
            <w:tcW w:type="dxa" w:w="1728"/>
          </w:tcPr>
          <w:p>
            <w:pPr>
              <w:spacing w:before="20" w:after="20" w:line="240" w:lineRule="auto"/>
            </w:pPr>
            <w:r/>
            <w:r>
              <w:rPr>
                <w:rFonts w:ascii="Times New Roman" w:hAnsi="Times New Roman"/>
                <w:b w:val="0"/>
                <w:i w:val="0"/>
                <w:sz w:val="15"/>
              </w:rPr>
              <w:t>December 1, 2025</w:t>
            </w:r>
          </w:p>
        </w:tc>
        <w:tc>
          <w:tcPr>
            <w:tcW w:type="dxa" w:w="3240"/>
          </w:tcPr>
          <w:p>
            <w:pPr>
              <w:spacing w:before="20" w:after="20" w:line="240" w:lineRule="auto"/>
            </w:pPr>
            <w:r/>
            <w:r>
              <w:rPr>
                <w:rFonts w:ascii="Times New Roman" w:hAnsi="Times New Roman"/>
                <w:b w:val="0"/>
                <w:i w:val="0"/>
                <w:sz w:val="15"/>
              </w:rPr>
              <w:t>June 1, 2025 + 6 months = December 1, 2025</w:t>
            </w:r>
          </w:p>
        </w:tc>
        <w:tc>
          <w:tcPr>
            <w:tcW w:type="dxa" w:w="1728"/>
          </w:tcPr>
          <w:p>
            <w:pPr>
              <w:spacing w:before="20" w:after="20" w:line="240" w:lineRule="auto"/>
            </w:pPr>
            <w:r/>
            <w:r>
              <w:rPr>
                <w:rFonts w:ascii="Times New Roman" w:hAnsi="Times New Roman"/>
                <w:b w:val="0"/>
                <w:i w:val="0"/>
                <w:sz w:val="15"/>
              </w:rPr>
              <w:t>Correct — but see Part 6.14</w:t>
            </w:r>
          </w:p>
        </w:tc>
      </w:tr>
      <w:tr>
        <w:tc>
          <w:tcPr>
            <w:tcW w:type="dxa" w:w="432"/>
          </w:tcPr>
          <w:p>
            <w:pPr>
              <w:spacing w:before="20" w:after="20" w:line="240" w:lineRule="auto"/>
            </w:pPr>
            <w:r/>
            <w:r>
              <w:rPr>
                <w:rFonts w:ascii="Times New Roman" w:hAnsi="Times New Roman"/>
                <w:b w:val="0"/>
                <w:i w:val="0"/>
                <w:sz w:val="15"/>
              </w:rPr>
              <w:t>25</w:t>
            </w:r>
          </w:p>
        </w:tc>
        <w:tc>
          <w:tcPr>
            <w:tcW w:type="dxa" w:w="2232"/>
          </w:tcPr>
          <w:p>
            <w:pPr>
              <w:spacing w:before="20" w:after="20" w:line="240" w:lineRule="auto"/>
            </w:pPr>
            <w:r/>
            <w:r>
              <w:rPr>
                <w:rFonts w:ascii="Times New Roman" w:hAnsi="Times New Roman"/>
                <w:b w:val="0"/>
                <w:i w:val="0"/>
                <w:sz w:val="15"/>
              </w:rPr>
              <w:t>Bayside term sheet expiration</w:t>
            </w:r>
          </w:p>
        </w:tc>
        <w:tc>
          <w:tcPr>
            <w:tcW w:type="dxa" w:w="1728"/>
          </w:tcPr>
          <w:p>
            <w:pPr>
              <w:spacing w:before="20" w:after="20" w:line="240" w:lineRule="auto"/>
            </w:pPr>
            <w:r/>
            <w:r>
              <w:rPr>
                <w:rFonts w:ascii="Times New Roman" w:hAnsi="Times New Roman"/>
                <w:b w:val="0"/>
                <w:i w:val="0"/>
                <w:sz w:val="15"/>
              </w:rPr>
              <w:t>June 27, 2025</w:t>
            </w:r>
          </w:p>
        </w:tc>
        <w:tc>
          <w:tcPr>
            <w:tcW w:type="dxa" w:w="3240"/>
          </w:tcPr>
          <w:p>
            <w:pPr>
              <w:spacing w:before="20" w:after="20" w:line="240" w:lineRule="auto"/>
            </w:pPr>
            <w:r/>
            <w:r>
              <w:rPr>
                <w:rFonts w:ascii="Times New Roman" w:hAnsi="Times New Roman"/>
                <w:b w:val="0"/>
                <w:i w:val="0"/>
                <w:sz w:val="15"/>
              </w:rPr>
              <w:t>May 28, 2025 + 30 days = June 27, 2025</w:t>
            </w:r>
          </w:p>
        </w:tc>
        <w:tc>
          <w:tcPr>
            <w:tcW w:type="dxa" w:w="1728"/>
          </w:tcPr>
          <w:p>
            <w:pPr>
              <w:spacing w:before="20" w:after="20" w:line="240" w:lineRule="auto"/>
            </w:pPr>
            <w:r/>
            <w:r>
              <w:rPr>
                <w:rFonts w:ascii="Times New Roman" w:hAnsi="Times New Roman"/>
                <w:b w:val="0"/>
                <w:i w:val="0"/>
                <w:sz w:val="15"/>
              </w:rPr>
              <w:t>Correct — confirm execution</w:t>
            </w:r>
          </w:p>
        </w:tc>
      </w:tr>
    </w:tbl>
    <w:p>
      <w:pPr>
        <w:spacing w:after="40" w:before="0"/>
      </w:pPr>
    </w:p>
    <w:p>
      <w:pPr>
        <w:keepNext/>
        <w:spacing w:before="240" w:after="100"/>
        <w:ind w:left="0"/>
      </w:pPr>
      <w:r>
        <w:rPr>
          <w:rFonts w:ascii="Times New Roman" w:hAnsi="Times New Roman"/>
          <w:b/>
          <w:i w:val="0"/>
          <w:sz w:val="21"/>
        </w:rPr>
        <w:t>2.6  The Phase II cost estimate contains two arithmetic errors</w:t>
      </w:r>
    </w:p>
    <w:p>
      <w:pPr>
        <w:spacing w:after="120"/>
        <w:ind w:left="0"/>
        <w:jc w:val="both"/>
      </w:pPr>
      <w:r>
        <w:rPr>
          <w:rFonts w:ascii="Times New Roman" w:hAnsi="Times New Roman"/>
          <w:b w:val="0"/>
          <w:i w:val="0"/>
        </w:rPr>
        <w:t>This is a small point with a real consequence, because the $2,400,000 total is the number the credit is built on. In each of Halcyon's two cost tables the line labelled "Contingency (10%)" is not 10%:</w:t>
      </w:r>
    </w:p>
    <w:tbl>
      <w:tblPr>
        <w:tblStyle w:val="TableGrid"/>
        <w:tblW w:type="auto" w:w="0"/>
        <w:jc w:val="center"/>
        <w:tblLayout w:type="fixed"/>
        <w:tblLook w:firstColumn="1" w:firstRow="1" w:lastColumn="0" w:lastRow="0" w:noHBand="0" w:noVBand="1" w:val="04A0"/>
        <w:tblLayout w:type="fixed"/>
        <w:tblW w:type="dxa" w:w="9432"/>
        <w:tblCellMar>
          <w:top w:w="20" w:type="dxa"/>
          <w:left w:w="60" w:type="dxa"/>
          <w:bottom w:w="20" w:type="dxa"/>
          <w:right w:w="60" w:type="dxa"/>
        </w:tblCellMar>
      </w:tblPr>
      <w:tblGrid>
        <w:gridCol w:w="1944"/>
        <w:gridCol w:w="1800"/>
        <w:gridCol w:w="1656"/>
        <w:gridCol w:w="1512"/>
        <w:gridCol w:w="1224"/>
        <w:gridCol w:w="1296"/>
      </w:tblGrid>
      <w:tr>
        <w:trPr>
          <w:tblHeader w:val="true"/>
        </w:trPr>
        <w:tc>
          <w:tcPr>
            <w:tcW w:type="dxa" w:w="1944"/>
            <w:shd w:val="clear" w:color="auto" w:fill="D9D9D9"/>
          </w:tcPr>
          <w:p>
            <w:pPr>
              <w:spacing w:before="20" w:after="20" w:line="240" w:lineRule="auto"/>
            </w:pPr>
            <w:r/>
            <w:r>
              <w:rPr>
                <w:rFonts w:ascii="Times New Roman" w:hAnsi="Times New Roman"/>
                <w:b/>
                <w:i w:val="0"/>
                <w:sz w:val="15"/>
              </w:rPr>
              <w:t>Area</w:t>
            </w:r>
          </w:p>
        </w:tc>
        <w:tc>
          <w:tcPr>
            <w:tcW w:type="dxa" w:w="1800"/>
            <w:shd w:val="clear" w:color="auto" w:fill="D9D9D9"/>
          </w:tcPr>
          <w:p>
            <w:pPr>
              <w:spacing w:before="20" w:after="20" w:line="240" w:lineRule="auto"/>
            </w:pPr>
            <w:r/>
            <w:r>
              <w:rPr>
                <w:rFonts w:ascii="Times New Roman" w:hAnsi="Times New Roman"/>
                <w:b/>
                <w:i w:val="0"/>
                <w:sz w:val="15"/>
              </w:rPr>
              <w:t>Cost components (sum)</w:t>
            </w:r>
          </w:p>
        </w:tc>
        <w:tc>
          <w:tcPr>
            <w:tcW w:type="dxa" w:w="1656"/>
            <w:shd w:val="clear" w:color="auto" w:fill="D9D9D9"/>
          </w:tcPr>
          <w:p>
            <w:pPr>
              <w:spacing w:before="20" w:after="20" w:line="240" w:lineRule="auto"/>
            </w:pPr>
            <w:r/>
            <w:r>
              <w:rPr>
                <w:rFonts w:ascii="Times New Roman" w:hAnsi="Times New Roman"/>
                <w:b/>
                <w:i w:val="0"/>
                <w:sz w:val="15"/>
              </w:rPr>
              <w:t>Stated contingency</w:t>
            </w:r>
          </w:p>
        </w:tc>
        <w:tc>
          <w:tcPr>
            <w:tcW w:type="dxa" w:w="1512"/>
            <w:shd w:val="clear" w:color="auto" w:fill="D9D9D9"/>
          </w:tcPr>
          <w:p>
            <w:pPr>
              <w:spacing w:before="20" w:after="20" w:line="240" w:lineRule="auto"/>
            </w:pPr>
            <w:r/>
            <w:r>
              <w:rPr>
                <w:rFonts w:ascii="Times New Roman" w:hAnsi="Times New Roman"/>
                <w:b/>
                <w:i w:val="0"/>
                <w:sz w:val="15"/>
              </w:rPr>
              <w:t>Stated "10%" would be</w:t>
            </w:r>
          </w:p>
        </w:tc>
        <w:tc>
          <w:tcPr>
            <w:tcW w:type="dxa" w:w="1224"/>
            <w:shd w:val="clear" w:color="auto" w:fill="D9D9D9"/>
          </w:tcPr>
          <w:p>
            <w:pPr>
              <w:spacing w:before="20" w:after="20" w:line="240" w:lineRule="auto"/>
            </w:pPr>
            <w:r/>
            <w:r>
              <w:rPr>
                <w:rFonts w:ascii="Times New Roman" w:hAnsi="Times New Roman"/>
                <w:b/>
                <w:i w:val="0"/>
                <w:sz w:val="15"/>
              </w:rPr>
              <w:t>Stated total</w:t>
            </w:r>
          </w:p>
        </w:tc>
        <w:tc>
          <w:tcPr>
            <w:tcW w:type="dxa" w:w="1296"/>
            <w:shd w:val="clear" w:color="auto" w:fill="D9D9D9"/>
          </w:tcPr>
          <w:p>
            <w:pPr>
              <w:spacing w:before="20" w:after="20" w:line="240" w:lineRule="auto"/>
            </w:pPr>
            <w:r/>
            <w:r>
              <w:rPr>
                <w:rFonts w:ascii="Times New Roman" w:hAnsi="Times New Roman"/>
                <w:b/>
                <w:i w:val="0"/>
                <w:sz w:val="15"/>
              </w:rPr>
              <w:t>Total if 10% applied</w:t>
            </w:r>
          </w:p>
        </w:tc>
      </w:tr>
      <w:tr>
        <w:tc>
          <w:tcPr>
            <w:tcW w:type="dxa" w:w="1944"/>
          </w:tcPr>
          <w:p>
            <w:pPr>
              <w:spacing w:before="20" w:after="20" w:line="240" w:lineRule="auto"/>
            </w:pPr>
            <w:r/>
            <w:r>
              <w:rPr>
                <w:rFonts w:ascii="Times New Roman" w:hAnsi="Times New Roman"/>
                <w:b w:val="0"/>
                <w:i w:val="0"/>
                <w:sz w:val="15"/>
              </w:rPr>
              <w:t>Area 1 — Northwest Corner</w:t>
            </w:r>
          </w:p>
        </w:tc>
        <w:tc>
          <w:tcPr>
            <w:tcW w:type="dxa" w:w="1800"/>
          </w:tcPr>
          <w:p>
            <w:pPr>
              <w:spacing w:before="20" w:after="20" w:line="240" w:lineRule="auto"/>
              <w:jc w:val="right"/>
            </w:pPr>
            <w:r/>
            <w:r>
              <w:rPr>
                <w:rFonts w:ascii="Times New Roman" w:hAnsi="Times New Roman"/>
                <w:b w:val="0"/>
                <w:i w:val="0"/>
                <w:sz w:val="15"/>
              </w:rPr>
              <w:t>$1,750,000</w:t>
            </w:r>
          </w:p>
        </w:tc>
        <w:tc>
          <w:tcPr>
            <w:tcW w:type="dxa" w:w="1656"/>
          </w:tcPr>
          <w:p>
            <w:pPr>
              <w:spacing w:before="20" w:after="20" w:line="240" w:lineRule="auto"/>
              <w:jc w:val="right"/>
            </w:pPr>
            <w:r/>
            <w:r>
              <w:rPr>
                <w:rFonts w:ascii="Times New Roman" w:hAnsi="Times New Roman"/>
                <w:b w:val="0"/>
                <w:i w:val="0"/>
                <w:sz w:val="15"/>
              </w:rPr>
              <w:t>$100,000 (5.71%)</w:t>
            </w:r>
          </w:p>
        </w:tc>
        <w:tc>
          <w:tcPr>
            <w:tcW w:type="dxa" w:w="1512"/>
          </w:tcPr>
          <w:p>
            <w:pPr>
              <w:spacing w:before="20" w:after="20" w:line="240" w:lineRule="auto"/>
              <w:jc w:val="right"/>
            </w:pPr>
            <w:r/>
            <w:r>
              <w:rPr>
                <w:rFonts w:ascii="Times New Roman" w:hAnsi="Times New Roman"/>
                <w:b w:val="0"/>
                <w:i w:val="0"/>
                <w:sz w:val="15"/>
              </w:rPr>
              <w:t>$175,000</w:t>
            </w:r>
          </w:p>
        </w:tc>
        <w:tc>
          <w:tcPr>
            <w:tcW w:type="dxa" w:w="1224"/>
          </w:tcPr>
          <w:p>
            <w:pPr>
              <w:spacing w:before="20" w:after="20" w:line="240" w:lineRule="auto"/>
              <w:jc w:val="right"/>
            </w:pPr>
            <w:r/>
            <w:r>
              <w:rPr>
                <w:rFonts w:ascii="Times New Roman" w:hAnsi="Times New Roman"/>
                <w:b w:val="0"/>
                <w:i w:val="0"/>
                <w:sz w:val="15"/>
              </w:rPr>
              <w:t>$1,850,000</w:t>
            </w:r>
          </w:p>
        </w:tc>
        <w:tc>
          <w:tcPr>
            <w:tcW w:type="dxa" w:w="1296"/>
          </w:tcPr>
          <w:p>
            <w:pPr>
              <w:spacing w:before="20" w:after="20" w:line="240" w:lineRule="auto"/>
              <w:jc w:val="right"/>
            </w:pPr>
            <w:r/>
            <w:r>
              <w:rPr>
                <w:rFonts w:ascii="Times New Roman" w:hAnsi="Times New Roman"/>
                <w:b w:val="0"/>
                <w:i w:val="0"/>
                <w:sz w:val="15"/>
              </w:rPr>
              <w:t>$1,925,000</w:t>
            </w:r>
          </w:p>
        </w:tc>
      </w:tr>
      <w:tr>
        <w:tc>
          <w:tcPr>
            <w:tcW w:type="dxa" w:w="1944"/>
          </w:tcPr>
          <w:p>
            <w:pPr>
              <w:spacing w:before="20" w:after="20" w:line="240" w:lineRule="auto"/>
            </w:pPr>
            <w:r/>
            <w:r>
              <w:rPr>
                <w:rFonts w:ascii="Times New Roman" w:hAnsi="Times New Roman"/>
                <w:b w:val="0"/>
                <w:i w:val="0"/>
                <w:sz w:val="15"/>
              </w:rPr>
              <w:t>Area 2 — Former Dry Dock</w:t>
            </w:r>
          </w:p>
        </w:tc>
        <w:tc>
          <w:tcPr>
            <w:tcW w:type="dxa" w:w="1800"/>
          </w:tcPr>
          <w:p>
            <w:pPr>
              <w:spacing w:before="20" w:after="20" w:line="240" w:lineRule="auto"/>
              <w:jc w:val="right"/>
            </w:pPr>
            <w:r/>
            <w:r>
              <w:rPr>
                <w:rFonts w:ascii="Times New Roman" w:hAnsi="Times New Roman"/>
                <w:b w:val="0"/>
                <w:i w:val="0"/>
                <w:sz w:val="15"/>
              </w:rPr>
              <w:t>$525,000</w:t>
            </w:r>
          </w:p>
        </w:tc>
        <w:tc>
          <w:tcPr>
            <w:tcW w:type="dxa" w:w="1656"/>
          </w:tcPr>
          <w:p>
            <w:pPr>
              <w:spacing w:before="20" w:after="20" w:line="240" w:lineRule="auto"/>
              <w:jc w:val="right"/>
            </w:pPr>
            <w:r/>
            <w:r>
              <w:rPr>
                <w:rFonts w:ascii="Times New Roman" w:hAnsi="Times New Roman"/>
                <w:b w:val="0"/>
                <w:i w:val="0"/>
                <w:sz w:val="15"/>
              </w:rPr>
              <w:t>$25,000 (4.76%)</w:t>
            </w:r>
          </w:p>
        </w:tc>
        <w:tc>
          <w:tcPr>
            <w:tcW w:type="dxa" w:w="1512"/>
          </w:tcPr>
          <w:p>
            <w:pPr>
              <w:spacing w:before="20" w:after="20" w:line="240" w:lineRule="auto"/>
              <w:jc w:val="right"/>
            </w:pPr>
            <w:r/>
            <w:r>
              <w:rPr>
                <w:rFonts w:ascii="Times New Roman" w:hAnsi="Times New Roman"/>
                <w:b w:val="0"/>
                <w:i w:val="0"/>
                <w:sz w:val="15"/>
              </w:rPr>
              <w:t>$52,500</w:t>
            </w:r>
          </w:p>
        </w:tc>
        <w:tc>
          <w:tcPr>
            <w:tcW w:type="dxa" w:w="1224"/>
          </w:tcPr>
          <w:p>
            <w:pPr>
              <w:spacing w:before="20" w:after="20" w:line="240" w:lineRule="auto"/>
              <w:jc w:val="right"/>
            </w:pPr>
            <w:r/>
            <w:r>
              <w:rPr>
                <w:rFonts w:ascii="Times New Roman" w:hAnsi="Times New Roman"/>
                <w:b w:val="0"/>
                <w:i w:val="0"/>
                <w:sz w:val="15"/>
              </w:rPr>
              <w:t>$550,000</w:t>
            </w:r>
          </w:p>
        </w:tc>
        <w:tc>
          <w:tcPr>
            <w:tcW w:type="dxa" w:w="1296"/>
          </w:tcPr>
          <w:p>
            <w:pPr>
              <w:spacing w:before="20" w:after="20" w:line="240" w:lineRule="auto"/>
              <w:jc w:val="right"/>
            </w:pPr>
            <w:r/>
            <w:r>
              <w:rPr>
                <w:rFonts w:ascii="Times New Roman" w:hAnsi="Times New Roman"/>
                <w:b w:val="0"/>
                <w:i w:val="0"/>
                <w:sz w:val="15"/>
              </w:rPr>
              <w:t>$577,500</w:t>
            </w:r>
          </w:p>
        </w:tc>
      </w:tr>
      <w:tr>
        <w:tc>
          <w:tcPr>
            <w:tcW w:type="dxa" w:w="1944"/>
          </w:tcPr>
          <w:p>
            <w:pPr>
              <w:spacing w:before="20" w:after="20" w:line="240" w:lineRule="auto"/>
            </w:pPr>
            <w:r/>
            <w:r>
              <w:rPr>
                <w:rFonts w:ascii="Times New Roman" w:hAnsi="Times New Roman"/>
                <w:b w:val="0"/>
                <w:i w:val="0"/>
                <w:sz w:val="15"/>
              </w:rPr>
              <w:t>Combined</w:t>
            </w:r>
          </w:p>
        </w:tc>
        <w:tc>
          <w:tcPr>
            <w:tcW w:type="dxa" w:w="1800"/>
          </w:tcPr>
          <w:p>
            <w:pPr>
              <w:spacing w:before="20" w:after="20" w:line="240" w:lineRule="auto"/>
              <w:jc w:val="right"/>
            </w:pPr>
            <w:r/>
            <w:r>
              <w:rPr>
                <w:rFonts w:ascii="Times New Roman" w:hAnsi="Times New Roman"/>
                <w:b w:val="0"/>
                <w:i w:val="0"/>
                <w:sz w:val="15"/>
              </w:rPr>
              <w:t>$2,275,000</w:t>
            </w:r>
          </w:p>
        </w:tc>
        <w:tc>
          <w:tcPr>
            <w:tcW w:type="dxa" w:w="1656"/>
          </w:tcPr>
          <w:p>
            <w:pPr>
              <w:spacing w:before="20" w:after="20" w:line="240" w:lineRule="auto"/>
              <w:jc w:val="right"/>
            </w:pPr>
            <w:r/>
            <w:r>
              <w:rPr>
                <w:rFonts w:ascii="Times New Roman" w:hAnsi="Times New Roman"/>
                <w:b w:val="0"/>
                <w:i w:val="0"/>
                <w:sz w:val="15"/>
              </w:rPr>
              <w:t>$125,000 (5.49%)</w:t>
            </w:r>
          </w:p>
        </w:tc>
        <w:tc>
          <w:tcPr>
            <w:tcW w:type="dxa" w:w="1512"/>
          </w:tcPr>
          <w:p>
            <w:pPr>
              <w:spacing w:before="20" w:after="20" w:line="240" w:lineRule="auto"/>
              <w:jc w:val="right"/>
            </w:pPr>
            <w:r/>
            <w:r>
              <w:rPr>
                <w:rFonts w:ascii="Times New Roman" w:hAnsi="Times New Roman"/>
                <w:b w:val="0"/>
                <w:i w:val="0"/>
                <w:sz w:val="15"/>
              </w:rPr>
              <w:t>$227,500</w:t>
            </w:r>
          </w:p>
        </w:tc>
        <w:tc>
          <w:tcPr>
            <w:tcW w:type="dxa" w:w="1224"/>
          </w:tcPr>
          <w:p>
            <w:pPr>
              <w:spacing w:before="20" w:after="20" w:line="240" w:lineRule="auto"/>
              <w:jc w:val="right"/>
            </w:pPr>
            <w:r/>
            <w:r>
              <w:rPr>
                <w:rFonts w:ascii="Times New Roman" w:hAnsi="Times New Roman"/>
                <w:b w:val="0"/>
                <w:i w:val="0"/>
                <w:sz w:val="15"/>
              </w:rPr>
              <w:t>$2,400,000</w:t>
            </w:r>
          </w:p>
        </w:tc>
        <w:tc>
          <w:tcPr>
            <w:tcW w:type="dxa" w:w="1296"/>
          </w:tcPr>
          <w:p>
            <w:pPr>
              <w:spacing w:before="20" w:after="20" w:line="240" w:lineRule="auto"/>
              <w:jc w:val="right"/>
            </w:pPr>
            <w:r/>
            <w:r>
              <w:rPr>
                <w:rFonts w:ascii="Times New Roman" w:hAnsi="Times New Roman"/>
                <w:b w:val="0"/>
                <w:i w:val="0"/>
                <w:sz w:val="15"/>
              </w:rPr>
              <w:t>$2,502,500</w:t>
            </w:r>
          </w:p>
        </w:tc>
      </w:tr>
    </w:tbl>
    <w:p>
      <w:pPr>
        <w:spacing w:after="40" w:before="0"/>
      </w:pPr>
    </w:p>
    <w:p>
      <w:pPr>
        <w:spacing w:after="120"/>
        <w:ind w:left="0"/>
        <w:jc w:val="both"/>
      </w:pPr>
      <w:r>
        <w:rPr>
          <w:rFonts w:ascii="Times New Roman" w:hAnsi="Times New Roman"/>
          <w:b w:val="0"/>
          <w:i w:val="0"/>
        </w:rPr>
        <w:t xml:space="preserve">The stated totals are arithmetically consistent with the stated contingency line items ($1,750,000 + $100,000 = $1,850,000; $525,000 + $25,000 = $550,000). The error is in the </w:t>
      </w:r>
      <w:r>
        <w:rPr>
          <w:rFonts w:ascii="Times New Roman" w:hAnsi="Times New Roman"/>
          <w:b w:val="0"/>
          <w:i/>
        </w:rPr>
        <w:t>label</w:t>
      </w:r>
      <w:r>
        <w:rPr>
          <w:rFonts w:ascii="Times New Roman" w:hAnsi="Times New Roman"/>
          <w:b w:val="0"/>
          <w:i w:val="0"/>
        </w:rPr>
        <w:t xml:space="preserve">, not the addition: the effective contingency is 5.5%, not 10%. The consequence is that if 10% is in fact the intended contingency, the total is $2,502,500, and Tenant's residual share (total less the $1,800,000 credit) is </w:t>
      </w:r>
      <w:r>
        <w:rPr>
          <w:rFonts w:ascii="Times New Roman" w:hAnsi="Times New Roman"/>
          <w:b/>
          <w:i w:val="0"/>
        </w:rPr>
        <w:t>$702,500, not $600,000</w:t>
      </w:r>
      <w:r>
        <w:rPr>
          <w:rFonts w:ascii="Times New Roman" w:hAnsi="Times New Roman"/>
          <w:b w:val="0"/>
          <w:i w:val="0"/>
        </w:rPr>
        <w:t xml:space="preserve"> — a $102,500 gap in a figure that has already been described to the Authority, to Coventry and in the Board resolution. Our recommendation is not to litigate the label but to use it: we should confirm with Halcyon and with you which contingency is intended, and, if it is 10%, correct the figures now. An understated remediation estimate is the last thing we want in a lease where Tenant bears every dollar of overrun.</w:t>
      </w:r>
    </w:p>
    <w:p>
      <w:pPr>
        <w:spacing w:before="60" w:after="160"/>
        <w:ind w:left="360" w:right="216"/>
        <w:jc w:val="both"/>
        <w:pBdr>
          <w:top w:val="single" w:sz="4" w:space="4" w:color="808080"/>
          <w:left w:val="single" w:sz="4" w:space="4" w:color="808080"/>
          <w:bottom w:val="single" w:sz="4" w:space="4" w:color="808080"/>
          <w:right w:val="single" w:sz="4" w:space="4" w:color="808080"/>
        </w:pBdr>
        <w:shd w:val="clear" w:color="auto" w:fill="F2F2F2"/>
      </w:pPr>
      <w:r>
        <w:rPr>
          <w:rFonts w:ascii="Times New Roman" w:hAnsi="Times New Roman"/>
          <w:b/>
          <w:i w:val="0"/>
          <w:sz w:val="19"/>
        </w:rPr>
        <w:t xml:space="preserve">Related quantity issue. </w:t>
      </w:r>
      <w:r>
        <w:rPr>
          <w:rFonts w:ascii="Times New Roman" w:hAnsi="Times New Roman"/>
          <w:b w:val="0"/>
          <w:i w:val="0"/>
          <w:sz w:val="19"/>
        </w:rPr>
        <w:t xml:space="preserve">Halcyon states that 933 cubic yards of contaminated soil require excavation in Area 1 but prices a "material handling volume" of approximately 3,100 cubic yards, and does not state the disposal quantity. At $520,000, the off-site transportation and disposal line implies either $557 per cubic yard on 933 CY (implausibly high) or $168 per cubic yard on 3,100 CY (plausible, but then all 3,100 CY is being treated as disposal rather than the clean backfill that a separate $290,000 line is procuring). The estimate cannot be verified without Appendix I (Remediation Cost Estimate Backup and Supporting Calculations), which is not in the record. </w:t>
      </w:r>
      <w:r>
        <w:rPr>
          <w:rFonts w:ascii="Times New Roman" w:hAnsi="Times New Roman"/>
          <w:b/>
          <w:i w:val="0"/>
          <w:sz w:val="19"/>
        </w:rPr>
        <w:t>Request it.</w:t>
      </w:r>
    </w:p>
    <w:p>
      <w:pPr>
        <w:keepNext/>
        <w:spacing w:before="320" w:after="160"/>
        <w:pBdr>
          <w:bottom w:val="single" w:sz="6" w:space="2" w:color="000000"/>
        </w:pBdr>
      </w:pPr>
      <w:r>
        <w:rPr>
          <w:rFonts w:ascii="Times New Roman" w:hAnsi="Times New Roman"/>
          <w:b/>
          <w:i w:val="0"/>
          <w:sz w:val="24"/>
        </w:rPr>
        <w:t>PART 3 — THE PREMISES: A MATERIAL LEGAL DESCRIPTION ERROR</w:t>
      </w:r>
    </w:p>
    <w:p>
      <w:pPr>
        <w:spacing w:after="120"/>
        <w:ind w:left="0"/>
        <w:jc w:val="both"/>
      </w:pPr>
      <w:r>
        <w:rPr>
          <w:rFonts w:ascii="Times New Roman" w:hAnsi="Times New Roman"/>
          <w:b w:val="0"/>
          <w:i w:val="0"/>
        </w:rPr>
        <w:t>This is the finding in the record that we regard as most urgent after the reverter, because it is silent, it is gating, and it will not be discovered by anyone who does not run the traverse.</w:t>
      </w:r>
    </w:p>
    <w:p>
      <w:pPr>
        <w:keepNext/>
        <w:spacing w:before="240" w:after="100"/>
        <w:ind w:left="0"/>
      </w:pPr>
      <w:r>
        <w:rPr>
          <w:rFonts w:ascii="Times New Roman" w:hAnsi="Times New Roman"/>
          <w:b/>
          <w:i w:val="0"/>
          <w:sz w:val="21"/>
        </w:rPr>
        <w:t>3.1  The title commitment's Exhibit A describes a parcel of approximately 6.42 acres</w:t>
      </w:r>
    </w:p>
    <w:p>
      <w:pPr>
        <w:spacing w:after="120"/>
        <w:ind w:left="0"/>
        <w:jc w:val="both"/>
      </w:pPr>
      <w:r>
        <w:rPr>
          <w:rFonts w:ascii="Times New Roman" w:hAnsi="Times New Roman"/>
          <w:b w:val="0"/>
          <w:i w:val="0"/>
        </w:rPr>
        <w:t>The Title Commitment (Schedule A, Section 5 and Exhibit A) attaches a metes-and-bounds description and states that it is "derived from" an ALTA/NSPS survey. We ran that description:</w:t>
      </w:r>
    </w:p>
    <w:tbl>
      <w:tblPr>
        <w:tblStyle w:val="TableGrid"/>
        <w:tblW w:type="auto" w:w="0"/>
        <w:jc w:val="center"/>
        <w:tblLayout w:type="fixed"/>
        <w:tblLook w:firstColumn="1" w:firstRow="1" w:lastColumn="0" w:lastRow="0" w:noHBand="0" w:noVBand="1" w:val="04A0"/>
        <w:tblLayout w:type="fixed"/>
        <w:tblW w:type="dxa" w:w="9360"/>
        <w:tblCellMar>
          <w:top w:w="20" w:type="dxa"/>
          <w:left w:w="60" w:type="dxa"/>
          <w:bottom w:w="20" w:type="dxa"/>
          <w:right w:w="60" w:type="dxa"/>
        </w:tblCellMar>
      </w:tblPr>
      <w:tblGrid>
        <w:gridCol w:w="3528"/>
        <w:gridCol w:w="3816"/>
        <w:gridCol w:w="2016"/>
      </w:tblGrid>
      <w:tr>
        <w:trPr>
          <w:tblHeader w:val="true"/>
        </w:trPr>
        <w:tc>
          <w:tcPr>
            <w:tcW w:type="dxa" w:w="3528"/>
            <w:shd w:val="clear" w:color="auto" w:fill="D9D9D9"/>
          </w:tcPr>
          <w:p>
            <w:pPr>
              <w:spacing w:before="20" w:after="20" w:line="240" w:lineRule="auto"/>
            </w:pPr>
            <w:r/>
            <w:r>
              <w:rPr>
                <w:rFonts w:ascii="Times New Roman" w:hAnsi="Times New Roman"/>
                <w:b/>
                <w:i w:val="0"/>
                <w:sz w:val="16"/>
              </w:rPr>
              <w:t>Course</w:t>
            </w:r>
          </w:p>
        </w:tc>
        <w:tc>
          <w:tcPr>
            <w:tcW w:type="dxa" w:w="3816"/>
            <w:shd w:val="clear" w:color="auto" w:fill="D9D9D9"/>
          </w:tcPr>
          <w:p>
            <w:pPr>
              <w:spacing w:before="20" w:after="20" w:line="240" w:lineRule="auto"/>
            </w:pPr>
            <w:r/>
            <w:r>
              <w:rPr>
                <w:rFonts w:ascii="Times New Roman" w:hAnsi="Times New Roman"/>
                <w:b/>
                <w:i w:val="0"/>
                <w:sz w:val="16"/>
              </w:rPr>
              <w:t>Bearing</w:t>
            </w:r>
          </w:p>
        </w:tc>
        <w:tc>
          <w:tcPr>
            <w:tcW w:type="dxa" w:w="2016"/>
            <w:shd w:val="clear" w:color="auto" w:fill="D9D9D9"/>
          </w:tcPr>
          <w:p>
            <w:pPr>
              <w:spacing w:before="20" w:after="20" w:line="240" w:lineRule="auto"/>
            </w:pPr>
            <w:r/>
            <w:r>
              <w:rPr>
                <w:rFonts w:ascii="Times New Roman" w:hAnsi="Times New Roman"/>
                <w:b/>
                <w:i w:val="0"/>
                <w:sz w:val="16"/>
              </w:rPr>
              <w:t>Distance</w:t>
            </w:r>
          </w:p>
        </w:tc>
      </w:tr>
      <w:tr>
        <w:tc>
          <w:tcPr>
            <w:tcW w:type="dxa" w:w="3528"/>
          </w:tcPr>
          <w:p>
            <w:pPr>
              <w:spacing w:before="20" w:after="20" w:line="240" w:lineRule="auto"/>
            </w:pPr>
            <w:r/>
            <w:r>
              <w:rPr>
                <w:rFonts w:ascii="Times New Roman" w:hAnsi="Times New Roman"/>
                <w:b w:val="0"/>
                <w:i w:val="0"/>
                <w:sz w:val="16"/>
              </w:rPr>
              <w:t>North line (Pier Street)</w:t>
            </w:r>
          </w:p>
        </w:tc>
        <w:tc>
          <w:tcPr>
            <w:tcW w:type="dxa" w:w="3816"/>
          </w:tcPr>
          <w:p>
            <w:pPr>
              <w:spacing w:before="20" w:after="20" w:line="240" w:lineRule="auto"/>
            </w:pPr>
            <w:r/>
            <w:r>
              <w:rPr>
                <w:rFonts w:ascii="Times New Roman" w:hAnsi="Times New Roman"/>
                <w:b w:val="0"/>
                <w:i w:val="0"/>
                <w:sz w:val="16"/>
              </w:rPr>
              <w:t>North 72° 15′ 30″ East</w:t>
            </w:r>
          </w:p>
        </w:tc>
        <w:tc>
          <w:tcPr>
            <w:tcW w:type="dxa" w:w="2016"/>
          </w:tcPr>
          <w:p>
            <w:pPr>
              <w:spacing w:before="20" w:after="20" w:line="240" w:lineRule="auto"/>
              <w:jc w:val="right"/>
            </w:pPr>
            <w:r/>
            <w:r>
              <w:rPr>
                <w:rFonts w:ascii="Times New Roman" w:hAnsi="Times New Roman"/>
                <w:b w:val="0"/>
                <w:i w:val="0"/>
                <w:sz w:val="16"/>
              </w:rPr>
              <w:t>580.00 ft</w:t>
            </w:r>
          </w:p>
        </w:tc>
      </w:tr>
      <w:tr>
        <w:tc>
          <w:tcPr>
            <w:tcW w:type="dxa" w:w="3528"/>
          </w:tcPr>
          <w:p>
            <w:pPr>
              <w:spacing w:before="20" w:after="20" w:line="240" w:lineRule="auto"/>
            </w:pPr>
            <w:r/>
            <w:r>
              <w:rPr>
                <w:rFonts w:ascii="Times New Roman" w:hAnsi="Times New Roman"/>
                <w:b w:val="0"/>
                <w:i w:val="0"/>
                <w:sz w:val="16"/>
              </w:rPr>
              <w:t>Bulkhead (east), course 1</w:t>
            </w:r>
          </w:p>
        </w:tc>
        <w:tc>
          <w:tcPr>
            <w:tcW w:type="dxa" w:w="3816"/>
          </w:tcPr>
          <w:p>
            <w:pPr>
              <w:spacing w:before="20" w:after="20" w:line="240" w:lineRule="auto"/>
            </w:pPr>
            <w:r/>
            <w:r>
              <w:rPr>
                <w:rFonts w:ascii="Times New Roman" w:hAnsi="Times New Roman"/>
                <w:b w:val="0"/>
                <w:i w:val="0"/>
                <w:sz w:val="16"/>
              </w:rPr>
              <w:t>South 18° 22′ 45″ East</w:t>
            </w:r>
          </w:p>
        </w:tc>
        <w:tc>
          <w:tcPr>
            <w:tcW w:type="dxa" w:w="2016"/>
          </w:tcPr>
          <w:p>
            <w:pPr>
              <w:spacing w:before="20" w:after="20" w:line="240" w:lineRule="auto"/>
              <w:jc w:val="right"/>
            </w:pPr>
            <w:r/>
            <w:r>
              <w:rPr>
                <w:rFonts w:ascii="Times New Roman" w:hAnsi="Times New Roman"/>
                <w:b w:val="0"/>
                <w:i w:val="0"/>
                <w:sz w:val="16"/>
              </w:rPr>
              <w:t>240.40 ft</w:t>
            </w:r>
          </w:p>
        </w:tc>
      </w:tr>
      <w:tr>
        <w:tc>
          <w:tcPr>
            <w:tcW w:type="dxa" w:w="3528"/>
          </w:tcPr>
          <w:p>
            <w:pPr>
              <w:spacing w:before="20" w:after="20" w:line="240" w:lineRule="auto"/>
            </w:pPr>
            <w:r/>
            <w:r>
              <w:rPr>
                <w:rFonts w:ascii="Times New Roman" w:hAnsi="Times New Roman"/>
                <w:b w:val="0"/>
                <w:i w:val="0"/>
                <w:sz w:val="16"/>
              </w:rPr>
              <w:t>Bulkhead (east), course 2</w:t>
            </w:r>
          </w:p>
        </w:tc>
        <w:tc>
          <w:tcPr>
            <w:tcW w:type="dxa" w:w="3816"/>
          </w:tcPr>
          <w:p>
            <w:pPr>
              <w:spacing w:before="20" w:after="20" w:line="240" w:lineRule="auto"/>
            </w:pPr>
            <w:r/>
            <w:r>
              <w:rPr>
                <w:rFonts w:ascii="Times New Roman" w:hAnsi="Times New Roman"/>
                <w:b w:val="0"/>
                <w:i w:val="0"/>
                <w:sz w:val="16"/>
              </w:rPr>
              <w:t>South 17° 48′ 10″ East</w:t>
            </w:r>
          </w:p>
        </w:tc>
        <w:tc>
          <w:tcPr>
            <w:tcW w:type="dxa" w:w="2016"/>
          </w:tcPr>
          <w:p>
            <w:pPr>
              <w:spacing w:before="20" w:after="20" w:line="240" w:lineRule="auto"/>
              <w:jc w:val="right"/>
            </w:pPr>
            <w:r/>
            <w:r>
              <w:rPr>
                <w:rFonts w:ascii="Times New Roman" w:hAnsi="Times New Roman"/>
                <w:b w:val="0"/>
                <w:i w:val="0"/>
                <w:sz w:val="16"/>
              </w:rPr>
              <w:t>239.60 ft</w:t>
            </w:r>
          </w:p>
        </w:tc>
      </w:tr>
      <w:tr>
        <w:tc>
          <w:tcPr>
            <w:tcW w:type="dxa" w:w="3528"/>
          </w:tcPr>
          <w:p>
            <w:pPr>
              <w:spacing w:before="20" w:after="20" w:line="240" w:lineRule="auto"/>
            </w:pPr>
            <w:r/>
            <w:r>
              <w:rPr>
                <w:rFonts w:ascii="Times New Roman" w:hAnsi="Times New Roman"/>
                <w:b w:val="0"/>
                <w:i w:val="0"/>
                <w:sz w:val="16"/>
              </w:rPr>
              <w:t>South line (APN 127-003-0044)</w:t>
            </w:r>
          </w:p>
        </w:tc>
        <w:tc>
          <w:tcPr>
            <w:tcW w:type="dxa" w:w="3816"/>
          </w:tcPr>
          <w:p>
            <w:pPr>
              <w:spacing w:before="20" w:after="20" w:line="240" w:lineRule="auto"/>
            </w:pPr>
            <w:r/>
            <w:r>
              <w:rPr>
                <w:rFonts w:ascii="Times New Roman" w:hAnsi="Times New Roman"/>
                <w:b w:val="0"/>
                <w:i w:val="0"/>
                <w:sz w:val="16"/>
              </w:rPr>
              <w:t>South 72° 08′ 15″ West</w:t>
            </w:r>
          </w:p>
        </w:tc>
        <w:tc>
          <w:tcPr>
            <w:tcW w:type="dxa" w:w="2016"/>
          </w:tcPr>
          <w:p>
            <w:pPr>
              <w:spacing w:before="20" w:after="20" w:line="240" w:lineRule="auto"/>
              <w:jc w:val="right"/>
            </w:pPr>
            <w:r/>
            <w:r>
              <w:rPr>
                <w:rFonts w:ascii="Times New Roman" w:hAnsi="Times New Roman"/>
                <w:b w:val="0"/>
                <w:i w:val="0"/>
                <w:sz w:val="16"/>
              </w:rPr>
              <w:t>582.50 ft</w:t>
            </w:r>
          </w:p>
        </w:tc>
      </w:tr>
      <w:tr>
        <w:tc>
          <w:tcPr>
            <w:tcW w:type="dxa" w:w="3528"/>
          </w:tcPr>
          <w:p>
            <w:pPr>
              <w:spacing w:before="20" w:after="20" w:line="240" w:lineRule="auto"/>
            </w:pPr>
            <w:r/>
            <w:r>
              <w:rPr>
                <w:rFonts w:ascii="Times New Roman" w:hAnsi="Times New Roman"/>
                <w:b w:val="0"/>
                <w:i w:val="0"/>
                <w:sz w:val="16"/>
              </w:rPr>
              <w:t>West line (Harbor Avenue)</w:t>
            </w:r>
          </w:p>
        </w:tc>
        <w:tc>
          <w:tcPr>
            <w:tcW w:type="dxa" w:w="3816"/>
          </w:tcPr>
          <w:p>
            <w:pPr>
              <w:spacing w:before="20" w:after="20" w:line="240" w:lineRule="auto"/>
            </w:pPr>
            <w:r/>
            <w:r>
              <w:rPr>
                <w:rFonts w:ascii="Times New Roman" w:hAnsi="Times New Roman"/>
                <w:b w:val="0"/>
                <w:i w:val="0"/>
                <w:sz w:val="16"/>
              </w:rPr>
              <w:t>North 17° 44′ 30″ West</w:t>
            </w:r>
          </w:p>
        </w:tc>
        <w:tc>
          <w:tcPr>
            <w:tcW w:type="dxa" w:w="2016"/>
          </w:tcPr>
          <w:p>
            <w:pPr>
              <w:spacing w:before="20" w:after="20" w:line="240" w:lineRule="auto"/>
              <w:jc w:val="right"/>
            </w:pPr>
            <w:r/>
            <w:r>
              <w:rPr>
                <w:rFonts w:ascii="Times New Roman" w:hAnsi="Times New Roman"/>
                <w:b w:val="0"/>
                <w:i w:val="0"/>
                <w:sz w:val="16"/>
              </w:rPr>
              <w:t>480.20 ft</w:t>
            </w:r>
          </w:p>
        </w:tc>
      </w:tr>
    </w:tbl>
    <w:p>
      <w:pPr>
        <w:spacing w:after="40" w:before="0"/>
      </w:pPr>
    </w:p>
    <w:p>
      <w:pPr>
        <w:spacing w:after="120"/>
        <w:ind w:left="0"/>
        <w:jc w:val="both"/>
      </w:pPr>
      <w:r>
        <w:rPr>
          <w:rFonts w:ascii="Times New Roman" w:hAnsi="Times New Roman"/>
          <w:b w:val="0"/>
          <w:i w:val="0"/>
        </w:rPr>
        <w:t xml:space="preserve">Computed on those courses: the traverse </w:t>
      </w:r>
      <w:r>
        <w:rPr>
          <w:rFonts w:ascii="Times New Roman" w:hAnsi="Times New Roman"/>
          <w:b/>
          <w:i w:val="0"/>
        </w:rPr>
        <w:t>miscloses by approximately 1.10 feet</w:t>
      </w:r>
      <w:r>
        <w:rPr>
          <w:rFonts w:ascii="Times New Roman" w:hAnsi="Times New Roman"/>
          <w:b w:val="0"/>
          <w:i w:val="0"/>
        </w:rPr>
        <w:t xml:space="preserve">, and the enclosed area is </w:t>
      </w:r>
      <w:r>
        <w:rPr>
          <w:rFonts w:ascii="Times New Roman" w:hAnsi="Times New Roman"/>
          <w:b/>
          <w:i w:val="0"/>
        </w:rPr>
        <w:t>approximately 279,535 square feet, or 6.417 acres</w:t>
      </w:r>
      <w:r>
        <w:rPr>
          <w:rFonts w:ascii="Times New Roman" w:hAnsi="Times New Roman"/>
          <w:b w:val="0"/>
          <w:i w:val="0"/>
        </w:rPr>
        <w:t xml:space="preserve">. The same instrument recites "Containing 3.2 acres (139,392 square feet), more or less." The discrepancy is not a rounding error: the computed area is </w:t>
      </w:r>
      <w:r>
        <w:rPr>
          <w:rFonts w:ascii="Times New Roman" w:hAnsi="Times New Roman"/>
          <w:b/>
          <w:i w:val="0"/>
        </w:rPr>
        <w:t>2.01 times</w:t>
      </w:r>
      <w:r>
        <w:rPr>
          <w:rFonts w:ascii="Times New Roman" w:hAnsi="Times New Roman"/>
          <w:b w:val="0"/>
          <w:i w:val="0"/>
        </w:rPr>
        <w:t xml:space="preserve"> the recited area. The same description also recites a 480.00-foot bulkhead frontage (240.40 + 239.60), which is where the recurring "approximately 480 linear feet of bulkhead" figure comes from.</w:t>
      </w:r>
    </w:p>
    <w:p>
      <w:pPr>
        <w:spacing w:after="120"/>
        <w:ind w:left="0"/>
        <w:jc w:val="both"/>
      </w:pPr>
      <w:r>
        <w:rPr>
          <w:rFonts w:ascii="Times New Roman" w:hAnsi="Times New Roman"/>
          <w:b w:val="0"/>
          <w:i w:val="0"/>
        </w:rPr>
        <w:t xml:space="preserve">By contrast, the description in the delivered survey (Survey Job No. CLS-2025-0417) </w:t>
      </w:r>
      <w:r>
        <w:rPr>
          <w:rFonts w:ascii="Times New Roman" w:hAnsi="Times New Roman"/>
          <w:b/>
          <w:i w:val="0"/>
        </w:rPr>
        <w:t>closes exactly</w:t>
      </w:r>
      <w:r>
        <w:rPr>
          <w:rFonts w:ascii="Times New Roman" w:hAnsi="Times New Roman"/>
          <w:b w:val="0"/>
          <w:i w:val="0"/>
        </w:rPr>
        <w:t xml:space="preserve"> (0.000 feet of misclosure) and encloses </w:t>
      </w:r>
      <w:r>
        <w:rPr>
          <w:rFonts w:ascii="Times New Roman" w:hAnsi="Times New Roman"/>
          <w:b/>
          <w:i w:val="0"/>
        </w:rPr>
        <w:t>139,475 square feet (3.202 acres)</w:t>
      </w:r>
      <w:r>
        <w:rPr>
          <w:rFonts w:ascii="Times New Roman" w:hAnsi="Times New Roman"/>
          <w:b w:val="0"/>
          <w:i w:val="0"/>
        </w:rPr>
        <w:t>, a variance of +83 square feet (+0.06%) from the recited 139,392 — which is simply the assessor's 3.2 acres × 43,560. The two descriptions also differ systematically:</w:t>
      </w:r>
    </w:p>
    <w:tbl>
      <w:tblPr>
        <w:tblStyle w:val="TableGrid"/>
        <w:tblW w:type="auto" w:w="0"/>
        <w:jc w:val="center"/>
        <w:tblLayout w:type="fixed"/>
        <w:tblLook w:firstColumn="1" w:firstRow="1" w:lastColumn="0" w:lastRow="0" w:noHBand="0" w:noVBand="1" w:val="04A0"/>
        <w:tblLayout w:type="fixed"/>
        <w:tblW w:type="dxa" w:w="9360"/>
        <w:tblCellMar>
          <w:top w:w="20" w:type="dxa"/>
          <w:left w:w="60" w:type="dxa"/>
          <w:bottom w:w="20" w:type="dxa"/>
          <w:right w:w="60" w:type="dxa"/>
        </w:tblCellMar>
      </w:tblPr>
      <w:tblGrid>
        <w:gridCol w:w="2088"/>
        <w:gridCol w:w="2808"/>
        <w:gridCol w:w="2664"/>
        <w:gridCol w:w="1800"/>
      </w:tblGrid>
      <w:tr>
        <w:trPr>
          <w:tblHeader w:val="true"/>
        </w:trPr>
        <w:tc>
          <w:tcPr>
            <w:tcW w:type="dxa" w:w="2088"/>
            <w:shd w:val="clear" w:color="auto" w:fill="D9D9D9"/>
          </w:tcPr>
          <w:p>
            <w:pPr>
              <w:spacing w:before="20" w:after="20" w:line="240" w:lineRule="auto"/>
            </w:pPr>
            <w:r/>
            <w:r>
              <w:rPr>
                <w:rFonts w:ascii="Times New Roman" w:hAnsi="Times New Roman"/>
                <w:b/>
                <w:i w:val="0"/>
                <w:sz w:val="15"/>
              </w:rPr>
              <w:t>Element</w:t>
            </w:r>
          </w:p>
        </w:tc>
        <w:tc>
          <w:tcPr>
            <w:tcW w:type="dxa" w:w="2808"/>
            <w:shd w:val="clear" w:color="auto" w:fill="D9D9D9"/>
          </w:tcPr>
          <w:p>
            <w:pPr>
              <w:spacing w:before="20" w:after="20" w:line="240" w:lineRule="auto"/>
            </w:pPr>
            <w:r/>
            <w:r>
              <w:rPr>
                <w:rFonts w:ascii="Times New Roman" w:hAnsi="Times New Roman"/>
                <w:b/>
                <w:i w:val="0"/>
                <w:sz w:val="15"/>
              </w:rPr>
              <w:t>Title Commitment Exhibit A</w:t>
            </w:r>
          </w:p>
        </w:tc>
        <w:tc>
          <w:tcPr>
            <w:tcW w:type="dxa" w:w="2664"/>
            <w:shd w:val="clear" w:color="auto" w:fill="D9D9D9"/>
          </w:tcPr>
          <w:p>
            <w:pPr>
              <w:spacing w:before="20" w:after="20" w:line="240" w:lineRule="auto"/>
            </w:pPr>
            <w:r/>
            <w:r>
              <w:rPr>
                <w:rFonts w:ascii="Times New Roman" w:hAnsi="Times New Roman"/>
                <w:b/>
                <w:i w:val="0"/>
                <w:sz w:val="15"/>
              </w:rPr>
              <w:t>Delivered Survey (Section 4)</w:t>
            </w:r>
          </w:p>
        </w:tc>
        <w:tc>
          <w:tcPr>
            <w:tcW w:type="dxa" w:w="1800"/>
            <w:shd w:val="clear" w:color="auto" w:fill="D9D9D9"/>
          </w:tcPr>
          <w:p>
            <w:pPr>
              <w:spacing w:before="20" w:after="20" w:line="240" w:lineRule="auto"/>
            </w:pPr>
            <w:r/>
            <w:r>
              <w:rPr>
                <w:rFonts w:ascii="Times New Roman" w:hAnsi="Times New Roman"/>
                <w:b/>
                <w:i w:val="0"/>
                <w:sz w:val="15"/>
              </w:rPr>
              <w:t>Difference</w:t>
            </w:r>
          </w:p>
        </w:tc>
      </w:tr>
      <w:tr>
        <w:tc>
          <w:tcPr>
            <w:tcW w:type="dxa" w:w="2088"/>
          </w:tcPr>
          <w:p>
            <w:pPr>
              <w:spacing w:before="20" w:after="20" w:line="240" w:lineRule="auto"/>
            </w:pPr>
            <w:r/>
            <w:r>
              <w:rPr>
                <w:rFonts w:ascii="Times New Roman" w:hAnsi="Times New Roman"/>
                <w:b w:val="0"/>
                <w:i w:val="0"/>
                <w:sz w:val="15"/>
              </w:rPr>
              <w:t>North line bearing</w:t>
            </w:r>
          </w:p>
        </w:tc>
        <w:tc>
          <w:tcPr>
            <w:tcW w:type="dxa" w:w="2808"/>
          </w:tcPr>
          <w:p>
            <w:pPr>
              <w:spacing w:before="20" w:after="20" w:line="240" w:lineRule="auto"/>
            </w:pPr>
            <w:r/>
            <w:r>
              <w:rPr>
                <w:rFonts w:ascii="Times New Roman" w:hAnsi="Times New Roman"/>
                <w:b w:val="0"/>
                <w:i w:val="0"/>
                <w:sz w:val="15"/>
              </w:rPr>
              <w:t>N 72° 15′ 30″ E</w:t>
            </w:r>
          </w:p>
        </w:tc>
        <w:tc>
          <w:tcPr>
            <w:tcW w:type="dxa" w:w="2664"/>
          </w:tcPr>
          <w:p>
            <w:pPr>
              <w:spacing w:before="20" w:after="20" w:line="240" w:lineRule="auto"/>
            </w:pPr>
            <w:r/>
            <w:r>
              <w:rPr>
                <w:rFonts w:ascii="Times New Roman" w:hAnsi="Times New Roman"/>
                <w:b w:val="0"/>
                <w:i w:val="0"/>
                <w:sz w:val="15"/>
              </w:rPr>
              <w:t>S 78° 15′ 30″ E</w:t>
            </w:r>
          </w:p>
        </w:tc>
        <w:tc>
          <w:tcPr>
            <w:tcW w:type="dxa" w:w="1800"/>
          </w:tcPr>
          <w:p>
            <w:pPr>
              <w:spacing w:before="20" w:after="20" w:line="240" w:lineRule="auto"/>
            </w:pPr>
            <w:r/>
            <w:r>
              <w:rPr>
                <w:rFonts w:ascii="Times New Roman" w:hAnsi="Times New Roman"/>
                <w:b w:val="0"/>
                <w:i w:val="0"/>
                <w:sz w:val="15"/>
              </w:rPr>
              <w:t>Exactly 6° 00′ 00″</w:t>
            </w:r>
          </w:p>
        </w:tc>
      </w:tr>
      <w:tr>
        <w:tc>
          <w:tcPr>
            <w:tcW w:type="dxa" w:w="2088"/>
          </w:tcPr>
          <w:p>
            <w:pPr>
              <w:spacing w:before="20" w:after="20" w:line="240" w:lineRule="auto"/>
            </w:pPr>
            <w:r/>
            <w:r>
              <w:rPr>
                <w:rFonts w:ascii="Times New Roman" w:hAnsi="Times New Roman"/>
                <w:b w:val="0"/>
                <w:i w:val="0"/>
                <w:sz w:val="15"/>
              </w:rPr>
              <w:t>West line bearing</w:t>
            </w:r>
          </w:p>
        </w:tc>
        <w:tc>
          <w:tcPr>
            <w:tcW w:type="dxa" w:w="2808"/>
          </w:tcPr>
          <w:p>
            <w:pPr>
              <w:spacing w:before="20" w:after="20" w:line="240" w:lineRule="auto"/>
            </w:pPr>
            <w:r/>
            <w:r>
              <w:rPr>
                <w:rFonts w:ascii="Times New Roman" w:hAnsi="Times New Roman"/>
                <w:b w:val="0"/>
                <w:i w:val="0"/>
                <w:sz w:val="15"/>
              </w:rPr>
              <w:t>N 17° 44′ 30″ W</w:t>
            </w:r>
          </w:p>
        </w:tc>
        <w:tc>
          <w:tcPr>
            <w:tcW w:type="dxa" w:w="2664"/>
          </w:tcPr>
          <w:p>
            <w:pPr>
              <w:spacing w:before="20" w:after="20" w:line="240" w:lineRule="auto"/>
            </w:pPr>
            <w:r/>
            <w:r>
              <w:rPr>
                <w:rFonts w:ascii="Times New Roman" w:hAnsi="Times New Roman"/>
                <w:b w:val="0"/>
                <w:i w:val="0"/>
                <w:sz w:val="15"/>
              </w:rPr>
              <w:t>N 11° 44′ 30″ E</w:t>
            </w:r>
          </w:p>
        </w:tc>
        <w:tc>
          <w:tcPr>
            <w:tcW w:type="dxa" w:w="1800"/>
          </w:tcPr>
          <w:p>
            <w:pPr>
              <w:spacing w:before="20" w:after="20" w:line="240" w:lineRule="auto"/>
            </w:pPr>
            <w:r/>
            <w:r>
              <w:rPr>
                <w:rFonts w:ascii="Times New Roman" w:hAnsi="Times New Roman"/>
                <w:b w:val="0"/>
                <w:i w:val="0"/>
                <w:sz w:val="15"/>
              </w:rPr>
              <w:t>Exactly 6° 00′ 00″</w:t>
            </w:r>
          </w:p>
        </w:tc>
      </w:tr>
      <w:tr>
        <w:tc>
          <w:tcPr>
            <w:tcW w:type="dxa" w:w="2088"/>
          </w:tcPr>
          <w:p>
            <w:pPr>
              <w:spacing w:before="20" w:after="20" w:line="240" w:lineRule="auto"/>
            </w:pPr>
            <w:r/>
            <w:r>
              <w:rPr>
                <w:rFonts w:ascii="Times New Roman" w:hAnsi="Times New Roman"/>
                <w:b w:val="0"/>
                <w:i w:val="0"/>
                <w:sz w:val="15"/>
              </w:rPr>
              <w:t>North / south line length</w:t>
            </w:r>
          </w:p>
        </w:tc>
        <w:tc>
          <w:tcPr>
            <w:tcW w:type="dxa" w:w="2808"/>
          </w:tcPr>
          <w:p>
            <w:pPr>
              <w:spacing w:before="20" w:after="20" w:line="240" w:lineRule="auto"/>
            </w:pPr>
            <w:r/>
            <w:r>
              <w:rPr>
                <w:rFonts w:ascii="Times New Roman" w:hAnsi="Times New Roman"/>
                <w:b w:val="0"/>
                <w:i w:val="0"/>
                <w:sz w:val="15"/>
              </w:rPr>
              <w:t>580.00 ft / 582.50 ft</w:t>
            </w:r>
          </w:p>
        </w:tc>
        <w:tc>
          <w:tcPr>
            <w:tcW w:type="dxa" w:w="2664"/>
          </w:tcPr>
          <w:p>
            <w:pPr>
              <w:spacing w:before="20" w:after="20" w:line="240" w:lineRule="auto"/>
            </w:pPr>
            <w:r/>
            <w:r>
              <w:rPr>
                <w:rFonts w:ascii="Times New Roman" w:hAnsi="Times New Roman"/>
                <w:b w:val="0"/>
                <w:i w:val="0"/>
                <w:sz w:val="15"/>
              </w:rPr>
              <w:t>435.22 ft / 435.22 ft</w:t>
            </w:r>
          </w:p>
        </w:tc>
        <w:tc>
          <w:tcPr>
            <w:tcW w:type="dxa" w:w="1800"/>
          </w:tcPr>
          <w:p>
            <w:pPr>
              <w:spacing w:before="20" w:after="20" w:line="240" w:lineRule="auto"/>
            </w:pPr>
            <w:r/>
            <w:r>
              <w:rPr>
                <w:rFonts w:ascii="Times New Roman" w:hAnsi="Times New Roman"/>
                <w:b w:val="0"/>
                <w:i w:val="0"/>
                <w:sz w:val="15"/>
              </w:rPr>
              <w:t>≈ 145 ft</w:t>
            </w:r>
          </w:p>
        </w:tc>
      </w:tr>
      <w:tr>
        <w:tc>
          <w:tcPr>
            <w:tcW w:type="dxa" w:w="2088"/>
          </w:tcPr>
          <w:p>
            <w:pPr>
              <w:spacing w:before="20" w:after="20" w:line="240" w:lineRule="auto"/>
            </w:pPr>
            <w:r/>
            <w:r>
              <w:rPr>
                <w:rFonts w:ascii="Times New Roman" w:hAnsi="Times New Roman"/>
                <w:b w:val="0"/>
                <w:i w:val="0"/>
                <w:sz w:val="15"/>
              </w:rPr>
              <w:t>East / west line length</w:t>
            </w:r>
          </w:p>
        </w:tc>
        <w:tc>
          <w:tcPr>
            <w:tcW w:type="dxa" w:w="2808"/>
          </w:tcPr>
          <w:p>
            <w:pPr>
              <w:spacing w:before="20" w:after="20" w:line="240" w:lineRule="auto"/>
            </w:pPr>
            <w:r/>
            <w:r>
              <w:rPr>
                <w:rFonts w:ascii="Times New Roman" w:hAnsi="Times New Roman"/>
                <w:b w:val="0"/>
                <w:i w:val="0"/>
                <w:sz w:val="15"/>
              </w:rPr>
              <w:t>240.40 + 239.60 = 480.00 ft / 480.20 ft</w:t>
            </w:r>
          </w:p>
        </w:tc>
        <w:tc>
          <w:tcPr>
            <w:tcW w:type="dxa" w:w="2664"/>
          </w:tcPr>
          <w:p>
            <w:pPr>
              <w:spacing w:before="20" w:after="20" w:line="240" w:lineRule="auto"/>
            </w:pPr>
            <w:r/>
            <w:r>
              <w:rPr>
                <w:rFonts w:ascii="Times New Roman" w:hAnsi="Times New Roman"/>
                <w:b w:val="0"/>
                <w:i w:val="0"/>
                <w:sz w:val="15"/>
              </w:rPr>
              <w:t>320.47 ft / 320.47 ft</w:t>
            </w:r>
          </w:p>
        </w:tc>
        <w:tc>
          <w:tcPr>
            <w:tcW w:type="dxa" w:w="1800"/>
          </w:tcPr>
          <w:p>
            <w:pPr>
              <w:spacing w:before="20" w:after="20" w:line="240" w:lineRule="auto"/>
            </w:pPr>
            <w:r/>
            <w:r>
              <w:rPr>
                <w:rFonts w:ascii="Times New Roman" w:hAnsi="Times New Roman"/>
                <w:b w:val="0"/>
                <w:i w:val="0"/>
                <w:sz w:val="15"/>
              </w:rPr>
              <w:t>≈ 160 ft</w:t>
            </w:r>
          </w:p>
        </w:tc>
      </w:tr>
      <w:tr>
        <w:tc>
          <w:tcPr>
            <w:tcW w:type="dxa" w:w="2088"/>
          </w:tcPr>
          <w:p>
            <w:pPr>
              <w:spacing w:before="20" w:after="20" w:line="240" w:lineRule="auto"/>
            </w:pPr>
            <w:r/>
            <w:r>
              <w:rPr>
                <w:rFonts w:ascii="Times New Roman" w:hAnsi="Times New Roman"/>
                <w:b w:val="0"/>
                <w:i w:val="0"/>
                <w:sz w:val="15"/>
              </w:rPr>
              <w:t>Closure</w:t>
            </w:r>
          </w:p>
        </w:tc>
        <w:tc>
          <w:tcPr>
            <w:tcW w:type="dxa" w:w="2808"/>
          </w:tcPr>
          <w:p>
            <w:pPr>
              <w:spacing w:before="20" w:after="20" w:line="240" w:lineRule="auto"/>
            </w:pPr>
            <w:r/>
            <w:r>
              <w:rPr>
                <w:rFonts w:ascii="Times New Roman" w:hAnsi="Times New Roman"/>
                <w:b w:val="0"/>
                <w:i w:val="0"/>
                <w:sz w:val="15"/>
              </w:rPr>
              <w:t>1.10 ft misclosure</w:t>
            </w:r>
          </w:p>
        </w:tc>
        <w:tc>
          <w:tcPr>
            <w:tcW w:type="dxa" w:w="2664"/>
          </w:tcPr>
          <w:p>
            <w:pPr>
              <w:spacing w:before="20" w:after="20" w:line="240" w:lineRule="auto"/>
            </w:pPr>
            <w:r/>
            <w:r>
              <w:rPr>
                <w:rFonts w:ascii="Times New Roman" w:hAnsi="Times New Roman"/>
                <w:b w:val="0"/>
                <w:i w:val="0"/>
                <w:sz w:val="15"/>
              </w:rPr>
              <w:t>0.000 ft</w:t>
            </w:r>
          </w:p>
        </w:tc>
        <w:tc>
          <w:tcPr>
            <w:tcW w:type="dxa" w:w="1800"/>
          </w:tcPr>
          <w:p>
            <w:pPr>
              <w:spacing w:before="20" w:after="20" w:line="240" w:lineRule="auto"/>
            </w:pPr>
            <w:r/>
            <w:r>
              <w:rPr>
                <w:rFonts w:ascii="Times New Roman" w:hAnsi="Times New Roman"/>
                <w:b w:val="0"/>
                <w:i w:val="0"/>
                <w:sz w:val="15"/>
              </w:rPr>
              <w:t>—</w:t>
            </w:r>
          </w:p>
        </w:tc>
      </w:tr>
      <w:tr>
        <w:tc>
          <w:tcPr>
            <w:tcW w:type="dxa" w:w="2088"/>
          </w:tcPr>
          <w:p>
            <w:pPr>
              <w:spacing w:before="20" w:after="20" w:line="240" w:lineRule="auto"/>
            </w:pPr>
            <w:r/>
            <w:r>
              <w:rPr>
                <w:rFonts w:ascii="Times New Roman" w:hAnsi="Times New Roman"/>
                <w:b w:val="0"/>
                <w:i w:val="0"/>
                <w:sz w:val="15"/>
              </w:rPr>
              <w:t>Enclosed area</w:t>
            </w:r>
          </w:p>
        </w:tc>
        <w:tc>
          <w:tcPr>
            <w:tcW w:type="dxa" w:w="2808"/>
          </w:tcPr>
          <w:p>
            <w:pPr>
              <w:spacing w:before="20" w:after="20" w:line="240" w:lineRule="auto"/>
            </w:pPr>
            <w:r/>
            <w:r>
              <w:rPr>
                <w:rFonts w:ascii="Times New Roman" w:hAnsi="Times New Roman"/>
                <w:b w:val="0"/>
                <w:i w:val="0"/>
                <w:sz w:val="15"/>
              </w:rPr>
              <w:t>≈ 279,535 SF (6.417 ac)</w:t>
            </w:r>
          </w:p>
        </w:tc>
        <w:tc>
          <w:tcPr>
            <w:tcW w:type="dxa" w:w="2664"/>
          </w:tcPr>
          <w:p>
            <w:pPr>
              <w:spacing w:before="20" w:after="20" w:line="240" w:lineRule="auto"/>
            </w:pPr>
            <w:r/>
            <w:r>
              <w:rPr>
                <w:rFonts w:ascii="Times New Roman" w:hAnsi="Times New Roman"/>
                <w:b w:val="0"/>
                <w:i w:val="0"/>
                <w:sz w:val="15"/>
              </w:rPr>
              <w:t>139,475 SF (3.202 ac)</w:t>
            </w:r>
          </w:p>
        </w:tc>
        <w:tc>
          <w:tcPr>
            <w:tcW w:type="dxa" w:w="1800"/>
          </w:tcPr>
          <w:p>
            <w:pPr>
              <w:spacing w:before="20" w:after="20" w:line="240" w:lineRule="auto"/>
            </w:pPr>
            <w:r/>
            <w:r>
              <w:rPr>
                <w:rFonts w:ascii="Times New Roman" w:hAnsi="Times New Roman"/>
                <w:b w:val="0"/>
                <w:i w:val="0"/>
                <w:sz w:val="15"/>
              </w:rPr>
              <w:t>2.01×</w:t>
            </w:r>
          </w:p>
        </w:tc>
      </w:tr>
    </w:tbl>
    <w:p>
      <w:pPr>
        <w:spacing w:after="40" w:before="0"/>
      </w:pPr>
    </w:p>
    <w:p>
      <w:pPr>
        <w:spacing w:after="120"/>
        <w:ind w:left="0"/>
        <w:jc w:val="both"/>
      </w:pPr>
      <w:r>
        <w:rPr>
          <w:rFonts w:ascii="Times New Roman" w:hAnsi="Times New Roman"/>
          <w:b/>
          <w:i w:val="0"/>
        </w:rPr>
        <w:t>Conclusion.</w:t>
      </w:r>
      <w:r>
        <w:rPr>
          <w:rFonts w:ascii="Times New Roman" w:hAnsi="Times New Roman"/>
          <w:b w:val="0"/>
          <w:i w:val="0"/>
        </w:rPr>
        <w:t xml:space="preserve"> The title commitment's Exhibit A cannot be used as the legal description of the Premises, and, taken literally, it would describe a parcel that encroaches on Assessor's Parcel No. 127-003-0044 (retained by the Authority for park development) and beyond. It should not be signed by either party in its current form. We have drafted </w:t>
      </w:r>
      <w:r>
        <w:rPr>
          <w:rFonts w:ascii="Times New Roman" w:hAnsi="Times New Roman"/>
          <w:b/>
          <w:i w:val="0"/>
        </w:rPr>
        <w:t>Exhibit A</w:t>
      </w:r>
      <w:r>
        <w:rPr>
          <w:rFonts w:ascii="Times New Roman" w:hAnsi="Times New Roman"/>
          <w:b w:val="0"/>
          <w:i w:val="0"/>
        </w:rPr>
        <w:t xml:space="preserve"> to the Draft Lease from the survey description and have inserted Section 16.2 and a drafting note requiring Landlord, at its cost, to correct the description and cause the title company to reissue before Lease Commencement. Section 2.3(b) makes a conformed title commitment a condition precedent.</w:t>
      </w:r>
    </w:p>
    <w:p>
      <w:pPr>
        <w:spacing w:after="120"/>
        <w:ind w:left="0"/>
        <w:jc w:val="both"/>
      </w:pPr>
      <w:r>
        <w:rPr>
          <w:rFonts w:ascii="Times New Roman" w:hAnsi="Times New Roman"/>
          <w:b/>
          <w:i w:val="0"/>
        </w:rPr>
        <w:t>Two further consequences</w:t>
      </w:r>
      <w:r>
        <w:rPr>
          <w:rFonts w:ascii="Times New Roman" w:hAnsi="Times New Roman"/>
          <w:b w:val="0"/>
          <w:i w:val="0"/>
        </w:rPr>
        <w:t xml:space="preserve"> deserve your attention. First, the Base Rent is expressed as approximately $20.45 per square foot on 139,392 square feet. On the title commitment's (erroneous) 279,535 square feet, the same dollars would be $10.20 per square foot. If the parties ever litigate rent, the description and the area recital must be consistent, so this is a rent risk as well as a title risk. Second, the survey's own narrative repeats "approximately 480 linear feet of bulkhead" while its traverse gives a 320.47-foot eastern boundary and the pedestrian easement computation (15 ft × 480 ft = 7,200 SF) is built on 480 feet. On 320.47 feet the easement area is 4,807 square feet. We have therefore treated the 480-foot figure as unverified in Sections 2.9(b) and 14.3 and flagged it for confirmation from the survey plat, because the bulkhead length drives both the repair cost allocation and the geometry of the 8,000 square foot public open space.</w:t>
      </w:r>
    </w:p>
    <w:p>
      <w:pPr>
        <w:keepNext/>
        <w:spacing w:before="240" w:after="100"/>
        <w:ind w:left="0"/>
      </w:pPr>
      <w:r>
        <w:rPr>
          <w:rFonts w:ascii="Times New Roman" w:hAnsi="Times New Roman"/>
          <w:b/>
          <w:i w:val="0"/>
          <w:sz w:val="21"/>
        </w:rPr>
        <w:t>3.2  The survey referenced by the title commitment is not the survey in the record</w:t>
      </w:r>
    </w:p>
    <w:tbl>
      <w:tblPr>
        <w:tblStyle w:val="TableGrid"/>
        <w:tblW w:type="auto" w:w="0"/>
        <w:jc w:val="center"/>
        <w:tblLayout w:type="fixed"/>
        <w:tblLook w:firstColumn="1" w:firstRow="1" w:lastColumn="0" w:lastRow="0" w:noHBand="0" w:noVBand="1" w:val="04A0"/>
        <w:tblLayout w:type="fixed"/>
        <w:tblW w:type="dxa" w:w="9360"/>
        <w:tblCellMar>
          <w:top w:w="20" w:type="dxa"/>
          <w:left w:w="60" w:type="dxa"/>
          <w:bottom w:w="20" w:type="dxa"/>
          <w:right w:w="60" w:type="dxa"/>
        </w:tblCellMar>
      </w:tblPr>
      <w:tblGrid>
        <w:gridCol w:w="2016"/>
        <w:gridCol w:w="3960"/>
        <w:gridCol w:w="3384"/>
      </w:tblGrid>
      <w:tr>
        <w:trPr>
          <w:tblHeader w:val="true"/>
        </w:trPr>
        <w:tc>
          <w:tcPr>
            <w:tcW w:type="dxa" w:w="2016"/>
            <w:shd w:val="clear" w:color="auto" w:fill="D9D9D9"/>
          </w:tcPr>
          <w:p>
            <w:pPr>
              <w:spacing w:before="20" w:after="20" w:line="240" w:lineRule="auto"/>
            </w:pPr>
            <w:r/>
            <w:r>
              <w:rPr>
                <w:rFonts w:ascii="Times New Roman" w:hAnsi="Times New Roman"/>
                <w:b/>
                <w:i w:val="0"/>
                <w:sz w:val="15"/>
              </w:rPr>
              <w:t>Data point</w:t>
            </w:r>
          </w:p>
        </w:tc>
        <w:tc>
          <w:tcPr>
            <w:tcW w:type="dxa" w:w="3960"/>
            <w:shd w:val="clear" w:color="auto" w:fill="D9D9D9"/>
          </w:tcPr>
          <w:p>
            <w:pPr>
              <w:spacing w:before="20" w:after="20" w:line="240" w:lineRule="auto"/>
            </w:pPr>
            <w:r/>
            <w:r>
              <w:rPr>
                <w:rFonts w:ascii="Times New Roman" w:hAnsi="Times New Roman"/>
                <w:b/>
                <w:i w:val="0"/>
                <w:sz w:val="15"/>
              </w:rPr>
              <w:t>Title Commitment (Exhibit A / Schedule A)</w:t>
            </w:r>
          </w:p>
        </w:tc>
        <w:tc>
          <w:tcPr>
            <w:tcW w:type="dxa" w:w="3384"/>
            <w:shd w:val="clear" w:color="auto" w:fill="D9D9D9"/>
          </w:tcPr>
          <w:p>
            <w:pPr>
              <w:spacing w:before="20" w:after="20" w:line="240" w:lineRule="auto"/>
            </w:pPr>
            <w:r/>
            <w:r>
              <w:rPr>
                <w:rFonts w:ascii="Times New Roman" w:hAnsi="Times New Roman"/>
                <w:b/>
                <w:i w:val="0"/>
                <w:sz w:val="15"/>
              </w:rPr>
              <w:t>Delivered survey</w:t>
            </w:r>
          </w:p>
        </w:tc>
      </w:tr>
      <w:tr>
        <w:tc>
          <w:tcPr>
            <w:tcW w:type="dxa" w:w="2016"/>
          </w:tcPr>
          <w:p>
            <w:pPr>
              <w:spacing w:before="20" w:after="20" w:line="240" w:lineRule="auto"/>
            </w:pPr>
            <w:r/>
            <w:r>
              <w:rPr>
                <w:rFonts w:ascii="Times New Roman" w:hAnsi="Times New Roman"/>
                <w:b w:val="0"/>
                <w:i w:val="0"/>
                <w:sz w:val="15"/>
              </w:rPr>
              <w:t>Job / drawing number</w:t>
            </w:r>
          </w:p>
        </w:tc>
        <w:tc>
          <w:tcPr>
            <w:tcW w:type="dxa" w:w="3960"/>
          </w:tcPr>
          <w:p>
            <w:pPr>
              <w:spacing w:before="20" w:after="20" w:line="240" w:lineRule="auto"/>
            </w:pPr>
            <w:r/>
            <w:r>
              <w:rPr>
                <w:rFonts w:ascii="Times New Roman" w:hAnsi="Times New Roman"/>
                <w:b w:val="0"/>
                <w:i w:val="0"/>
                <w:sz w:val="15"/>
              </w:rPr>
              <w:t>CLS-2025-0321</w:t>
            </w:r>
          </w:p>
        </w:tc>
        <w:tc>
          <w:tcPr>
            <w:tcW w:type="dxa" w:w="3384"/>
          </w:tcPr>
          <w:p>
            <w:pPr>
              <w:spacing w:before="20" w:after="20" w:line="240" w:lineRule="auto"/>
            </w:pPr>
            <w:r/>
            <w:r>
              <w:rPr>
                <w:rFonts w:ascii="Times New Roman" w:hAnsi="Times New Roman"/>
                <w:b w:val="0"/>
                <w:i w:val="0"/>
                <w:sz w:val="15"/>
              </w:rPr>
              <w:t>CLS-2025-0417</w:t>
            </w:r>
          </w:p>
        </w:tc>
      </w:tr>
      <w:tr>
        <w:tc>
          <w:tcPr>
            <w:tcW w:type="dxa" w:w="2016"/>
          </w:tcPr>
          <w:p>
            <w:pPr>
              <w:spacing w:before="20" w:after="20" w:line="240" w:lineRule="auto"/>
            </w:pPr>
            <w:r/>
            <w:r>
              <w:rPr>
                <w:rFonts w:ascii="Times New Roman" w:hAnsi="Times New Roman"/>
                <w:b w:val="0"/>
                <w:i w:val="0"/>
                <w:sz w:val="15"/>
              </w:rPr>
              <w:t>Surveyor</w:t>
            </w:r>
          </w:p>
        </w:tc>
        <w:tc>
          <w:tcPr>
            <w:tcW w:type="dxa" w:w="3960"/>
          </w:tcPr>
          <w:p>
            <w:pPr>
              <w:spacing w:before="20" w:after="20" w:line="240" w:lineRule="auto"/>
            </w:pPr>
            <w:r/>
            <w:r>
              <w:rPr>
                <w:rFonts w:ascii="Times New Roman" w:hAnsi="Times New Roman"/>
                <w:b w:val="0"/>
                <w:i w:val="0"/>
                <w:sz w:val="15"/>
              </w:rPr>
              <w:t>J. Michael Ferreira, P.L.S.</w:t>
            </w:r>
          </w:p>
        </w:tc>
        <w:tc>
          <w:tcPr>
            <w:tcW w:type="dxa" w:w="3384"/>
          </w:tcPr>
          <w:p>
            <w:pPr>
              <w:spacing w:before="20" w:after="20" w:line="240" w:lineRule="auto"/>
            </w:pPr>
            <w:r/>
            <w:r>
              <w:rPr>
                <w:rFonts w:ascii="Times New Roman" w:hAnsi="Times New Roman"/>
                <w:b w:val="0"/>
                <w:i w:val="0"/>
                <w:sz w:val="15"/>
              </w:rPr>
              <w:t>Thomas R. Pellegrino, P.L.S.</w:t>
            </w:r>
          </w:p>
        </w:tc>
      </w:tr>
      <w:tr>
        <w:tc>
          <w:tcPr>
            <w:tcW w:type="dxa" w:w="2016"/>
          </w:tcPr>
          <w:p>
            <w:pPr>
              <w:spacing w:before="20" w:after="20" w:line="240" w:lineRule="auto"/>
            </w:pPr>
            <w:r/>
            <w:r>
              <w:rPr>
                <w:rFonts w:ascii="Times New Roman" w:hAnsi="Times New Roman"/>
                <w:b w:val="0"/>
                <w:i w:val="0"/>
                <w:sz w:val="15"/>
              </w:rPr>
              <w:t>Connecticut license</w:t>
            </w:r>
          </w:p>
        </w:tc>
        <w:tc>
          <w:tcPr>
            <w:tcW w:type="dxa" w:w="3960"/>
          </w:tcPr>
          <w:p>
            <w:pPr>
              <w:spacing w:before="20" w:after="20" w:line="240" w:lineRule="auto"/>
            </w:pPr>
            <w:r/>
            <w:r>
              <w:rPr>
                <w:rFonts w:ascii="Times New Roman" w:hAnsi="Times New Roman"/>
                <w:b w:val="0"/>
                <w:i w:val="0"/>
                <w:sz w:val="15"/>
              </w:rPr>
              <w:t>No. 12847</w:t>
            </w:r>
          </w:p>
        </w:tc>
        <w:tc>
          <w:tcPr>
            <w:tcW w:type="dxa" w:w="3384"/>
          </w:tcPr>
          <w:p>
            <w:pPr>
              <w:spacing w:before="20" w:after="20" w:line="240" w:lineRule="auto"/>
            </w:pPr>
            <w:r/>
            <w:r>
              <w:rPr>
                <w:rFonts w:ascii="Times New Roman" w:hAnsi="Times New Roman"/>
                <w:b w:val="0"/>
                <w:i w:val="0"/>
                <w:sz w:val="15"/>
              </w:rPr>
              <w:t>No. PLS-008741</w:t>
            </w:r>
          </w:p>
        </w:tc>
      </w:tr>
      <w:tr>
        <w:tc>
          <w:tcPr>
            <w:tcW w:type="dxa" w:w="2016"/>
          </w:tcPr>
          <w:p>
            <w:pPr>
              <w:spacing w:before="20" w:after="20" w:line="240" w:lineRule="auto"/>
            </w:pPr>
            <w:r/>
            <w:r>
              <w:rPr>
                <w:rFonts w:ascii="Times New Roman" w:hAnsi="Times New Roman"/>
                <w:b w:val="0"/>
                <w:i w:val="0"/>
                <w:sz w:val="15"/>
              </w:rPr>
              <w:t>Date</w:t>
            </w:r>
          </w:p>
        </w:tc>
        <w:tc>
          <w:tcPr>
            <w:tcW w:type="dxa" w:w="3960"/>
          </w:tcPr>
          <w:p>
            <w:pPr>
              <w:spacing w:before="20" w:after="20" w:line="240" w:lineRule="auto"/>
            </w:pPr>
            <w:r/>
            <w:r>
              <w:rPr>
                <w:rFonts w:ascii="Times New Roman" w:hAnsi="Times New Roman"/>
                <w:b w:val="0"/>
                <w:i w:val="0"/>
                <w:sz w:val="15"/>
              </w:rPr>
              <w:t>April 20, 2025, "last revised May 15, 2025"</w:t>
            </w:r>
          </w:p>
        </w:tc>
        <w:tc>
          <w:tcPr>
            <w:tcW w:type="dxa" w:w="3384"/>
          </w:tcPr>
          <w:p>
            <w:pPr>
              <w:spacing w:before="20" w:after="20" w:line="240" w:lineRule="auto"/>
            </w:pPr>
            <w:r/>
            <w:r>
              <w:rPr>
                <w:rFonts w:ascii="Times New Roman" w:hAnsi="Times New Roman"/>
                <w:b w:val="0"/>
                <w:i w:val="0"/>
                <w:sz w:val="15"/>
              </w:rPr>
              <w:t>Field April 20, 2025; plat April 28, 2025</w:t>
            </w:r>
          </w:p>
        </w:tc>
      </w:tr>
    </w:tbl>
    <w:p>
      <w:pPr>
        <w:spacing w:after="40" w:before="0"/>
      </w:pPr>
    </w:p>
    <w:p>
      <w:pPr>
        <w:spacing w:after="120"/>
        <w:ind w:left="0"/>
        <w:jc w:val="both"/>
      </w:pPr>
      <w:r>
        <w:rPr>
          <w:rFonts w:ascii="Times New Roman" w:hAnsi="Times New Roman"/>
          <w:b w:val="0"/>
          <w:i w:val="0"/>
        </w:rPr>
        <w:t>Either there are two surveys by the same firm (in which case we need CLS-2025-0321 and an explanation of why it differs), or the title company transcribed the description and the survey references from a different file. Either way, the survey referenced in the title commitment is not in the record, is not certified to Bayside, and cannot satisfy Bayside's condition (d), which requires a survey prepared by a licensed surveyor and certified to the Lender and the title company, dated within ninety days of closing. Ridgepoint and Calloway Land Surveyors must reconcile this before the description is used for the lease or the memorandum of lease.</w:t>
      </w:r>
    </w:p>
    <w:p>
      <w:pPr>
        <w:keepNext/>
        <w:spacing w:before="240" w:after="100"/>
        <w:ind w:left="0"/>
      </w:pPr>
      <w:r>
        <w:rPr>
          <w:rFonts w:ascii="Times New Roman" w:hAnsi="Times New Roman"/>
          <w:b/>
          <w:i w:val="0"/>
          <w:sz w:val="21"/>
        </w:rPr>
        <w:t>3.3  Two further record conflicts in the condemnation history</w:t>
      </w:r>
    </w:p>
    <w:p>
      <w:pPr>
        <w:spacing w:after="120"/>
        <w:ind w:left="0"/>
        <w:jc w:val="both"/>
      </w:pPr>
      <w:r>
        <w:rPr>
          <w:rFonts w:ascii="Times New Roman" w:hAnsi="Times New Roman"/>
          <w:b w:val="0"/>
          <w:i w:val="0"/>
        </w:rPr>
        <w:t xml:space="preserve">The parties recite the Authority's 2012 taking inconsistently. The Term Sheet (§ 2) places the final judgment in the "Connecticut Superior Court, Judicial District of Port Calloway"; the Title Commitment (Schedule A, § 4 and Exception No. 10) places it in the "Judicial District of New Haven"; and the survey references the Final Order of Condemnation at </w:t>
      </w:r>
      <w:r>
        <w:rPr>
          <w:rFonts w:ascii="Times New Roman" w:hAnsi="Times New Roman"/>
          <w:b/>
          <w:i w:val="0"/>
        </w:rPr>
        <w:t>Volume 375, Page 44</w:t>
      </w:r>
      <w:r>
        <w:rPr>
          <w:rFonts w:ascii="Times New Roman" w:hAnsi="Times New Roman"/>
          <w:b w:val="0"/>
          <w:i w:val="0"/>
        </w:rPr>
        <w:t xml:space="preserve">, while the Title Commitment twice cites </w:t>
      </w:r>
      <w:r>
        <w:rPr>
          <w:rFonts w:ascii="Times New Roman" w:hAnsi="Times New Roman"/>
          <w:b/>
          <w:i w:val="0"/>
        </w:rPr>
        <w:t>Volume 367, Page 44</w:t>
      </w:r>
      <w:r>
        <w:rPr>
          <w:rFonts w:ascii="Times New Roman" w:hAnsi="Times New Roman"/>
          <w:b w:val="0"/>
          <w:i w:val="0"/>
        </w:rPr>
        <w:t>. We have drafted the Landlord representation in Section 18.1(g) to cover the substance (that no reverter, reversionary interest or former-owner claim survives) rather than reciting a volume and page that may be wrong, and we have flagged the discrepancy for correction in the title policy and in the recitals. Small in themselves; together with item 3.1 they suggest that the title work has not yet been reviewed by anyone at the level this transaction requires.</w:t>
      </w:r>
    </w:p>
    <w:p>
      <w:pPr>
        <w:keepNext/>
        <w:spacing w:before="320" w:after="160"/>
        <w:pBdr>
          <w:bottom w:val="single" w:sz="6" w:space="2" w:color="000000"/>
        </w:pBdr>
      </w:pPr>
      <w:r>
        <w:rPr>
          <w:rFonts w:ascii="Times New Roman" w:hAnsi="Times New Roman"/>
          <w:b/>
          <w:i w:val="0"/>
          <w:sz w:val="24"/>
        </w:rPr>
        <w:t>PART 4 — CROSS-DOCUMENT CONFLICT REGISTER AND THE BAYSIDE GAP ANALYSIS</w:t>
      </w:r>
    </w:p>
    <w:p>
      <w:pPr>
        <w:keepNext/>
        <w:spacing w:before="240" w:after="100"/>
        <w:ind w:left="0"/>
      </w:pPr>
      <w:r>
        <w:rPr>
          <w:rFonts w:ascii="Times New Roman" w:hAnsi="Times New Roman"/>
          <w:b/>
          <w:i w:val="0"/>
          <w:sz w:val="21"/>
        </w:rPr>
        <w:t>4.1  Conflict register</w:t>
      </w:r>
    </w:p>
    <w:p>
      <w:pPr>
        <w:spacing w:after="120"/>
        <w:ind w:left="0"/>
        <w:jc w:val="both"/>
      </w:pPr>
      <w:r>
        <w:rPr>
          <w:rFonts w:ascii="Times New Roman" w:hAnsi="Times New Roman"/>
          <w:b w:val="0"/>
          <w:i w:val="0"/>
        </w:rPr>
        <w:t>The following conflicts appear across the five transaction documents. "Conflict" here means that two records cannot both be right, or that one record attributes to another a term it does not contain.</w:t>
      </w:r>
    </w:p>
    <w:tbl>
      <w:tblPr>
        <w:tblStyle w:val="TableGrid"/>
        <w:tblW w:type="auto" w:w="0"/>
        <w:jc w:val="center"/>
        <w:tblLayout w:type="fixed"/>
        <w:tblLook w:firstColumn="1" w:firstRow="1" w:lastColumn="0" w:lastRow="0" w:noHBand="0" w:noVBand="1" w:val="04A0"/>
        <w:tblLayout w:type="fixed"/>
        <w:tblW w:type="dxa" w:w="9360"/>
        <w:tblCellMar>
          <w:top w:w="20" w:type="dxa"/>
          <w:left w:w="60" w:type="dxa"/>
          <w:bottom w:w="20" w:type="dxa"/>
          <w:right w:w="60" w:type="dxa"/>
        </w:tblCellMar>
      </w:tblPr>
      <w:tblGrid>
        <w:gridCol w:w="547"/>
        <w:gridCol w:w="1440"/>
        <w:gridCol w:w="2160"/>
        <w:gridCol w:w="2160"/>
        <w:gridCol w:w="2304"/>
        <w:gridCol w:w="749"/>
      </w:tblGrid>
      <w:tr>
        <w:trPr>
          <w:tblHeader w:val="true"/>
        </w:trPr>
        <w:tc>
          <w:tcPr>
            <w:tcW w:type="dxa" w:w="547"/>
            <w:shd w:val="clear" w:color="auto" w:fill="D9D9D9"/>
          </w:tcPr>
          <w:p>
            <w:pPr>
              <w:spacing w:before="20" w:after="20" w:line="240" w:lineRule="auto"/>
            </w:pPr>
            <w:r/>
            <w:r>
              <w:rPr>
                <w:rFonts w:ascii="Times New Roman" w:hAnsi="Times New Roman"/>
                <w:b/>
                <w:i w:val="0"/>
                <w:sz w:val="13"/>
              </w:rPr>
              <w:t>#</w:t>
            </w:r>
          </w:p>
        </w:tc>
        <w:tc>
          <w:tcPr>
            <w:tcW w:type="dxa" w:w="1440"/>
            <w:shd w:val="clear" w:color="auto" w:fill="D9D9D9"/>
          </w:tcPr>
          <w:p>
            <w:pPr>
              <w:spacing w:before="20" w:after="20" w:line="240" w:lineRule="auto"/>
            </w:pPr>
            <w:r/>
            <w:r>
              <w:rPr>
                <w:rFonts w:ascii="Times New Roman" w:hAnsi="Times New Roman"/>
                <w:b/>
                <w:i w:val="0"/>
                <w:sz w:val="13"/>
              </w:rPr>
              <w:t>Subject</w:t>
            </w:r>
          </w:p>
        </w:tc>
        <w:tc>
          <w:tcPr>
            <w:tcW w:type="dxa" w:w="2160"/>
            <w:shd w:val="clear" w:color="auto" w:fill="D9D9D9"/>
          </w:tcPr>
          <w:p>
            <w:pPr>
              <w:spacing w:before="20" w:after="20" w:line="240" w:lineRule="auto"/>
            </w:pPr>
            <w:r/>
            <w:r>
              <w:rPr>
                <w:rFonts w:ascii="Times New Roman" w:hAnsi="Times New Roman"/>
                <w:b/>
                <w:i w:val="0"/>
                <w:sz w:val="13"/>
              </w:rPr>
              <w:t>One record says</w:t>
            </w:r>
          </w:p>
        </w:tc>
        <w:tc>
          <w:tcPr>
            <w:tcW w:type="dxa" w:w="2160"/>
            <w:shd w:val="clear" w:color="auto" w:fill="D9D9D9"/>
          </w:tcPr>
          <w:p>
            <w:pPr>
              <w:spacing w:before="20" w:after="20" w:line="240" w:lineRule="auto"/>
            </w:pPr>
            <w:r/>
            <w:r>
              <w:rPr>
                <w:rFonts w:ascii="Times New Roman" w:hAnsi="Times New Roman"/>
                <w:b/>
                <w:i w:val="0"/>
                <w:sz w:val="13"/>
              </w:rPr>
              <w:t>Another record says</w:t>
            </w:r>
          </w:p>
        </w:tc>
        <w:tc>
          <w:tcPr>
            <w:tcW w:type="dxa" w:w="2304"/>
            <w:shd w:val="clear" w:color="auto" w:fill="D9D9D9"/>
          </w:tcPr>
          <w:p>
            <w:pPr>
              <w:spacing w:before="20" w:after="20" w:line="240" w:lineRule="auto"/>
            </w:pPr>
            <w:r/>
            <w:r>
              <w:rPr>
                <w:rFonts w:ascii="Times New Roman" w:hAnsi="Times New Roman"/>
                <w:b/>
                <w:i w:val="0"/>
                <w:sz w:val="13"/>
              </w:rPr>
              <w:t>Analysis</w:t>
            </w:r>
          </w:p>
        </w:tc>
        <w:tc>
          <w:tcPr>
            <w:tcW w:type="dxa" w:w="749"/>
            <w:shd w:val="clear" w:color="auto" w:fill="D9D9D9"/>
          </w:tcPr>
          <w:p>
            <w:pPr>
              <w:spacing w:before="20" w:after="20" w:line="240" w:lineRule="auto"/>
            </w:pPr>
            <w:r/>
            <w:r>
              <w:rPr>
                <w:rFonts w:ascii="Times New Roman" w:hAnsi="Times New Roman"/>
                <w:b/>
                <w:i w:val="0"/>
                <w:sz w:val="13"/>
              </w:rPr>
              <w:t>Sev.</w:t>
            </w:r>
          </w:p>
        </w:tc>
      </w:tr>
      <w:tr>
        <w:tc>
          <w:tcPr>
            <w:tcW w:type="dxa" w:w="547"/>
          </w:tcPr>
          <w:p>
            <w:pPr>
              <w:spacing w:before="20" w:after="20" w:line="240" w:lineRule="auto"/>
            </w:pPr>
            <w:r/>
            <w:r>
              <w:rPr>
                <w:rFonts w:ascii="Times New Roman" w:hAnsi="Times New Roman"/>
                <w:b w:val="0"/>
                <w:i w:val="0"/>
                <w:sz w:val="13"/>
              </w:rPr>
              <w:t>C1</w:t>
            </w:r>
          </w:p>
        </w:tc>
        <w:tc>
          <w:tcPr>
            <w:tcW w:type="dxa" w:w="1440"/>
          </w:tcPr>
          <w:p>
            <w:pPr>
              <w:spacing w:before="20" w:after="20" w:line="240" w:lineRule="auto"/>
            </w:pPr>
            <w:r/>
            <w:r>
              <w:rPr>
                <w:rFonts w:ascii="Times New Roman" w:hAnsi="Times New Roman"/>
                <w:b w:val="0"/>
                <w:i w:val="0"/>
                <w:sz w:val="13"/>
              </w:rPr>
              <w:t>Parcel area and legal description</w:t>
            </w:r>
          </w:p>
        </w:tc>
        <w:tc>
          <w:tcPr>
            <w:tcW w:type="dxa" w:w="2160"/>
          </w:tcPr>
          <w:p>
            <w:pPr>
              <w:spacing w:before="20" w:after="20" w:line="240" w:lineRule="auto"/>
            </w:pPr>
            <w:r/>
            <w:r>
              <w:rPr>
                <w:rFonts w:ascii="Times New Roman" w:hAnsi="Times New Roman"/>
                <w:b w:val="0"/>
                <w:i w:val="0"/>
                <w:sz w:val="13"/>
              </w:rPr>
              <w:t>TC Ex. A: courses enclosing ~279,535 SF, recited "3.2 acres (139,392 SF)"; TS § 2 adopts 139,392 SF and $20.45/SF</w:t>
            </w:r>
          </w:p>
        </w:tc>
        <w:tc>
          <w:tcPr>
            <w:tcW w:type="dxa" w:w="2160"/>
          </w:tcPr>
          <w:p>
            <w:pPr>
              <w:spacing w:before="20" w:after="20" w:line="240" w:lineRule="auto"/>
            </w:pPr>
            <w:r/>
            <w:r>
              <w:rPr>
                <w:rFonts w:ascii="Times New Roman" w:hAnsi="Times New Roman"/>
                <w:b w:val="0"/>
                <w:i w:val="0"/>
                <w:sz w:val="13"/>
              </w:rPr>
              <w:t>Survey: 139,475 SF on a description that closes exactly</w:t>
            </w:r>
          </w:p>
        </w:tc>
        <w:tc>
          <w:tcPr>
            <w:tcW w:type="dxa" w:w="2304"/>
          </w:tcPr>
          <w:p>
            <w:pPr>
              <w:spacing w:before="20" w:after="20" w:line="240" w:lineRule="auto"/>
            </w:pPr>
            <w:r/>
            <w:r>
              <w:rPr>
                <w:rFonts w:ascii="Times New Roman" w:hAnsi="Times New Roman"/>
                <w:b w:val="0"/>
                <w:i w:val="0"/>
                <w:sz w:val="13"/>
              </w:rPr>
              <w:t>Title description is wrong; use survey description; conform area recital (Part 3.1)</w:t>
            </w:r>
          </w:p>
        </w:tc>
        <w:tc>
          <w:tcPr>
            <w:tcW w:type="dxa" w:w="749"/>
          </w:tcPr>
          <w:p>
            <w:pPr>
              <w:spacing w:before="20" w:after="20" w:line="240" w:lineRule="auto"/>
            </w:pPr>
            <w:r/>
            <w:r>
              <w:rPr>
                <w:rFonts w:ascii="Times New Roman" w:hAnsi="Times New Roman"/>
                <w:b w:val="0"/>
                <w:i w:val="0"/>
                <w:sz w:val="13"/>
              </w:rPr>
              <w:t>Crit.</w:t>
            </w:r>
          </w:p>
        </w:tc>
      </w:tr>
      <w:tr>
        <w:tc>
          <w:tcPr>
            <w:tcW w:type="dxa" w:w="547"/>
          </w:tcPr>
          <w:p>
            <w:pPr>
              <w:spacing w:before="20" w:after="20" w:line="240" w:lineRule="auto"/>
            </w:pPr>
            <w:r/>
            <w:r>
              <w:rPr>
                <w:rFonts w:ascii="Times New Roman" w:hAnsi="Times New Roman"/>
                <w:b w:val="0"/>
                <w:i w:val="0"/>
                <w:sz w:val="13"/>
              </w:rPr>
              <w:t>C2</w:t>
            </w:r>
          </w:p>
        </w:tc>
        <w:tc>
          <w:tcPr>
            <w:tcW w:type="dxa" w:w="1440"/>
          </w:tcPr>
          <w:p>
            <w:pPr>
              <w:spacing w:before="20" w:after="20" w:line="240" w:lineRule="auto"/>
            </w:pPr>
            <w:r/>
            <w:r>
              <w:rPr>
                <w:rFonts w:ascii="Times New Roman" w:hAnsi="Times New Roman"/>
                <w:b w:val="0"/>
                <w:i w:val="0"/>
                <w:sz w:val="13"/>
              </w:rPr>
              <w:t>Identity of the governing survey</w:t>
            </w:r>
          </w:p>
        </w:tc>
        <w:tc>
          <w:tcPr>
            <w:tcW w:type="dxa" w:w="2160"/>
          </w:tcPr>
          <w:p>
            <w:pPr>
              <w:spacing w:before="20" w:after="20" w:line="240" w:lineRule="auto"/>
            </w:pPr>
            <w:r/>
            <w:r>
              <w:rPr>
                <w:rFonts w:ascii="Times New Roman" w:hAnsi="Times New Roman"/>
                <w:b w:val="0"/>
                <w:i w:val="0"/>
                <w:sz w:val="13"/>
              </w:rPr>
              <w:t>TC: "CLS-2025-0321," Ferreira, PLS 12847, rev. May 15, 2025</w:t>
            </w:r>
          </w:p>
        </w:tc>
        <w:tc>
          <w:tcPr>
            <w:tcW w:type="dxa" w:w="2160"/>
          </w:tcPr>
          <w:p>
            <w:pPr>
              <w:spacing w:before="20" w:after="20" w:line="240" w:lineRule="auto"/>
            </w:pPr>
            <w:r/>
            <w:r>
              <w:rPr>
                <w:rFonts w:ascii="Times New Roman" w:hAnsi="Times New Roman"/>
                <w:b w:val="0"/>
                <w:i w:val="0"/>
                <w:sz w:val="13"/>
              </w:rPr>
              <w:t>Survey: "CLS-2025-0417," Pellegrino, PLS-008741, April 28, 2025</w:t>
            </w:r>
          </w:p>
        </w:tc>
        <w:tc>
          <w:tcPr>
            <w:tcW w:type="dxa" w:w="2304"/>
          </w:tcPr>
          <w:p>
            <w:pPr>
              <w:spacing w:before="20" w:after="20" w:line="240" w:lineRule="auto"/>
            </w:pPr>
            <w:r/>
            <w:r>
              <w:rPr>
                <w:rFonts w:ascii="Times New Roman" w:hAnsi="Times New Roman"/>
                <w:b w:val="0"/>
                <w:i w:val="0"/>
                <w:sz w:val="13"/>
              </w:rPr>
              <w:t>Different job, surveyor, license and date; the referenced survey is not in the record</w:t>
            </w:r>
          </w:p>
        </w:tc>
        <w:tc>
          <w:tcPr>
            <w:tcW w:type="dxa" w:w="749"/>
          </w:tcPr>
          <w:p>
            <w:pPr>
              <w:spacing w:before="20" w:after="20" w:line="240" w:lineRule="auto"/>
            </w:pPr>
            <w:r/>
            <w:r>
              <w:rPr>
                <w:rFonts w:ascii="Times New Roman" w:hAnsi="Times New Roman"/>
                <w:b w:val="0"/>
                <w:i w:val="0"/>
                <w:sz w:val="13"/>
              </w:rPr>
              <w:t>High</w:t>
            </w:r>
          </w:p>
        </w:tc>
      </w:tr>
      <w:tr>
        <w:tc>
          <w:tcPr>
            <w:tcW w:type="dxa" w:w="547"/>
          </w:tcPr>
          <w:p>
            <w:pPr>
              <w:spacing w:before="20" w:after="20" w:line="240" w:lineRule="auto"/>
            </w:pPr>
            <w:r/>
            <w:r>
              <w:rPr>
                <w:rFonts w:ascii="Times New Roman" w:hAnsi="Times New Roman"/>
                <w:b w:val="0"/>
                <w:i w:val="0"/>
                <w:sz w:val="13"/>
              </w:rPr>
              <w:t>C3</w:t>
            </w:r>
          </w:p>
        </w:tc>
        <w:tc>
          <w:tcPr>
            <w:tcW w:type="dxa" w:w="1440"/>
          </w:tcPr>
          <w:p>
            <w:pPr>
              <w:spacing w:before="20" w:after="20" w:line="240" w:lineRule="auto"/>
            </w:pPr>
            <w:r/>
            <w:r>
              <w:rPr>
                <w:rFonts w:ascii="Times New Roman" w:hAnsi="Times New Roman"/>
                <w:b w:val="0"/>
                <w:i w:val="0"/>
                <w:sz w:val="13"/>
              </w:rPr>
              <w:t>Bulkhead frontage</w:t>
            </w:r>
          </w:p>
        </w:tc>
        <w:tc>
          <w:tcPr>
            <w:tcW w:type="dxa" w:w="2160"/>
          </w:tcPr>
          <w:p>
            <w:pPr>
              <w:spacing w:before="20" w:after="20" w:line="240" w:lineRule="auto"/>
            </w:pPr>
            <w:r/>
            <w:r>
              <w:rPr>
                <w:rFonts w:ascii="Times New Roman" w:hAnsi="Times New Roman"/>
                <w:b w:val="0"/>
                <w:i w:val="0"/>
                <w:sz w:val="13"/>
              </w:rPr>
              <w:t>TS § 2, TC Ex. A and Survey narrative: "approximately 480 linear feet"</w:t>
            </w:r>
          </w:p>
        </w:tc>
        <w:tc>
          <w:tcPr>
            <w:tcW w:type="dxa" w:w="2160"/>
          </w:tcPr>
          <w:p>
            <w:pPr>
              <w:spacing w:before="20" w:after="20" w:line="240" w:lineRule="auto"/>
            </w:pPr>
            <w:r/>
            <w:r>
              <w:rPr>
                <w:rFonts w:ascii="Times New Roman" w:hAnsi="Times New Roman"/>
                <w:b w:val="0"/>
                <w:i w:val="0"/>
                <w:sz w:val="13"/>
              </w:rPr>
              <w:t>Survey traverse: eastern boundary line 320.47 ft; easement area 15 × 320.47 = 4,807 SF, not 7,200 SF</w:t>
            </w:r>
          </w:p>
        </w:tc>
        <w:tc>
          <w:tcPr>
            <w:tcW w:type="dxa" w:w="2304"/>
          </w:tcPr>
          <w:p>
            <w:pPr>
              <w:spacing w:before="20" w:after="20" w:line="240" w:lineRule="auto"/>
            </w:pPr>
            <w:r/>
            <w:r>
              <w:rPr>
                <w:rFonts w:ascii="Times New Roman" w:hAnsi="Times New Roman"/>
                <w:b w:val="0"/>
                <w:i w:val="0"/>
                <w:sz w:val="13"/>
              </w:rPr>
              <w:t>480 ft appears to trace to the erroneous title description; confirm from plat. Drives bulkhead cost and open-space geometry</w:t>
            </w:r>
          </w:p>
        </w:tc>
        <w:tc>
          <w:tcPr>
            <w:tcW w:type="dxa" w:w="749"/>
          </w:tcPr>
          <w:p>
            <w:pPr>
              <w:spacing w:before="20" w:after="20" w:line="240" w:lineRule="auto"/>
            </w:pPr>
            <w:r/>
            <w:r>
              <w:rPr>
                <w:rFonts w:ascii="Times New Roman" w:hAnsi="Times New Roman"/>
                <w:b w:val="0"/>
                <w:i w:val="0"/>
                <w:sz w:val="13"/>
              </w:rPr>
              <w:t>High</w:t>
            </w:r>
          </w:p>
        </w:tc>
      </w:tr>
      <w:tr>
        <w:tc>
          <w:tcPr>
            <w:tcW w:type="dxa" w:w="547"/>
          </w:tcPr>
          <w:p>
            <w:pPr>
              <w:spacing w:before="20" w:after="20" w:line="240" w:lineRule="auto"/>
            </w:pPr>
            <w:r/>
            <w:r>
              <w:rPr>
                <w:rFonts w:ascii="Times New Roman" w:hAnsi="Times New Roman"/>
                <w:b w:val="0"/>
                <w:i w:val="0"/>
                <w:sz w:val="13"/>
              </w:rPr>
              <w:t>C4</w:t>
            </w:r>
          </w:p>
        </w:tc>
        <w:tc>
          <w:tcPr>
            <w:tcW w:type="dxa" w:w="1440"/>
          </w:tcPr>
          <w:p>
            <w:pPr>
              <w:spacing w:before="20" w:after="20" w:line="240" w:lineRule="auto"/>
            </w:pPr>
            <w:r/>
            <w:r>
              <w:rPr>
                <w:rFonts w:ascii="Times New Roman" w:hAnsi="Times New Roman"/>
                <w:b w:val="0"/>
                <w:i w:val="0"/>
                <w:sz w:val="13"/>
              </w:rPr>
              <w:t>Condemnation record</w:t>
            </w:r>
          </w:p>
        </w:tc>
        <w:tc>
          <w:tcPr>
            <w:tcW w:type="dxa" w:w="2160"/>
          </w:tcPr>
          <w:p>
            <w:pPr>
              <w:spacing w:before="20" w:after="20" w:line="240" w:lineRule="auto"/>
            </w:pPr>
            <w:r/>
            <w:r>
              <w:rPr>
                <w:rFonts w:ascii="Times New Roman" w:hAnsi="Times New Roman"/>
                <w:b w:val="0"/>
                <w:i w:val="0"/>
                <w:sz w:val="13"/>
              </w:rPr>
              <w:t>TC: Vol. 367, Pg. 44; Judicial District of New Haven</w:t>
            </w:r>
          </w:p>
        </w:tc>
        <w:tc>
          <w:tcPr>
            <w:tcW w:type="dxa" w:w="2160"/>
          </w:tcPr>
          <w:p>
            <w:pPr>
              <w:spacing w:before="20" w:after="20" w:line="240" w:lineRule="auto"/>
            </w:pPr>
            <w:r/>
            <w:r>
              <w:rPr>
                <w:rFonts w:ascii="Times New Roman" w:hAnsi="Times New Roman"/>
                <w:b w:val="0"/>
                <w:i w:val="0"/>
                <w:sz w:val="13"/>
              </w:rPr>
              <w:t>Survey: Vol. 375, Pg. 44. TS § 2: Judicial District of Port Calloway</w:t>
            </w:r>
          </w:p>
        </w:tc>
        <w:tc>
          <w:tcPr>
            <w:tcW w:type="dxa" w:w="2304"/>
          </w:tcPr>
          <w:p>
            <w:pPr>
              <w:spacing w:before="20" w:after="20" w:line="240" w:lineRule="auto"/>
            </w:pPr>
            <w:r/>
            <w:r>
              <w:rPr>
                <w:rFonts w:ascii="Times New Roman" w:hAnsi="Times New Roman"/>
                <w:b w:val="0"/>
                <w:i w:val="0"/>
                <w:sz w:val="13"/>
              </w:rPr>
              <w:t>Discrepancy in volume/page and in court; recited consistently nowhere</w:t>
            </w:r>
          </w:p>
        </w:tc>
        <w:tc>
          <w:tcPr>
            <w:tcW w:type="dxa" w:w="749"/>
          </w:tcPr>
          <w:p>
            <w:pPr>
              <w:spacing w:before="20" w:after="20" w:line="240" w:lineRule="auto"/>
            </w:pPr>
            <w:r/>
            <w:r>
              <w:rPr>
                <w:rFonts w:ascii="Times New Roman" w:hAnsi="Times New Roman"/>
                <w:b w:val="0"/>
                <w:i w:val="0"/>
                <w:sz w:val="13"/>
              </w:rPr>
              <w:t>Low</w:t>
            </w:r>
          </w:p>
        </w:tc>
      </w:tr>
      <w:tr>
        <w:tc>
          <w:tcPr>
            <w:tcW w:type="dxa" w:w="547"/>
          </w:tcPr>
          <w:p>
            <w:pPr>
              <w:spacing w:before="20" w:after="20" w:line="240" w:lineRule="auto"/>
            </w:pPr>
            <w:r/>
            <w:r>
              <w:rPr>
                <w:rFonts w:ascii="Times New Roman" w:hAnsi="Times New Roman"/>
                <w:b w:val="0"/>
                <w:i w:val="0"/>
                <w:sz w:val="13"/>
              </w:rPr>
              <w:t>C5</w:t>
            </w:r>
          </w:p>
        </w:tc>
        <w:tc>
          <w:tcPr>
            <w:tcW w:type="dxa" w:w="1440"/>
          </w:tcPr>
          <w:p>
            <w:pPr>
              <w:spacing w:before="20" w:after="20" w:line="240" w:lineRule="auto"/>
            </w:pPr>
            <w:r/>
            <w:r>
              <w:rPr>
                <w:rFonts w:ascii="Times New Roman" w:hAnsi="Times New Roman"/>
                <w:b w:val="0"/>
                <w:i w:val="0"/>
                <w:sz w:val="13"/>
              </w:rPr>
              <w:t>AMI geography for the affordable covenant</w:t>
            </w:r>
          </w:p>
        </w:tc>
        <w:tc>
          <w:tcPr>
            <w:tcW w:type="dxa" w:w="2160"/>
          </w:tcPr>
          <w:p>
            <w:pPr>
              <w:spacing w:before="20" w:after="20" w:line="240" w:lineRule="auto"/>
            </w:pPr>
            <w:r/>
            <w:r>
              <w:rPr>
                <w:rFonts w:ascii="Times New Roman" w:hAnsi="Times New Roman"/>
                <w:b w:val="0"/>
                <w:i w:val="0"/>
                <w:sz w:val="13"/>
              </w:rPr>
              <w:t>TS § 4: "Port Calloway Metropolitan Statistical Area"</w:t>
            </w:r>
          </w:p>
        </w:tc>
        <w:tc>
          <w:tcPr>
            <w:tcW w:type="dxa" w:w="2160"/>
          </w:tcPr>
          <w:p>
            <w:pPr>
              <w:spacing w:before="20" w:after="20" w:line="240" w:lineRule="auto"/>
            </w:pPr>
            <w:r/>
            <w:r>
              <w:rPr>
                <w:rFonts w:ascii="Times New Roman" w:hAnsi="Times New Roman"/>
                <w:b w:val="0"/>
                <w:i w:val="0"/>
                <w:sz w:val="13"/>
              </w:rPr>
              <w:t>TC Ex. 5: "New Haven-Milford, CT MSA". Survey § 3(d): "Bridgeport-Stamford-Norwalk HUD Metro FMR Area"</w:t>
            </w:r>
          </w:p>
        </w:tc>
        <w:tc>
          <w:tcPr>
            <w:tcW w:type="dxa" w:w="2304"/>
          </w:tcPr>
          <w:p>
            <w:pPr>
              <w:spacing w:before="20" w:after="20" w:line="240" w:lineRule="auto"/>
            </w:pPr>
            <w:r/>
            <w:r>
              <w:rPr>
                <w:rFonts w:ascii="Times New Roman" w:hAnsi="Times New Roman"/>
                <w:b w:val="0"/>
                <w:i w:val="0"/>
                <w:sz w:val="13"/>
              </w:rPr>
              <w:t>Three geographies. The recorded 2019 covenant (New Haven-Milford) controls. Premises are in New Haven County</w:t>
            </w:r>
          </w:p>
        </w:tc>
        <w:tc>
          <w:tcPr>
            <w:tcW w:type="dxa" w:w="749"/>
          </w:tcPr>
          <w:p>
            <w:pPr>
              <w:spacing w:before="20" w:after="20" w:line="240" w:lineRule="auto"/>
            </w:pPr>
            <w:r/>
            <w:r>
              <w:rPr>
                <w:rFonts w:ascii="Times New Roman" w:hAnsi="Times New Roman"/>
                <w:b w:val="0"/>
                <w:i w:val="0"/>
                <w:sz w:val="13"/>
              </w:rPr>
              <w:t>Med.</w:t>
            </w:r>
          </w:p>
        </w:tc>
      </w:tr>
      <w:tr>
        <w:tc>
          <w:tcPr>
            <w:tcW w:type="dxa" w:w="547"/>
          </w:tcPr>
          <w:p>
            <w:pPr>
              <w:spacing w:before="20" w:after="20" w:line="240" w:lineRule="auto"/>
            </w:pPr>
            <w:r/>
            <w:r>
              <w:rPr>
                <w:rFonts w:ascii="Times New Roman" w:hAnsi="Times New Roman"/>
                <w:b w:val="0"/>
                <w:i w:val="0"/>
                <w:sz w:val="13"/>
              </w:rPr>
              <w:t>C6</w:t>
            </w:r>
          </w:p>
        </w:tc>
        <w:tc>
          <w:tcPr>
            <w:tcW w:type="dxa" w:w="1440"/>
          </w:tcPr>
          <w:p>
            <w:pPr>
              <w:spacing w:before="20" w:after="20" w:line="240" w:lineRule="auto"/>
            </w:pPr>
            <w:r/>
            <w:r>
              <w:rPr>
                <w:rFonts w:ascii="Times New Roman" w:hAnsi="Times New Roman"/>
                <w:b w:val="0"/>
                <w:i w:val="0"/>
                <w:sz w:val="13"/>
              </w:rPr>
              <w:t>Commencement of Percentage Rent</w:t>
            </w:r>
          </w:p>
        </w:tc>
        <w:tc>
          <w:tcPr>
            <w:tcW w:type="dxa" w:w="2160"/>
          </w:tcPr>
          <w:p>
            <w:pPr>
              <w:spacing w:before="20" w:after="20" w:line="240" w:lineRule="auto"/>
            </w:pPr>
            <w:r/>
            <w:r>
              <w:rPr>
                <w:rFonts w:ascii="Times New Roman" w:hAnsi="Times New Roman"/>
                <w:b w:val="0"/>
                <w:i w:val="0"/>
                <w:sz w:val="13"/>
              </w:rPr>
              <w:t>TS § 6: "Lease Year 6" (and TS § 5 makes Lease Year 1 = Rent Commencement Date)</w:t>
            </w:r>
          </w:p>
        </w:tc>
        <w:tc>
          <w:tcPr>
            <w:tcW w:type="dxa" w:w="2160"/>
          </w:tcPr>
          <w:p>
            <w:pPr>
              <w:spacing w:before="20" w:after="20" w:line="240" w:lineRule="auto"/>
            </w:pPr>
            <w:r/>
            <w:r>
              <w:rPr>
                <w:rFonts w:ascii="Times New Roman" w:hAnsi="Times New Roman"/>
                <w:b w:val="0"/>
                <w:i w:val="0"/>
                <w:sz w:val="13"/>
              </w:rPr>
              <w:t>Board Res. recital (b): "Year 6 of the Ground Lease term"</w:t>
            </w:r>
          </w:p>
        </w:tc>
        <w:tc>
          <w:tcPr>
            <w:tcW w:type="dxa" w:w="2304"/>
          </w:tcPr>
          <w:p>
            <w:pPr>
              <w:spacing w:before="20" w:after="20" w:line="240" w:lineRule="auto"/>
            </w:pPr>
            <w:r/>
            <w:r>
              <w:rPr>
                <w:rFonts w:ascii="Times New Roman" w:hAnsi="Times New Roman"/>
                <w:b w:val="0"/>
                <w:i w:val="0"/>
                <w:sz w:val="13"/>
              </w:rPr>
              <w:t>A three-year difference (Oct 2031 vs Oct 2033) in when Percentage Rent begins</w:t>
            </w:r>
          </w:p>
        </w:tc>
        <w:tc>
          <w:tcPr>
            <w:tcW w:type="dxa" w:w="749"/>
          </w:tcPr>
          <w:p>
            <w:pPr>
              <w:spacing w:before="20" w:after="20" w:line="240" w:lineRule="auto"/>
            </w:pPr>
            <w:r/>
            <w:r>
              <w:rPr>
                <w:rFonts w:ascii="Times New Roman" w:hAnsi="Times New Roman"/>
                <w:b w:val="0"/>
                <w:i w:val="0"/>
                <w:sz w:val="13"/>
              </w:rPr>
              <w:t>High</w:t>
            </w:r>
          </w:p>
        </w:tc>
      </w:tr>
      <w:tr>
        <w:tc>
          <w:tcPr>
            <w:tcW w:type="dxa" w:w="547"/>
          </w:tcPr>
          <w:p>
            <w:pPr>
              <w:spacing w:before="20" w:after="20" w:line="240" w:lineRule="auto"/>
            </w:pPr>
            <w:r/>
            <w:r>
              <w:rPr>
                <w:rFonts w:ascii="Times New Roman" w:hAnsi="Times New Roman"/>
                <w:b w:val="0"/>
                <w:i w:val="0"/>
                <w:sz w:val="13"/>
              </w:rPr>
              <w:t>C7</w:t>
            </w:r>
          </w:p>
        </w:tc>
        <w:tc>
          <w:tcPr>
            <w:tcW w:type="dxa" w:w="1440"/>
          </w:tcPr>
          <w:p>
            <w:pPr>
              <w:spacing w:before="20" w:after="20" w:line="240" w:lineRule="auto"/>
            </w:pPr>
            <w:r/>
            <w:r>
              <w:rPr>
                <w:rFonts w:ascii="Times New Roman" w:hAnsi="Times New Roman"/>
                <w:b w:val="0"/>
                <w:i w:val="0"/>
                <w:sz w:val="13"/>
              </w:rPr>
              <w:t>Commencement of the tax abatement</w:t>
            </w:r>
          </w:p>
        </w:tc>
        <w:tc>
          <w:tcPr>
            <w:tcW w:type="dxa" w:w="2160"/>
          </w:tcPr>
          <w:p>
            <w:pPr>
              <w:spacing w:before="20" w:after="20" w:line="240" w:lineRule="auto"/>
            </w:pPr>
            <w:r/>
            <w:r>
              <w:rPr>
                <w:rFonts w:ascii="Times New Roman" w:hAnsi="Times New Roman"/>
                <w:b w:val="0"/>
                <w:i w:val="0"/>
                <w:sz w:val="13"/>
              </w:rPr>
              <w:t>TS § 10: period "shall commence on the Lease Commencement Date"</w:t>
            </w:r>
          </w:p>
        </w:tc>
        <w:tc>
          <w:tcPr>
            <w:tcW w:type="dxa" w:w="2160"/>
          </w:tcPr>
          <w:p>
            <w:pPr>
              <w:spacing w:before="20" w:after="20" w:line="240" w:lineRule="auto"/>
            </w:pPr>
            <w:r/>
            <w:r>
              <w:rPr>
                <w:rFonts w:ascii="Times New Roman" w:hAnsi="Times New Roman"/>
                <w:b w:val="0"/>
                <w:i w:val="0"/>
                <w:sz w:val="13"/>
              </w:rPr>
              <w:t>Client instruction; Board Res. recital (income years); Coventry underwriting</w:t>
            </w:r>
          </w:p>
        </w:tc>
        <w:tc>
          <w:tcPr>
            <w:tcW w:type="dxa" w:w="2304"/>
          </w:tcPr>
          <w:p>
            <w:pPr>
              <w:spacing w:before="20" w:after="20" w:line="240" w:lineRule="auto"/>
            </w:pPr>
            <w:r/>
            <w:r>
              <w:rPr>
                <w:rFonts w:ascii="Times New Roman" w:hAnsi="Times New Roman"/>
                <w:b w:val="0"/>
                <w:i w:val="0"/>
                <w:sz w:val="13"/>
              </w:rPr>
              <w:t>Three construction years consumed before rent commences; abatement value lost (Part 6.2)</w:t>
            </w:r>
          </w:p>
        </w:tc>
        <w:tc>
          <w:tcPr>
            <w:tcW w:type="dxa" w:w="749"/>
          </w:tcPr>
          <w:p>
            <w:pPr>
              <w:spacing w:before="20" w:after="20" w:line="240" w:lineRule="auto"/>
            </w:pPr>
            <w:r/>
            <w:r>
              <w:rPr>
                <w:rFonts w:ascii="Times New Roman" w:hAnsi="Times New Roman"/>
                <w:b w:val="0"/>
                <w:i w:val="0"/>
                <w:sz w:val="13"/>
              </w:rPr>
              <w:t>High</w:t>
            </w:r>
          </w:p>
        </w:tc>
      </w:tr>
      <w:tr>
        <w:tc>
          <w:tcPr>
            <w:tcW w:type="dxa" w:w="547"/>
          </w:tcPr>
          <w:p>
            <w:pPr>
              <w:spacing w:before="20" w:after="20" w:line="240" w:lineRule="auto"/>
            </w:pPr>
            <w:r/>
            <w:r>
              <w:rPr>
                <w:rFonts w:ascii="Times New Roman" w:hAnsi="Times New Roman"/>
                <w:b w:val="0"/>
                <w:i w:val="0"/>
                <w:sz w:val="13"/>
              </w:rPr>
              <w:t>C8</w:t>
            </w:r>
          </w:p>
        </w:tc>
        <w:tc>
          <w:tcPr>
            <w:tcW w:type="dxa" w:w="1440"/>
          </w:tcPr>
          <w:p>
            <w:pPr>
              <w:spacing w:before="20" w:after="20" w:line="240" w:lineRule="auto"/>
            </w:pPr>
            <w:r/>
            <w:r>
              <w:rPr>
                <w:rFonts w:ascii="Times New Roman" w:hAnsi="Times New Roman"/>
                <w:b w:val="0"/>
                <w:i w:val="0"/>
                <w:sz w:val="13"/>
              </w:rPr>
              <w:t>LOC issuer criteria</w:t>
            </w:r>
          </w:p>
        </w:tc>
        <w:tc>
          <w:tcPr>
            <w:tcW w:type="dxa" w:w="2160"/>
          </w:tcPr>
          <w:p>
            <w:pPr>
              <w:spacing w:before="20" w:after="20" w:line="240" w:lineRule="auto"/>
            </w:pPr>
            <w:r/>
            <w:r>
              <w:rPr>
                <w:rFonts w:ascii="Times New Roman" w:hAnsi="Times New Roman"/>
                <w:b w:val="0"/>
                <w:i w:val="0"/>
                <w:sz w:val="13"/>
              </w:rPr>
              <w:t>TS § 8: rating of A- (S&amp;P) / A3 (Moody's)</w:t>
            </w:r>
          </w:p>
        </w:tc>
        <w:tc>
          <w:tcPr>
            <w:tcW w:type="dxa" w:w="2160"/>
          </w:tcPr>
          <w:p>
            <w:pPr>
              <w:spacing w:before="20" w:after="20" w:line="240" w:lineRule="auto"/>
            </w:pPr>
            <w:r/>
            <w:r>
              <w:rPr>
                <w:rFonts w:ascii="Times New Roman" w:hAnsi="Times New Roman"/>
                <w:b w:val="0"/>
                <w:i w:val="0"/>
                <w:sz w:val="13"/>
              </w:rPr>
              <w:t>Board Res. recital (c): "issued by a federally chartered banking institution"</w:t>
            </w:r>
          </w:p>
        </w:tc>
        <w:tc>
          <w:tcPr>
            <w:tcW w:type="dxa" w:w="2304"/>
          </w:tcPr>
          <w:p>
            <w:pPr>
              <w:spacing w:before="20" w:after="20" w:line="240" w:lineRule="auto"/>
            </w:pPr>
            <w:r/>
            <w:r>
              <w:rPr>
                <w:rFonts w:ascii="Times New Roman" w:hAnsi="Times New Roman"/>
                <w:b w:val="0"/>
                <w:i w:val="0"/>
                <w:sz w:val="13"/>
              </w:rPr>
              <w:t>Different tests; a federally chartered bank need not be A-/A3 rated, and vice versa</w:t>
            </w:r>
          </w:p>
        </w:tc>
        <w:tc>
          <w:tcPr>
            <w:tcW w:type="dxa" w:w="749"/>
          </w:tcPr>
          <w:p>
            <w:pPr>
              <w:spacing w:before="20" w:after="20" w:line="240" w:lineRule="auto"/>
            </w:pPr>
            <w:r/>
            <w:r>
              <w:rPr>
                <w:rFonts w:ascii="Times New Roman" w:hAnsi="Times New Roman"/>
                <w:b w:val="0"/>
                <w:i w:val="0"/>
                <w:sz w:val="13"/>
              </w:rPr>
              <w:t>Med.</w:t>
            </w:r>
          </w:p>
        </w:tc>
      </w:tr>
      <w:tr>
        <w:tc>
          <w:tcPr>
            <w:tcW w:type="dxa" w:w="547"/>
          </w:tcPr>
          <w:p>
            <w:pPr>
              <w:spacing w:before="20" w:after="20" w:line="240" w:lineRule="auto"/>
            </w:pPr>
            <w:r/>
            <w:r>
              <w:rPr>
                <w:rFonts w:ascii="Times New Roman" w:hAnsi="Times New Roman"/>
                <w:b w:val="0"/>
                <w:i w:val="0"/>
                <w:sz w:val="13"/>
              </w:rPr>
              <w:t>C9</w:t>
            </w:r>
          </w:p>
        </w:tc>
        <w:tc>
          <w:tcPr>
            <w:tcW w:type="dxa" w:w="1440"/>
          </w:tcPr>
          <w:p>
            <w:pPr>
              <w:spacing w:before="20" w:after="20" w:line="240" w:lineRule="auto"/>
            </w:pPr>
            <w:r/>
            <w:r>
              <w:rPr>
                <w:rFonts w:ascii="Times New Roman" w:hAnsi="Times New Roman"/>
                <w:b w:val="0"/>
                <w:i w:val="0"/>
                <w:sz w:val="13"/>
              </w:rPr>
              <w:t>Form of security deposit</w:t>
            </w:r>
          </w:p>
        </w:tc>
        <w:tc>
          <w:tcPr>
            <w:tcW w:type="dxa" w:w="2160"/>
          </w:tcPr>
          <w:p>
            <w:pPr>
              <w:spacing w:before="20" w:after="20" w:line="240" w:lineRule="auto"/>
            </w:pPr>
            <w:r/>
            <w:r>
              <w:rPr>
                <w:rFonts w:ascii="Times New Roman" w:hAnsi="Times New Roman"/>
                <w:b w:val="0"/>
                <w:i w:val="0"/>
                <w:sz w:val="13"/>
              </w:rPr>
              <w:t>TS § 8 and § 15(d): irrevocable standby LOC only</w:t>
            </w:r>
          </w:p>
        </w:tc>
        <w:tc>
          <w:tcPr>
            <w:tcW w:type="dxa" w:w="2160"/>
          </w:tcPr>
          <w:p>
            <w:pPr>
              <w:spacing w:before="20" w:after="20" w:line="240" w:lineRule="auto"/>
            </w:pPr>
            <w:r/>
            <w:r>
              <w:rPr>
                <w:rFonts w:ascii="Times New Roman" w:hAnsi="Times New Roman"/>
                <w:b w:val="0"/>
                <w:i w:val="0"/>
                <w:sz w:val="13"/>
              </w:rPr>
              <w:t>Bayside § 4: LOC "or, at Borrower's option, a cash security deposit"</w:t>
            </w:r>
          </w:p>
        </w:tc>
        <w:tc>
          <w:tcPr>
            <w:tcW w:type="dxa" w:w="2304"/>
          </w:tcPr>
          <w:p>
            <w:pPr>
              <w:spacing w:before="20" w:after="20" w:line="240" w:lineRule="auto"/>
            </w:pPr>
            <w:r/>
            <w:r>
              <w:rPr>
                <w:rFonts w:ascii="Times New Roman" w:hAnsi="Times New Roman"/>
                <w:b w:val="0"/>
                <w:i w:val="0"/>
                <w:sz w:val="13"/>
              </w:rPr>
              <w:t>Tenant-favourable option exists under the loan but is unavailable under the Term Sheet</w:t>
            </w:r>
          </w:p>
        </w:tc>
        <w:tc>
          <w:tcPr>
            <w:tcW w:type="dxa" w:w="749"/>
          </w:tcPr>
          <w:p>
            <w:pPr>
              <w:spacing w:before="20" w:after="20" w:line="240" w:lineRule="auto"/>
            </w:pPr>
            <w:r/>
            <w:r>
              <w:rPr>
                <w:rFonts w:ascii="Times New Roman" w:hAnsi="Times New Roman"/>
                <w:b w:val="0"/>
                <w:i w:val="0"/>
                <w:sz w:val="13"/>
              </w:rPr>
              <w:t>Low</w:t>
            </w:r>
          </w:p>
        </w:tc>
      </w:tr>
      <w:tr>
        <w:tc>
          <w:tcPr>
            <w:tcW w:type="dxa" w:w="547"/>
          </w:tcPr>
          <w:p>
            <w:pPr>
              <w:spacing w:before="20" w:after="20" w:line="240" w:lineRule="auto"/>
            </w:pPr>
            <w:r/>
            <w:r>
              <w:rPr>
                <w:rFonts w:ascii="Times New Roman" w:hAnsi="Times New Roman"/>
                <w:b w:val="0"/>
                <w:i w:val="0"/>
                <w:sz w:val="13"/>
              </w:rPr>
              <w:t>C10</w:t>
            </w:r>
          </w:p>
        </w:tc>
        <w:tc>
          <w:tcPr>
            <w:tcW w:type="dxa" w:w="1440"/>
          </w:tcPr>
          <w:p>
            <w:pPr>
              <w:spacing w:before="20" w:after="20" w:line="240" w:lineRule="auto"/>
            </w:pPr>
            <w:r/>
            <w:r>
              <w:rPr>
                <w:rFonts w:ascii="Times New Roman" w:hAnsi="Times New Roman"/>
                <w:b w:val="0"/>
                <w:i w:val="0"/>
                <w:sz w:val="13"/>
              </w:rPr>
              <w:t>Setoff</w:t>
            </w:r>
          </w:p>
        </w:tc>
        <w:tc>
          <w:tcPr>
            <w:tcW w:type="dxa" w:w="2160"/>
          </w:tcPr>
          <w:p>
            <w:pPr>
              <w:spacing w:before="20" w:after="20" w:line="240" w:lineRule="auto"/>
            </w:pPr>
            <w:r/>
            <w:r>
              <w:rPr>
                <w:rFonts w:ascii="Times New Roman" w:hAnsi="Times New Roman"/>
                <w:b w:val="0"/>
                <w:i w:val="0"/>
                <w:sz w:val="13"/>
              </w:rPr>
              <w:t>TS § 5: Base Rent payable "without demand, setoff, or deduction except as expressly provided"</w:t>
            </w:r>
          </w:p>
        </w:tc>
        <w:tc>
          <w:tcPr>
            <w:tcW w:type="dxa" w:w="2160"/>
          </w:tcPr>
          <w:p>
            <w:pPr>
              <w:spacing w:before="20" w:after="20" w:line="240" w:lineRule="auto"/>
            </w:pPr>
            <w:r/>
            <w:r>
              <w:rPr>
                <w:rFonts w:ascii="Times New Roman" w:hAnsi="Times New Roman"/>
                <w:b w:val="0"/>
                <w:i w:val="0"/>
                <w:sz w:val="13"/>
              </w:rPr>
              <w:t>TS § 16 (Tenant remedies): Tenant may "offset amounts due against Base Rent"</w:t>
            </w:r>
          </w:p>
        </w:tc>
        <w:tc>
          <w:tcPr>
            <w:tcW w:type="dxa" w:w="2304"/>
          </w:tcPr>
          <w:p>
            <w:pPr>
              <w:spacing w:before="20" w:after="20" w:line="240" w:lineRule="auto"/>
            </w:pPr>
            <w:r/>
            <w:r>
              <w:rPr>
                <w:rFonts w:ascii="Times New Roman" w:hAnsi="Times New Roman"/>
                <w:b w:val="0"/>
                <w:i w:val="0"/>
                <w:sz w:val="13"/>
              </w:rPr>
              <w:t>Internal conflict in the same instrument; must be reconciled expressly (Draft § 4.6)</w:t>
            </w:r>
          </w:p>
        </w:tc>
        <w:tc>
          <w:tcPr>
            <w:tcW w:type="dxa" w:w="749"/>
          </w:tcPr>
          <w:p>
            <w:pPr>
              <w:spacing w:before="20" w:after="20" w:line="240" w:lineRule="auto"/>
            </w:pPr>
            <w:r/>
            <w:r>
              <w:rPr>
                <w:rFonts w:ascii="Times New Roman" w:hAnsi="Times New Roman"/>
                <w:b w:val="0"/>
                <w:i w:val="0"/>
                <w:sz w:val="13"/>
              </w:rPr>
              <w:t>Med.</w:t>
            </w:r>
          </w:p>
        </w:tc>
      </w:tr>
      <w:tr>
        <w:tc>
          <w:tcPr>
            <w:tcW w:type="dxa" w:w="547"/>
          </w:tcPr>
          <w:p>
            <w:pPr>
              <w:spacing w:before="20" w:after="20" w:line="240" w:lineRule="auto"/>
            </w:pPr>
            <w:r/>
            <w:r>
              <w:rPr>
                <w:rFonts w:ascii="Times New Roman" w:hAnsi="Times New Roman"/>
                <w:b w:val="0"/>
                <w:i w:val="0"/>
                <w:sz w:val="13"/>
              </w:rPr>
              <w:t>C11</w:t>
            </w:r>
          </w:p>
        </w:tc>
        <w:tc>
          <w:tcPr>
            <w:tcW w:type="dxa" w:w="1440"/>
          </w:tcPr>
          <w:p>
            <w:pPr>
              <w:spacing w:before="20" w:after="20" w:line="240" w:lineRule="auto"/>
            </w:pPr>
            <w:r/>
            <w:r>
              <w:rPr>
                <w:rFonts w:ascii="Times New Roman" w:hAnsi="Times New Roman"/>
                <w:b w:val="0"/>
                <w:i w:val="0"/>
                <w:sz w:val="13"/>
              </w:rPr>
              <w:t>Whether reverter termination is automatic</w:t>
            </w:r>
          </w:p>
        </w:tc>
        <w:tc>
          <w:tcPr>
            <w:tcW w:type="dxa" w:w="2160"/>
          </w:tcPr>
          <w:p>
            <w:pPr>
              <w:spacing w:before="20" w:after="20" w:line="240" w:lineRule="auto"/>
            </w:pPr>
            <w:r/>
            <w:r>
              <w:rPr>
                <w:rFonts w:ascii="Times New Roman" w:hAnsi="Times New Roman"/>
                <w:b w:val="0"/>
                <w:i w:val="0"/>
                <w:sz w:val="13"/>
              </w:rPr>
              <w:t>TS § 9: Lease "shall automatically terminate upon the expiration of such period"</w:t>
            </w:r>
          </w:p>
        </w:tc>
        <w:tc>
          <w:tcPr>
            <w:tcW w:type="dxa" w:w="2160"/>
          </w:tcPr>
          <w:p>
            <w:pPr>
              <w:spacing w:before="20" w:after="20" w:line="240" w:lineRule="auto"/>
            </w:pPr>
            <w:r/>
            <w:r>
              <w:rPr>
                <w:rFonts w:ascii="Times New Roman" w:hAnsi="Times New Roman"/>
                <w:b w:val="0"/>
                <w:i w:val="0"/>
                <w:sz w:val="13"/>
              </w:rPr>
              <w:t>Bayside § 5.4: "No termination ... shall be effective unless and until Lender has received such notice and the applicable Lender cure periods ... have expired without cure"</w:t>
            </w:r>
          </w:p>
        </w:tc>
        <w:tc>
          <w:tcPr>
            <w:tcW w:type="dxa" w:w="2304"/>
          </w:tcPr>
          <w:p>
            <w:pPr>
              <w:spacing w:before="20" w:after="20" w:line="240" w:lineRule="auto"/>
            </w:pPr>
            <w:r/>
            <w:r>
              <w:rPr>
                <w:rFonts w:ascii="Times New Roman" w:hAnsi="Times New Roman"/>
                <w:b w:val="0"/>
                <w:i w:val="0"/>
                <w:sz w:val="13"/>
              </w:rPr>
              <w:t>Direct conflict. A self-executing termination would defeat the lender cure rights that are a condition of the loan</w:t>
            </w:r>
          </w:p>
        </w:tc>
        <w:tc>
          <w:tcPr>
            <w:tcW w:type="dxa" w:w="749"/>
          </w:tcPr>
          <w:p>
            <w:pPr>
              <w:spacing w:before="20" w:after="20" w:line="240" w:lineRule="auto"/>
            </w:pPr>
            <w:r/>
            <w:r>
              <w:rPr>
                <w:rFonts w:ascii="Times New Roman" w:hAnsi="Times New Roman"/>
                <w:b w:val="0"/>
                <w:i w:val="0"/>
                <w:sz w:val="13"/>
              </w:rPr>
              <w:t>Crit.</w:t>
            </w:r>
          </w:p>
        </w:tc>
      </w:tr>
      <w:tr>
        <w:tc>
          <w:tcPr>
            <w:tcW w:type="dxa" w:w="547"/>
          </w:tcPr>
          <w:p>
            <w:pPr>
              <w:spacing w:before="20" w:after="20" w:line="240" w:lineRule="auto"/>
            </w:pPr>
            <w:r/>
            <w:r>
              <w:rPr>
                <w:rFonts w:ascii="Times New Roman" w:hAnsi="Times New Roman"/>
                <w:b w:val="0"/>
                <w:i w:val="0"/>
                <w:sz w:val="13"/>
              </w:rPr>
              <w:t>C12</w:t>
            </w:r>
          </w:p>
        </w:tc>
        <w:tc>
          <w:tcPr>
            <w:tcW w:type="dxa" w:w="1440"/>
          </w:tcPr>
          <w:p>
            <w:pPr>
              <w:spacing w:before="20" w:after="20" w:line="240" w:lineRule="auto"/>
            </w:pPr>
            <w:r/>
            <w:r>
              <w:rPr>
                <w:rFonts w:ascii="Times New Roman" w:hAnsi="Times New Roman"/>
                <w:b w:val="0"/>
                <w:i w:val="0"/>
                <w:sz w:val="13"/>
              </w:rPr>
              <w:t>Scope of the reverter</w:t>
            </w:r>
          </w:p>
        </w:tc>
        <w:tc>
          <w:tcPr>
            <w:tcW w:type="dxa" w:w="2160"/>
          </w:tcPr>
          <w:p>
            <w:pPr>
              <w:spacing w:before="20" w:after="20" w:line="240" w:lineRule="auto"/>
            </w:pPr>
            <w:r/>
            <w:r>
              <w:rPr>
                <w:rFonts w:ascii="Times New Roman" w:hAnsi="Times New Roman"/>
                <w:b w:val="0"/>
                <w:i w:val="0"/>
                <w:sz w:val="13"/>
              </w:rPr>
              <w:t>TS § 9: reverter only for Milestone 1 and Milestone 3</w:t>
            </w:r>
          </w:p>
        </w:tc>
        <w:tc>
          <w:tcPr>
            <w:tcW w:type="dxa" w:w="2160"/>
          </w:tcPr>
          <w:p>
            <w:pPr>
              <w:spacing w:before="20" w:after="20" w:line="240" w:lineRule="auto"/>
            </w:pPr>
            <w:r/>
            <w:r>
              <w:rPr>
                <w:rFonts w:ascii="Times New Roman" w:hAnsi="Times New Roman"/>
                <w:b w:val="0"/>
                <w:i w:val="0"/>
                <w:sz w:val="13"/>
              </w:rPr>
              <w:t>TS § 16 (Landlord remedies): "exercise the reverter rights described in Section 9" upon any uncured Event of Default</w:t>
            </w:r>
          </w:p>
        </w:tc>
        <w:tc>
          <w:tcPr>
            <w:tcW w:type="dxa" w:w="2304"/>
          </w:tcPr>
          <w:p>
            <w:pPr>
              <w:spacing w:before="20" w:after="20" w:line="240" w:lineRule="auto"/>
            </w:pPr>
            <w:r/>
            <w:r>
              <w:rPr>
                <w:rFonts w:ascii="Times New Roman" w:hAnsi="Times New Roman"/>
                <w:b w:val="0"/>
                <w:i w:val="0"/>
                <w:sz w:val="13"/>
              </w:rPr>
              <w:t>Would extend forfeiture to bankruptcy, monetary defaults and everything else</w:t>
            </w:r>
          </w:p>
        </w:tc>
        <w:tc>
          <w:tcPr>
            <w:tcW w:type="dxa" w:w="749"/>
          </w:tcPr>
          <w:p>
            <w:pPr>
              <w:spacing w:before="20" w:after="20" w:line="240" w:lineRule="auto"/>
            </w:pPr>
            <w:r/>
            <w:r>
              <w:rPr>
                <w:rFonts w:ascii="Times New Roman" w:hAnsi="Times New Roman"/>
                <w:b w:val="0"/>
                <w:i w:val="0"/>
                <w:sz w:val="13"/>
              </w:rPr>
              <w:t>Crit.</w:t>
            </w:r>
          </w:p>
        </w:tc>
      </w:tr>
      <w:tr>
        <w:tc>
          <w:tcPr>
            <w:tcW w:type="dxa" w:w="547"/>
          </w:tcPr>
          <w:p>
            <w:pPr>
              <w:spacing w:before="20" w:after="20" w:line="240" w:lineRule="auto"/>
            </w:pPr>
            <w:r/>
            <w:r>
              <w:rPr>
                <w:rFonts w:ascii="Times New Roman" w:hAnsi="Times New Roman"/>
                <w:b w:val="0"/>
                <w:i w:val="0"/>
                <w:sz w:val="13"/>
              </w:rPr>
              <w:t>C13</w:t>
            </w:r>
          </w:p>
        </w:tc>
        <w:tc>
          <w:tcPr>
            <w:tcW w:type="dxa" w:w="1440"/>
          </w:tcPr>
          <w:p>
            <w:pPr>
              <w:spacing w:before="20" w:after="20" w:line="240" w:lineRule="auto"/>
            </w:pPr>
            <w:r/>
            <w:r>
              <w:rPr>
                <w:rFonts w:ascii="Times New Roman" w:hAnsi="Times New Roman"/>
                <w:b w:val="0"/>
                <w:i w:val="0"/>
                <w:sz w:val="13"/>
              </w:rPr>
              <w:t>Treatment of the mechanics' lien</w:t>
            </w:r>
          </w:p>
        </w:tc>
        <w:tc>
          <w:tcPr>
            <w:tcW w:type="dxa" w:w="2160"/>
          </w:tcPr>
          <w:p>
            <w:pPr>
              <w:spacing w:before="20" w:after="20" w:line="240" w:lineRule="auto"/>
            </w:pPr>
            <w:r/>
            <w:r>
              <w:rPr>
                <w:rFonts w:ascii="Times New Roman" w:hAnsi="Times New Roman"/>
                <w:b w:val="0"/>
                <w:i w:val="0"/>
                <w:sz w:val="13"/>
              </w:rPr>
              <w:t>TS § 13: listed as Permitted Exception No. 6</w:t>
            </w:r>
          </w:p>
        </w:tc>
        <w:tc>
          <w:tcPr>
            <w:tcW w:type="dxa" w:w="2160"/>
          </w:tcPr>
          <w:p>
            <w:pPr>
              <w:spacing w:before="20" w:after="20" w:line="240" w:lineRule="auto"/>
            </w:pPr>
            <w:r/>
            <w:r>
              <w:rPr>
                <w:rFonts w:ascii="Times New Roman" w:hAnsi="Times New Roman"/>
                <w:b w:val="0"/>
                <w:i w:val="0"/>
                <w:sz w:val="13"/>
              </w:rPr>
              <w:t>TC Req. 7: "The Company will not issue either policy ... until this requirement has been satisfied". Bayside § 6(c): no exceptions other than those approved by Lender</w:t>
            </w:r>
          </w:p>
        </w:tc>
        <w:tc>
          <w:tcPr>
            <w:tcW w:type="dxa" w:w="2304"/>
          </w:tcPr>
          <w:p>
            <w:pPr>
              <w:spacing w:before="20" w:after="20" w:line="240" w:lineRule="auto"/>
            </w:pPr>
            <w:r/>
            <w:r>
              <w:rPr>
                <w:rFonts w:ascii="Times New Roman" w:hAnsi="Times New Roman"/>
                <w:b w:val="0"/>
                <w:i w:val="0"/>
                <w:sz w:val="13"/>
              </w:rPr>
              <w:t>The lien cannot be a Permitted Exception if the policy will not issue over it. It must be discharged</w:t>
            </w:r>
          </w:p>
        </w:tc>
        <w:tc>
          <w:tcPr>
            <w:tcW w:type="dxa" w:w="749"/>
          </w:tcPr>
          <w:p>
            <w:pPr>
              <w:spacing w:before="20" w:after="20" w:line="240" w:lineRule="auto"/>
            </w:pPr>
            <w:r/>
            <w:r>
              <w:rPr>
                <w:rFonts w:ascii="Times New Roman" w:hAnsi="Times New Roman"/>
                <w:b w:val="0"/>
                <w:i w:val="0"/>
                <w:sz w:val="13"/>
              </w:rPr>
              <w:t>High</w:t>
            </w:r>
          </w:p>
        </w:tc>
      </w:tr>
      <w:tr>
        <w:tc>
          <w:tcPr>
            <w:tcW w:type="dxa" w:w="547"/>
          </w:tcPr>
          <w:p>
            <w:pPr>
              <w:spacing w:before="20" w:after="20" w:line="240" w:lineRule="auto"/>
            </w:pPr>
            <w:r/>
            <w:r>
              <w:rPr>
                <w:rFonts w:ascii="Times New Roman" w:hAnsi="Times New Roman"/>
                <w:b w:val="0"/>
                <w:i w:val="0"/>
                <w:sz w:val="13"/>
              </w:rPr>
              <w:t>C14</w:t>
            </w:r>
          </w:p>
        </w:tc>
        <w:tc>
          <w:tcPr>
            <w:tcW w:type="dxa" w:w="1440"/>
          </w:tcPr>
          <w:p>
            <w:pPr>
              <w:spacing w:before="20" w:after="20" w:line="240" w:lineRule="auto"/>
            </w:pPr>
            <w:r/>
            <w:r>
              <w:rPr>
                <w:rFonts w:ascii="Times New Roman" w:hAnsi="Times New Roman"/>
                <w:b w:val="0"/>
                <w:i w:val="0"/>
                <w:sz w:val="13"/>
              </w:rPr>
              <w:t>ROFR carve-outs</w:t>
            </w:r>
          </w:p>
        </w:tc>
        <w:tc>
          <w:tcPr>
            <w:tcW w:type="dxa" w:w="2160"/>
          </w:tcPr>
          <w:p>
            <w:pPr>
              <w:spacing w:before="20" w:after="20" w:line="240" w:lineRule="auto"/>
            </w:pPr>
            <w:r/>
            <w:r>
              <w:rPr>
                <w:rFonts w:ascii="Times New Roman" w:hAnsi="Times New Roman"/>
                <w:b w:val="0"/>
                <w:i w:val="0"/>
                <w:sz w:val="13"/>
              </w:rPr>
              <w:t>TS § 11 and Draft § 11.5: no ROFR for mortgagee transfers, affiliates or change of control</w:t>
            </w:r>
          </w:p>
        </w:tc>
        <w:tc>
          <w:tcPr>
            <w:tcW w:type="dxa" w:w="2160"/>
          </w:tcPr>
          <w:p>
            <w:pPr>
              <w:spacing w:before="20" w:after="20" w:line="240" w:lineRule="auto"/>
            </w:pPr>
            <w:r/>
            <w:r>
              <w:rPr>
                <w:rFonts w:ascii="Times New Roman" w:hAnsi="Times New Roman"/>
                <w:b w:val="0"/>
                <w:i w:val="0"/>
                <w:sz w:val="13"/>
              </w:rPr>
              <w:t>Recorded Declaration (Sept. 8, 2019, Vol. 405, Pg. 55), per TC Ex. 4: "does not by its terms contain any exception or carve-out for transfers resulting from foreclosure, deed-in-lieu ... or assignments by a leasehold mortgagee"</w:t>
            </w:r>
          </w:p>
        </w:tc>
        <w:tc>
          <w:tcPr>
            <w:tcW w:type="dxa" w:w="2304"/>
          </w:tcPr>
          <w:p>
            <w:pPr>
              <w:spacing w:before="20" w:after="20" w:line="240" w:lineRule="auto"/>
            </w:pPr>
            <w:r/>
            <w:r>
              <w:rPr>
                <w:rFonts w:ascii="Times New Roman" w:hAnsi="Times New Roman"/>
                <w:b w:val="0"/>
                <w:i w:val="0"/>
                <w:sz w:val="13"/>
              </w:rPr>
              <w:t>A recorded instrument binds regardless of the lease. Must be amended of record before closing</w:t>
            </w:r>
          </w:p>
        </w:tc>
        <w:tc>
          <w:tcPr>
            <w:tcW w:type="dxa" w:w="749"/>
          </w:tcPr>
          <w:p>
            <w:pPr>
              <w:spacing w:before="20" w:after="20" w:line="240" w:lineRule="auto"/>
            </w:pPr>
            <w:r/>
            <w:r>
              <w:rPr>
                <w:rFonts w:ascii="Times New Roman" w:hAnsi="Times New Roman"/>
                <w:b w:val="0"/>
                <w:i w:val="0"/>
                <w:sz w:val="13"/>
              </w:rPr>
              <w:t>High</w:t>
            </w:r>
          </w:p>
        </w:tc>
      </w:tr>
      <w:tr>
        <w:tc>
          <w:tcPr>
            <w:tcW w:type="dxa" w:w="547"/>
          </w:tcPr>
          <w:p>
            <w:pPr>
              <w:spacing w:before="20" w:after="20" w:line="240" w:lineRule="auto"/>
            </w:pPr>
            <w:r/>
            <w:r>
              <w:rPr>
                <w:rFonts w:ascii="Times New Roman" w:hAnsi="Times New Roman"/>
                <w:b w:val="0"/>
                <w:i w:val="0"/>
                <w:sz w:val="13"/>
              </w:rPr>
              <w:t>C15</w:t>
            </w:r>
          </w:p>
        </w:tc>
        <w:tc>
          <w:tcPr>
            <w:tcW w:type="dxa" w:w="1440"/>
          </w:tcPr>
          <w:p>
            <w:pPr>
              <w:spacing w:before="20" w:after="20" w:line="240" w:lineRule="auto"/>
            </w:pPr>
            <w:r/>
            <w:r>
              <w:rPr>
                <w:rFonts w:ascii="Times New Roman" w:hAnsi="Times New Roman"/>
                <w:b w:val="0"/>
                <w:i w:val="0"/>
                <w:sz w:val="13"/>
              </w:rPr>
              <w:t>Ground-floor residential use</w:t>
            </w:r>
          </w:p>
        </w:tc>
        <w:tc>
          <w:tcPr>
            <w:tcW w:type="dxa" w:w="2160"/>
          </w:tcPr>
          <w:p>
            <w:pPr>
              <w:spacing w:before="20" w:after="20" w:line="240" w:lineRule="auto"/>
            </w:pPr>
            <w:r/>
            <w:r>
              <w:rPr>
                <w:rFonts w:ascii="Times New Roman" w:hAnsi="Times New Roman"/>
                <w:b w:val="0"/>
                <w:i w:val="0"/>
                <w:sz w:val="13"/>
              </w:rPr>
              <w:t>TS § 4: Project includes "ground-floor residential lobby and amenity spaces (fitness center, package room, resident lounge, and leasing office)" and permits "residential apartments"</w:t>
            </w:r>
          </w:p>
        </w:tc>
        <w:tc>
          <w:tcPr>
            <w:tcW w:type="dxa" w:w="2160"/>
          </w:tcPr>
          <w:p>
            <w:pPr>
              <w:spacing w:before="20" w:after="20" w:line="240" w:lineRule="auto"/>
            </w:pPr>
            <w:r/>
            <w:r>
              <w:rPr>
                <w:rFonts w:ascii="Times New Roman" w:hAnsi="Times New Roman"/>
                <w:b w:val="0"/>
                <w:i w:val="0"/>
                <w:sz w:val="13"/>
              </w:rPr>
              <w:t>ELUR and Phase II § 2.3(a): prohibition on residential use on the ground floor; Phase II expressly flags that the ELUR "does not define or specifically address" lobby/amenity space</w:t>
            </w:r>
          </w:p>
        </w:tc>
        <w:tc>
          <w:tcPr>
            <w:tcW w:type="dxa" w:w="2304"/>
          </w:tcPr>
          <w:p>
            <w:pPr>
              <w:spacing w:before="20" w:after="20" w:line="240" w:lineRule="auto"/>
            </w:pPr>
            <w:r/>
            <w:r>
              <w:rPr>
                <w:rFonts w:ascii="Times New Roman" w:hAnsi="Times New Roman"/>
                <w:b w:val="0"/>
                <w:i w:val="0"/>
                <w:sz w:val="13"/>
              </w:rPr>
              <w:t>Live enforcement and permitting risk; unresolved in the record</w:t>
            </w:r>
          </w:p>
        </w:tc>
        <w:tc>
          <w:tcPr>
            <w:tcW w:type="dxa" w:w="749"/>
          </w:tcPr>
          <w:p>
            <w:pPr>
              <w:spacing w:before="20" w:after="20" w:line="240" w:lineRule="auto"/>
            </w:pPr>
            <w:r/>
            <w:r>
              <w:rPr>
                <w:rFonts w:ascii="Times New Roman" w:hAnsi="Times New Roman"/>
                <w:b w:val="0"/>
                <w:i w:val="0"/>
                <w:sz w:val="13"/>
              </w:rPr>
              <w:t>High</w:t>
            </w:r>
          </w:p>
        </w:tc>
      </w:tr>
      <w:tr>
        <w:tc>
          <w:tcPr>
            <w:tcW w:type="dxa" w:w="547"/>
          </w:tcPr>
          <w:p>
            <w:pPr>
              <w:spacing w:before="20" w:after="20" w:line="240" w:lineRule="auto"/>
            </w:pPr>
            <w:r/>
            <w:r>
              <w:rPr>
                <w:rFonts w:ascii="Times New Roman" w:hAnsi="Times New Roman"/>
                <w:b w:val="0"/>
                <w:i w:val="0"/>
                <w:sz w:val="13"/>
              </w:rPr>
              <w:t>C16</w:t>
            </w:r>
          </w:p>
        </w:tc>
        <w:tc>
          <w:tcPr>
            <w:tcW w:type="dxa" w:w="1440"/>
          </w:tcPr>
          <w:p>
            <w:pPr>
              <w:spacing w:before="20" w:after="20" w:line="240" w:lineRule="auto"/>
            </w:pPr>
            <w:r/>
            <w:r>
              <w:rPr>
                <w:rFonts w:ascii="Times New Roman" w:hAnsi="Times New Roman"/>
                <w:b w:val="0"/>
                <w:i w:val="0"/>
                <w:sz w:val="13"/>
              </w:rPr>
              <w:t>Affordable housing unit count</w:t>
            </w:r>
          </w:p>
        </w:tc>
        <w:tc>
          <w:tcPr>
            <w:tcW w:type="dxa" w:w="2160"/>
          </w:tcPr>
          <w:p>
            <w:pPr>
              <w:spacing w:before="20" w:after="20" w:line="240" w:lineRule="auto"/>
            </w:pPr>
            <w:r/>
            <w:r>
              <w:rPr>
                <w:rFonts w:ascii="Times New Roman" w:hAnsi="Times New Roman"/>
                <w:b w:val="0"/>
                <w:i w:val="0"/>
                <w:sz w:val="13"/>
              </w:rPr>
              <w:t>TS § 4(a): tower contains "a number of residential dwelling units to be determined and specified in the Definitive Lease"</w:t>
            </w:r>
          </w:p>
        </w:tc>
        <w:tc>
          <w:tcPr>
            <w:tcW w:type="dxa" w:w="2160"/>
          </w:tcPr>
          <w:p>
            <w:pPr>
              <w:spacing w:before="20" w:after="20" w:line="240" w:lineRule="auto"/>
            </w:pPr>
            <w:r/>
            <w:r>
              <w:rPr>
                <w:rFonts w:ascii="Times New Roman" w:hAnsi="Times New Roman"/>
                <w:b w:val="0"/>
                <w:i w:val="0"/>
                <w:sz w:val="13"/>
              </w:rPr>
              <w:t>15% covenant applies to "all residential dwelling units" (TS § 4; recorded 2019 covenant)</w:t>
            </w:r>
          </w:p>
        </w:tc>
        <w:tc>
          <w:tcPr>
            <w:tcW w:type="dxa" w:w="2304"/>
          </w:tcPr>
          <w:p>
            <w:pPr>
              <w:spacing w:before="20" w:after="20" w:line="240" w:lineRule="auto"/>
            </w:pPr>
            <w:r/>
            <w:r>
              <w:rPr>
                <w:rFonts w:ascii="Times New Roman" w:hAnsi="Times New Roman"/>
                <w:b w:val="0"/>
                <w:i w:val="0"/>
                <w:sz w:val="13"/>
              </w:rPr>
              <w:t>The 15% obligation cannot be quantified, scheduled or monitored until the unit count is fixed</w:t>
            </w:r>
          </w:p>
        </w:tc>
        <w:tc>
          <w:tcPr>
            <w:tcW w:type="dxa" w:w="749"/>
          </w:tcPr>
          <w:p>
            <w:pPr>
              <w:spacing w:before="20" w:after="20" w:line="240" w:lineRule="auto"/>
            </w:pPr>
            <w:r/>
            <w:r>
              <w:rPr>
                <w:rFonts w:ascii="Times New Roman" w:hAnsi="Times New Roman"/>
                <w:b w:val="0"/>
                <w:i w:val="0"/>
                <w:sz w:val="13"/>
              </w:rPr>
              <w:t>Med.</w:t>
            </w:r>
          </w:p>
        </w:tc>
      </w:tr>
      <w:tr>
        <w:tc>
          <w:tcPr>
            <w:tcW w:type="dxa" w:w="547"/>
          </w:tcPr>
          <w:p>
            <w:pPr>
              <w:spacing w:before="20" w:after="20" w:line="240" w:lineRule="auto"/>
            </w:pPr>
            <w:r/>
            <w:r>
              <w:rPr>
                <w:rFonts w:ascii="Times New Roman" w:hAnsi="Times New Roman"/>
                <w:b w:val="0"/>
                <w:i w:val="0"/>
                <w:sz w:val="13"/>
              </w:rPr>
              <w:t>C17</w:t>
            </w:r>
          </w:p>
        </w:tc>
        <w:tc>
          <w:tcPr>
            <w:tcW w:type="dxa" w:w="1440"/>
          </w:tcPr>
          <w:p>
            <w:pPr>
              <w:spacing w:before="20" w:after="20" w:line="240" w:lineRule="auto"/>
            </w:pPr>
            <w:r/>
            <w:r>
              <w:rPr>
                <w:rFonts w:ascii="Times New Roman" w:hAnsi="Times New Roman"/>
                <w:b w:val="0"/>
                <w:i w:val="0"/>
                <w:sz w:val="13"/>
              </w:rPr>
              <w:t>Affordable covenant enforcement gaps</w:t>
            </w:r>
          </w:p>
        </w:tc>
        <w:tc>
          <w:tcPr>
            <w:tcW w:type="dxa" w:w="2160"/>
          </w:tcPr>
          <w:p>
            <w:pPr>
              <w:spacing w:before="20" w:after="20" w:line="240" w:lineRule="auto"/>
            </w:pPr>
            <w:r/>
            <w:r>
              <w:rPr>
                <w:rFonts w:ascii="Times New Roman" w:hAnsi="Times New Roman"/>
                <w:b w:val="0"/>
                <w:i w:val="0"/>
                <w:sz w:val="13"/>
              </w:rPr>
              <w:t>TS § 4 and Board Res. § 2(b) assume a complete covenant</w:t>
            </w:r>
          </w:p>
        </w:tc>
        <w:tc>
          <w:tcPr>
            <w:tcW w:type="dxa" w:w="2160"/>
          </w:tcPr>
          <w:p>
            <w:pPr>
              <w:spacing w:before="20" w:after="20" w:line="240" w:lineRule="auto"/>
            </w:pPr>
            <w:r/>
            <w:r>
              <w:rPr>
                <w:rFonts w:ascii="Times New Roman" w:hAnsi="Times New Roman"/>
                <w:b w:val="0"/>
                <w:i w:val="0"/>
                <w:sz w:val="13"/>
              </w:rPr>
              <w:t>TC Ex. 5 notes the recorded covenant omits (i) a recalculation method, (ii) income verification, (iii) a monitoring entity, (iv) enforcement remedies, (v) distribution requirements, (vi) floor/location rules</w:t>
            </w:r>
          </w:p>
        </w:tc>
        <w:tc>
          <w:tcPr>
            <w:tcW w:type="dxa" w:w="2304"/>
          </w:tcPr>
          <w:p>
            <w:pPr>
              <w:spacing w:before="20" w:after="20" w:line="240" w:lineRule="auto"/>
            </w:pPr>
            <w:r/>
            <w:r>
              <w:rPr>
                <w:rFonts w:ascii="Times New Roman" w:hAnsi="Times New Roman"/>
                <w:b w:val="0"/>
                <w:i w:val="0"/>
                <w:sz w:val="13"/>
              </w:rPr>
              <w:t>Six gaps; the lease must fill them (Draft § 14.5)</w:t>
            </w:r>
          </w:p>
        </w:tc>
        <w:tc>
          <w:tcPr>
            <w:tcW w:type="dxa" w:w="749"/>
          </w:tcPr>
          <w:p>
            <w:pPr>
              <w:spacing w:before="20" w:after="20" w:line="240" w:lineRule="auto"/>
            </w:pPr>
            <w:r/>
            <w:r>
              <w:rPr>
                <w:rFonts w:ascii="Times New Roman" w:hAnsi="Times New Roman"/>
                <w:b w:val="0"/>
                <w:i w:val="0"/>
                <w:sz w:val="13"/>
              </w:rPr>
              <w:t>Med.</w:t>
            </w:r>
          </w:p>
        </w:tc>
      </w:tr>
      <w:tr>
        <w:tc>
          <w:tcPr>
            <w:tcW w:type="dxa" w:w="547"/>
          </w:tcPr>
          <w:p>
            <w:pPr>
              <w:spacing w:before="20" w:after="20" w:line="240" w:lineRule="auto"/>
            </w:pPr>
            <w:r/>
            <w:r>
              <w:rPr>
                <w:rFonts w:ascii="Times New Roman" w:hAnsi="Times New Roman"/>
                <w:b w:val="0"/>
                <w:i w:val="0"/>
                <w:sz w:val="13"/>
              </w:rPr>
              <w:t>C18</w:t>
            </w:r>
          </w:p>
        </w:tc>
        <w:tc>
          <w:tcPr>
            <w:tcW w:type="dxa" w:w="1440"/>
          </w:tcPr>
          <w:p>
            <w:pPr>
              <w:spacing w:before="20" w:after="20" w:line="240" w:lineRule="auto"/>
            </w:pPr>
            <w:r/>
            <w:r>
              <w:rPr>
                <w:rFonts w:ascii="Times New Roman" w:hAnsi="Times New Roman"/>
                <w:b w:val="0"/>
                <w:i w:val="0"/>
                <w:sz w:val="13"/>
              </w:rPr>
              <w:t>Flood insurance standard</w:t>
            </w:r>
          </w:p>
        </w:tc>
        <w:tc>
          <w:tcPr>
            <w:tcW w:type="dxa" w:w="2160"/>
          </w:tcPr>
          <w:p>
            <w:pPr>
              <w:spacing w:before="20" w:after="20" w:line="240" w:lineRule="auto"/>
            </w:pPr>
            <w:r/>
            <w:r>
              <w:rPr>
                <w:rFonts w:ascii="Times New Roman" w:hAnsi="Times New Roman"/>
                <w:b w:val="0"/>
                <w:i w:val="0"/>
                <w:sz w:val="13"/>
              </w:rPr>
              <w:t>TS § 12(d): "in no event less than the maximum coverage available under the National Flood Insurance Program"</w:t>
            </w:r>
          </w:p>
        </w:tc>
        <w:tc>
          <w:tcPr>
            <w:tcW w:type="dxa" w:w="2160"/>
          </w:tcPr>
          <w:p>
            <w:pPr>
              <w:spacing w:before="20" w:after="20" w:line="240" w:lineRule="auto"/>
            </w:pPr>
            <w:r/>
            <w:r>
              <w:rPr>
                <w:rFonts w:ascii="Times New Roman" w:hAnsi="Times New Roman"/>
                <w:b w:val="0"/>
                <w:i w:val="0"/>
                <w:sz w:val="13"/>
              </w:rPr>
              <w:t>Bayside § 6(h): flood insurance "in amounts satisfactory to Lender"</w:t>
            </w:r>
          </w:p>
        </w:tc>
        <w:tc>
          <w:tcPr>
            <w:tcW w:type="dxa" w:w="2304"/>
          </w:tcPr>
          <w:p>
            <w:pPr>
              <w:spacing w:before="20" w:after="20" w:line="240" w:lineRule="auto"/>
            </w:pPr>
            <w:r/>
            <w:r>
              <w:rPr>
                <w:rFonts w:ascii="Times New Roman" w:hAnsi="Times New Roman"/>
                <w:b w:val="0"/>
                <w:i w:val="0"/>
                <w:sz w:val="13"/>
              </w:rPr>
              <w:t>NFIP maximum (residential $250,000 building / $100,000 contents; commercial $500,000 / $500,000) is a fraction of replacement cost. The two standards are incompatible</w:t>
            </w:r>
          </w:p>
        </w:tc>
        <w:tc>
          <w:tcPr>
            <w:tcW w:type="dxa" w:w="749"/>
          </w:tcPr>
          <w:p>
            <w:pPr>
              <w:spacing w:before="20" w:after="20" w:line="240" w:lineRule="auto"/>
            </w:pPr>
            <w:r/>
            <w:r>
              <w:rPr>
                <w:rFonts w:ascii="Times New Roman" w:hAnsi="Times New Roman"/>
                <w:b w:val="0"/>
                <w:i w:val="0"/>
                <w:sz w:val="13"/>
              </w:rPr>
              <w:t>Med.</w:t>
            </w:r>
          </w:p>
        </w:tc>
      </w:tr>
      <w:tr>
        <w:tc>
          <w:tcPr>
            <w:tcW w:type="dxa" w:w="547"/>
          </w:tcPr>
          <w:p>
            <w:pPr>
              <w:spacing w:before="20" w:after="20" w:line="240" w:lineRule="auto"/>
            </w:pPr>
            <w:r/>
            <w:r>
              <w:rPr>
                <w:rFonts w:ascii="Times New Roman" w:hAnsi="Times New Roman"/>
                <w:b w:val="0"/>
                <w:i w:val="0"/>
                <w:sz w:val="13"/>
              </w:rPr>
              <w:t>C19</w:t>
            </w:r>
          </w:p>
        </w:tc>
        <w:tc>
          <w:tcPr>
            <w:tcW w:type="dxa" w:w="1440"/>
          </w:tcPr>
          <w:p>
            <w:pPr>
              <w:spacing w:before="20" w:after="20" w:line="240" w:lineRule="auto"/>
            </w:pPr>
            <w:r/>
            <w:r>
              <w:rPr>
                <w:rFonts w:ascii="Times New Roman" w:hAnsi="Times New Roman"/>
                <w:b w:val="0"/>
                <w:i w:val="0"/>
                <w:sz w:val="13"/>
              </w:rPr>
              <w:t>Freeboard</w:t>
            </w:r>
          </w:p>
        </w:tc>
        <w:tc>
          <w:tcPr>
            <w:tcW w:type="dxa" w:w="2160"/>
          </w:tcPr>
          <w:p>
            <w:pPr>
              <w:spacing w:before="20" w:after="20" w:line="240" w:lineRule="auto"/>
            </w:pPr>
            <w:r/>
            <w:r>
              <w:rPr>
                <w:rFonts w:ascii="Times New Roman" w:hAnsi="Times New Roman"/>
                <w:b w:val="0"/>
                <w:i w:val="0"/>
                <w:sz w:val="13"/>
              </w:rPr>
              <w:t>TS § 2; TC Ex. 9; Survey: FFE 15 ft NAVD88 (3 ft freeboard)</w:t>
            </w:r>
          </w:p>
        </w:tc>
        <w:tc>
          <w:tcPr>
            <w:tcW w:type="dxa" w:w="2160"/>
          </w:tcPr>
          <w:p>
            <w:pPr>
              <w:spacing w:before="20" w:after="20" w:line="240" w:lineRule="auto"/>
            </w:pPr>
            <w:r/>
            <w:r>
              <w:rPr>
                <w:rFonts w:ascii="Times New Roman" w:hAnsi="Times New Roman"/>
                <w:b w:val="0"/>
                <w:i w:val="0"/>
                <w:sz w:val="13"/>
              </w:rPr>
              <w:t>Phase II §§ 5, 7.5: recommends 4–5 ft freeboard (FFE 16–17 ft), citing PA 23-167, CIRCA projections and municipal practice</w:t>
            </w:r>
          </w:p>
        </w:tc>
        <w:tc>
          <w:tcPr>
            <w:tcW w:type="dxa" w:w="2304"/>
          </w:tcPr>
          <w:p>
            <w:pPr>
              <w:spacing w:before="20" w:after="20" w:line="240" w:lineRule="auto"/>
            </w:pPr>
            <w:r/>
            <w:r>
              <w:rPr>
                <w:rFonts w:ascii="Times New Roman" w:hAnsi="Times New Roman"/>
                <w:b w:val="0"/>
                <w:i w:val="0"/>
                <w:sz w:val="13"/>
              </w:rPr>
              <w:t>For a 99-year coastal term, 3 ft is likely inadequate; design, insurance and code-change exposure</w:t>
            </w:r>
          </w:p>
        </w:tc>
        <w:tc>
          <w:tcPr>
            <w:tcW w:type="dxa" w:w="749"/>
          </w:tcPr>
          <w:p>
            <w:pPr>
              <w:spacing w:before="20" w:after="20" w:line="240" w:lineRule="auto"/>
            </w:pPr>
            <w:r/>
            <w:r>
              <w:rPr>
                <w:rFonts w:ascii="Times New Roman" w:hAnsi="Times New Roman"/>
                <w:b w:val="0"/>
                <w:i w:val="0"/>
                <w:sz w:val="13"/>
              </w:rPr>
              <w:t>Med.</w:t>
            </w:r>
          </w:p>
        </w:tc>
      </w:tr>
      <w:tr>
        <w:tc>
          <w:tcPr>
            <w:tcW w:type="dxa" w:w="547"/>
          </w:tcPr>
          <w:p>
            <w:pPr>
              <w:spacing w:before="20" w:after="20" w:line="240" w:lineRule="auto"/>
            </w:pPr>
            <w:r/>
            <w:r>
              <w:rPr>
                <w:rFonts w:ascii="Times New Roman" w:hAnsi="Times New Roman"/>
                <w:b w:val="0"/>
                <w:i w:val="0"/>
                <w:sz w:val="13"/>
              </w:rPr>
              <w:t>C20</w:t>
            </w:r>
          </w:p>
        </w:tc>
        <w:tc>
          <w:tcPr>
            <w:tcW w:type="dxa" w:w="1440"/>
          </w:tcPr>
          <w:p>
            <w:pPr>
              <w:spacing w:before="20" w:after="20" w:line="240" w:lineRule="auto"/>
            </w:pPr>
            <w:r/>
            <w:r>
              <w:rPr>
                <w:rFonts w:ascii="Times New Roman" w:hAnsi="Times New Roman"/>
                <w:b w:val="0"/>
                <w:i w:val="0"/>
                <w:sz w:val="13"/>
              </w:rPr>
              <w:t>Distortion in document dating</w:t>
            </w:r>
          </w:p>
        </w:tc>
        <w:tc>
          <w:tcPr>
            <w:tcW w:type="dxa" w:w="2160"/>
          </w:tcPr>
          <w:p>
            <w:pPr>
              <w:spacing w:before="20" w:after="20" w:line="240" w:lineRule="auto"/>
            </w:pPr>
            <w:r/>
            <w:r>
              <w:rPr>
                <w:rFonts w:ascii="Times New Roman" w:hAnsi="Times New Roman"/>
                <w:b w:val="0"/>
                <w:i w:val="0"/>
                <w:sz w:val="13"/>
              </w:rPr>
              <w:t>Bayside term sheet dated May 28, 2025</w:t>
            </w:r>
          </w:p>
        </w:tc>
        <w:tc>
          <w:tcPr>
            <w:tcW w:type="dxa" w:w="2160"/>
          </w:tcPr>
          <w:p>
            <w:pPr>
              <w:spacing w:before="20" w:after="20" w:line="240" w:lineRule="auto"/>
            </w:pPr>
            <w:r/>
            <w:r>
              <w:rPr>
                <w:rFonts w:ascii="Times New Roman" w:hAnsi="Times New Roman"/>
                <w:b w:val="0"/>
                <w:i w:val="0"/>
                <w:sz w:val="13"/>
              </w:rPr>
              <w:t>Bayside § 5 refers to the Ground Lease "the term sheet for which is dated June 10, 2025"</w:t>
            </w:r>
          </w:p>
        </w:tc>
        <w:tc>
          <w:tcPr>
            <w:tcW w:type="dxa" w:w="2304"/>
          </w:tcPr>
          <w:p>
            <w:pPr>
              <w:spacing w:before="20" w:after="20" w:line="240" w:lineRule="auto"/>
            </w:pPr>
            <w:r/>
            <w:r>
              <w:rPr>
                <w:rFonts w:ascii="Times New Roman" w:hAnsi="Times New Roman"/>
                <w:b w:val="0"/>
                <w:i w:val="0"/>
                <w:sz w:val="13"/>
              </w:rPr>
              <w:t>A May document cites a June document. Suggests Bayside updated its requirements form after circulation; confirm the operative version</w:t>
            </w:r>
          </w:p>
        </w:tc>
        <w:tc>
          <w:tcPr>
            <w:tcW w:type="dxa" w:w="749"/>
          </w:tcPr>
          <w:p>
            <w:pPr>
              <w:spacing w:before="20" w:after="20" w:line="240" w:lineRule="auto"/>
            </w:pPr>
            <w:r/>
            <w:r>
              <w:rPr>
                <w:rFonts w:ascii="Times New Roman" w:hAnsi="Times New Roman"/>
                <w:b w:val="0"/>
                <w:i w:val="0"/>
                <w:sz w:val="13"/>
              </w:rPr>
              <w:t>Low</w:t>
            </w:r>
          </w:p>
        </w:tc>
      </w:tr>
      <w:tr>
        <w:tc>
          <w:tcPr>
            <w:tcW w:type="dxa" w:w="547"/>
          </w:tcPr>
          <w:p>
            <w:pPr>
              <w:spacing w:before="20" w:after="20" w:line="240" w:lineRule="auto"/>
            </w:pPr>
            <w:r/>
            <w:r>
              <w:rPr>
                <w:rFonts w:ascii="Times New Roman" w:hAnsi="Times New Roman"/>
                <w:b w:val="0"/>
                <w:i w:val="0"/>
                <w:sz w:val="13"/>
              </w:rPr>
              <w:t>C21</w:t>
            </w:r>
          </w:p>
        </w:tc>
        <w:tc>
          <w:tcPr>
            <w:tcW w:type="dxa" w:w="1440"/>
          </w:tcPr>
          <w:p>
            <w:pPr>
              <w:spacing w:before="20" w:after="20" w:line="240" w:lineRule="auto"/>
            </w:pPr>
            <w:r/>
            <w:r>
              <w:rPr>
                <w:rFonts w:ascii="Times New Roman" w:hAnsi="Times New Roman"/>
                <w:b w:val="0"/>
                <w:i w:val="0"/>
                <w:sz w:val="13"/>
              </w:rPr>
              <w:t>Loan term against development program</w:t>
            </w:r>
          </w:p>
        </w:tc>
        <w:tc>
          <w:tcPr>
            <w:tcW w:type="dxa" w:w="2160"/>
          </w:tcPr>
          <w:p>
            <w:pPr>
              <w:spacing w:before="20" w:after="20" w:line="240" w:lineRule="auto"/>
            </w:pPr>
            <w:r/>
            <w:r>
              <w:rPr>
                <w:rFonts w:ascii="Times New Roman" w:hAnsi="Times New Roman"/>
                <w:b w:val="0"/>
                <w:i w:val="0"/>
                <w:sz w:val="13"/>
              </w:rPr>
              <w:t>Bayside § 2: 48 months, plus two 6-month extensions (maximum 60 months). Coventry completion guaranty: lien-free completion "on or before the Initial Maturity Date"</w:t>
            </w:r>
          </w:p>
        </w:tc>
        <w:tc>
          <w:tcPr>
            <w:tcW w:type="dxa" w:w="2160"/>
          </w:tcPr>
          <w:p>
            <w:pPr>
              <w:spacing w:before="20" w:after="20" w:line="240" w:lineRule="auto"/>
            </w:pPr>
            <w:r/>
            <w:r>
              <w:rPr>
                <w:rFonts w:ascii="Times New Roman" w:hAnsi="Times New Roman"/>
                <w:b w:val="0"/>
                <w:i w:val="0"/>
                <w:sz w:val="13"/>
              </w:rPr>
              <w:t>TS § 9: Milestone 3 at 60 months; Milestone 4 at 84 months</w:t>
            </w:r>
          </w:p>
        </w:tc>
        <w:tc>
          <w:tcPr>
            <w:tcW w:type="dxa" w:w="2304"/>
          </w:tcPr>
          <w:p>
            <w:pPr>
              <w:spacing w:before="20" w:after="20" w:line="240" w:lineRule="auto"/>
            </w:pPr>
            <w:r/>
            <w:r>
              <w:rPr>
                <w:rFonts w:ascii="Times New Roman" w:hAnsi="Times New Roman"/>
                <w:b w:val="0"/>
                <w:i w:val="0"/>
                <w:sz w:val="13"/>
              </w:rPr>
              <w:t>Phase 1 completion coincides with maximum loan maturity; Phase 2 has no construction financing at all; Coventry's guaranty matures a year before the Phase 1 milestone</w:t>
            </w:r>
          </w:p>
        </w:tc>
        <w:tc>
          <w:tcPr>
            <w:tcW w:type="dxa" w:w="749"/>
          </w:tcPr>
          <w:p>
            <w:pPr>
              <w:spacing w:before="20" w:after="20" w:line="240" w:lineRule="auto"/>
            </w:pPr>
            <w:r/>
            <w:r>
              <w:rPr>
                <w:rFonts w:ascii="Times New Roman" w:hAnsi="Times New Roman"/>
                <w:b w:val="0"/>
                <w:i w:val="0"/>
                <w:sz w:val="13"/>
              </w:rPr>
              <w:t>High</w:t>
            </w:r>
          </w:p>
        </w:tc>
      </w:tr>
      <w:tr>
        <w:tc>
          <w:tcPr>
            <w:tcW w:type="dxa" w:w="547"/>
          </w:tcPr>
          <w:p>
            <w:pPr>
              <w:spacing w:before="20" w:after="20" w:line="240" w:lineRule="auto"/>
            </w:pPr>
            <w:r/>
            <w:r>
              <w:rPr>
                <w:rFonts w:ascii="Times New Roman" w:hAnsi="Times New Roman"/>
                <w:b w:val="0"/>
                <w:i w:val="0"/>
                <w:sz w:val="13"/>
              </w:rPr>
              <w:t>C22</w:t>
            </w:r>
          </w:p>
        </w:tc>
        <w:tc>
          <w:tcPr>
            <w:tcW w:type="dxa" w:w="1440"/>
          </w:tcPr>
          <w:p>
            <w:pPr>
              <w:spacing w:before="20" w:after="20" w:line="240" w:lineRule="auto"/>
            </w:pPr>
            <w:r/>
            <w:r>
              <w:rPr>
                <w:rFonts w:ascii="Times New Roman" w:hAnsi="Times New Roman"/>
                <w:b w:val="0"/>
                <w:i w:val="0"/>
                <w:sz w:val="13"/>
              </w:rPr>
              <w:t>Renewal/extension</w:t>
            </w:r>
          </w:p>
        </w:tc>
        <w:tc>
          <w:tcPr>
            <w:tcW w:type="dxa" w:w="2160"/>
          </w:tcPr>
          <w:p>
            <w:pPr>
              <w:spacing w:before="20" w:after="20" w:line="240" w:lineRule="auto"/>
            </w:pPr>
            <w:r/>
            <w:r>
              <w:rPr>
                <w:rFonts w:ascii="Times New Roman" w:hAnsi="Times New Roman"/>
                <w:b w:val="0"/>
                <w:i w:val="0"/>
                <w:sz w:val="13"/>
              </w:rPr>
              <w:t>TS § 3: "No renewal options are contemplated"</w:t>
            </w:r>
          </w:p>
        </w:tc>
        <w:tc>
          <w:tcPr>
            <w:tcW w:type="dxa" w:w="2160"/>
          </w:tcPr>
          <w:p>
            <w:pPr>
              <w:spacing w:before="20" w:after="20" w:line="240" w:lineRule="auto"/>
            </w:pPr>
            <w:r/>
            <w:r>
              <w:rPr>
                <w:rFonts w:ascii="Times New Roman" w:hAnsi="Times New Roman"/>
                <w:b w:val="0"/>
                <w:i w:val="0"/>
                <w:sz w:val="13"/>
              </w:rPr>
              <w:t>Bayside § 5.3: New Lease for "the remainder of the original term (including any extension periods)"</w:t>
            </w:r>
          </w:p>
        </w:tc>
        <w:tc>
          <w:tcPr>
            <w:tcW w:type="dxa" w:w="2304"/>
          </w:tcPr>
          <w:p>
            <w:pPr>
              <w:spacing w:before="20" w:after="20" w:line="240" w:lineRule="auto"/>
            </w:pPr>
            <w:r/>
            <w:r>
              <w:rPr>
                <w:rFonts w:ascii="Times New Roman" w:hAnsi="Times New Roman"/>
                <w:b w:val="0"/>
                <w:i w:val="0"/>
                <w:sz w:val="13"/>
              </w:rPr>
              <w:t>No extension periods exist. Immaterial as drafted, but relevant to any extension option we negotiate</w:t>
            </w:r>
          </w:p>
        </w:tc>
        <w:tc>
          <w:tcPr>
            <w:tcW w:type="dxa" w:w="749"/>
          </w:tcPr>
          <w:p>
            <w:pPr>
              <w:spacing w:before="20" w:after="20" w:line="240" w:lineRule="auto"/>
            </w:pPr>
            <w:r/>
            <w:r>
              <w:rPr>
                <w:rFonts w:ascii="Times New Roman" w:hAnsi="Times New Roman"/>
                <w:b w:val="0"/>
                <w:i w:val="0"/>
                <w:sz w:val="13"/>
              </w:rPr>
              <w:t>Low</w:t>
            </w:r>
          </w:p>
        </w:tc>
      </w:tr>
      <w:tr>
        <w:tc>
          <w:tcPr>
            <w:tcW w:type="dxa" w:w="547"/>
          </w:tcPr>
          <w:p>
            <w:pPr>
              <w:spacing w:before="20" w:after="20" w:line="240" w:lineRule="auto"/>
            </w:pPr>
            <w:r/>
            <w:r>
              <w:rPr>
                <w:rFonts w:ascii="Times New Roman" w:hAnsi="Times New Roman"/>
                <w:b w:val="0"/>
                <w:i w:val="0"/>
                <w:sz w:val="13"/>
              </w:rPr>
              <w:t>C23</w:t>
            </w:r>
          </w:p>
        </w:tc>
        <w:tc>
          <w:tcPr>
            <w:tcW w:type="dxa" w:w="1440"/>
          </w:tcPr>
          <w:p>
            <w:pPr>
              <w:spacing w:before="20" w:after="20" w:line="240" w:lineRule="auto"/>
            </w:pPr>
            <w:r/>
            <w:r>
              <w:rPr>
                <w:rFonts w:ascii="Times New Roman" w:hAnsi="Times New Roman"/>
                <w:b w:val="0"/>
                <w:i w:val="0"/>
                <w:sz w:val="13"/>
              </w:rPr>
              <w:t>Status of the 2019 recorded declarations</w:t>
            </w:r>
          </w:p>
        </w:tc>
        <w:tc>
          <w:tcPr>
            <w:tcW w:type="dxa" w:w="2160"/>
          </w:tcPr>
          <w:p>
            <w:pPr>
              <w:spacing w:before="20" w:after="20" w:line="240" w:lineRule="auto"/>
            </w:pPr>
            <w:r/>
            <w:r>
              <w:rPr>
                <w:rFonts w:ascii="Times New Roman" w:hAnsi="Times New Roman"/>
                <w:b w:val="0"/>
                <w:i w:val="0"/>
                <w:sz w:val="13"/>
              </w:rPr>
              <w:t>TS § 13 lists the ROFR and affordable covenant as Permitted Exceptions "as described in Section 11" / "Section 4" as though created by the Term Sheet</w:t>
            </w:r>
          </w:p>
        </w:tc>
        <w:tc>
          <w:tcPr>
            <w:tcW w:type="dxa" w:w="2160"/>
          </w:tcPr>
          <w:p>
            <w:pPr>
              <w:spacing w:before="20" w:after="20" w:line="240" w:lineRule="auto"/>
            </w:pPr>
            <w:r/>
            <w:r>
              <w:rPr>
                <w:rFonts w:ascii="Times New Roman" w:hAnsi="Times New Roman"/>
                <w:b w:val="0"/>
                <w:i w:val="0"/>
                <w:sz w:val="13"/>
              </w:rPr>
              <w:t>Both are pre-existing recorded instruments (Vol. 405, Pg. 55; Vol. 408, Pg. 230, both 2019)</w:t>
            </w:r>
          </w:p>
        </w:tc>
        <w:tc>
          <w:tcPr>
            <w:tcW w:type="dxa" w:w="2304"/>
          </w:tcPr>
          <w:p>
            <w:pPr>
              <w:spacing w:before="20" w:after="20" w:line="240" w:lineRule="auto"/>
            </w:pPr>
            <w:r/>
            <w:r>
              <w:rPr>
                <w:rFonts w:ascii="Times New Roman" w:hAnsi="Times New Roman"/>
                <w:b w:val="0"/>
                <w:i w:val="0"/>
                <w:sz w:val="13"/>
              </w:rPr>
              <w:t>The lease cannot create or amend them; they must be incorporated, conformed or amended of record</w:t>
            </w:r>
          </w:p>
        </w:tc>
        <w:tc>
          <w:tcPr>
            <w:tcW w:type="dxa" w:w="749"/>
          </w:tcPr>
          <w:p>
            <w:pPr>
              <w:spacing w:before="20" w:after="20" w:line="240" w:lineRule="auto"/>
            </w:pPr>
            <w:r/>
            <w:r>
              <w:rPr>
                <w:rFonts w:ascii="Times New Roman" w:hAnsi="Times New Roman"/>
                <w:b w:val="0"/>
                <w:i w:val="0"/>
                <w:sz w:val="13"/>
              </w:rPr>
              <w:t>Med.</w:t>
            </w:r>
          </w:p>
        </w:tc>
      </w:tr>
      <w:tr>
        <w:tc>
          <w:tcPr>
            <w:tcW w:type="dxa" w:w="547"/>
          </w:tcPr>
          <w:p>
            <w:pPr>
              <w:spacing w:before="20" w:after="20" w:line="240" w:lineRule="auto"/>
            </w:pPr>
            <w:r/>
            <w:r>
              <w:rPr>
                <w:rFonts w:ascii="Times New Roman" w:hAnsi="Times New Roman"/>
                <w:b w:val="0"/>
                <w:i w:val="0"/>
                <w:sz w:val="13"/>
              </w:rPr>
              <w:t>C24</w:t>
            </w:r>
          </w:p>
        </w:tc>
        <w:tc>
          <w:tcPr>
            <w:tcW w:type="dxa" w:w="1440"/>
          </w:tcPr>
          <w:p>
            <w:pPr>
              <w:spacing w:before="20" w:after="20" w:line="240" w:lineRule="auto"/>
            </w:pPr>
            <w:r/>
            <w:r>
              <w:rPr>
                <w:rFonts w:ascii="Times New Roman" w:hAnsi="Times New Roman"/>
                <w:b w:val="0"/>
                <w:i w:val="0"/>
                <w:sz w:val="13"/>
              </w:rPr>
              <w:t>Diligence windows against the closing schedule</w:t>
            </w:r>
          </w:p>
        </w:tc>
        <w:tc>
          <w:tcPr>
            <w:tcW w:type="dxa" w:w="2160"/>
          </w:tcPr>
          <w:p>
            <w:pPr>
              <w:spacing w:before="20" w:after="20" w:line="240" w:lineRule="auto"/>
            </w:pPr>
            <w:r/>
            <w:r>
              <w:rPr>
                <w:rFonts w:ascii="Times New Roman" w:hAnsi="Times New Roman"/>
                <w:b w:val="0"/>
                <w:i w:val="0"/>
                <w:sz w:val="13"/>
              </w:rPr>
              <w:t>Survey field date April 20, 2025 / plat April 28, 2025; TC effective June 1, 2025, expiring December 1, 2025</w:t>
            </w:r>
          </w:p>
        </w:tc>
        <w:tc>
          <w:tcPr>
            <w:tcW w:type="dxa" w:w="2160"/>
          </w:tcPr>
          <w:p>
            <w:pPr>
              <w:spacing w:before="20" w:after="20" w:line="240" w:lineRule="auto"/>
            </w:pPr>
            <w:r/>
            <w:r>
              <w:rPr>
                <w:rFonts w:ascii="Times New Roman" w:hAnsi="Times New Roman"/>
                <w:b w:val="0"/>
                <w:i w:val="0"/>
                <w:sz w:val="13"/>
              </w:rPr>
              <w:t>Bayside § 6(d): survey dated within 90 days of closing; § 6(a)–(c): current commitment and policies</w:t>
            </w:r>
          </w:p>
        </w:tc>
        <w:tc>
          <w:tcPr>
            <w:tcW w:type="dxa" w:w="2304"/>
          </w:tcPr>
          <w:p>
            <w:pPr>
              <w:spacing w:before="20" w:after="20" w:line="240" w:lineRule="auto"/>
            </w:pPr>
            <w:r/>
            <w:r>
              <w:rPr>
                <w:rFonts w:ascii="Times New Roman" w:hAnsi="Times New Roman"/>
                <w:b w:val="0"/>
                <w:i w:val="0"/>
                <w:sz w:val="13"/>
              </w:rPr>
              <w:t>For any closing after July 19, 2025 the survey is stale. The commitment expires before a December closing</w:t>
            </w:r>
          </w:p>
        </w:tc>
        <w:tc>
          <w:tcPr>
            <w:tcW w:type="dxa" w:w="749"/>
          </w:tcPr>
          <w:p>
            <w:pPr>
              <w:spacing w:before="20" w:after="20" w:line="240" w:lineRule="auto"/>
            </w:pPr>
            <w:r/>
            <w:r>
              <w:rPr>
                <w:rFonts w:ascii="Times New Roman" w:hAnsi="Times New Roman"/>
                <w:b w:val="0"/>
                <w:i w:val="0"/>
                <w:sz w:val="13"/>
              </w:rPr>
              <w:t>Med.</w:t>
            </w:r>
          </w:p>
        </w:tc>
      </w:tr>
    </w:tbl>
    <w:p>
      <w:pPr>
        <w:spacing w:after="40" w:before="0"/>
      </w:pPr>
    </w:p>
    <w:p>
      <w:pPr>
        <w:spacing w:after="120"/>
        <w:ind w:left="0"/>
        <w:jc w:val="both"/>
      </w:pPr>
      <w:r>
        <w:rPr>
          <w:rFonts w:ascii="Times New Roman" w:hAnsi="Times New Roman"/>
          <w:b w:val="0"/>
          <w:i w:val="0"/>
        </w:rPr>
        <w:t>Three of these conflicts (C11, C12, C13) would each by itself prevent the loan from closing. Two more (C1, C14) sit in the title chain and will surface at the title company's desk regardless of what the lease says. We have resolved each in the Draft Lease as described in the last column of the table and in Part 6; where the resolution requires a recorded amendment or a third party's action, the Draft Lease makes it a condition precedent rather than a covenant to be performed later.</w:t>
      </w:r>
    </w:p>
    <w:p>
      <w:pPr>
        <w:keepNext/>
        <w:spacing w:before="240" w:after="100"/>
        <w:ind w:left="0"/>
      </w:pPr>
      <w:r>
        <w:rPr>
          <w:rFonts w:ascii="Times New Roman" w:hAnsi="Times New Roman"/>
          <w:b/>
          <w:i w:val="0"/>
          <w:sz w:val="21"/>
        </w:rPr>
        <w:t>4.2  Bayside § 5 gap analysis: the Term Sheet does not satisfy the loan conditions</w:t>
      </w:r>
    </w:p>
    <w:p>
      <w:pPr>
        <w:spacing w:after="120"/>
        <w:ind w:left="0"/>
        <w:jc w:val="both"/>
      </w:pPr>
      <w:r>
        <w:rPr>
          <w:rFonts w:ascii="Times New Roman" w:hAnsi="Times New Roman"/>
          <w:b w:val="0"/>
          <w:i w:val="0"/>
        </w:rPr>
        <w:t xml:space="preserve">Bayside's § 5 lists seven required ground lease provisions and states that "every one of which shall constitute a condition precedent to the closing of the Loan." We compared each against Term Sheet § 9 and the rest of the record. </w:t>
      </w:r>
      <w:r>
        <w:rPr>
          <w:rFonts w:ascii="Times New Roman" w:hAnsi="Times New Roman"/>
          <w:b/>
          <w:i w:val="0"/>
        </w:rPr>
        <w:t>None is satisfied in full.</w:t>
      </w:r>
      <w:r>
        <w:rPr>
          <w:rFonts w:ascii="Times New Roman" w:hAnsi="Times New Roman"/>
          <w:b w:val="0"/>
          <w:i w:val="0"/>
        </w:rPr>
        <w:t xml:space="preserve"> Four are not addressed at all; three are addressed only in part.</w:t>
      </w:r>
    </w:p>
    <w:tbl>
      <w:tblPr>
        <w:tblStyle w:val="TableGrid"/>
        <w:tblW w:type="auto" w:w="0"/>
        <w:jc w:val="center"/>
        <w:tblLayout w:type="fixed"/>
        <w:tblLook w:firstColumn="1" w:firstRow="1" w:lastColumn="0" w:lastRow="0" w:noHBand="0" w:noVBand="1" w:val="04A0"/>
        <w:tblLayout w:type="fixed"/>
        <w:tblW w:type="dxa" w:w="9360"/>
        <w:tblCellMar>
          <w:top w:w="20" w:type="dxa"/>
          <w:left w:w="60" w:type="dxa"/>
          <w:bottom w:w="20" w:type="dxa"/>
          <w:right w:w="60" w:type="dxa"/>
        </w:tblCellMar>
      </w:tblPr>
      <w:tblGrid>
        <w:gridCol w:w="2419"/>
        <w:gridCol w:w="2333"/>
        <w:gridCol w:w="2333"/>
        <w:gridCol w:w="893"/>
        <w:gridCol w:w="1382"/>
      </w:tblGrid>
      <w:tr>
        <w:trPr>
          <w:tblHeader w:val="true"/>
        </w:trPr>
        <w:tc>
          <w:tcPr>
            <w:tcW w:type="dxa" w:w="2419"/>
            <w:shd w:val="clear" w:color="auto" w:fill="D9D9D9"/>
          </w:tcPr>
          <w:p>
            <w:pPr>
              <w:spacing w:before="20" w:after="20" w:line="240" w:lineRule="auto"/>
            </w:pPr>
            <w:r/>
            <w:r>
              <w:rPr>
                <w:rFonts w:ascii="Times New Roman" w:hAnsi="Times New Roman"/>
                <w:b/>
                <w:i w:val="0"/>
                <w:sz w:val="13"/>
              </w:rPr>
              <w:t>Bayside requirement</w:t>
            </w:r>
          </w:p>
        </w:tc>
        <w:tc>
          <w:tcPr>
            <w:tcW w:type="dxa" w:w="2333"/>
            <w:shd w:val="clear" w:color="auto" w:fill="D9D9D9"/>
          </w:tcPr>
          <w:p>
            <w:pPr>
              <w:spacing w:before="20" w:after="20" w:line="240" w:lineRule="auto"/>
            </w:pPr>
            <w:r/>
            <w:r>
              <w:rPr>
                <w:rFonts w:ascii="Times New Roman" w:hAnsi="Times New Roman"/>
                <w:b/>
                <w:i w:val="0"/>
                <w:sz w:val="13"/>
              </w:rPr>
              <w:t>What the Term Sheet says</w:t>
            </w:r>
          </w:p>
        </w:tc>
        <w:tc>
          <w:tcPr>
            <w:tcW w:type="dxa" w:w="2333"/>
            <w:shd w:val="clear" w:color="auto" w:fill="D9D9D9"/>
          </w:tcPr>
          <w:p>
            <w:pPr>
              <w:spacing w:before="20" w:after="20" w:line="240" w:lineRule="auto"/>
            </w:pPr>
            <w:r/>
            <w:r>
              <w:rPr>
                <w:rFonts w:ascii="Times New Roman" w:hAnsi="Times New Roman"/>
                <w:b/>
                <w:i w:val="0"/>
                <w:sz w:val="13"/>
              </w:rPr>
              <w:t>Gap</w:t>
            </w:r>
          </w:p>
        </w:tc>
        <w:tc>
          <w:tcPr>
            <w:tcW w:type="dxa" w:w="893"/>
            <w:shd w:val="clear" w:color="auto" w:fill="D9D9D9"/>
          </w:tcPr>
          <w:p>
            <w:pPr>
              <w:spacing w:before="20" w:after="20" w:line="240" w:lineRule="auto"/>
            </w:pPr>
            <w:r/>
            <w:r>
              <w:rPr>
                <w:rFonts w:ascii="Times New Roman" w:hAnsi="Times New Roman"/>
                <w:b/>
                <w:i w:val="0"/>
                <w:sz w:val="13"/>
              </w:rPr>
              <w:t>Status</w:t>
            </w:r>
          </w:p>
        </w:tc>
        <w:tc>
          <w:tcPr>
            <w:tcW w:type="dxa" w:w="1382"/>
            <w:shd w:val="clear" w:color="auto" w:fill="D9D9D9"/>
          </w:tcPr>
          <w:p>
            <w:pPr>
              <w:spacing w:before="20" w:after="20" w:line="240" w:lineRule="auto"/>
            </w:pPr>
            <w:r/>
            <w:r>
              <w:rPr>
                <w:rFonts w:ascii="Times New Roman" w:hAnsi="Times New Roman"/>
                <w:b/>
                <w:i w:val="0"/>
                <w:sz w:val="13"/>
              </w:rPr>
              <w:t>Draft Lease §</w:t>
            </w:r>
          </w:p>
        </w:tc>
      </w:tr>
      <w:tr>
        <w:tc>
          <w:tcPr>
            <w:tcW w:type="dxa" w:w="2419"/>
          </w:tcPr>
          <w:p>
            <w:pPr>
              <w:spacing w:before="20" w:after="20" w:line="240" w:lineRule="auto"/>
            </w:pPr>
            <w:r/>
            <w:r>
              <w:rPr>
                <w:rFonts w:ascii="Times New Roman" w:hAnsi="Times New Roman"/>
                <w:b w:val="0"/>
                <w:i w:val="0"/>
                <w:sz w:val="13"/>
              </w:rPr>
              <w:t>§ 5.1 Leasehold mortgage without consent, approval, joinder or fee</w:t>
            </w:r>
          </w:p>
        </w:tc>
        <w:tc>
          <w:tcPr>
            <w:tcW w:type="dxa" w:w="2333"/>
          </w:tcPr>
          <w:p>
            <w:pPr>
              <w:spacing w:before="20" w:after="20" w:line="240" w:lineRule="auto"/>
            </w:pPr>
            <w:r/>
            <w:r>
              <w:rPr>
                <w:rFonts w:ascii="Times New Roman" w:hAnsi="Times New Roman"/>
                <w:b w:val="0"/>
                <w:i w:val="0"/>
                <w:sz w:val="13"/>
              </w:rPr>
              <w:t>TS § 9: Tenant "shall have the right to encumber ... subject to the terms and conditions of the Definitive Lease"</w:t>
            </w:r>
          </w:p>
        </w:tc>
        <w:tc>
          <w:tcPr>
            <w:tcW w:type="dxa" w:w="2333"/>
          </w:tcPr>
          <w:p>
            <w:pPr>
              <w:spacing w:before="20" w:after="20" w:line="240" w:lineRule="auto"/>
            </w:pPr>
            <w:r/>
            <w:r>
              <w:rPr>
                <w:rFonts w:ascii="Times New Roman" w:hAnsi="Times New Roman"/>
                <w:b w:val="0"/>
                <w:i w:val="0"/>
                <w:sz w:val="13"/>
              </w:rPr>
              <w:t>No express no-consent / no-fee / no-condition language; "subject to" invites a later consent right</w:t>
            </w:r>
          </w:p>
        </w:tc>
        <w:tc>
          <w:tcPr>
            <w:tcW w:type="dxa" w:w="893"/>
          </w:tcPr>
          <w:p>
            <w:pPr>
              <w:spacing w:before="20" w:after="20" w:line="240" w:lineRule="auto"/>
            </w:pPr>
            <w:r/>
            <w:r>
              <w:rPr>
                <w:rFonts w:ascii="Times New Roman" w:hAnsi="Times New Roman"/>
                <w:b w:val="0"/>
                <w:i w:val="0"/>
                <w:sz w:val="13"/>
              </w:rPr>
              <w:t>Not met</w:t>
            </w:r>
          </w:p>
        </w:tc>
        <w:tc>
          <w:tcPr>
            <w:tcW w:type="dxa" w:w="1382"/>
          </w:tcPr>
          <w:p>
            <w:pPr>
              <w:spacing w:before="20" w:after="20" w:line="240" w:lineRule="auto"/>
            </w:pPr>
            <w:r/>
            <w:r>
              <w:rPr>
                <w:rFonts w:ascii="Times New Roman" w:hAnsi="Times New Roman"/>
                <w:b w:val="0"/>
                <w:i w:val="0"/>
                <w:sz w:val="13"/>
              </w:rPr>
              <w:t>§ 9.1</w:t>
            </w:r>
          </w:p>
        </w:tc>
      </w:tr>
      <w:tr>
        <w:tc>
          <w:tcPr>
            <w:tcW w:type="dxa" w:w="2419"/>
          </w:tcPr>
          <w:p>
            <w:pPr>
              <w:spacing w:before="20" w:after="20" w:line="240" w:lineRule="auto"/>
            </w:pPr>
            <w:r/>
            <w:r>
              <w:rPr>
                <w:rFonts w:ascii="Times New Roman" w:hAnsi="Times New Roman"/>
                <w:b w:val="0"/>
                <w:i w:val="0"/>
                <w:sz w:val="13"/>
              </w:rPr>
              <w:t>§ 5.2 SNDA containing items (a)–(d), delivered before first advance</w:t>
            </w:r>
          </w:p>
        </w:tc>
        <w:tc>
          <w:tcPr>
            <w:tcW w:type="dxa" w:w="2333"/>
          </w:tcPr>
          <w:p>
            <w:pPr>
              <w:spacing w:before="20" w:after="20" w:line="240" w:lineRule="auto"/>
            </w:pPr>
            <w:r/>
            <w:r>
              <w:rPr>
                <w:rFonts w:ascii="Times New Roman" w:hAnsi="Times New Roman"/>
                <w:b w:val="0"/>
                <w:i w:val="0"/>
                <w:sz w:val="13"/>
              </w:rPr>
              <w:t>TS § 9: SNDA "on customary terms," form attached as exhibit</w:t>
            </w:r>
          </w:p>
        </w:tc>
        <w:tc>
          <w:tcPr>
            <w:tcW w:type="dxa" w:w="2333"/>
          </w:tcPr>
          <w:p>
            <w:pPr>
              <w:spacing w:before="20" w:after="20" w:line="240" w:lineRule="auto"/>
            </w:pPr>
            <w:r/>
            <w:r>
              <w:rPr>
                <w:rFonts w:ascii="Times New Roman" w:hAnsi="Times New Roman"/>
                <w:b w:val="0"/>
                <w:i w:val="0"/>
                <w:sz w:val="13"/>
              </w:rPr>
              <w:t>"Customary" is not a standard a lender's counsel will accept; items (a)–(d) not specified; recording not required</w:t>
            </w:r>
          </w:p>
        </w:tc>
        <w:tc>
          <w:tcPr>
            <w:tcW w:type="dxa" w:w="893"/>
          </w:tcPr>
          <w:p>
            <w:pPr>
              <w:spacing w:before="20" w:after="20" w:line="240" w:lineRule="auto"/>
            </w:pPr>
            <w:r/>
            <w:r>
              <w:rPr>
                <w:rFonts w:ascii="Times New Roman" w:hAnsi="Times New Roman"/>
                <w:b w:val="0"/>
                <w:i w:val="0"/>
                <w:sz w:val="13"/>
              </w:rPr>
              <w:t>Partial</w:t>
            </w:r>
          </w:p>
        </w:tc>
        <w:tc>
          <w:tcPr>
            <w:tcW w:type="dxa" w:w="1382"/>
          </w:tcPr>
          <w:p>
            <w:pPr>
              <w:spacing w:before="20" w:after="20" w:line="240" w:lineRule="auto"/>
            </w:pPr>
            <w:r/>
            <w:r>
              <w:rPr>
                <w:rFonts w:ascii="Times New Roman" w:hAnsi="Times New Roman"/>
                <w:b w:val="0"/>
                <w:i w:val="0"/>
                <w:sz w:val="13"/>
              </w:rPr>
              <w:t>§ 9.9; Ex. F</w:t>
            </w:r>
          </w:p>
        </w:tc>
      </w:tr>
      <w:tr>
        <w:tc>
          <w:tcPr>
            <w:tcW w:type="dxa" w:w="2419"/>
          </w:tcPr>
          <w:p>
            <w:pPr>
              <w:spacing w:before="20" w:after="20" w:line="240" w:lineRule="auto"/>
            </w:pPr>
            <w:r/>
            <w:r>
              <w:rPr>
                <w:rFonts w:ascii="Times New Roman" w:hAnsi="Times New Roman"/>
                <w:b w:val="0"/>
                <w:i w:val="0"/>
                <w:sz w:val="13"/>
              </w:rPr>
              <w:t>§ 5.3 New Lease: request within 60 days of notice of termination; remainder of original term; Landlord to execute within 30 days; effective as of termination; priority equal to terminated lease; subleases recognized; non-monetary cure up to 180 days</w:t>
            </w:r>
          </w:p>
        </w:tc>
        <w:tc>
          <w:tcPr>
            <w:tcW w:type="dxa" w:w="2333"/>
          </w:tcPr>
          <w:p>
            <w:pPr>
              <w:spacing w:before="20" w:after="20" w:line="240" w:lineRule="auto"/>
            </w:pPr>
            <w:r/>
            <w:r>
              <w:rPr>
                <w:rFonts w:ascii="Times New Roman" w:hAnsi="Times New Roman"/>
                <w:b w:val="0"/>
                <w:i w:val="0"/>
                <w:sz w:val="13"/>
              </w:rPr>
              <w:t>TS § 9: mortgagee may obtain a New Lease on "substantially the same terms"; cure monetary within 60 days and non-monetary within 90 days "following the date of termination"</w:t>
            </w:r>
          </w:p>
        </w:tc>
        <w:tc>
          <w:tcPr>
            <w:tcW w:type="dxa" w:w="2333"/>
          </w:tcPr>
          <w:p>
            <w:pPr>
              <w:spacing w:before="20" w:after="20" w:line="240" w:lineRule="auto"/>
            </w:pPr>
            <w:r/>
            <w:r>
              <w:rPr>
                <w:rFonts w:ascii="Times New Roman" w:hAnsi="Times New Roman"/>
                <w:b w:val="0"/>
                <w:i w:val="0"/>
                <w:sz w:val="13"/>
              </w:rPr>
              <w:t xml:space="preserve">No request window; no statement that the term is the </w:t>
            </w:r>
            <w:r>
              <w:rPr>
                <w:rFonts w:ascii="Times New Roman" w:hAnsi="Times New Roman"/>
                <w:b/>
                <w:i w:val="0"/>
                <w:sz w:val="13"/>
              </w:rPr>
              <w:t>remainder</w:t>
            </w:r>
            <w:r>
              <w:rPr>
                <w:rFonts w:ascii="Times New Roman" w:hAnsi="Times New Roman"/>
                <w:b w:val="0"/>
                <w:i w:val="0"/>
                <w:sz w:val="13"/>
              </w:rPr>
              <w:t xml:space="preserve"> of the original term; no 30-day execution obligation; no effective-date, priority or sublease-recognition provision; no 180-day non-monetary cure tail</w:t>
            </w:r>
          </w:p>
        </w:tc>
        <w:tc>
          <w:tcPr>
            <w:tcW w:type="dxa" w:w="893"/>
          </w:tcPr>
          <w:p>
            <w:pPr>
              <w:spacing w:before="20" w:after="20" w:line="240" w:lineRule="auto"/>
            </w:pPr>
            <w:r/>
            <w:r>
              <w:rPr>
                <w:rFonts w:ascii="Times New Roman" w:hAnsi="Times New Roman"/>
                <w:b w:val="0"/>
                <w:i w:val="0"/>
                <w:sz w:val="13"/>
              </w:rPr>
              <w:t>Not met</w:t>
            </w:r>
          </w:p>
        </w:tc>
        <w:tc>
          <w:tcPr>
            <w:tcW w:type="dxa" w:w="1382"/>
          </w:tcPr>
          <w:p>
            <w:pPr>
              <w:spacing w:before="20" w:after="20" w:line="240" w:lineRule="auto"/>
            </w:pPr>
            <w:r/>
            <w:r>
              <w:rPr>
                <w:rFonts w:ascii="Times New Roman" w:hAnsi="Times New Roman"/>
                <w:b w:val="0"/>
                <w:i w:val="0"/>
                <w:sz w:val="13"/>
              </w:rPr>
              <w:t>§ 9.6</w:t>
            </w:r>
          </w:p>
        </w:tc>
      </w:tr>
      <w:tr>
        <w:tc>
          <w:tcPr>
            <w:tcW w:type="dxa" w:w="2419"/>
          </w:tcPr>
          <w:p>
            <w:pPr>
              <w:spacing w:before="20" w:after="20" w:line="240" w:lineRule="auto"/>
            </w:pPr>
            <w:r/>
            <w:r>
              <w:rPr>
                <w:rFonts w:ascii="Times New Roman" w:hAnsi="Times New Roman"/>
                <w:b w:val="0"/>
                <w:i w:val="0"/>
                <w:sz w:val="13"/>
              </w:rPr>
              <w:t>§ 5.4 Notices simultaneous; lender cure 60 days (monetary) / 90 days (non-monetary); "in addition to, and not concurrent with" Tenant's cure periods; Landlord to accept lender cure</w:t>
            </w:r>
          </w:p>
        </w:tc>
        <w:tc>
          <w:tcPr>
            <w:tcW w:type="dxa" w:w="2333"/>
          </w:tcPr>
          <w:p>
            <w:pPr>
              <w:spacing w:before="20" w:after="20" w:line="240" w:lineRule="auto"/>
            </w:pPr>
            <w:r/>
            <w:r>
              <w:rPr>
                <w:rFonts w:ascii="Times New Roman" w:hAnsi="Times New Roman"/>
                <w:b w:val="0"/>
                <w:i w:val="0"/>
                <w:sz w:val="13"/>
              </w:rPr>
              <w:t>TS § 9 (Default Notices): copies delivered simultaneously with Tenant</w:t>
            </w:r>
          </w:p>
        </w:tc>
        <w:tc>
          <w:tcPr>
            <w:tcW w:type="dxa" w:w="2333"/>
          </w:tcPr>
          <w:p>
            <w:pPr>
              <w:spacing w:before="20" w:after="20" w:line="240" w:lineRule="auto"/>
            </w:pPr>
            <w:r/>
            <w:r>
              <w:rPr>
                <w:rFonts w:ascii="Times New Roman" w:hAnsi="Times New Roman"/>
                <w:b w:val="0"/>
                <w:i w:val="0"/>
                <w:sz w:val="13"/>
              </w:rPr>
              <w:t xml:space="preserve">Simultaneous notice only. </w:t>
            </w:r>
            <w:r>
              <w:rPr>
                <w:rFonts w:ascii="Times New Roman" w:hAnsi="Times New Roman"/>
                <w:b/>
                <w:i w:val="0"/>
                <w:sz w:val="13"/>
              </w:rPr>
              <w:t>No lender cure periods at all</w:t>
            </w:r>
            <w:r>
              <w:rPr>
                <w:rFonts w:ascii="Times New Roman" w:hAnsi="Times New Roman"/>
                <w:b w:val="0"/>
                <w:i w:val="0"/>
                <w:sz w:val="13"/>
              </w:rPr>
              <w:t>, and no non-concurrency clause — the essential protection</w:t>
            </w:r>
          </w:p>
        </w:tc>
        <w:tc>
          <w:tcPr>
            <w:tcW w:type="dxa" w:w="893"/>
          </w:tcPr>
          <w:p>
            <w:pPr>
              <w:spacing w:before="20" w:after="20" w:line="240" w:lineRule="auto"/>
            </w:pPr>
            <w:r/>
            <w:r>
              <w:rPr>
                <w:rFonts w:ascii="Times New Roman" w:hAnsi="Times New Roman"/>
                <w:b w:val="0"/>
                <w:i w:val="0"/>
                <w:sz w:val="13"/>
              </w:rPr>
              <w:t>Not met</w:t>
            </w:r>
          </w:p>
        </w:tc>
        <w:tc>
          <w:tcPr>
            <w:tcW w:type="dxa" w:w="1382"/>
          </w:tcPr>
          <w:p>
            <w:pPr>
              <w:spacing w:before="20" w:after="20" w:line="240" w:lineRule="auto"/>
            </w:pPr>
            <w:r/>
            <w:r>
              <w:rPr>
                <w:rFonts w:ascii="Times New Roman" w:hAnsi="Times New Roman"/>
                <w:b w:val="0"/>
                <w:i w:val="0"/>
                <w:sz w:val="13"/>
              </w:rPr>
              <w:t>§§ 9.3, 9.5</w:t>
            </w:r>
          </w:p>
        </w:tc>
      </w:tr>
      <w:tr>
        <w:tc>
          <w:tcPr>
            <w:tcW w:type="dxa" w:w="2419"/>
          </w:tcPr>
          <w:p>
            <w:pPr>
              <w:spacing w:before="20" w:after="20" w:line="240" w:lineRule="auto"/>
            </w:pPr>
            <w:r/>
            <w:r>
              <w:rPr>
                <w:rFonts w:ascii="Times New Roman" w:hAnsi="Times New Roman"/>
                <w:b w:val="0"/>
                <w:i w:val="0"/>
                <w:sz w:val="13"/>
              </w:rPr>
              <w:t xml:space="preserve">§ 5.5 No voluntary surrender </w:t>
            </w:r>
            <w:r>
              <w:rPr>
                <w:rFonts w:ascii="Times New Roman" w:hAnsi="Times New Roman"/>
                <w:b/>
                <w:i w:val="0"/>
                <w:sz w:val="13"/>
              </w:rPr>
              <w:t>and no material amendment</w:t>
            </w:r>
            <w:r>
              <w:rPr>
                <w:rFonts w:ascii="Times New Roman" w:hAnsi="Times New Roman"/>
                <w:b w:val="0"/>
                <w:i w:val="0"/>
                <w:sz w:val="13"/>
              </w:rPr>
              <w:t xml:space="preserve"> without lender consent; void as against Lender</w:t>
            </w:r>
          </w:p>
        </w:tc>
        <w:tc>
          <w:tcPr>
            <w:tcW w:type="dxa" w:w="2333"/>
          </w:tcPr>
          <w:p>
            <w:pPr>
              <w:spacing w:before="20" w:after="20" w:line="240" w:lineRule="auto"/>
            </w:pPr>
            <w:r/>
            <w:r>
              <w:rPr>
                <w:rFonts w:ascii="Times New Roman" w:hAnsi="Times New Roman"/>
                <w:b w:val="0"/>
                <w:i w:val="0"/>
                <w:sz w:val="13"/>
              </w:rPr>
              <w:t>TS § 9: "No Voluntary Surrender" bullet only</w:t>
            </w:r>
          </w:p>
        </w:tc>
        <w:tc>
          <w:tcPr>
            <w:tcW w:type="dxa" w:w="2333"/>
          </w:tcPr>
          <w:p>
            <w:pPr>
              <w:spacing w:before="20" w:after="20" w:line="240" w:lineRule="auto"/>
            </w:pPr>
            <w:r/>
            <w:r>
              <w:rPr>
                <w:rFonts w:ascii="Times New Roman" w:hAnsi="Times New Roman"/>
                <w:b w:val="0"/>
                <w:i w:val="0"/>
                <w:sz w:val="13"/>
              </w:rPr>
              <w:t>Amendment/modification/supplement restriction and the voidness remedy are absent</w:t>
            </w:r>
          </w:p>
        </w:tc>
        <w:tc>
          <w:tcPr>
            <w:tcW w:type="dxa" w:w="893"/>
          </w:tcPr>
          <w:p>
            <w:pPr>
              <w:spacing w:before="20" w:after="20" w:line="240" w:lineRule="auto"/>
            </w:pPr>
            <w:r/>
            <w:r>
              <w:rPr>
                <w:rFonts w:ascii="Times New Roman" w:hAnsi="Times New Roman"/>
                <w:b w:val="0"/>
                <w:i w:val="0"/>
                <w:sz w:val="13"/>
              </w:rPr>
              <w:t>Partial</w:t>
            </w:r>
          </w:p>
        </w:tc>
        <w:tc>
          <w:tcPr>
            <w:tcW w:type="dxa" w:w="1382"/>
          </w:tcPr>
          <w:p>
            <w:pPr>
              <w:spacing w:before="20" w:after="20" w:line="240" w:lineRule="auto"/>
            </w:pPr>
            <w:r/>
            <w:r>
              <w:rPr>
                <w:rFonts w:ascii="Times New Roman" w:hAnsi="Times New Roman"/>
                <w:b w:val="0"/>
                <w:i w:val="0"/>
                <w:sz w:val="13"/>
              </w:rPr>
              <w:t>§ 9.4</w:t>
            </w:r>
          </w:p>
        </w:tc>
      </w:tr>
      <w:tr>
        <w:tc>
          <w:tcPr>
            <w:tcW w:type="dxa" w:w="2419"/>
          </w:tcPr>
          <w:p>
            <w:pPr>
              <w:spacing w:before="20" w:after="20" w:line="240" w:lineRule="auto"/>
            </w:pPr>
            <w:r/>
            <w:r>
              <w:rPr>
                <w:rFonts w:ascii="Times New Roman" w:hAnsi="Times New Roman"/>
                <w:b w:val="0"/>
                <w:i w:val="0"/>
                <w:sz w:val="13"/>
              </w:rPr>
              <w:t>§ 5.6 Foreclose and assign without consent; qualified transferee; Landlord to execute documents reasonably requested</w:t>
            </w:r>
          </w:p>
        </w:tc>
        <w:tc>
          <w:tcPr>
            <w:tcW w:type="dxa" w:w="2333"/>
          </w:tcPr>
          <w:p>
            <w:pPr>
              <w:spacing w:before="20" w:after="20" w:line="240" w:lineRule="auto"/>
            </w:pPr>
            <w:r/>
            <w:r>
              <w:rPr>
                <w:rFonts w:ascii="Times New Roman" w:hAnsi="Times New Roman"/>
                <w:b w:val="0"/>
                <w:i w:val="0"/>
                <w:sz w:val="13"/>
              </w:rPr>
              <w:t>TS § 9: foreclosure and assignment permitted "provided that any such transferee meets reasonable financial and experience qualifications to be established in the Definitive Lease"</w:t>
            </w:r>
          </w:p>
        </w:tc>
        <w:tc>
          <w:tcPr>
            <w:tcW w:type="dxa" w:w="2333"/>
          </w:tcPr>
          <w:p>
            <w:pPr>
              <w:spacing w:before="20" w:after="20" w:line="240" w:lineRule="auto"/>
            </w:pPr>
            <w:r/>
            <w:r>
              <w:rPr>
                <w:rFonts w:ascii="Times New Roman" w:hAnsi="Times New Roman"/>
                <w:b w:val="0"/>
                <w:i w:val="0"/>
                <w:sz w:val="13"/>
              </w:rPr>
              <w:t>Qualification criteria left open (a lender wants objective tests); no duty to execute documents; no recognition deadline</w:t>
            </w:r>
          </w:p>
        </w:tc>
        <w:tc>
          <w:tcPr>
            <w:tcW w:type="dxa" w:w="893"/>
          </w:tcPr>
          <w:p>
            <w:pPr>
              <w:spacing w:before="20" w:after="20" w:line="240" w:lineRule="auto"/>
            </w:pPr>
            <w:r/>
            <w:r>
              <w:rPr>
                <w:rFonts w:ascii="Times New Roman" w:hAnsi="Times New Roman"/>
                <w:b w:val="0"/>
                <w:i w:val="0"/>
                <w:sz w:val="13"/>
              </w:rPr>
              <w:t>Partial</w:t>
            </w:r>
          </w:p>
        </w:tc>
        <w:tc>
          <w:tcPr>
            <w:tcW w:type="dxa" w:w="1382"/>
          </w:tcPr>
          <w:p>
            <w:pPr>
              <w:spacing w:before="20" w:after="20" w:line="240" w:lineRule="auto"/>
            </w:pPr>
            <w:r/>
            <w:r>
              <w:rPr>
                <w:rFonts w:ascii="Times New Roman" w:hAnsi="Times New Roman"/>
                <w:b w:val="0"/>
                <w:i w:val="0"/>
                <w:sz w:val="13"/>
              </w:rPr>
              <w:t>§ 9.7</w:t>
            </w:r>
          </w:p>
        </w:tc>
      </w:tr>
      <w:tr>
        <w:tc>
          <w:tcPr>
            <w:tcW w:type="dxa" w:w="2419"/>
          </w:tcPr>
          <w:p>
            <w:pPr>
              <w:spacing w:before="20" w:after="20" w:line="240" w:lineRule="auto"/>
            </w:pPr>
            <w:r/>
            <w:r>
              <w:rPr>
                <w:rFonts w:ascii="Times New Roman" w:hAnsi="Times New Roman"/>
                <w:b w:val="0"/>
                <w:i w:val="0"/>
                <w:sz w:val="13"/>
              </w:rPr>
              <w:t>§ 5.7 Bankruptcy protections: request to assume/reject under 11 U.S.C. § 365; lender right to cure and provide adequate assurance; New Lease survives rejection</w:t>
            </w:r>
          </w:p>
        </w:tc>
        <w:tc>
          <w:tcPr>
            <w:tcW w:type="dxa" w:w="2333"/>
          </w:tcPr>
          <w:p>
            <w:pPr>
              <w:spacing w:before="20" w:after="20" w:line="240" w:lineRule="auto"/>
            </w:pPr>
            <w:r/>
            <w:r>
              <w:rPr>
                <w:rFonts w:ascii="Times New Roman" w:hAnsi="Times New Roman"/>
                <w:b w:val="0"/>
                <w:i w:val="0"/>
                <w:sz w:val="13"/>
              </w:rPr>
              <w:t xml:space="preserve">Term Sheet: </w:t>
            </w:r>
            <w:r>
              <w:rPr>
                <w:rFonts w:ascii="Times New Roman" w:hAnsi="Times New Roman"/>
                <w:b/>
                <w:i w:val="0"/>
                <w:sz w:val="13"/>
              </w:rPr>
              <w:t>silent</w:t>
            </w:r>
            <w:r>
              <w:rPr>
                <w:rFonts w:ascii="Times New Roman" w:hAnsi="Times New Roman"/>
                <w:b w:val="0"/>
                <w:i w:val="0"/>
                <w:sz w:val="13"/>
              </w:rPr>
              <w:t>. § 16(d) treats a bankruptcy filing as an Event of Default</w:t>
            </w:r>
          </w:p>
        </w:tc>
        <w:tc>
          <w:tcPr>
            <w:tcW w:type="dxa" w:w="2333"/>
          </w:tcPr>
          <w:p>
            <w:pPr>
              <w:spacing w:before="20" w:after="20" w:line="240" w:lineRule="auto"/>
            </w:pPr>
            <w:r/>
            <w:r>
              <w:rPr>
                <w:rFonts w:ascii="Times New Roman" w:hAnsi="Times New Roman"/>
                <w:b w:val="0"/>
                <w:i w:val="0"/>
                <w:sz w:val="13"/>
              </w:rPr>
              <w:t>Absent entirely. As drafted, a Tenant bankruptcy is a default with no lender protection</w:t>
            </w:r>
          </w:p>
        </w:tc>
        <w:tc>
          <w:tcPr>
            <w:tcW w:type="dxa" w:w="893"/>
          </w:tcPr>
          <w:p>
            <w:pPr>
              <w:spacing w:before="20" w:after="20" w:line="240" w:lineRule="auto"/>
            </w:pPr>
            <w:r/>
            <w:r>
              <w:rPr>
                <w:rFonts w:ascii="Times New Roman" w:hAnsi="Times New Roman"/>
                <w:b w:val="0"/>
                <w:i w:val="0"/>
                <w:sz w:val="13"/>
              </w:rPr>
              <w:t>Not met</w:t>
            </w:r>
          </w:p>
        </w:tc>
        <w:tc>
          <w:tcPr>
            <w:tcW w:type="dxa" w:w="1382"/>
          </w:tcPr>
          <w:p>
            <w:pPr>
              <w:spacing w:before="20" w:after="20" w:line="240" w:lineRule="auto"/>
            </w:pPr>
            <w:r/>
            <w:r>
              <w:rPr>
                <w:rFonts w:ascii="Times New Roman" w:hAnsi="Times New Roman"/>
                <w:b w:val="0"/>
                <w:i w:val="0"/>
                <w:sz w:val="13"/>
              </w:rPr>
              <w:t>§ 9.8</w:t>
            </w:r>
          </w:p>
        </w:tc>
      </w:tr>
    </w:tbl>
    <w:p>
      <w:pPr>
        <w:spacing w:after="40" w:before="0"/>
      </w:pPr>
    </w:p>
    <w:p>
      <w:pPr>
        <w:spacing w:after="120"/>
        <w:ind w:left="0"/>
        <w:jc w:val="both"/>
      </w:pPr>
      <w:r>
        <w:rPr>
          <w:rFonts w:ascii="Times New Roman" w:hAnsi="Times New Roman"/>
          <w:b/>
          <w:i w:val="0"/>
        </w:rPr>
        <w:t>Implication.</w:t>
      </w:r>
      <w:r>
        <w:rPr>
          <w:rFonts w:ascii="Times New Roman" w:hAnsi="Times New Roman"/>
          <w:b w:val="0"/>
          <w:i w:val="0"/>
        </w:rPr>
        <w:t xml:space="preserve"> Bayside will not close on the Term Sheet's language. Sandra Milliken's team will redline the Draft Lease to its checklist in any event; the point of getting it right now is that the redline will not then arrive at the same time as the title objection and the Board approval cycle. The Draft Lease's Article 9 is deliberately drafted to meet or exceed each of § 5.1–5.7, and to be equally acceptable to a future refinancing lender (no fee, no consent, unlimited mortgagees, no cap on refinancings, protections running to "each Leasehold Mortgagee"), which is what Ansel needs for institutional-quality status.</w:t>
      </w:r>
    </w:p>
    <w:p>
      <w:pPr>
        <w:spacing w:after="120"/>
        <w:ind w:left="0"/>
        <w:jc w:val="both"/>
      </w:pPr>
      <w:r>
        <w:rPr>
          <w:rFonts w:ascii="Times New Roman" w:hAnsi="Times New Roman"/>
          <w:b/>
          <w:i w:val="0"/>
        </w:rPr>
        <w:t>Your specific asks</w:t>
      </w:r>
      <w:r>
        <w:rPr>
          <w:rFonts w:ascii="Times New Roman" w:hAnsi="Times New Roman"/>
          <w:b w:val="0"/>
          <w:i w:val="0"/>
        </w:rPr>
        <w:t xml:space="preserve"> in this area were four: reverter subordination to the leasehold mortgage; 180 days' independent lender cure for milestone defaults; New Lease surviving reverter termination; and no reverter before the lender's cure period is exhausted. All four are in the Draft Lease (§§ 9.5(c), 9.6, 10.5(g), 10.6(e)). Note that neither the Term Sheet nor Bayside's own § 5.4 provides a lender cure period calibrated to milestone defaults — Bayside's 90-day non-monetary period assumes a curable default, and a missed completion milestone is not curable by writing a check. The 180-day period in Draft § 9.5(c), running from the expiry of Tenant's own 180-day cure period (i.e., a theoretical 360 days from the Authority's notice), is a provision we are adding for both parties' benefit: without it, a lender facing a milestone default could only foreclose into a forfeiture, which no lender will do.</w:t>
      </w:r>
    </w:p>
    <w:p>
      <w:pPr>
        <w:keepNext/>
        <w:spacing w:before="320" w:after="160"/>
        <w:pBdr>
          <w:bottom w:val="single" w:sz="6" w:space="2" w:color="000000"/>
        </w:pBdr>
      </w:pPr>
      <w:r>
        <w:rPr>
          <w:rFonts w:ascii="Times New Roman" w:hAnsi="Times New Roman"/>
          <w:b/>
          <w:i w:val="0"/>
          <w:sz w:val="24"/>
        </w:rPr>
        <w:t>PART 5 — THE REVERTER AND IMPROVEMENT FORFEITURE: "THE HILL"</w:t>
      </w:r>
    </w:p>
    <w:p>
      <w:pPr>
        <w:keepNext/>
        <w:spacing w:before="240" w:after="100"/>
        <w:ind w:left="0"/>
      </w:pPr>
      <w:r>
        <w:rPr>
          <w:rFonts w:ascii="Times New Roman" w:hAnsi="Times New Roman"/>
          <w:b/>
          <w:i w:val="0"/>
          <w:sz w:val="21"/>
        </w:rPr>
        <w:t>5.1  What the record actually provides</w:t>
      </w:r>
    </w:p>
    <w:p>
      <w:pPr>
        <w:spacing w:after="120"/>
        <w:ind w:left="0"/>
        <w:jc w:val="both"/>
      </w:pPr>
      <w:r>
        <w:rPr>
          <w:rFonts w:ascii="Times New Roman" w:hAnsi="Times New Roman"/>
          <w:b w:val="0"/>
          <w:i w:val="0"/>
        </w:rPr>
        <w:t>Term Sheet § 9 provides that if Tenant fails to achieve Milestone 1 or Milestone 3 (as extended), the Authority may deliver a notice specifying the failure; Tenant then has 180 days to cure; and "the Lease shall automatically terminate upon the expiration of such period," whereupon (a) Tenant forfeits the $5,700,000 letter of credit, which the Authority "shall be entitled to draw in full," and (b) "[a]ll improvements, structures, and fixtures constructed, installed, or placed on the Premises by Tenant ... shall immediately revert to and become the sole property of the Landlord, free and clear of any claims by Tenant, without any payment, compensation, or reimbursement to Tenant."</w:t>
      </w:r>
    </w:p>
    <w:p>
      <w:pPr>
        <w:spacing w:after="120"/>
        <w:ind w:left="0"/>
        <w:jc w:val="both"/>
      </w:pPr>
      <w:r>
        <w:rPr>
          <w:rFonts w:ascii="Times New Roman" w:hAnsi="Times New Roman"/>
          <w:b w:val="0"/>
          <w:i w:val="0"/>
        </w:rPr>
        <w:t>Four features of that drafting deserve to be named, because each is a separate problem:</w:t>
      </w:r>
    </w:p>
    <w:p>
      <w:pPr>
        <w:tabs>
          <w:tab w:pos="864" w:val="left"/>
        </w:tabs>
        <w:spacing w:after="80"/>
        <w:ind w:left="864" w:hanging="403"/>
        <w:jc w:val="both"/>
      </w:pPr>
      <w:r>
        <w:rPr>
          <w:rFonts w:ascii="Times New Roman" w:hAnsi="Times New Roman"/>
          <w:b w:val="0"/>
          <w:i w:val="0"/>
        </w:rPr>
        <w:t>•</w:t>
        <w:tab/>
      </w:r>
      <w:r>
        <w:rPr>
          <w:rFonts w:ascii="Times New Roman" w:hAnsi="Times New Roman"/>
          <w:b/>
          <w:i w:val="0"/>
        </w:rPr>
        <w:t>It is automatic.</w:t>
      </w:r>
      <w:r>
        <w:rPr>
          <w:rFonts w:ascii="Times New Roman" w:hAnsi="Times New Roman"/>
          <w:b w:val="0"/>
          <w:i w:val="0"/>
        </w:rPr>
        <w:t xml:space="preserve"> Termination occurs by operation of the expiry of the cure period, without any election, notice or grace. That is the feature that collides head-on with Bayside § 5.4 (conflict C11).</w:t>
      </w:r>
    </w:p>
    <w:p>
      <w:pPr>
        <w:tabs>
          <w:tab w:pos="864" w:val="left"/>
        </w:tabs>
        <w:spacing w:after="80"/>
        <w:ind w:left="864" w:hanging="403"/>
        <w:jc w:val="both"/>
      </w:pPr>
      <w:r>
        <w:rPr>
          <w:rFonts w:ascii="Times New Roman" w:hAnsi="Times New Roman"/>
          <w:b w:val="0"/>
          <w:i w:val="0"/>
        </w:rPr>
        <w:t>•</w:t>
        <w:tab/>
      </w:r>
      <w:r>
        <w:rPr>
          <w:rFonts w:ascii="Times New Roman" w:hAnsi="Times New Roman"/>
          <w:b/>
          <w:i w:val="0"/>
        </w:rPr>
        <w:t>It is not limited to milestones.</w:t>
      </w:r>
      <w:r>
        <w:rPr>
          <w:rFonts w:ascii="Times New Roman" w:hAnsi="Times New Roman"/>
          <w:b w:val="0"/>
          <w:i w:val="0"/>
        </w:rPr>
        <w:t xml:space="preserve"> Term Sheet § 16 lists "exercise the reverter rights" as a general remedy for any uncured Event of Default, which would extend forfeiture to a monetary default, a bankruptcy filing or an insurance lapse (conflict C12).</w:t>
      </w:r>
    </w:p>
    <w:p>
      <w:pPr>
        <w:tabs>
          <w:tab w:pos="864" w:val="left"/>
        </w:tabs>
        <w:spacing w:after="80"/>
        <w:ind w:left="864" w:hanging="403"/>
        <w:jc w:val="both"/>
      </w:pPr>
      <w:r>
        <w:rPr>
          <w:rFonts w:ascii="Times New Roman" w:hAnsi="Times New Roman"/>
          <w:b w:val="0"/>
          <w:i w:val="0"/>
        </w:rPr>
        <w:t>•</w:t>
        <w:tab/>
      </w:r>
      <w:r>
        <w:rPr>
          <w:rFonts w:ascii="Times New Roman" w:hAnsi="Times New Roman"/>
          <w:b/>
          <w:i w:val="0"/>
        </w:rPr>
        <w:t>It double-counts.</w:t>
      </w:r>
      <w:r>
        <w:rPr>
          <w:rFonts w:ascii="Times New Roman" w:hAnsi="Times New Roman"/>
          <w:b w:val="0"/>
          <w:i w:val="0"/>
        </w:rPr>
        <w:t xml:space="preserve"> The Authority takes both the deposit and the improvements. The deposit is already 24 months of Base Rent; the improvements may be worth fifty times that.</w:t>
      </w:r>
    </w:p>
    <w:p>
      <w:pPr>
        <w:tabs>
          <w:tab w:pos="864" w:val="left"/>
        </w:tabs>
        <w:spacing w:after="80"/>
        <w:ind w:left="864" w:hanging="403"/>
        <w:jc w:val="both"/>
      </w:pPr>
      <w:r>
        <w:rPr>
          <w:rFonts w:ascii="Times New Roman" w:hAnsi="Times New Roman"/>
          <w:b w:val="0"/>
          <w:i w:val="0"/>
        </w:rPr>
        <w:t>•</w:t>
        <w:tab/>
      </w:r>
      <w:r>
        <w:rPr>
          <w:rFonts w:ascii="Times New Roman" w:hAnsi="Times New Roman"/>
          <w:b/>
          <w:i w:val="0"/>
        </w:rPr>
        <w:t>It purports to extinguish the mortgage.</w:t>
      </w:r>
      <w:r>
        <w:rPr>
          <w:rFonts w:ascii="Times New Roman" w:hAnsi="Times New Roman"/>
          <w:b w:val="0"/>
          <w:i w:val="0"/>
        </w:rPr>
        <w:t xml:space="preserve"> "Free and clear of any claims by Tenant" cannot, as a matter of recorded priority, extinguish a leasehold mortgagee's interest, and Bayside will not treat it as doing so. But it is exactly the language that makes the leasehold mortgage unmarketable, because the lender's only remedy — foreclosure into the leasehold — leads to the forfeiture it was lending against.</w:t>
      </w:r>
    </w:p>
    <w:p>
      <w:pPr>
        <w:spacing w:after="120"/>
        <w:ind w:left="0"/>
        <w:jc w:val="both"/>
      </w:pPr>
      <w:r>
        <w:rPr>
          <w:rFonts w:ascii="Times New Roman" w:hAnsi="Times New Roman"/>
          <w:b w:val="0"/>
          <w:i w:val="0"/>
        </w:rPr>
        <w:t>The Board has been told that the lease will contain "reverter rights in favor of the Authority in the event of Tenant's failure to achieve such milestones" (Resolution No. 2025-047, § 2(a)). The Draft Lease preserves a reverter. What it removes is the uncompensated forfeiture. That distinction is the single most important framing point in the negotiation, and it is accurate: the Authority still gets the land back, still gets the improvements, and still gets a defined remedy.</w:t>
      </w:r>
    </w:p>
    <w:p>
      <w:pPr>
        <w:keepNext/>
        <w:spacing w:before="240" w:after="100"/>
        <w:ind w:left="0"/>
      </w:pPr>
      <w:r>
        <w:rPr>
          <w:rFonts w:ascii="Times New Roman" w:hAnsi="Times New Roman"/>
          <w:b/>
          <w:i w:val="0"/>
          <w:sz w:val="21"/>
        </w:rPr>
        <w:t>5.2  Exposure, quantified</w:t>
      </w:r>
    </w:p>
    <w:tbl>
      <w:tblPr>
        <w:tblStyle w:val="TableGrid"/>
        <w:tblW w:type="auto" w:w="0"/>
        <w:jc w:val="center"/>
        <w:tblLayout w:type="fixed"/>
        <w:tblLook w:firstColumn="1" w:firstRow="1" w:lastColumn="0" w:lastRow="0" w:noHBand="0" w:noVBand="1" w:val="04A0"/>
        <w:tblLayout w:type="fixed"/>
        <w:tblW w:type="dxa" w:w="9360"/>
        <w:tblCellMar>
          <w:top w:w="20" w:type="dxa"/>
          <w:left w:w="60" w:type="dxa"/>
          <w:bottom w:w="20" w:type="dxa"/>
          <w:right w:w="60" w:type="dxa"/>
        </w:tblCellMar>
      </w:tblPr>
      <w:tblGrid>
        <w:gridCol w:w="3240"/>
        <w:gridCol w:w="2232"/>
        <w:gridCol w:w="1872"/>
        <w:gridCol w:w="2016"/>
      </w:tblGrid>
      <w:tr>
        <w:trPr>
          <w:tblHeader w:val="true"/>
        </w:trPr>
        <w:tc>
          <w:tcPr>
            <w:tcW w:type="dxa" w:w="3240"/>
            <w:shd w:val="clear" w:color="auto" w:fill="D9D9D9"/>
          </w:tcPr>
          <w:p>
            <w:pPr>
              <w:spacing w:before="20" w:after="20" w:line="240" w:lineRule="auto"/>
            </w:pPr>
            <w:r/>
            <w:r>
              <w:rPr>
                <w:rFonts w:ascii="Times New Roman" w:hAnsi="Times New Roman"/>
                <w:b/>
                <w:i w:val="0"/>
                <w:sz w:val="15"/>
              </w:rPr>
              <w:t>Component</w:t>
            </w:r>
          </w:p>
        </w:tc>
        <w:tc>
          <w:tcPr>
            <w:tcW w:type="dxa" w:w="2232"/>
            <w:shd w:val="clear" w:color="auto" w:fill="D9D9D9"/>
          </w:tcPr>
          <w:p>
            <w:pPr>
              <w:spacing w:before="20" w:after="20" w:line="240" w:lineRule="auto"/>
            </w:pPr>
            <w:r/>
            <w:r>
              <w:rPr>
                <w:rFonts w:ascii="Times New Roman" w:hAnsi="Times New Roman"/>
                <w:b/>
                <w:i w:val="0"/>
                <w:sz w:val="15"/>
              </w:rPr>
              <w:t>Amount</w:t>
            </w:r>
          </w:p>
        </w:tc>
        <w:tc>
          <w:tcPr>
            <w:tcW w:type="dxa" w:w="1872"/>
            <w:shd w:val="clear" w:color="auto" w:fill="D9D9D9"/>
          </w:tcPr>
          <w:p>
            <w:pPr>
              <w:spacing w:before="20" w:after="20" w:line="240" w:lineRule="auto"/>
            </w:pPr>
            <w:r/>
            <w:r>
              <w:rPr>
                <w:rFonts w:ascii="Times New Roman" w:hAnsi="Times New Roman"/>
                <w:b/>
                <w:i w:val="0"/>
                <w:sz w:val="15"/>
              </w:rPr>
              <w:t>Timing</w:t>
            </w:r>
          </w:p>
        </w:tc>
        <w:tc>
          <w:tcPr>
            <w:tcW w:type="dxa" w:w="2016"/>
            <w:shd w:val="clear" w:color="auto" w:fill="D9D9D9"/>
          </w:tcPr>
          <w:p>
            <w:pPr>
              <w:spacing w:before="20" w:after="20" w:line="240" w:lineRule="auto"/>
            </w:pPr>
            <w:r/>
            <w:r>
              <w:rPr>
                <w:rFonts w:ascii="Times New Roman" w:hAnsi="Times New Roman"/>
                <w:b/>
                <w:i w:val="0"/>
                <w:sz w:val="15"/>
              </w:rPr>
              <w:t>Source</w:t>
            </w:r>
          </w:p>
        </w:tc>
      </w:tr>
      <w:tr>
        <w:tc>
          <w:tcPr>
            <w:tcW w:type="dxa" w:w="3240"/>
          </w:tcPr>
          <w:p>
            <w:pPr>
              <w:spacing w:before="20" w:after="20" w:line="240" w:lineRule="auto"/>
            </w:pPr>
            <w:r/>
            <w:r>
              <w:rPr>
                <w:rFonts w:ascii="Times New Roman" w:hAnsi="Times New Roman"/>
                <w:b w:val="0"/>
                <w:i w:val="0"/>
                <w:sz w:val="15"/>
              </w:rPr>
              <w:t>Security deposit forfeited</w:t>
            </w:r>
          </w:p>
        </w:tc>
        <w:tc>
          <w:tcPr>
            <w:tcW w:type="dxa" w:w="2232"/>
          </w:tcPr>
          <w:p>
            <w:pPr>
              <w:spacing w:before="20" w:after="20" w:line="240" w:lineRule="auto"/>
            </w:pPr>
            <w:r/>
            <w:r>
              <w:rPr>
                <w:rFonts w:ascii="Times New Roman" w:hAnsi="Times New Roman"/>
                <w:b w:val="0"/>
                <w:i w:val="0"/>
                <w:sz w:val="15"/>
              </w:rPr>
              <w:t>$5,700,000</w:t>
            </w:r>
          </w:p>
        </w:tc>
        <w:tc>
          <w:tcPr>
            <w:tcW w:type="dxa" w:w="1872"/>
          </w:tcPr>
          <w:p>
            <w:pPr>
              <w:spacing w:before="20" w:after="20" w:line="240" w:lineRule="auto"/>
            </w:pPr>
            <w:r/>
            <w:r>
              <w:rPr>
                <w:rFonts w:ascii="Times New Roman" w:hAnsi="Times New Roman"/>
                <w:b w:val="0"/>
                <w:i w:val="0"/>
                <w:sz w:val="15"/>
              </w:rPr>
              <w:t>On reverter termination</w:t>
            </w:r>
          </w:p>
        </w:tc>
        <w:tc>
          <w:tcPr>
            <w:tcW w:type="dxa" w:w="2016"/>
          </w:tcPr>
          <w:p>
            <w:pPr>
              <w:spacing w:before="20" w:after="20" w:line="240" w:lineRule="auto"/>
            </w:pPr>
            <w:r/>
            <w:r>
              <w:rPr>
                <w:rFonts w:ascii="Times New Roman" w:hAnsi="Times New Roman"/>
                <w:b w:val="0"/>
                <w:i w:val="0"/>
                <w:sz w:val="15"/>
              </w:rPr>
              <w:t>TS § 9(b); TS § 8</w:t>
            </w:r>
          </w:p>
        </w:tc>
      </w:tr>
      <w:tr>
        <w:tc>
          <w:tcPr>
            <w:tcW w:type="dxa" w:w="3240"/>
          </w:tcPr>
          <w:p>
            <w:pPr>
              <w:spacing w:before="20" w:after="20" w:line="240" w:lineRule="auto"/>
            </w:pPr>
            <w:r/>
            <w:r>
              <w:rPr>
                <w:rFonts w:ascii="Times New Roman" w:hAnsi="Times New Roman"/>
                <w:b w:val="0"/>
                <w:i w:val="0"/>
                <w:sz w:val="15"/>
              </w:rPr>
              <w:t>Improvements forfeited</w:t>
            </w:r>
          </w:p>
        </w:tc>
        <w:tc>
          <w:tcPr>
            <w:tcW w:type="dxa" w:w="2232"/>
          </w:tcPr>
          <w:p>
            <w:pPr>
              <w:spacing w:before="20" w:after="20" w:line="240" w:lineRule="auto"/>
            </w:pPr>
            <w:r/>
            <w:r>
              <w:rPr>
                <w:rFonts w:ascii="Times New Roman" w:hAnsi="Times New Roman"/>
                <w:b w:val="0"/>
                <w:i w:val="0"/>
                <w:sz w:val="15"/>
              </w:rPr>
              <w:t>$200,000,000 – $300,000,000</w:t>
            </w:r>
          </w:p>
        </w:tc>
        <w:tc>
          <w:tcPr>
            <w:tcW w:type="dxa" w:w="1872"/>
          </w:tcPr>
          <w:p>
            <w:pPr>
              <w:spacing w:before="20" w:after="20" w:line="240" w:lineRule="auto"/>
            </w:pPr>
            <w:r/>
            <w:r>
              <w:rPr>
                <w:rFonts w:ascii="Times New Roman" w:hAnsi="Times New Roman"/>
                <w:b w:val="0"/>
                <w:i w:val="0"/>
                <w:sz w:val="15"/>
              </w:rPr>
              <w:t>By Milestone 3 (October 1, 2030)</w:t>
            </w:r>
          </w:p>
        </w:tc>
        <w:tc>
          <w:tcPr>
            <w:tcW w:type="dxa" w:w="2016"/>
          </w:tcPr>
          <w:p>
            <w:pPr>
              <w:spacing w:before="20" w:after="20" w:line="240" w:lineRule="auto"/>
            </w:pPr>
            <w:r/>
            <w:r>
              <w:rPr>
                <w:rFonts w:ascii="Times New Roman" w:hAnsi="Times New Roman"/>
                <w:b w:val="0"/>
                <w:i w:val="0"/>
                <w:sz w:val="15"/>
              </w:rPr>
              <w:t>Your June 15 email; consistent with $352,000,000 total hard costs and Phase 1 being the residential tower plus retail</w:t>
            </w:r>
          </w:p>
        </w:tc>
      </w:tr>
      <w:tr>
        <w:tc>
          <w:tcPr>
            <w:tcW w:type="dxa" w:w="3240"/>
          </w:tcPr>
          <w:p>
            <w:pPr>
              <w:spacing w:before="20" w:after="20" w:line="240" w:lineRule="auto"/>
            </w:pPr>
            <w:r/>
            <w:r>
              <w:rPr>
                <w:rFonts w:ascii="Times New Roman" w:hAnsi="Times New Roman"/>
                <w:b/>
                <w:i w:val="0"/>
                <w:sz w:val="15"/>
              </w:rPr>
              <w:t>Total forfeiture</w:t>
            </w:r>
          </w:p>
        </w:tc>
        <w:tc>
          <w:tcPr>
            <w:tcW w:type="dxa" w:w="2232"/>
          </w:tcPr>
          <w:p>
            <w:pPr>
              <w:spacing w:before="20" w:after="20" w:line="240" w:lineRule="auto"/>
            </w:pPr>
            <w:r/>
            <w:r>
              <w:rPr>
                <w:rFonts w:ascii="Times New Roman" w:hAnsi="Times New Roman"/>
                <w:b/>
                <w:i w:val="0"/>
                <w:sz w:val="15"/>
              </w:rPr>
              <w:t>$205,700,000 – $305,700,000</w:t>
            </w:r>
          </w:p>
        </w:tc>
        <w:tc>
          <w:tcPr>
            <w:tcW w:type="dxa" w:w="1872"/>
          </w:tcPr>
          <w:p>
            <w:pPr>
              <w:spacing w:before="20" w:after="20" w:line="240" w:lineRule="auto"/>
            </w:pPr>
            <w:r/>
            <w:r>
              <w:rPr>
                <w:rFonts w:ascii="Times New Roman" w:hAnsi="Times New Roman"/>
                <w:b w:val="0"/>
                <w:i w:val="0"/>
                <w:sz w:val="15"/>
              </w:rPr>
              <w:t>Single milestone miss</w:t>
            </w:r>
          </w:p>
        </w:tc>
        <w:tc>
          <w:tcPr>
            <w:tcW w:type="dxa" w:w="2016"/>
          </w:tcPr>
          <w:p>
            <w:pPr>
              <w:spacing w:before="20" w:after="20" w:line="240" w:lineRule="auto"/>
            </w:pPr>
            <w:r/>
            <w:r>
              <w:rPr>
                <w:rFonts w:ascii="Times New Roman" w:hAnsi="Times New Roman"/>
                <w:b w:val="0"/>
                <w:i w:val="0"/>
                <w:sz w:val="15"/>
              </w:rPr>
              <w:t>Computed</w:t>
            </w:r>
          </w:p>
        </w:tc>
      </w:tr>
      <w:tr>
        <w:tc>
          <w:tcPr>
            <w:tcW w:type="dxa" w:w="3240"/>
          </w:tcPr>
          <w:p>
            <w:pPr>
              <w:spacing w:before="20" w:after="20" w:line="240" w:lineRule="auto"/>
            </w:pPr>
            <w:r/>
            <w:r>
              <w:rPr>
                <w:rFonts w:ascii="Times New Roman" w:hAnsi="Times New Roman"/>
                <w:b w:val="0"/>
                <w:i w:val="0"/>
                <w:sz w:val="15"/>
              </w:rPr>
              <w:t>Authority's actual damages on a 24-month slip of Milestone 3</w:t>
            </w:r>
          </w:p>
        </w:tc>
        <w:tc>
          <w:tcPr>
            <w:tcW w:type="dxa" w:w="2232"/>
          </w:tcPr>
          <w:p>
            <w:pPr>
              <w:spacing w:before="20" w:after="20" w:line="240" w:lineRule="auto"/>
            </w:pPr>
            <w:r/>
            <w:r>
              <w:rPr>
                <w:rFonts w:ascii="Times New Roman" w:hAnsi="Times New Roman"/>
                <w:b w:val="0"/>
                <w:i w:val="0"/>
                <w:sz w:val="15"/>
              </w:rPr>
              <w:t>≈ $5,700,000 – $7,300,000</w:t>
            </w:r>
          </w:p>
        </w:tc>
        <w:tc>
          <w:tcPr>
            <w:tcW w:type="dxa" w:w="1872"/>
          </w:tcPr>
          <w:p>
            <w:pPr>
              <w:spacing w:before="20" w:after="20" w:line="240" w:lineRule="auto"/>
            </w:pPr>
            <w:r/>
            <w:r>
              <w:rPr>
                <w:rFonts w:ascii="Times New Roman" w:hAnsi="Times New Roman"/>
                <w:b w:val="0"/>
                <w:i w:val="0"/>
                <w:sz w:val="15"/>
              </w:rPr>
              <w:t>24 months of Base Rent at the then-current rate</w:t>
            </w:r>
          </w:p>
        </w:tc>
        <w:tc>
          <w:tcPr>
            <w:tcW w:type="dxa" w:w="2016"/>
          </w:tcPr>
          <w:p>
            <w:pPr>
              <w:spacing w:before="20" w:after="20" w:line="240" w:lineRule="auto"/>
            </w:pPr>
            <w:r/>
            <w:r>
              <w:rPr>
                <w:rFonts w:ascii="Times New Roman" w:hAnsi="Times New Roman"/>
                <w:b w:val="0"/>
                <w:i w:val="0"/>
                <w:sz w:val="15"/>
              </w:rPr>
              <w:t>Computed from TS § 5 schedule</w:t>
            </w:r>
          </w:p>
        </w:tc>
      </w:tr>
      <w:tr>
        <w:tc>
          <w:tcPr>
            <w:tcW w:type="dxa" w:w="3240"/>
          </w:tcPr>
          <w:p>
            <w:pPr>
              <w:spacing w:before="20" w:after="20" w:line="240" w:lineRule="auto"/>
            </w:pPr>
            <w:r/>
            <w:r>
              <w:rPr>
                <w:rFonts w:ascii="Times New Roman" w:hAnsi="Times New Roman"/>
                <w:b w:val="0"/>
                <w:i w:val="0"/>
                <w:sz w:val="15"/>
              </w:rPr>
              <w:t>Ratio of forfeiture to damages</w:t>
            </w:r>
          </w:p>
        </w:tc>
        <w:tc>
          <w:tcPr>
            <w:tcW w:type="dxa" w:w="2232"/>
          </w:tcPr>
          <w:p>
            <w:pPr>
              <w:spacing w:before="20" w:after="20" w:line="240" w:lineRule="auto"/>
            </w:pPr>
            <w:r/>
            <w:r>
              <w:rPr>
                <w:rFonts w:ascii="Times New Roman" w:hAnsi="Times New Roman"/>
                <w:b w:val="0"/>
                <w:i w:val="0"/>
                <w:sz w:val="15"/>
              </w:rPr>
              <w:t>≈ 28× to 54×</w:t>
            </w:r>
          </w:p>
        </w:tc>
        <w:tc>
          <w:tcPr>
            <w:tcW w:type="dxa" w:w="1872"/>
          </w:tcPr>
          <w:p>
            <w:pPr>
              <w:spacing w:before="20" w:after="20" w:line="240" w:lineRule="auto"/>
            </w:pPr>
            <w:r/>
            <w:r>
              <w:rPr>
                <w:rFonts w:ascii="Times New Roman" w:hAnsi="Times New Roman"/>
                <w:b w:val="0"/>
                <w:i w:val="0"/>
                <w:sz w:val="15"/>
              </w:rPr>
              <w:t>—</w:t>
            </w:r>
          </w:p>
        </w:tc>
        <w:tc>
          <w:tcPr>
            <w:tcW w:type="dxa" w:w="2016"/>
          </w:tcPr>
          <w:p>
            <w:pPr>
              <w:spacing w:before="20" w:after="20" w:line="240" w:lineRule="auto"/>
            </w:pPr>
            <w:r/>
            <w:r>
              <w:rPr>
                <w:rFonts w:ascii="Times New Roman" w:hAnsi="Times New Roman"/>
                <w:b w:val="0"/>
                <w:i w:val="0"/>
                <w:sz w:val="15"/>
              </w:rPr>
              <w:t>Computed</w:t>
            </w:r>
          </w:p>
        </w:tc>
      </w:tr>
    </w:tbl>
    <w:p>
      <w:pPr>
        <w:spacing w:after="40" w:before="0"/>
      </w:pPr>
    </w:p>
    <w:p>
      <w:pPr>
        <w:spacing w:after="120"/>
        <w:ind w:left="0"/>
        <w:jc w:val="both"/>
      </w:pPr>
      <w:r>
        <w:rPr>
          <w:rFonts w:ascii="Times New Roman" w:hAnsi="Times New Roman"/>
          <w:b w:val="0"/>
          <w:i w:val="0"/>
        </w:rPr>
        <w:t>The final row is the heart of the matter. On a two-year slip in achieving Substantial Completion of Phase 1 — a slip that a DEEP approval, a coastal permitting appeal or a supply-chain failure could produce — the Authority's genuinely compensable loss is on the order of two years of ground rent, because Base Rent is the only thing it was going to receive in that period (and Percentage Rent does not begin until Lease Year 6). The provision delivers it between $206 million and $306 million. That is not a remedy proportioned to the harm; it is a transfer of the entire project.</w:t>
      </w:r>
    </w:p>
    <w:p>
      <w:pPr>
        <w:keepNext/>
        <w:spacing w:before="240" w:after="100"/>
        <w:ind w:left="0"/>
      </w:pPr>
      <w:r>
        <w:rPr>
          <w:rFonts w:ascii="Times New Roman" w:hAnsi="Times New Roman"/>
          <w:b/>
          <w:i w:val="0"/>
          <w:sz w:val="21"/>
        </w:rPr>
        <w:t>5.3  Is it enforceable? Our assessment, and its limits</w:t>
      </w:r>
    </w:p>
    <w:p>
      <w:pPr>
        <w:spacing w:after="120"/>
        <w:ind w:left="0"/>
        <w:jc w:val="both"/>
      </w:pPr>
      <w:r>
        <w:rPr>
          <w:rFonts w:ascii="Times New Roman" w:hAnsi="Times New Roman"/>
          <w:b w:val="0"/>
          <w:i w:val="0"/>
        </w:rPr>
        <w:t xml:space="preserve">You asked us to research whether Connecticut law provides relief against a disproportionate forfeiture, and you recalled a "Stamford project" case. </w:t>
      </w:r>
      <w:r>
        <w:rPr>
          <w:rFonts w:ascii="Times New Roman" w:hAnsi="Times New Roman"/>
          <w:b/>
          <w:i w:val="0"/>
        </w:rPr>
        <w:t>We have not verified a Connecticut case on point, and we should not cite one until we have.</w:t>
      </w:r>
      <w:r>
        <w:rPr>
          <w:rFonts w:ascii="Times New Roman" w:hAnsi="Times New Roman"/>
          <w:b w:val="0"/>
          <w:i w:val="0"/>
        </w:rPr>
        <w:t xml:space="preserve"> What follows is our assessment of the governing principles and of the risks on both sides; Part 7 identifies the research that must be completed before any of this is put in front of Mr. Koss or the Board.</w:t>
      </w:r>
    </w:p>
    <w:p>
      <w:pPr>
        <w:keepNext/>
        <w:spacing w:before="160" w:after="60"/>
      </w:pPr>
      <w:r>
        <w:rPr>
          <w:rFonts w:ascii="Times New Roman" w:hAnsi="Times New Roman"/>
          <w:b/>
          <w:i/>
          <w:sz w:val="20"/>
        </w:rPr>
        <w:t>The argument for Tenant</w:t>
      </w:r>
    </w:p>
    <w:p>
      <w:pPr>
        <w:spacing w:after="120"/>
        <w:ind w:left="0"/>
        <w:jc w:val="both"/>
      </w:pPr>
      <w:r>
        <w:rPr>
          <w:rFonts w:ascii="Times New Roman" w:hAnsi="Times New Roman"/>
          <w:b w:val="0"/>
          <w:i w:val="0"/>
        </w:rPr>
        <w:t xml:space="preserve">The provision has two doctrinal vulnerabilities. </w:t>
      </w:r>
      <w:r>
        <w:rPr>
          <w:rFonts w:ascii="Times New Roman" w:hAnsi="Times New Roman"/>
          <w:b/>
          <w:i w:val="0"/>
        </w:rPr>
        <w:t>First, penalty.</w:t>
      </w:r>
      <w:r>
        <w:rPr>
          <w:rFonts w:ascii="Times New Roman" w:hAnsi="Times New Roman"/>
          <w:b w:val="0"/>
          <w:i w:val="0"/>
        </w:rPr>
        <w:t xml:space="preserve"> A contractual term that fixes damages in an amount grossly disproportionate to the loss that the parties could reasonably have anticipated is an unenforceable penalty rather than a valid liquidated damages provision. The Restatement (Second) of Contracts states the rule at § 356(1), and Connecticut follows the general rule. On the numbers in Part 5.2 above, the disproportion is on the order of 28× to 54×, which is well outside any range a court is likely to accept as a forecast of harm.</w:t>
      </w:r>
    </w:p>
    <w:p>
      <w:pPr>
        <w:spacing w:after="120"/>
        <w:ind w:left="0"/>
        <w:jc w:val="both"/>
      </w:pPr>
      <w:r>
        <w:rPr>
          <w:rFonts w:ascii="Times New Roman" w:hAnsi="Times New Roman"/>
          <w:b/>
          <w:i w:val="0"/>
        </w:rPr>
        <w:t>Second, forfeiture.</w:t>
      </w:r>
      <w:r>
        <w:rPr>
          <w:rFonts w:ascii="Times New Roman" w:hAnsi="Times New Roman"/>
          <w:b w:val="0"/>
          <w:i w:val="0"/>
        </w:rPr>
        <w:t xml:space="preserve"> Equity relieves against forfeiture where the forfeiture would be disproportionate to the breach and the injured party can be adequately compensated (Restatement (Second) of Contracts §§ 208, 229; the Restatement (Third) of Property (Landlord and Tenant) treats forfeiture as a disfavoured remedy). A 99-year ground lease under which a tenant invests $425 million on land it does not own is the paradigm case for the application of that principle, and the Authority's own internal documents describe the public benefits it expects to receive from the completed project.</w:t>
      </w:r>
    </w:p>
    <w:p>
      <w:pPr>
        <w:spacing w:after="120"/>
        <w:ind w:left="0"/>
        <w:jc w:val="both"/>
      </w:pPr>
      <w:r>
        <w:rPr>
          <w:rFonts w:ascii="Times New Roman" w:hAnsi="Times New Roman"/>
          <w:b/>
          <w:i w:val="0"/>
        </w:rPr>
        <w:t>Third, and practically most important:</w:t>
      </w:r>
      <w:r>
        <w:rPr>
          <w:rFonts w:ascii="Times New Roman" w:hAnsi="Times New Roman"/>
          <w:b w:val="0"/>
          <w:i w:val="0"/>
        </w:rPr>
        <w:t xml:space="preserve"> the leasehold mortgagee's interest is a separate property interest. A provision that purports to wipe it out "free and clear of any claims" will be tested against a lender with $285 million at stake and its own counsel. Whatever the outcome, the Authority would be litigating against a secured creditor with priority, not merely against Meridian.</w:t>
      </w:r>
    </w:p>
    <w:p>
      <w:pPr>
        <w:keepNext/>
        <w:spacing w:before="160" w:after="60"/>
      </w:pPr>
      <w:r>
        <w:rPr>
          <w:rFonts w:ascii="Times New Roman" w:hAnsi="Times New Roman"/>
          <w:b/>
          <w:i/>
          <w:sz w:val="20"/>
        </w:rPr>
        <w:t>The argument against Tenant — and why we must not rely on the defense</w:t>
      </w:r>
    </w:p>
    <w:p>
      <w:pPr>
        <w:spacing w:after="120"/>
        <w:ind w:left="0"/>
        <w:jc w:val="both"/>
      </w:pPr>
      <w:r>
        <w:rPr>
          <w:rFonts w:ascii="Times New Roman" w:hAnsi="Times New Roman"/>
          <w:b w:val="0"/>
          <w:i w:val="0"/>
        </w:rPr>
        <w:t xml:space="preserve">There are two credible counter-arguments, and you should hear them clearly. </w:t>
      </w:r>
      <w:r>
        <w:rPr>
          <w:rFonts w:ascii="Times New Roman" w:hAnsi="Times New Roman"/>
          <w:b/>
          <w:i w:val="0"/>
        </w:rPr>
        <w:t>(i) Forfeiture of a leasehold is different.</w:t>
      </w:r>
      <w:r>
        <w:rPr>
          <w:rFonts w:ascii="Times New Roman" w:hAnsi="Times New Roman"/>
          <w:b w:val="0"/>
          <w:i w:val="0"/>
        </w:rPr>
        <w:t xml:space="preserve"> Courts have traditionally enforced conditional limitations and forfeiture clauses in leases more readily than they strike liquidated damages clauses in ordinary commercial contracts, on the theory that the landlord's reversion is a property right and the tenant takes subject to the condition. </w:t>
      </w:r>
      <w:r>
        <w:rPr>
          <w:rFonts w:ascii="Times New Roman" w:hAnsi="Times New Roman"/>
          <w:b/>
          <w:i w:val="0"/>
        </w:rPr>
        <w:t>(ii) Sophisticated parties, public landlord.</w:t>
      </w:r>
      <w:r>
        <w:rPr>
          <w:rFonts w:ascii="Times New Roman" w:hAnsi="Times New Roman"/>
          <w:b w:val="0"/>
          <w:i w:val="0"/>
        </w:rPr>
        <w:t xml:space="preserve"> The Authority will argue that Meridian is a sophisticated developer that negotiated a public-benefit-laden ground lease with counsel, that the milestones are public obligations, and that a court should not rewrite the bargain that a public body obtained for public land.</w:t>
      </w:r>
    </w:p>
    <w:p>
      <w:pPr>
        <w:spacing w:after="120"/>
        <w:ind w:left="0"/>
        <w:jc w:val="both"/>
      </w:pPr>
      <w:r>
        <w:rPr>
          <w:rFonts w:ascii="Times New Roman" w:hAnsi="Times New Roman"/>
          <w:b/>
          <w:i w:val="0"/>
        </w:rPr>
        <w:t>So the provision might well be enforced.</w:t>
      </w:r>
      <w:r>
        <w:rPr>
          <w:rFonts w:ascii="Times New Roman" w:hAnsi="Times New Roman"/>
          <w:b w:val="0"/>
          <w:i w:val="0"/>
        </w:rPr>
        <w:t xml:space="preserve"> That is precisely why an unenforceability argument is not a strategy: Bayside will not lend $285 million against a litigable defense, and by the time the question is answered, the project will have failed. The provision must be fixed in the document. If the Authority's counsel argues that the provision is enforceable and therefore need not change, the answer is that the Authority is welcome to that view but that no institutional lender will accept it, and the transaction will not close.</w:t>
      </w:r>
    </w:p>
    <w:p>
      <w:pPr>
        <w:spacing w:before="60" w:after="160"/>
        <w:ind w:left="360" w:right="216"/>
        <w:jc w:val="both"/>
        <w:pBdr>
          <w:top w:val="single" w:sz="4" w:space="4" w:color="808080"/>
          <w:left w:val="single" w:sz="4" w:space="4" w:color="808080"/>
          <w:bottom w:val="single" w:sz="4" w:space="4" w:color="808080"/>
          <w:right w:val="single" w:sz="4" w:space="4" w:color="808080"/>
        </w:pBdr>
        <w:shd w:val="clear" w:color="auto" w:fill="F2F2F2"/>
      </w:pPr>
      <w:r>
        <w:rPr>
          <w:rFonts w:ascii="Times New Roman" w:hAnsi="Times New Roman"/>
          <w:b/>
          <w:i w:val="0"/>
          <w:sz w:val="19"/>
        </w:rPr>
        <w:t xml:space="preserve">Research status — do not cite yet. </w:t>
      </w:r>
      <w:r>
        <w:rPr>
          <w:rFonts w:ascii="Times New Roman" w:hAnsi="Times New Roman"/>
          <w:b w:val="0"/>
          <w:i w:val="0"/>
          <w:sz w:val="19"/>
        </w:rPr>
        <w:t>The legal propositions in this section are stated at the level of restated general principle, not as verified Connecticut authority. The "Stamford project" case you recalled could not be identified from the record and we have not located it. Before any of this is used in a letter, at the Board table, or in a brief, we must (i) locate and Shepardize Connecticut appellate authority on penalties and on relief from forfeiture in leases, (ii) confirm whether a Connecticut court would treat the reverter as a conditional limitation enforceable according to its terms, and (iii) confirm the effect of the leasehold mortgagee's intervening interest. Item 7.1 of Part 7.</w:t>
      </w:r>
    </w:p>
    <w:p>
      <w:pPr>
        <w:keepNext/>
        <w:spacing w:before="240" w:after="100"/>
        <w:ind w:left="0"/>
      </w:pPr>
      <w:r>
        <w:rPr>
          <w:rFonts w:ascii="Times New Roman" w:hAnsi="Times New Roman"/>
          <w:b/>
          <w:i w:val="0"/>
          <w:sz w:val="21"/>
        </w:rPr>
        <w:t>5.4  What the Draft Lease does</w:t>
      </w:r>
    </w:p>
    <w:p>
      <w:pPr>
        <w:spacing w:after="120"/>
        <w:ind w:left="0"/>
        <w:jc w:val="both"/>
      </w:pPr>
      <w:r>
        <w:rPr>
          <w:rFonts w:ascii="Times New Roman" w:hAnsi="Times New Roman"/>
          <w:b w:val="0"/>
          <w:i w:val="0"/>
        </w:rPr>
        <w:t>The reverter is a defined, sequenced, compensated remedy. Mechanically, the Draft Lease:</w:t>
      </w:r>
    </w:p>
    <w:p>
      <w:pPr>
        <w:tabs>
          <w:tab w:pos="864" w:val="left"/>
        </w:tabs>
        <w:spacing w:after="80"/>
        <w:ind w:left="864" w:hanging="403"/>
        <w:jc w:val="both"/>
      </w:pPr>
      <w:r>
        <w:rPr>
          <w:rFonts w:ascii="Times New Roman" w:hAnsi="Times New Roman"/>
          <w:b w:val="0"/>
          <w:i w:val="0"/>
        </w:rPr>
        <w:t>•</w:t>
        <w:tab/>
      </w:r>
      <w:r>
        <w:rPr>
          <w:rFonts w:ascii="Times New Roman" w:hAnsi="Times New Roman"/>
          <w:b/>
          <w:i w:val="0"/>
        </w:rPr>
        <w:t>Retains the reverter</w:t>
      </w:r>
      <w:r>
        <w:rPr>
          <w:rFonts w:ascii="Times New Roman" w:hAnsi="Times New Roman"/>
          <w:b w:val="0"/>
          <w:i w:val="0"/>
        </w:rPr>
        <w:t xml:space="preserve"> for Milestone 1 and Milestone 3 only, and expressly confines it there: failure of Milestone 2 or Milestone 4 gives no remedy beyond notice and consultation (§ 3.5), and the Milestone remedy is Landlord's "sole and exclusive remedy" for a milestone default (§ 10.3).</w:t>
      </w:r>
    </w:p>
    <w:p>
      <w:pPr>
        <w:tabs>
          <w:tab w:pos="864" w:val="left"/>
        </w:tabs>
        <w:spacing w:after="80"/>
        <w:ind w:left="864" w:hanging="403"/>
        <w:jc w:val="both"/>
      </w:pPr>
      <w:r>
        <w:rPr>
          <w:rFonts w:ascii="Times New Roman" w:hAnsi="Times New Roman"/>
          <w:b w:val="0"/>
          <w:i w:val="0"/>
        </w:rPr>
        <w:t>•</w:t>
        <w:tab/>
      </w:r>
      <w:r>
        <w:rPr>
          <w:rFonts w:ascii="Times New Roman" w:hAnsi="Times New Roman"/>
          <w:b/>
          <w:i w:val="0"/>
        </w:rPr>
        <w:t>Removes automatic termination</w:t>
      </w:r>
      <w:r>
        <w:rPr>
          <w:rFonts w:ascii="Times New Roman" w:hAnsi="Times New Roman"/>
          <w:b w:val="0"/>
          <w:i w:val="0"/>
        </w:rPr>
        <w:t xml:space="preserve"> (§ 10.5(f)), substituting a valid notice, a 180-day Tenant cure period, a 180-day lender cure period, and a 30-day election window — after which the Authority is deemed to have waived that milestone default (§ 10.5(e)). Waiver matters: it prevents an Authority from sitting on a stale default for years and then terminating.</w:t>
      </w:r>
    </w:p>
    <w:p>
      <w:pPr>
        <w:tabs>
          <w:tab w:pos="864" w:val="left"/>
        </w:tabs>
        <w:spacing w:after="80"/>
        <w:ind w:left="864" w:hanging="403"/>
        <w:jc w:val="both"/>
      </w:pPr>
      <w:r>
        <w:rPr>
          <w:rFonts w:ascii="Times New Roman" w:hAnsi="Times New Roman"/>
          <w:b w:val="0"/>
          <w:i w:val="0"/>
        </w:rPr>
        <w:t>•</w:t>
        <w:tab/>
      </w:r>
      <w:r>
        <w:rPr>
          <w:rFonts w:ascii="Times New Roman" w:hAnsi="Times New Roman"/>
          <w:b/>
          <w:i w:val="0"/>
        </w:rPr>
        <w:t>Requires the Improvement Payment</w:t>
      </w:r>
      <w:r>
        <w:rPr>
          <w:rFonts w:ascii="Times New Roman" w:hAnsi="Times New Roman"/>
          <w:b w:val="0"/>
          <w:i w:val="0"/>
        </w:rPr>
        <w:t xml:space="preserve"> (§ 10.6(a)): the greater of the appraised fair market value of the Improvements or Tenant's unreimbursed hard costs, less insurance and condemnation recoveries not applied to restoration, less Landlord's Documented Damages. That is your option (a) and your option (b) from the June 15 email, in the alternative rather than the conjunctive, with the higher of the two governing.</w:t>
      </w:r>
    </w:p>
    <w:p>
      <w:pPr>
        <w:tabs>
          <w:tab w:pos="864" w:val="left"/>
        </w:tabs>
        <w:spacing w:after="80"/>
        <w:ind w:left="864" w:hanging="403"/>
        <w:jc w:val="both"/>
      </w:pPr>
      <w:r>
        <w:rPr>
          <w:rFonts w:ascii="Times New Roman" w:hAnsi="Times New Roman"/>
          <w:b w:val="0"/>
          <w:i w:val="0"/>
        </w:rPr>
        <w:t>•</w:t>
        <w:tab/>
      </w:r>
      <w:r>
        <w:rPr>
          <w:rFonts w:ascii="Times New Roman" w:hAnsi="Times New Roman"/>
          <w:b/>
          <w:i w:val="0"/>
        </w:rPr>
        <w:t>Caps the Authority's damages</w:t>
      </w:r>
      <w:r>
        <w:rPr>
          <w:rFonts w:ascii="Times New Roman" w:hAnsi="Times New Roman"/>
          <w:b w:val="0"/>
          <w:i w:val="0"/>
        </w:rPr>
        <w:t xml:space="preserve"> (§ 10.7) at accrued rent, 24 months of Base Rent at the then-current rate, re-letting costs and enforcement costs, and excludes lost Percentage Rent, lost tax revenue, the value of the Improvements, and consequential and speculative amounts.</w:t>
      </w:r>
    </w:p>
    <w:p>
      <w:pPr>
        <w:tabs>
          <w:tab w:pos="864" w:val="left"/>
        </w:tabs>
        <w:spacing w:after="80"/>
        <w:ind w:left="864" w:hanging="403"/>
        <w:jc w:val="both"/>
      </w:pPr>
      <w:r>
        <w:rPr>
          <w:rFonts w:ascii="Times New Roman" w:hAnsi="Times New Roman"/>
          <w:b w:val="0"/>
          <w:i w:val="0"/>
        </w:rPr>
        <w:t>•</w:t>
        <w:tab/>
      </w:r>
      <w:r>
        <w:rPr>
          <w:rFonts w:ascii="Times New Roman" w:hAnsi="Times New Roman"/>
          <w:b/>
          <w:i w:val="0"/>
        </w:rPr>
        <w:t>Follows the compensation with real teeth</w:t>
      </w:r>
      <w:r>
        <w:rPr>
          <w:rFonts w:ascii="Times New Roman" w:hAnsi="Times New Roman"/>
          <w:b w:val="0"/>
          <w:i w:val="0"/>
        </w:rPr>
        <w:t xml:space="preserve"> (§ 10.6(c)): the Improvement Payment is due within 60 days, may be secured by a first lien on the Improvements at Tenant's election, and the Authority may not take possession or lease the Improvements to a third party until it has paid or secured.</w:t>
      </w:r>
    </w:p>
    <w:p>
      <w:pPr>
        <w:tabs>
          <w:tab w:pos="864" w:val="left"/>
        </w:tabs>
        <w:spacing w:after="80"/>
        <w:ind w:left="864" w:hanging="403"/>
        <w:jc w:val="both"/>
      </w:pPr>
      <w:r>
        <w:rPr>
          <w:rFonts w:ascii="Times New Roman" w:hAnsi="Times New Roman"/>
          <w:b w:val="0"/>
          <w:i w:val="0"/>
        </w:rPr>
        <w:t>•</w:t>
        <w:tab/>
      </w:r>
      <w:r>
        <w:rPr>
          <w:rFonts w:ascii="Times New Roman" w:hAnsi="Times New Roman"/>
          <w:b/>
          <w:i w:val="0"/>
        </w:rPr>
        <w:t>Makes the reverter subordinate</w:t>
      </w:r>
      <w:r>
        <w:rPr>
          <w:rFonts w:ascii="Times New Roman" w:hAnsi="Times New Roman"/>
          <w:b w:val="0"/>
          <w:i w:val="0"/>
        </w:rPr>
        <w:t xml:space="preserve"> to the leasehold mortgage and conditional on the lender's rights being exhausted (§ 10.5(g)), which is the Term Sheet change Sandra Milliken requires.</w:t>
      </w:r>
    </w:p>
    <w:p>
      <w:pPr>
        <w:tabs>
          <w:tab w:pos="864" w:val="left"/>
        </w:tabs>
        <w:spacing w:after="80"/>
        <w:ind w:left="864" w:hanging="403"/>
        <w:jc w:val="both"/>
      </w:pPr>
      <w:r>
        <w:rPr>
          <w:rFonts w:ascii="Times New Roman" w:hAnsi="Times New Roman"/>
          <w:b w:val="0"/>
          <w:i w:val="0"/>
        </w:rPr>
        <w:t>•</w:t>
        <w:tab/>
      </w:r>
      <w:r>
        <w:rPr>
          <w:rFonts w:ascii="Times New Roman" w:hAnsi="Times New Roman"/>
          <w:b/>
          <w:i w:val="0"/>
        </w:rPr>
        <w:t>Keeps the Authority whole on the public side</w:t>
      </w:r>
      <w:r>
        <w:rPr>
          <w:rFonts w:ascii="Times New Roman" w:hAnsi="Times New Roman"/>
          <w:b w:val="0"/>
          <w:i w:val="0"/>
        </w:rPr>
        <w:t xml:space="preserve"> (§ 10.6(f)): on any reverter the Authority takes subject to the ELUR, the affordable housing covenant, all subleases and the open-space obligation — which is what the Authority actually wants, since it will be the owner of an operating building.</w:t>
      </w:r>
    </w:p>
    <w:p>
      <w:pPr>
        <w:tabs>
          <w:tab w:pos="864" w:val="left"/>
        </w:tabs>
        <w:spacing w:after="80"/>
        <w:ind w:left="864" w:hanging="403"/>
        <w:jc w:val="both"/>
      </w:pPr>
      <w:r>
        <w:rPr>
          <w:rFonts w:ascii="Times New Roman" w:hAnsi="Times New Roman"/>
          <w:b w:val="0"/>
          <w:i w:val="0"/>
        </w:rPr>
        <w:t>•</w:t>
        <w:tab/>
      </w:r>
      <w:r>
        <w:rPr>
          <w:rFonts w:ascii="Times New Roman" w:hAnsi="Times New Roman"/>
          <w:b/>
          <w:i w:val="0"/>
        </w:rPr>
        <w:t>Adds a paid escape valve</w:t>
      </w:r>
      <w:r>
        <w:rPr>
          <w:rFonts w:ascii="Times New Roman" w:hAnsi="Times New Roman"/>
          <w:b w:val="0"/>
          <w:i w:val="0"/>
        </w:rPr>
        <w:t xml:space="preserve"> (§ 3.4(d), bracketed): Tenant may buy 6-month extensions of Milestone 1 or 3 rather than face forfeiture. For a landlord, an extension fee is a certain receipt; for a tenant, it is a way to survive a permitting overrun. It is often the provision that lets both sides sign.</w:t>
      </w:r>
    </w:p>
    <w:p>
      <w:pPr>
        <w:spacing w:after="120"/>
        <w:ind w:left="0"/>
        <w:jc w:val="both"/>
      </w:pPr>
      <w:r>
        <w:rPr>
          <w:rFonts w:ascii="Times New Roman" w:hAnsi="Times New Roman"/>
          <w:b w:val="0"/>
          <w:i w:val="0"/>
        </w:rPr>
        <w:t>Two further protections are worth flagging for your call: the appraisal mechanic (§ 10.8) uses two MAI appraisers and a third if they differ by more than 5%, with the valuation made disregarding the remaining term and the reversion — which prevents the Authority from arguing that a 99-year leasehold is worth little. And § 10.5(h) bars termination for a Milestone 3 miss if Substantial Completion has actually been achieved.</w:t>
      </w:r>
    </w:p>
    <w:p>
      <w:pPr>
        <w:keepNext/>
        <w:spacing w:before="240" w:after="100"/>
        <w:ind w:left="0"/>
      </w:pPr>
      <w:r>
        <w:rPr>
          <w:rFonts w:ascii="Times New Roman" w:hAnsi="Times New Roman"/>
          <w:b/>
          <w:i w:val="0"/>
          <w:sz w:val="21"/>
        </w:rPr>
        <w:t>5.5  How to sell it to the Authority</w:t>
      </w:r>
    </w:p>
    <w:p>
      <w:pPr>
        <w:spacing w:after="120"/>
        <w:ind w:left="0"/>
        <w:jc w:val="both"/>
      </w:pPr>
      <w:r>
        <w:rPr>
          <w:rFonts w:ascii="Times New Roman" w:hAnsi="Times New Roman"/>
          <w:b w:val="0"/>
          <w:i w:val="0"/>
        </w:rPr>
        <w:t>The Authority's counsel will treat the reverter as a deal point it cannot give up, because the Board resolution recites it. The argument that has the best chance of moving them is not proportionality rhetoric; it is the following, in this order:</w:t>
      </w:r>
    </w:p>
    <w:p>
      <w:pPr>
        <w:tabs>
          <w:tab w:pos="864" w:val="left"/>
        </w:tabs>
        <w:spacing w:after="80"/>
        <w:ind w:left="864" w:hanging="403"/>
        <w:jc w:val="both"/>
      </w:pPr>
      <w:r>
        <w:rPr>
          <w:rFonts w:ascii="Times New Roman" w:hAnsi="Times New Roman"/>
          <w:b w:val="0"/>
          <w:i w:val="0"/>
        </w:rPr>
        <w:t>•</w:t>
        <w:tab/>
      </w:r>
      <w:r>
        <w:rPr>
          <w:rFonts w:ascii="Times New Roman" w:hAnsi="Times New Roman"/>
          <w:b/>
          <w:i w:val="0"/>
        </w:rPr>
        <w:t>An unenforceable remedy is worth nothing.</w:t>
      </w:r>
      <w:r>
        <w:rPr>
          <w:rFonts w:ascii="Times New Roman" w:hAnsi="Times New Roman"/>
          <w:b w:val="0"/>
          <w:i w:val="0"/>
        </w:rPr>
        <w:t xml:space="preserve"> If a court strikes the forfeiture as a penalty, or relieves against the forfeiture, the Authority is left with a lease still in force, a tenant it wants to remove, and no remedy at all. A compensated reverter is a remedy a court will enforce.</w:t>
      </w:r>
    </w:p>
    <w:p>
      <w:pPr>
        <w:tabs>
          <w:tab w:pos="864" w:val="left"/>
        </w:tabs>
        <w:spacing w:after="80"/>
        <w:ind w:left="864" w:hanging="403"/>
        <w:jc w:val="both"/>
      </w:pPr>
      <w:r>
        <w:rPr>
          <w:rFonts w:ascii="Times New Roman" w:hAnsi="Times New Roman"/>
          <w:b w:val="0"/>
          <w:i w:val="0"/>
        </w:rPr>
        <w:t>•</w:t>
        <w:tab/>
      </w:r>
      <w:r>
        <w:rPr>
          <w:rFonts w:ascii="Times New Roman" w:hAnsi="Times New Roman"/>
          <w:b/>
          <w:i w:val="0"/>
        </w:rPr>
        <w:t>The lender is the reason.</w:t>
      </w:r>
      <w:r>
        <w:rPr>
          <w:rFonts w:ascii="Times New Roman" w:hAnsi="Times New Roman"/>
          <w:b w:val="0"/>
          <w:i w:val="0"/>
        </w:rPr>
        <w:t xml:space="preserve"> The Authority's own recital records that the ground lease must contain provisions satisfactory to the construction lender (Resolution recital). Bayside has said in terms that the reverter as written would jeopardize the leasehold mortgage. The Authority cannot have both an uncompensated reverter and a $285 million construction loan.</w:t>
      </w:r>
    </w:p>
    <w:p>
      <w:pPr>
        <w:tabs>
          <w:tab w:pos="864" w:val="left"/>
        </w:tabs>
        <w:spacing w:after="80"/>
        <w:ind w:left="864" w:hanging="403"/>
        <w:jc w:val="both"/>
      </w:pPr>
      <w:r>
        <w:rPr>
          <w:rFonts w:ascii="Times New Roman" w:hAnsi="Times New Roman"/>
          <w:b w:val="0"/>
          <w:i w:val="0"/>
        </w:rPr>
        <w:t>•</w:t>
        <w:tab/>
      </w:r>
      <w:r>
        <w:rPr>
          <w:rFonts w:ascii="Times New Roman" w:hAnsi="Times New Roman"/>
          <w:b/>
          <w:i w:val="0"/>
        </w:rPr>
        <w:t>The Authority still gets the building.</w:t>
      </w:r>
      <w:r>
        <w:rPr>
          <w:rFonts w:ascii="Times New Roman" w:hAnsi="Times New Roman"/>
          <w:b w:val="0"/>
          <w:i w:val="0"/>
        </w:rPr>
        <w:t xml:space="preserve"> On a reverter at 95% complete the Authority acquires a nearly finished residential tower and retail podium, subject to a defined payment that is largely funded by the value of the asset it is receiving. It is not paying $300 million; it is paying the appraised value out of the asset it keeps.</w:t>
      </w:r>
    </w:p>
    <w:p>
      <w:pPr>
        <w:tabs>
          <w:tab w:pos="864" w:val="left"/>
        </w:tabs>
        <w:spacing w:after="80"/>
        <w:ind w:left="864" w:hanging="403"/>
        <w:jc w:val="both"/>
      </w:pPr>
      <w:r>
        <w:rPr>
          <w:rFonts w:ascii="Times New Roman" w:hAnsi="Times New Roman"/>
          <w:b w:val="0"/>
          <w:i w:val="0"/>
        </w:rPr>
        <w:t>•</w:t>
        <w:tab/>
      </w:r>
      <w:r>
        <w:rPr>
          <w:rFonts w:ascii="Times New Roman" w:hAnsi="Times New Roman"/>
          <w:b/>
          <w:i w:val="0"/>
        </w:rPr>
        <w:t>The Authority's real leverage is elsewhere, and we will give it that leverage.</w:t>
      </w:r>
      <w:r>
        <w:rPr>
          <w:rFonts w:ascii="Times New Roman" w:hAnsi="Times New Roman"/>
          <w:b w:val="0"/>
          <w:i w:val="0"/>
        </w:rPr>
        <w:t xml:space="preserve"> If the Authority wants enforcement teeth, we will trade: extension fees and delay charges payable to the Authority; a step-up in Base Rent during any period of milestone delay; Board reporting on construction progress; a right to approve a replacement developer; and the 180-day cure running from the Authority's notice rather than from any later event. Those are teeth that bite without destroying the collateral.</w:t>
      </w:r>
    </w:p>
    <w:p>
      <w:pPr>
        <w:spacing w:after="120"/>
        <w:ind w:left="0"/>
        <w:jc w:val="both"/>
      </w:pPr>
      <w:r>
        <w:rPr>
          <w:rFonts w:ascii="Times New Roman" w:hAnsi="Times New Roman"/>
          <w:b/>
          <w:i w:val="0"/>
        </w:rPr>
        <w:t>Walk-away position.</w:t>
      </w:r>
      <w:r>
        <w:rPr>
          <w:rFonts w:ascii="Times New Roman" w:hAnsi="Times New Roman"/>
          <w:b w:val="0"/>
          <w:i w:val="0"/>
        </w:rPr>
        <w:t xml:space="preserve"> If the Authority will not move on compensation, the minimum acceptable outcome is: (i) no forfeiture of the Improvements where Phase 1 is more than 50% complete; (ii) no forfeiture for delay caused by permitting, DEEP or coastal approvals, or by the Authority's own acts; (iii) no forfeiture while a lender is curing; (iv) the deposit applied to actual damages with the excess returned; and (v) the Improvement Payment limited to hard cost reimbursement net of recoveries and damages. If none of that is available, the transaction should not proceed, because the loan will not close.</w:t>
      </w:r>
    </w:p>
    <w:p>
      <w:pPr>
        <w:keepNext/>
        <w:spacing w:before="320" w:after="160"/>
        <w:pBdr>
          <w:bottom w:val="single" w:sz="6" w:space="2" w:color="000000"/>
        </w:pBdr>
      </w:pPr>
      <w:r>
        <w:rPr>
          <w:rFonts w:ascii="Times New Roman" w:hAnsi="Times New Roman"/>
          <w:b/>
          <w:i w:val="0"/>
          <w:sz w:val="24"/>
        </w:rPr>
        <w:t>PART 6 — OTHER SUBSTANTIVE ISSUES, ANALYZED</w:t>
      </w:r>
    </w:p>
    <w:p>
      <w:pPr>
        <w:keepNext/>
        <w:spacing w:before="240" w:after="100"/>
        <w:ind w:left="0"/>
      </w:pPr>
      <w:r>
        <w:rPr>
          <w:rFonts w:ascii="Times New Roman" w:hAnsi="Times New Roman"/>
          <w:b/>
          <w:i w:val="0"/>
          <w:sz w:val="21"/>
        </w:rPr>
        <w:t>6.1  Percentage rent: the Breakpoint is a fixed number in a 99-year lease</w:t>
      </w:r>
    </w:p>
    <w:p>
      <w:pPr>
        <w:spacing w:after="120"/>
        <w:ind w:left="0"/>
        <w:jc w:val="both"/>
      </w:pPr>
      <w:r>
        <w:rPr>
          <w:rFonts w:ascii="Times New Roman" w:hAnsi="Times New Roman"/>
          <w:b w:val="0"/>
          <w:i w:val="0"/>
        </w:rPr>
        <w:t>Term Sheet § 6 fixes the Breakpoint at $28,500,000 and states that it "is a fixed dollar amount and shall remain unchanged for the duration of the Lease Term." Base Rent, meanwhile, escalates at 2.5% compounded for 15 years and then resets on a CPI floor at each tenth anniversary. The consequence is arithmetic, not argument:</w:t>
      </w:r>
    </w:p>
    <w:p>
      <w:pPr>
        <w:keepNext/>
        <w:spacing w:before="120" w:after="60"/>
      </w:pPr>
      <w:r>
        <w:rPr>
          <w:rFonts w:ascii="Times New Roman" w:hAnsi="Times New Roman"/>
          <w:b/>
          <w:i w:val="0"/>
          <w:sz w:val="18"/>
        </w:rPr>
        <w:t>Model: Base Rent escalated at the 2.5% floor; Breakpoint held at $28,500,000; deflated at the same 2.5%.</w:t>
      </w:r>
    </w:p>
    <w:tbl>
      <w:tblPr>
        <w:tblStyle w:val="TableGrid"/>
        <w:tblW w:type="auto" w:w="0"/>
        <w:jc w:val="center"/>
        <w:tblLayout w:type="fixed"/>
        <w:tblLook w:firstColumn="1" w:firstRow="1" w:lastColumn="0" w:lastRow="0" w:noHBand="0" w:noVBand="1" w:val="04A0"/>
        <w:tblLayout w:type="fixed"/>
        <w:tblW w:type="dxa" w:w="9360"/>
        <w:tblCellMar>
          <w:top w:w="20" w:type="dxa"/>
          <w:left w:w="60" w:type="dxa"/>
          <w:bottom w:w="20" w:type="dxa"/>
          <w:right w:w="60" w:type="dxa"/>
        </w:tblCellMar>
      </w:tblPr>
      <w:tblGrid>
        <w:gridCol w:w="1224"/>
        <w:gridCol w:w="2088"/>
        <w:gridCol w:w="1944"/>
        <w:gridCol w:w="1944"/>
        <w:gridCol w:w="2160"/>
      </w:tblGrid>
      <w:tr>
        <w:trPr>
          <w:tblHeader w:val="true"/>
        </w:trPr>
        <w:tc>
          <w:tcPr>
            <w:tcW w:type="dxa" w:w="1224"/>
            <w:shd w:val="clear" w:color="auto" w:fill="D9D9D9"/>
          </w:tcPr>
          <w:p>
            <w:pPr>
              <w:spacing w:before="20" w:after="20" w:line="240" w:lineRule="auto"/>
            </w:pPr>
            <w:r/>
            <w:r>
              <w:rPr>
                <w:rFonts w:ascii="Times New Roman" w:hAnsi="Times New Roman"/>
                <w:b/>
                <w:i w:val="0"/>
                <w:sz w:val="15"/>
              </w:rPr>
              <w:t>Lease Year</w:t>
            </w:r>
          </w:p>
        </w:tc>
        <w:tc>
          <w:tcPr>
            <w:tcW w:type="dxa" w:w="2088"/>
            <w:shd w:val="clear" w:color="auto" w:fill="D9D9D9"/>
          </w:tcPr>
          <w:p>
            <w:pPr>
              <w:spacing w:before="20" w:after="20" w:line="240" w:lineRule="auto"/>
            </w:pPr>
            <w:r/>
            <w:r>
              <w:rPr>
                <w:rFonts w:ascii="Times New Roman" w:hAnsi="Times New Roman"/>
                <w:b/>
                <w:i w:val="0"/>
                <w:sz w:val="15"/>
              </w:rPr>
              <w:t>Base Rent (2.5% floor)</w:t>
            </w:r>
          </w:p>
        </w:tc>
        <w:tc>
          <w:tcPr>
            <w:tcW w:type="dxa" w:w="1944"/>
            <w:shd w:val="clear" w:color="auto" w:fill="D9D9D9"/>
          </w:tcPr>
          <w:p>
            <w:pPr>
              <w:spacing w:before="20" w:after="20" w:line="240" w:lineRule="auto"/>
            </w:pPr>
            <w:r/>
            <w:r>
              <w:rPr>
                <w:rFonts w:ascii="Times New Roman" w:hAnsi="Times New Roman"/>
                <w:b/>
                <w:i w:val="0"/>
                <w:sz w:val="15"/>
              </w:rPr>
              <w:t>Fixed Breakpoint</w:t>
            </w:r>
          </w:p>
        </w:tc>
        <w:tc>
          <w:tcPr>
            <w:tcW w:type="dxa" w:w="1944"/>
            <w:shd w:val="clear" w:color="auto" w:fill="D9D9D9"/>
          </w:tcPr>
          <w:p>
            <w:pPr>
              <w:spacing w:before="20" w:after="20" w:line="240" w:lineRule="auto"/>
            </w:pPr>
            <w:r/>
            <w:r>
              <w:rPr>
                <w:rFonts w:ascii="Times New Roman" w:hAnsi="Times New Roman"/>
                <w:b/>
                <w:i w:val="0"/>
                <w:sz w:val="15"/>
              </w:rPr>
              <w:t>Breakpoint ÷ Base Rent</w:t>
            </w:r>
          </w:p>
        </w:tc>
        <w:tc>
          <w:tcPr>
            <w:tcW w:type="dxa" w:w="2160"/>
            <w:shd w:val="clear" w:color="auto" w:fill="D9D9D9"/>
          </w:tcPr>
          <w:p>
            <w:pPr>
              <w:spacing w:before="20" w:after="20" w:line="240" w:lineRule="auto"/>
            </w:pPr>
            <w:r/>
            <w:r>
              <w:rPr>
                <w:rFonts w:ascii="Times New Roman" w:hAnsi="Times New Roman"/>
                <w:b/>
                <w:i w:val="0"/>
                <w:sz w:val="15"/>
              </w:rPr>
              <w:t>Breakpoint in Year-1 dollars</w:t>
            </w:r>
          </w:p>
        </w:tc>
      </w:tr>
      <w:tr>
        <w:tc>
          <w:tcPr>
            <w:tcW w:type="dxa" w:w="1224"/>
          </w:tcPr>
          <w:p>
            <w:pPr>
              <w:spacing w:before="20" w:after="20" w:line="240" w:lineRule="auto"/>
            </w:pPr>
            <w:r/>
            <w:r>
              <w:rPr>
                <w:rFonts w:ascii="Times New Roman" w:hAnsi="Times New Roman"/>
                <w:b w:val="0"/>
                <w:i w:val="0"/>
                <w:sz w:val="15"/>
              </w:rPr>
              <w:t>6</w:t>
            </w:r>
          </w:p>
        </w:tc>
        <w:tc>
          <w:tcPr>
            <w:tcW w:type="dxa" w:w="2088"/>
          </w:tcPr>
          <w:p>
            <w:pPr>
              <w:spacing w:before="20" w:after="20" w:line="240" w:lineRule="auto"/>
              <w:jc w:val="right"/>
            </w:pPr>
            <w:r/>
            <w:r>
              <w:rPr>
                <w:rFonts w:ascii="Times New Roman" w:hAnsi="Times New Roman"/>
                <w:b w:val="0"/>
                <w:i w:val="0"/>
                <w:sz w:val="15"/>
              </w:rPr>
              <w:t>$3,224,513</w:t>
            </w:r>
          </w:p>
        </w:tc>
        <w:tc>
          <w:tcPr>
            <w:tcW w:type="dxa" w:w="1944"/>
          </w:tcPr>
          <w:p>
            <w:pPr>
              <w:spacing w:before="20" w:after="20" w:line="240" w:lineRule="auto"/>
              <w:jc w:val="right"/>
            </w:pPr>
            <w:r/>
            <w:r>
              <w:rPr>
                <w:rFonts w:ascii="Times New Roman" w:hAnsi="Times New Roman"/>
                <w:b w:val="0"/>
                <w:i w:val="0"/>
                <w:sz w:val="15"/>
              </w:rPr>
              <w:t>$28,500,000</w:t>
            </w:r>
          </w:p>
        </w:tc>
        <w:tc>
          <w:tcPr>
            <w:tcW w:type="dxa" w:w="1944"/>
          </w:tcPr>
          <w:p>
            <w:pPr>
              <w:spacing w:before="20" w:after="20" w:line="240" w:lineRule="auto"/>
              <w:jc w:val="right"/>
            </w:pPr>
            <w:r/>
            <w:r>
              <w:rPr>
                <w:rFonts w:ascii="Times New Roman" w:hAnsi="Times New Roman"/>
                <w:b w:val="0"/>
                <w:i w:val="0"/>
                <w:sz w:val="15"/>
              </w:rPr>
              <w:t>8.84×</w:t>
            </w:r>
          </w:p>
        </w:tc>
        <w:tc>
          <w:tcPr>
            <w:tcW w:type="dxa" w:w="2160"/>
          </w:tcPr>
          <w:p>
            <w:pPr>
              <w:spacing w:before="20" w:after="20" w:line="240" w:lineRule="auto"/>
              <w:jc w:val="right"/>
            </w:pPr>
            <w:r/>
            <w:r>
              <w:rPr>
                <w:rFonts w:ascii="Times New Roman" w:hAnsi="Times New Roman"/>
                <w:b w:val="0"/>
                <w:i w:val="0"/>
                <w:sz w:val="15"/>
              </w:rPr>
              <w:t>$25,189,847</w:t>
            </w:r>
          </w:p>
        </w:tc>
      </w:tr>
      <w:tr>
        <w:tc>
          <w:tcPr>
            <w:tcW w:type="dxa" w:w="1224"/>
          </w:tcPr>
          <w:p>
            <w:pPr>
              <w:spacing w:before="20" w:after="20" w:line="240" w:lineRule="auto"/>
            </w:pPr>
            <w:r/>
            <w:r>
              <w:rPr>
                <w:rFonts w:ascii="Times New Roman" w:hAnsi="Times New Roman"/>
                <w:b w:val="0"/>
                <w:i w:val="0"/>
                <w:sz w:val="15"/>
              </w:rPr>
              <w:t>16</w:t>
            </w:r>
          </w:p>
        </w:tc>
        <w:tc>
          <w:tcPr>
            <w:tcW w:type="dxa" w:w="2088"/>
          </w:tcPr>
          <w:p>
            <w:pPr>
              <w:spacing w:before="20" w:after="20" w:line="240" w:lineRule="auto"/>
              <w:jc w:val="right"/>
            </w:pPr>
            <w:r/>
            <w:r>
              <w:rPr>
                <w:rFonts w:ascii="Times New Roman" w:hAnsi="Times New Roman"/>
                <w:b w:val="0"/>
                <w:i w:val="0"/>
                <w:sz w:val="15"/>
              </w:rPr>
              <w:t>$4,127,650</w:t>
            </w:r>
          </w:p>
        </w:tc>
        <w:tc>
          <w:tcPr>
            <w:tcW w:type="dxa" w:w="1944"/>
          </w:tcPr>
          <w:p>
            <w:pPr>
              <w:spacing w:before="20" w:after="20" w:line="240" w:lineRule="auto"/>
              <w:jc w:val="right"/>
            </w:pPr>
            <w:r/>
            <w:r>
              <w:rPr>
                <w:rFonts w:ascii="Times New Roman" w:hAnsi="Times New Roman"/>
                <w:b w:val="0"/>
                <w:i w:val="0"/>
                <w:sz w:val="15"/>
              </w:rPr>
              <w:t>$28,500,000</w:t>
            </w:r>
          </w:p>
        </w:tc>
        <w:tc>
          <w:tcPr>
            <w:tcW w:type="dxa" w:w="1944"/>
          </w:tcPr>
          <w:p>
            <w:pPr>
              <w:spacing w:before="20" w:after="20" w:line="240" w:lineRule="auto"/>
              <w:jc w:val="right"/>
            </w:pPr>
            <w:r/>
            <w:r>
              <w:rPr>
                <w:rFonts w:ascii="Times New Roman" w:hAnsi="Times New Roman"/>
                <w:b w:val="0"/>
                <w:i w:val="0"/>
                <w:sz w:val="15"/>
              </w:rPr>
              <w:t>6.90×</w:t>
            </w:r>
          </w:p>
        </w:tc>
        <w:tc>
          <w:tcPr>
            <w:tcW w:type="dxa" w:w="2160"/>
          </w:tcPr>
          <w:p>
            <w:pPr>
              <w:spacing w:before="20" w:after="20" w:line="240" w:lineRule="auto"/>
              <w:jc w:val="right"/>
            </w:pPr>
            <w:r/>
            <w:r>
              <w:rPr>
                <w:rFonts w:ascii="Times New Roman" w:hAnsi="Times New Roman"/>
                <w:b w:val="0"/>
                <w:i w:val="0"/>
                <w:sz w:val="15"/>
              </w:rPr>
              <w:t>$19,678,268</w:t>
            </w:r>
          </w:p>
        </w:tc>
      </w:tr>
      <w:tr>
        <w:tc>
          <w:tcPr>
            <w:tcW w:type="dxa" w:w="1224"/>
          </w:tcPr>
          <w:p>
            <w:pPr>
              <w:spacing w:before="20" w:after="20" w:line="240" w:lineRule="auto"/>
            </w:pPr>
            <w:r/>
            <w:r>
              <w:rPr>
                <w:rFonts w:ascii="Times New Roman" w:hAnsi="Times New Roman"/>
                <w:b w:val="0"/>
                <w:i w:val="0"/>
                <w:sz w:val="15"/>
              </w:rPr>
              <w:t>26</w:t>
            </w:r>
          </w:p>
        </w:tc>
        <w:tc>
          <w:tcPr>
            <w:tcW w:type="dxa" w:w="2088"/>
          </w:tcPr>
          <w:p>
            <w:pPr>
              <w:spacing w:before="20" w:after="20" w:line="240" w:lineRule="auto"/>
              <w:jc w:val="right"/>
            </w:pPr>
            <w:r/>
            <w:r>
              <w:rPr>
                <w:rFonts w:ascii="Times New Roman" w:hAnsi="Times New Roman"/>
                <w:b w:val="0"/>
                <w:i w:val="0"/>
                <w:sz w:val="15"/>
              </w:rPr>
              <w:t>$5,283,741</w:t>
            </w:r>
          </w:p>
        </w:tc>
        <w:tc>
          <w:tcPr>
            <w:tcW w:type="dxa" w:w="1944"/>
          </w:tcPr>
          <w:p>
            <w:pPr>
              <w:spacing w:before="20" w:after="20" w:line="240" w:lineRule="auto"/>
              <w:jc w:val="right"/>
            </w:pPr>
            <w:r/>
            <w:r>
              <w:rPr>
                <w:rFonts w:ascii="Times New Roman" w:hAnsi="Times New Roman"/>
                <w:b w:val="0"/>
                <w:i w:val="0"/>
                <w:sz w:val="15"/>
              </w:rPr>
              <w:t>$28,500,000</w:t>
            </w:r>
          </w:p>
        </w:tc>
        <w:tc>
          <w:tcPr>
            <w:tcW w:type="dxa" w:w="1944"/>
          </w:tcPr>
          <w:p>
            <w:pPr>
              <w:spacing w:before="20" w:after="20" w:line="240" w:lineRule="auto"/>
              <w:jc w:val="right"/>
            </w:pPr>
            <w:r/>
            <w:r>
              <w:rPr>
                <w:rFonts w:ascii="Times New Roman" w:hAnsi="Times New Roman"/>
                <w:b w:val="0"/>
                <w:i w:val="0"/>
                <w:sz w:val="15"/>
              </w:rPr>
              <w:t>5.39×</w:t>
            </w:r>
          </w:p>
        </w:tc>
        <w:tc>
          <w:tcPr>
            <w:tcW w:type="dxa" w:w="2160"/>
          </w:tcPr>
          <w:p>
            <w:pPr>
              <w:spacing w:before="20" w:after="20" w:line="240" w:lineRule="auto"/>
              <w:jc w:val="right"/>
            </w:pPr>
            <w:r/>
            <w:r>
              <w:rPr>
                <w:rFonts w:ascii="Times New Roman" w:hAnsi="Times New Roman"/>
                <w:b w:val="0"/>
                <w:i w:val="0"/>
                <w:sz w:val="15"/>
              </w:rPr>
              <w:t>$15,372,632</w:t>
            </w:r>
          </w:p>
        </w:tc>
      </w:tr>
      <w:tr>
        <w:tc>
          <w:tcPr>
            <w:tcW w:type="dxa" w:w="1224"/>
          </w:tcPr>
          <w:p>
            <w:pPr>
              <w:spacing w:before="20" w:after="20" w:line="240" w:lineRule="auto"/>
            </w:pPr>
            <w:r/>
            <w:r>
              <w:rPr>
                <w:rFonts w:ascii="Times New Roman" w:hAnsi="Times New Roman"/>
                <w:b w:val="0"/>
                <w:i w:val="0"/>
                <w:sz w:val="15"/>
              </w:rPr>
              <w:t>36</w:t>
            </w:r>
          </w:p>
        </w:tc>
        <w:tc>
          <w:tcPr>
            <w:tcW w:type="dxa" w:w="2088"/>
          </w:tcPr>
          <w:p>
            <w:pPr>
              <w:spacing w:before="20" w:after="20" w:line="240" w:lineRule="auto"/>
              <w:jc w:val="right"/>
            </w:pPr>
            <w:r/>
            <w:r>
              <w:rPr>
                <w:rFonts w:ascii="Times New Roman" w:hAnsi="Times New Roman"/>
                <w:b w:val="0"/>
                <w:i w:val="0"/>
                <w:sz w:val="15"/>
              </w:rPr>
              <w:t>$6,763,635</w:t>
            </w:r>
          </w:p>
        </w:tc>
        <w:tc>
          <w:tcPr>
            <w:tcW w:type="dxa" w:w="1944"/>
          </w:tcPr>
          <w:p>
            <w:pPr>
              <w:spacing w:before="20" w:after="20" w:line="240" w:lineRule="auto"/>
              <w:jc w:val="right"/>
            </w:pPr>
            <w:r/>
            <w:r>
              <w:rPr>
                <w:rFonts w:ascii="Times New Roman" w:hAnsi="Times New Roman"/>
                <w:b w:val="0"/>
                <w:i w:val="0"/>
                <w:sz w:val="15"/>
              </w:rPr>
              <w:t>$28,500,000</w:t>
            </w:r>
          </w:p>
        </w:tc>
        <w:tc>
          <w:tcPr>
            <w:tcW w:type="dxa" w:w="1944"/>
          </w:tcPr>
          <w:p>
            <w:pPr>
              <w:spacing w:before="20" w:after="20" w:line="240" w:lineRule="auto"/>
              <w:jc w:val="right"/>
            </w:pPr>
            <w:r/>
            <w:r>
              <w:rPr>
                <w:rFonts w:ascii="Times New Roman" w:hAnsi="Times New Roman"/>
                <w:b w:val="0"/>
                <w:i w:val="0"/>
                <w:sz w:val="15"/>
              </w:rPr>
              <w:t>4.21×</w:t>
            </w:r>
          </w:p>
        </w:tc>
        <w:tc>
          <w:tcPr>
            <w:tcW w:type="dxa" w:w="2160"/>
          </w:tcPr>
          <w:p>
            <w:pPr>
              <w:spacing w:before="20" w:after="20" w:line="240" w:lineRule="auto"/>
              <w:jc w:val="right"/>
            </w:pPr>
            <w:r/>
            <w:r>
              <w:rPr>
                <w:rFonts w:ascii="Times New Roman" w:hAnsi="Times New Roman"/>
                <w:b w:val="0"/>
                <w:i w:val="0"/>
                <w:sz w:val="15"/>
              </w:rPr>
              <w:t>$12,009,075</w:t>
            </w:r>
          </w:p>
        </w:tc>
      </w:tr>
      <w:tr>
        <w:tc>
          <w:tcPr>
            <w:tcW w:type="dxa" w:w="1224"/>
          </w:tcPr>
          <w:p>
            <w:pPr>
              <w:spacing w:before="20" w:after="20" w:line="240" w:lineRule="auto"/>
            </w:pPr>
            <w:r/>
            <w:r>
              <w:rPr>
                <w:rFonts w:ascii="Times New Roman" w:hAnsi="Times New Roman"/>
                <w:b w:val="0"/>
                <w:i w:val="0"/>
                <w:sz w:val="15"/>
              </w:rPr>
              <w:t>46</w:t>
            </w:r>
          </w:p>
        </w:tc>
        <w:tc>
          <w:tcPr>
            <w:tcW w:type="dxa" w:w="2088"/>
          </w:tcPr>
          <w:p>
            <w:pPr>
              <w:spacing w:before="20" w:after="20" w:line="240" w:lineRule="auto"/>
              <w:jc w:val="right"/>
            </w:pPr>
            <w:r/>
            <w:r>
              <w:rPr>
                <w:rFonts w:ascii="Times New Roman" w:hAnsi="Times New Roman"/>
                <w:b w:val="0"/>
                <w:i w:val="0"/>
                <w:sz w:val="15"/>
              </w:rPr>
              <w:t>$8,658,024</w:t>
            </w:r>
          </w:p>
        </w:tc>
        <w:tc>
          <w:tcPr>
            <w:tcW w:type="dxa" w:w="1944"/>
          </w:tcPr>
          <w:p>
            <w:pPr>
              <w:spacing w:before="20" w:after="20" w:line="240" w:lineRule="auto"/>
              <w:jc w:val="right"/>
            </w:pPr>
            <w:r/>
            <w:r>
              <w:rPr>
                <w:rFonts w:ascii="Times New Roman" w:hAnsi="Times New Roman"/>
                <w:b w:val="0"/>
                <w:i w:val="0"/>
                <w:sz w:val="15"/>
              </w:rPr>
              <w:t>$28,500,000</w:t>
            </w:r>
          </w:p>
        </w:tc>
        <w:tc>
          <w:tcPr>
            <w:tcW w:type="dxa" w:w="1944"/>
          </w:tcPr>
          <w:p>
            <w:pPr>
              <w:spacing w:before="20" w:after="20" w:line="240" w:lineRule="auto"/>
              <w:jc w:val="right"/>
            </w:pPr>
            <w:r/>
            <w:r>
              <w:rPr>
                <w:rFonts w:ascii="Times New Roman" w:hAnsi="Times New Roman"/>
                <w:b w:val="0"/>
                <w:i w:val="0"/>
                <w:sz w:val="15"/>
              </w:rPr>
              <w:t>3.29×</w:t>
            </w:r>
          </w:p>
        </w:tc>
        <w:tc>
          <w:tcPr>
            <w:tcW w:type="dxa" w:w="2160"/>
          </w:tcPr>
          <w:p>
            <w:pPr>
              <w:spacing w:before="20" w:after="20" w:line="240" w:lineRule="auto"/>
              <w:jc w:val="right"/>
            </w:pPr>
            <w:r/>
            <w:r>
              <w:rPr>
                <w:rFonts w:ascii="Times New Roman" w:hAnsi="Times New Roman"/>
                <w:b w:val="0"/>
                <w:i w:val="0"/>
                <w:sz w:val="15"/>
              </w:rPr>
              <w:t>$9,381,471</w:t>
            </w:r>
          </w:p>
        </w:tc>
      </w:tr>
      <w:tr>
        <w:tc>
          <w:tcPr>
            <w:tcW w:type="dxa" w:w="1224"/>
          </w:tcPr>
          <w:p>
            <w:pPr>
              <w:spacing w:before="20" w:after="20" w:line="240" w:lineRule="auto"/>
            </w:pPr>
            <w:r/>
            <w:r>
              <w:rPr>
                <w:rFonts w:ascii="Times New Roman" w:hAnsi="Times New Roman"/>
                <w:b w:val="0"/>
                <w:i w:val="0"/>
                <w:sz w:val="15"/>
              </w:rPr>
              <w:t>56</w:t>
            </w:r>
          </w:p>
        </w:tc>
        <w:tc>
          <w:tcPr>
            <w:tcW w:type="dxa" w:w="2088"/>
          </w:tcPr>
          <w:p>
            <w:pPr>
              <w:spacing w:before="20" w:after="20" w:line="240" w:lineRule="auto"/>
              <w:jc w:val="right"/>
            </w:pPr>
            <w:r/>
            <w:r>
              <w:rPr>
                <w:rFonts w:ascii="Times New Roman" w:hAnsi="Times New Roman"/>
                <w:b w:val="0"/>
                <w:i w:val="0"/>
                <w:sz w:val="15"/>
              </w:rPr>
              <w:t>$11,083,003</w:t>
            </w:r>
          </w:p>
        </w:tc>
        <w:tc>
          <w:tcPr>
            <w:tcW w:type="dxa" w:w="1944"/>
          </w:tcPr>
          <w:p>
            <w:pPr>
              <w:spacing w:before="20" w:after="20" w:line="240" w:lineRule="auto"/>
              <w:jc w:val="right"/>
            </w:pPr>
            <w:r/>
            <w:r>
              <w:rPr>
                <w:rFonts w:ascii="Times New Roman" w:hAnsi="Times New Roman"/>
                <w:b w:val="0"/>
                <w:i w:val="0"/>
                <w:sz w:val="15"/>
              </w:rPr>
              <w:t>$28,500,000</w:t>
            </w:r>
          </w:p>
        </w:tc>
        <w:tc>
          <w:tcPr>
            <w:tcW w:type="dxa" w:w="1944"/>
          </w:tcPr>
          <w:p>
            <w:pPr>
              <w:spacing w:before="20" w:after="20" w:line="240" w:lineRule="auto"/>
              <w:jc w:val="right"/>
            </w:pPr>
            <w:r/>
            <w:r>
              <w:rPr>
                <w:rFonts w:ascii="Times New Roman" w:hAnsi="Times New Roman"/>
                <w:b w:val="0"/>
                <w:i w:val="0"/>
                <w:sz w:val="15"/>
              </w:rPr>
              <w:t>2.57×</w:t>
            </w:r>
          </w:p>
        </w:tc>
        <w:tc>
          <w:tcPr>
            <w:tcW w:type="dxa" w:w="2160"/>
          </w:tcPr>
          <w:p>
            <w:pPr>
              <w:spacing w:before="20" w:after="20" w:line="240" w:lineRule="auto"/>
              <w:jc w:val="right"/>
            </w:pPr>
            <w:r/>
            <w:r>
              <w:rPr>
                <w:rFonts w:ascii="Times New Roman" w:hAnsi="Times New Roman"/>
                <w:b w:val="0"/>
                <w:i w:val="0"/>
                <w:sz w:val="15"/>
              </w:rPr>
              <w:t>$7,328,790</w:t>
            </w:r>
          </w:p>
        </w:tc>
      </w:tr>
      <w:tr>
        <w:tc>
          <w:tcPr>
            <w:tcW w:type="dxa" w:w="1224"/>
          </w:tcPr>
          <w:p>
            <w:pPr>
              <w:spacing w:before="20" w:after="20" w:line="240" w:lineRule="auto"/>
            </w:pPr>
            <w:r/>
            <w:r>
              <w:rPr>
                <w:rFonts w:ascii="Times New Roman" w:hAnsi="Times New Roman"/>
                <w:b w:val="0"/>
                <w:i w:val="0"/>
                <w:sz w:val="15"/>
              </w:rPr>
              <w:t>66</w:t>
            </w:r>
          </w:p>
        </w:tc>
        <w:tc>
          <w:tcPr>
            <w:tcW w:type="dxa" w:w="2088"/>
          </w:tcPr>
          <w:p>
            <w:pPr>
              <w:spacing w:before="20" w:after="20" w:line="240" w:lineRule="auto"/>
              <w:jc w:val="right"/>
            </w:pPr>
            <w:r/>
            <w:r>
              <w:rPr>
                <w:rFonts w:ascii="Times New Roman" w:hAnsi="Times New Roman"/>
                <w:b w:val="0"/>
                <w:i w:val="0"/>
                <w:sz w:val="15"/>
              </w:rPr>
              <w:t>$14,187,181</w:t>
            </w:r>
          </w:p>
        </w:tc>
        <w:tc>
          <w:tcPr>
            <w:tcW w:type="dxa" w:w="1944"/>
          </w:tcPr>
          <w:p>
            <w:pPr>
              <w:spacing w:before="20" w:after="20" w:line="240" w:lineRule="auto"/>
              <w:jc w:val="right"/>
            </w:pPr>
            <w:r/>
            <w:r>
              <w:rPr>
                <w:rFonts w:ascii="Times New Roman" w:hAnsi="Times New Roman"/>
                <w:b w:val="0"/>
                <w:i w:val="0"/>
                <w:sz w:val="15"/>
              </w:rPr>
              <w:t>$28,500,000</w:t>
            </w:r>
          </w:p>
        </w:tc>
        <w:tc>
          <w:tcPr>
            <w:tcW w:type="dxa" w:w="1944"/>
          </w:tcPr>
          <w:p>
            <w:pPr>
              <w:spacing w:before="20" w:after="20" w:line="240" w:lineRule="auto"/>
              <w:jc w:val="right"/>
            </w:pPr>
            <w:r/>
            <w:r>
              <w:rPr>
                <w:rFonts w:ascii="Times New Roman" w:hAnsi="Times New Roman"/>
                <w:b w:val="0"/>
                <w:i w:val="0"/>
                <w:sz w:val="15"/>
              </w:rPr>
              <w:t>2.01×</w:t>
            </w:r>
          </w:p>
        </w:tc>
        <w:tc>
          <w:tcPr>
            <w:tcW w:type="dxa" w:w="2160"/>
          </w:tcPr>
          <w:p>
            <w:pPr>
              <w:spacing w:before="20" w:after="20" w:line="240" w:lineRule="auto"/>
              <w:jc w:val="right"/>
            </w:pPr>
            <w:r/>
            <w:r>
              <w:rPr>
                <w:rFonts w:ascii="Times New Roman" w:hAnsi="Times New Roman"/>
                <w:b w:val="0"/>
                <w:i w:val="0"/>
                <w:sz w:val="15"/>
              </w:rPr>
              <w:t>$5,725,239</w:t>
            </w:r>
          </w:p>
        </w:tc>
      </w:tr>
      <w:tr>
        <w:tc>
          <w:tcPr>
            <w:tcW w:type="dxa" w:w="1224"/>
          </w:tcPr>
          <w:p>
            <w:pPr>
              <w:spacing w:before="20" w:after="20" w:line="240" w:lineRule="auto"/>
            </w:pPr>
            <w:r/>
            <w:r>
              <w:rPr>
                <w:rFonts w:ascii="Times New Roman" w:hAnsi="Times New Roman"/>
                <w:b w:val="0"/>
                <w:i w:val="0"/>
                <w:sz w:val="15"/>
              </w:rPr>
              <w:t>76</w:t>
            </w:r>
          </w:p>
        </w:tc>
        <w:tc>
          <w:tcPr>
            <w:tcW w:type="dxa" w:w="2088"/>
          </w:tcPr>
          <w:p>
            <w:pPr>
              <w:spacing w:before="20" w:after="20" w:line="240" w:lineRule="auto"/>
              <w:jc w:val="right"/>
            </w:pPr>
            <w:r/>
            <w:r>
              <w:rPr>
                <w:rFonts w:ascii="Times New Roman" w:hAnsi="Times New Roman"/>
                <w:b w:val="0"/>
                <w:i w:val="0"/>
                <w:sz w:val="15"/>
              </w:rPr>
              <w:t>$18,160,791</w:t>
            </w:r>
          </w:p>
        </w:tc>
        <w:tc>
          <w:tcPr>
            <w:tcW w:type="dxa" w:w="1944"/>
          </w:tcPr>
          <w:p>
            <w:pPr>
              <w:spacing w:before="20" w:after="20" w:line="240" w:lineRule="auto"/>
              <w:jc w:val="right"/>
            </w:pPr>
            <w:r/>
            <w:r>
              <w:rPr>
                <w:rFonts w:ascii="Times New Roman" w:hAnsi="Times New Roman"/>
                <w:b w:val="0"/>
                <w:i w:val="0"/>
                <w:sz w:val="15"/>
              </w:rPr>
              <w:t>$28,500,000</w:t>
            </w:r>
          </w:p>
        </w:tc>
        <w:tc>
          <w:tcPr>
            <w:tcW w:type="dxa" w:w="1944"/>
          </w:tcPr>
          <w:p>
            <w:pPr>
              <w:spacing w:before="20" w:after="20" w:line="240" w:lineRule="auto"/>
              <w:jc w:val="right"/>
            </w:pPr>
            <w:r/>
            <w:r>
              <w:rPr>
                <w:rFonts w:ascii="Times New Roman" w:hAnsi="Times New Roman"/>
                <w:b w:val="0"/>
                <w:i w:val="0"/>
                <w:sz w:val="15"/>
              </w:rPr>
              <w:t>1.57×</w:t>
            </w:r>
          </w:p>
        </w:tc>
        <w:tc>
          <w:tcPr>
            <w:tcW w:type="dxa" w:w="2160"/>
          </w:tcPr>
          <w:p>
            <w:pPr>
              <w:spacing w:before="20" w:after="20" w:line="240" w:lineRule="auto"/>
              <w:jc w:val="right"/>
            </w:pPr>
            <w:r/>
            <w:r>
              <w:rPr>
                <w:rFonts w:ascii="Times New Roman" w:hAnsi="Times New Roman"/>
                <w:b w:val="0"/>
                <w:i w:val="0"/>
                <w:sz w:val="15"/>
              </w:rPr>
              <w:t>$4,472,547</w:t>
            </w:r>
          </w:p>
        </w:tc>
      </w:tr>
      <w:tr>
        <w:tc>
          <w:tcPr>
            <w:tcW w:type="dxa" w:w="1224"/>
          </w:tcPr>
          <w:p>
            <w:pPr>
              <w:spacing w:before="20" w:after="20" w:line="240" w:lineRule="auto"/>
            </w:pPr>
            <w:r/>
            <w:r>
              <w:rPr>
                <w:rFonts w:ascii="Times New Roman" w:hAnsi="Times New Roman"/>
                <w:b w:val="0"/>
                <w:i w:val="0"/>
                <w:sz w:val="15"/>
              </w:rPr>
              <w:t>86</w:t>
            </w:r>
          </w:p>
        </w:tc>
        <w:tc>
          <w:tcPr>
            <w:tcW w:type="dxa" w:w="2088"/>
          </w:tcPr>
          <w:p>
            <w:pPr>
              <w:spacing w:before="20" w:after="20" w:line="240" w:lineRule="auto"/>
              <w:jc w:val="right"/>
            </w:pPr>
            <w:r/>
            <w:r>
              <w:rPr>
                <w:rFonts w:ascii="Times New Roman" w:hAnsi="Times New Roman"/>
                <w:b w:val="0"/>
                <w:i w:val="0"/>
                <w:sz w:val="15"/>
              </w:rPr>
              <w:t>$23,247,348</w:t>
            </w:r>
          </w:p>
        </w:tc>
        <w:tc>
          <w:tcPr>
            <w:tcW w:type="dxa" w:w="1944"/>
          </w:tcPr>
          <w:p>
            <w:pPr>
              <w:spacing w:before="20" w:after="20" w:line="240" w:lineRule="auto"/>
              <w:jc w:val="right"/>
            </w:pPr>
            <w:r/>
            <w:r>
              <w:rPr>
                <w:rFonts w:ascii="Times New Roman" w:hAnsi="Times New Roman"/>
                <w:b w:val="0"/>
                <w:i w:val="0"/>
                <w:sz w:val="15"/>
              </w:rPr>
              <w:t>$28,500,000</w:t>
            </w:r>
          </w:p>
        </w:tc>
        <w:tc>
          <w:tcPr>
            <w:tcW w:type="dxa" w:w="1944"/>
          </w:tcPr>
          <w:p>
            <w:pPr>
              <w:spacing w:before="20" w:after="20" w:line="240" w:lineRule="auto"/>
              <w:jc w:val="right"/>
            </w:pPr>
            <w:r/>
            <w:r>
              <w:rPr>
                <w:rFonts w:ascii="Times New Roman" w:hAnsi="Times New Roman"/>
                <w:b w:val="0"/>
                <w:i w:val="0"/>
                <w:sz w:val="15"/>
              </w:rPr>
              <w:t>1.23×</w:t>
            </w:r>
          </w:p>
        </w:tc>
        <w:tc>
          <w:tcPr>
            <w:tcW w:type="dxa" w:w="2160"/>
          </w:tcPr>
          <w:p>
            <w:pPr>
              <w:spacing w:before="20" w:after="20" w:line="240" w:lineRule="auto"/>
              <w:jc w:val="right"/>
            </w:pPr>
            <w:r/>
            <w:r>
              <w:rPr>
                <w:rFonts w:ascii="Times New Roman" w:hAnsi="Times New Roman"/>
                <w:b w:val="0"/>
                <w:i w:val="0"/>
                <w:sz w:val="15"/>
              </w:rPr>
              <w:t>$3,493,947</w:t>
            </w:r>
          </w:p>
        </w:tc>
      </w:tr>
      <w:tr>
        <w:tc>
          <w:tcPr>
            <w:tcW w:type="dxa" w:w="1224"/>
          </w:tcPr>
          <w:p>
            <w:pPr>
              <w:spacing w:before="20" w:after="20" w:line="240" w:lineRule="auto"/>
            </w:pPr>
            <w:r/>
            <w:r>
              <w:rPr>
                <w:rFonts w:ascii="Times New Roman" w:hAnsi="Times New Roman"/>
                <w:b w:val="0"/>
                <w:i w:val="0"/>
                <w:sz w:val="15"/>
              </w:rPr>
              <w:t>96</w:t>
            </w:r>
          </w:p>
        </w:tc>
        <w:tc>
          <w:tcPr>
            <w:tcW w:type="dxa" w:w="2088"/>
          </w:tcPr>
          <w:p>
            <w:pPr>
              <w:spacing w:before="20" w:after="20" w:line="240" w:lineRule="auto"/>
              <w:jc w:val="right"/>
            </w:pPr>
            <w:r/>
            <w:r>
              <w:rPr>
                <w:rFonts w:ascii="Times New Roman" w:hAnsi="Times New Roman"/>
                <w:b w:val="0"/>
                <w:i w:val="0"/>
                <w:sz w:val="15"/>
              </w:rPr>
              <w:t>$29,758,571</w:t>
            </w:r>
          </w:p>
        </w:tc>
        <w:tc>
          <w:tcPr>
            <w:tcW w:type="dxa" w:w="1944"/>
          </w:tcPr>
          <w:p>
            <w:pPr>
              <w:spacing w:before="20" w:after="20" w:line="240" w:lineRule="auto"/>
              <w:jc w:val="right"/>
            </w:pPr>
            <w:r/>
            <w:r>
              <w:rPr>
                <w:rFonts w:ascii="Times New Roman" w:hAnsi="Times New Roman"/>
                <w:b w:val="0"/>
                <w:i w:val="0"/>
                <w:sz w:val="15"/>
              </w:rPr>
              <w:t>$28,500,000</w:t>
            </w:r>
          </w:p>
        </w:tc>
        <w:tc>
          <w:tcPr>
            <w:tcW w:type="dxa" w:w="1944"/>
          </w:tcPr>
          <w:p>
            <w:pPr>
              <w:spacing w:before="20" w:after="20" w:line="240" w:lineRule="auto"/>
              <w:jc w:val="right"/>
            </w:pPr>
            <w:r/>
            <w:r>
              <w:rPr>
                <w:rFonts w:ascii="Times New Roman" w:hAnsi="Times New Roman"/>
                <w:b w:val="0"/>
                <w:i w:val="0"/>
                <w:sz w:val="15"/>
              </w:rPr>
              <w:t>0.96×</w:t>
            </w:r>
          </w:p>
        </w:tc>
        <w:tc>
          <w:tcPr>
            <w:tcW w:type="dxa" w:w="2160"/>
          </w:tcPr>
          <w:p>
            <w:pPr>
              <w:spacing w:before="20" w:after="20" w:line="240" w:lineRule="auto"/>
              <w:jc w:val="right"/>
            </w:pPr>
            <w:r/>
            <w:r>
              <w:rPr>
                <w:rFonts w:ascii="Times New Roman" w:hAnsi="Times New Roman"/>
                <w:b w:val="0"/>
                <w:i w:val="0"/>
                <w:sz w:val="15"/>
              </w:rPr>
              <w:t>$2,729,466</w:t>
            </w:r>
          </w:p>
        </w:tc>
      </w:tr>
    </w:tbl>
    <w:p>
      <w:pPr>
        <w:spacing w:after="40" w:before="0"/>
      </w:pPr>
    </w:p>
    <w:p>
      <w:pPr>
        <w:spacing w:after="120"/>
        <w:ind w:left="0"/>
        <w:jc w:val="both"/>
      </w:pPr>
      <w:r>
        <w:rPr>
          <w:rFonts w:ascii="Times New Roman" w:hAnsi="Times New Roman"/>
          <w:b w:val="0"/>
          <w:i w:val="0"/>
        </w:rPr>
        <w:t xml:space="preserve">Read the last two columns together. By </w:t>
      </w:r>
      <w:r>
        <w:rPr>
          <w:rFonts w:ascii="Times New Roman" w:hAnsi="Times New Roman"/>
          <w:b/>
          <w:i w:val="0"/>
        </w:rPr>
        <w:t>Lease Year 96 the fixed Breakpoint is smaller than Base Rent</w:t>
      </w:r>
      <w:r>
        <w:rPr>
          <w:rFonts w:ascii="Times New Roman" w:hAnsi="Times New Roman"/>
          <w:b w:val="0"/>
          <w:i w:val="0"/>
        </w:rPr>
        <w:t xml:space="preserve"> — so Percentage Rent is payable on essentially every dollar of gross revenue above the rent roll's own fixed charge, i.e. it becomes a 2% tax on gross receipts. And in real terms the Breakpoint has decayed to </w:t>
      </w:r>
      <w:r>
        <w:rPr>
          <w:rFonts w:ascii="Times New Roman" w:hAnsi="Times New Roman"/>
          <w:b/>
          <w:i w:val="0"/>
        </w:rPr>
        <w:t>$2.73 million</w:t>
      </w:r>
      <w:r>
        <w:rPr>
          <w:rFonts w:ascii="Times New Roman" w:hAnsi="Times New Roman"/>
          <w:b w:val="0"/>
          <w:i w:val="0"/>
        </w:rPr>
        <w:t>, which is below today's Base Rent of $2.85 million. In other words, the mechanism the parties agreed to as a share of upside becomes, within one lifetime, a charge larger in real terms than the ground rent that existed when the deal was struck. That is your worry, and it is well founded.</w:t>
      </w:r>
    </w:p>
    <w:p>
      <w:pPr>
        <w:spacing w:after="120"/>
        <w:ind w:left="0"/>
        <w:jc w:val="both"/>
      </w:pPr>
      <w:r>
        <w:rPr>
          <w:rFonts w:ascii="Times New Roman" w:hAnsi="Times New Roman"/>
          <w:b w:val="0"/>
          <w:i w:val="0"/>
        </w:rPr>
        <w:t xml:space="preserve">There is a second, separate problem. Because both limbs of the reset formula are computed from the </w:t>
      </w:r>
      <w:r>
        <w:rPr>
          <w:rFonts w:ascii="Times New Roman" w:hAnsi="Times New Roman"/>
          <w:b w:val="0"/>
          <w:i/>
        </w:rPr>
        <w:t>initial</w:t>
      </w:r>
      <w:r>
        <w:rPr>
          <w:rFonts w:ascii="Times New Roman" w:hAnsi="Times New Roman"/>
          <w:b w:val="0"/>
          <w:i w:val="0"/>
        </w:rPr>
        <w:t xml:space="preserve"> Base Rent rather than from the then-current rent, Base Rent is flat within each ten-year band and then jumps by the whole cumulative index in one step. At 2.5% inflation, each reset after Year 16 is a </w:t>
      </w:r>
      <w:r>
        <w:rPr>
          <w:rFonts w:ascii="Times New Roman" w:hAnsi="Times New Roman"/>
          <w:b/>
          <w:i w:val="0"/>
        </w:rPr>
        <w:t>28.0% single-year increase</w:t>
      </w:r>
      <w:r>
        <w:rPr>
          <w:rFonts w:ascii="Times New Roman" w:hAnsi="Times New Roman"/>
          <w:b w:val="0"/>
          <w:i w:val="0"/>
        </w:rPr>
        <w:t>; at 3.5% inflation the Year 16 step is +30.9%, and at 4.5% it is +51.2% (Appendix 2). Step increases of that size do not merely look arbitrary; they will trip debt service coverage tests at each refinancing, which is an institutional-quality problem for Ansel as well as for us.</w:t>
      </w:r>
    </w:p>
    <w:p>
      <w:pPr>
        <w:spacing w:after="120"/>
        <w:ind w:left="0"/>
        <w:jc w:val="both"/>
      </w:pPr>
      <w:r>
        <w:rPr>
          <w:rFonts w:ascii="Times New Roman" w:hAnsi="Times New Roman"/>
          <w:b/>
          <w:i w:val="0"/>
        </w:rPr>
        <w:t>What the Draft Lease does.</w:t>
      </w:r>
      <w:r>
        <w:rPr>
          <w:rFonts w:ascii="Times New Roman" w:hAnsi="Times New Roman"/>
          <w:b w:val="0"/>
          <w:i w:val="0"/>
        </w:rPr>
        <w:t xml:space="preserve"> Section 5.3 resets the Breakpoint at each Rent Reset Date so as to preserve the Lease Year 6 ratio of Breakpoint to Base Rent (8.84×). That is the single change that keeps the mechanism doing what both sides intended in Year 60 as in Year 6, and it is easy to explain: </w:t>
      </w:r>
      <w:r>
        <w:rPr>
          <w:rFonts w:ascii="Times New Roman" w:hAnsi="Times New Roman"/>
          <w:b w:val="0"/>
          <w:i/>
        </w:rPr>
        <w:t>the percentage rent shares revenue growth above the rent growth the landlord is already capturing.</w:t>
      </w:r>
      <w:r>
        <w:rPr>
          <w:rFonts w:ascii="Times New Roman" w:hAnsi="Times New Roman"/>
          <w:b w:val="0"/>
          <w:i w:val="0"/>
        </w:rPr>
        <w:t xml:space="preserve"> We have also flagged, in a bracketed note in Section 4.4, an alternative rent mechanic — annual CPI adjustment with a 0% floor and a 4% ceiling — which removes the reset cliffs without changing the long-run economics. Both are Tenant positions; expect the Authority to resist the Breakpoint indexation first and the collar second. Our fallbacks are set out in the note to Section 5.3 (CPI-only indexation; a declining rate; or a cap on Percentage Rent at 25% of Base Rent).</w:t>
      </w:r>
    </w:p>
    <w:p>
      <w:pPr>
        <w:spacing w:after="120"/>
        <w:ind w:left="0"/>
        <w:jc w:val="both"/>
      </w:pPr>
      <w:r>
        <w:rPr>
          <w:rFonts w:ascii="Times New Roman" w:hAnsi="Times New Roman"/>
          <w:b/>
          <w:i w:val="0"/>
        </w:rPr>
        <w:t>Gross Revenues.</w:t>
      </w:r>
      <w:r>
        <w:rPr>
          <w:rFonts w:ascii="Times New Roman" w:hAnsi="Times New Roman"/>
          <w:b w:val="0"/>
          <w:i w:val="0"/>
        </w:rPr>
        <w:t xml:space="preserve"> Your instruction was to define this tightly, and the Draft Lease does. Section 5.2 is drafted as an exhaustive inclusion list plus fifteen exclusions, and it omits the Term Sheet's open-ended "all rents, fees, charges, and other income of every kind" formulation. The exclusions cover everything you listed — security deposits, utility reimbursements, insurance proceeds, condemnation awards, CAM and other pass-throughs, interest on reserves, loan proceeds, capital contributions, free rent and concessions, amounts billed but not collected, sales taxes collected and remitted, the value of the tax abatement, and at-cost service charges. We also changed three mechanics that would otherwise create disputes: cash basis rather than "GAAP consistently applied" (GAAP straight-lining would manufacture revenue that has not been collected), </w:t>
      </w:r>
      <w:r>
        <w:rPr>
          <w:rFonts w:ascii="Times New Roman" w:hAnsi="Times New Roman"/>
          <w:b/>
          <w:i w:val="0"/>
        </w:rPr>
        <w:t>project-level only</w:t>
      </w:r>
      <w:r>
        <w:rPr>
          <w:rFonts w:ascii="Times New Roman" w:hAnsi="Times New Roman"/>
          <w:b w:val="0"/>
          <w:i w:val="0"/>
        </w:rPr>
        <w:t xml:space="preserve"> (so consolidated affiliate income is out of scope), and a 24-month audit look-back with a 12-month audit window, a confidentiality undertaking, and no contingency-fee auditors.</w:t>
      </w:r>
    </w:p>
    <w:p>
      <w:pPr>
        <w:keepNext/>
        <w:spacing w:before="240" w:after="100"/>
        <w:ind w:left="0"/>
      </w:pPr>
      <w:r>
        <w:rPr>
          <w:rFonts w:ascii="Times New Roman" w:hAnsi="Times New Roman"/>
          <w:b/>
          <w:i w:val="0"/>
          <w:sz w:val="21"/>
        </w:rPr>
        <w:t>6.2  Tax abatement: three separate problems, one of which is not curable by the lease</w:t>
      </w:r>
    </w:p>
    <w:p>
      <w:pPr>
        <w:spacing w:after="120"/>
        <w:ind w:left="0"/>
        <w:jc w:val="both"/>
      </w:pPr>
      <w:r>
        <w:rPr>
          <w:rFonts w:ascii="Times New Roman" w:hAnsi="Times New Roman"/>
          <w:b w:val="0"/>
          <w:i w:val="0"/>
        </w:rPr>
        <w:t>You asked us to make sure the abatement applies during the income-producing years. There are three distinct issues, in ascending order of seriousness.</w:t>
      </w:r>
    </w:p>
    <w:p>
      <w:pPr>
        <w:spacing w:after="120"/>
        <w:ind w:left="0"/>
        <w:jc w:val="both"/>
      </w:pPr>
      <w:r>
        <w:rPr>
          <w:rFonts w:ascii="Times New Roman" w:hAnsi="Times New Roman"/>
          <w:b/>
          <w:i w:val="0"/>
        </w:rPr>
        <w:t>(a) Measurement base.</w:t>
      </w:r>
      <w:r>
        <w:rPr>
          <w:rFonts w:ascii="Times New Roman" w:hAnsi="Times New Roman"/>
          <w:b w:val="0"/>
          <w:i w:val="0"/>
        </w:rPr>
        <w:t xml:space="preserve"> The percentages (25% / 50% / 75%) are applied to "the full post-development assessed value," and the Term Sheet then illustrates the result using $178,000,000. We have drafted the clause to apply to the assessed value the Assessor </w:t>
      </w:r>
      <w:r>
        <w:rPr>
          <w:rFonts w:ascii="Times New Roman" w:hAnsi="Times New Roman"/>
          <w:b w:val="0"/>
          <w:i/>
        </w:rPr>
        <w:t>actually</w:t>
      </w:r>
      <w:r>
        <w:rPr>
          <w:rFonts w:ascii="Times New Roman" w:hAnsi="Times New Roman"/>
          <w:b w:val="0"/>
          <w:i w:val="0"/>
        </w:rPr>
        <w:t xml:space="preserve"> determines (Section 6.6), with the $178,000,000 figures expressly illustrative. You do not want to be locked to a $178,000,000 base if the Assessor comes in at $200,000,000, nor does the Authority want to be locked to it if the Assessor comes in lower; the percentage mechanic is the deal, not the dollar projection.</w:t>
      </w:r>
    </w:p>
    <w:p>
      <w:pPr>
        <w:spacing w:after="120"/>
        <w:ind w:left="0"/>
        <w:jc w:val="both"/>
      </w:pPr>
      <w:r>
        <w:rPr>
          <w:rFonts w:ascii="Times New Roman" w:hAnsi="Times New Roman"/>
          <w:b/>
          <w:i w:val="0"/>
        </w:rPr>
        <w:t>(b) Starting date — this is the timing point you raised.</w:t>
      </w:r>
      <w:r>
        <w:rPr>
          <w:rFonts w:ascii="Times New Roman" w:hAnsi="Times New Roman"/>
          <w:b w:val="0"/>
          <w:i w:val="0"/>
        </w:rPr>
        <w:t xml:space="preserve"> Term Sheet § 10 provides that the 15-year period "shall commence on the Lease Commencement Date," i.e. October 1, 2025. But the improvements will not be on the grand list until they are substantially complete, around October 2030. On that structure, </w:t>
      </w:r>
      <w:r>
        <w:rPr>
          <w:rFonts w:ascii="Times New Roman" w:hAnsi="Times New Roman"/>
          <w:b/>
          <w:i w:val="0"/>
        </w:rPr>
        <w:t>five of the fifteen years are consumed before the asset exists</w:t>
      </w:r>
      <w:r>
        <w:rPr>
          <w:rFonts w:ascii="Times New Roman" w:hAnsi="Times New Roman"/>
          <w:b w:val="0"/>
          <w:i w:val="0"/>
        </w:rPr>
        <w:t>, and the 25% band — the most valuable band — covers a period in which the property is assessed as vacant land. On our computation the nominal value of the abatement is $46,391,250 over fifteen years; on the Term Sheet's structure a significant part of that is simply unattainable. Section 6.7 re-anchors the period to the later of the Rent Commencement Date and the first fiscal year in which the completed Improvements are reflected in the assessment. Expect this to be the hardest of the three to obtain, because the City may have its own fiscal-year constraints; it is nevertheless the single highest-value, lowest-visibility change in the document, and Coventry's model depends on it.</w:t>
      </w:r>
    </w:p>
    <w:p>
      <w:pPr>
        <w:spacing w:after="120"/>
        <w:ind w:left="0"/>
        <w:jc w:val="both"/>
      </w:pPr>
      <w:r>
        <w:rPr>
          <w:rFonts w:ascii="Times New Roman" w:hAnsi="Times New Roman"/>
          <w:b/>
          <w:i w:val="0"/>
        </w:rPr>
        <w:t>(c) The obligor is not a party to the lease.</w:t>
      </w:r>
      <w:r>
        <w:rPr>
          <w:rFonts w:ascii="Times New Roman" w:hAnsi="Times New Roman"/>
          <w:b w:val="0"/>
          <w:i w:val="0"/>
        </w:rPr>
        <w:t xml:space="preserve"> The abatement is granted and administered by the City of Port Calloway, not by the Authority; the Board resolution itself contemplates "a separate tax abatement agreement between Meridian and the City of Port Calloway." The Authority therefore cannot grant the abatement, and a covenant by the Authority to provide it is worth only what the Authority's influence with the City is worth. Section 6.9 obliges the Authority to use diligent efforts and to join in all applications and hearings, and Section 2.3(f) makes execution of the Tax Abatement Agreement a condition precedent to Lease Commencement. But the protection you actually need is a financial backstop, so Section 6.8 provides one: if the abatement is not implemented, is reduced or is repealed for any reason not attributable to Tenant, Tenant receives a dollar-for-dollar credit against Base Rent for the excess taxes. That converts a political risk into a rent adjustment, which is a risk the Authority controls and can therefore price.</w:t>
      </w:r>
    </w:p>
    <w:p>
      <w:pPr>
        <w:spacing w:before="60" w:after="160"/>
        <w:ind w:left="360" w:right="216"/>
        <w:jc w:val="both"/>
        <w:pBdr>
          <w:top w:val="single" w:sz="4" w:space="4" w:color="808080"/>
          <w:left w:val="single" w:sz="4" w:space="4" w:color="808080"/>
          <w:bottom w:val="single" w:sz="4" w:space="4" w:color="808080"/>
          <w:right w:val="single" w:sz="4" w:space="4" w:color="808080"/>
        </w:pBdr>
        <w:shd w:val="clear" w:color="auto" w:fill="F2F2F2"/>
      </w:pPr>
      <w:r>
        <w:rPr>
          <w:rFonts w:ascii="Times New Roman" w:hAnsi="Times New Roman"/>
          <w:b/>
          <w:i w:val="0"/>
          <w:sz w:val="19"/>
        </w:rPr>
        <w:t xml:space="preserve">Not curable in the lease. </w:t>
      </w:r>
      <w:r>
        <w:rPr>
          <w:rFonts w:ascii="Times New Roman" w:hAnsi="Times New Roman"/>
          <w:b w:val="0"/>
          <w:i w:val="0"/>
          <w:sz w:val="19"/>
        </w:rPr>
        <w:t xml:space="preserve">We have not verified the City's statutory authority to grant a fifteen-year, three-tier abatement. Connecticut's tax-abatement statutes impose term limits and procedural requirements (public hearing, legislative-body approval), and different provisions apply in different contexts, including urban renewal and redevelopment areas. If the fifteen-year structure is outside the City's authority, or if the required hearing is not held, the pro forma does not work and no amount of lease drafting fixes it. </w:t>
      </w:r>
      <w:r>
        <w:rPr>
          <w:rFonts w:ascii="Times New Roman" w:hAnsi="Times New Roman"/>
          <w:b/>
          <w:i w:val="0"/>
          <w:sz w:val="19"/>
        </w:rPr>
        <w:t>This should be confirmed with Connecticut municipal finance counsel before the Board votes</w:t>
      </w:r>
      <w:r>
        <w:rPr>
          <w:rFonts w:ascii="Times New Roman" w:hAnsi="Times New Roman"/>
          <w:b w:val="0"/>
          <w:i w:val="0"/>
          <w:sz w:val="19"/>
        </w:rPr>
        <w:t>, not after. Item 7.2 of Part 7.</w:t>
      </w:r>
    </w:p>
    <w:p>
      <w:pPr>
        <w:keepNext/>
        <w:spacing w:before="240" w:after="100"/>
        <w:ind w:left="0"/>
      </w:pPr>
      <w:r>
        <w:rPr>
          <w:rFonts w:ascii="Times New Roman" w:hAnsi="Times New Roman"/>
          <w:b/>
          <w:i w:val="0"/>
          <w:sz w:val="21"/>
        </w:rPr>
        <w:t>6.3  ELUR: the ground-floor residential prohibition against a ground-floor residential program</w:t>
      </w:r>
    </w:p>
    <w:p>
      <w:pPr>
        <w:spacing w:after="120"/>
        <w:ind w:left="0"/>
        <w:jc w:val="both"/>
      </w:pPr>
      <w:r>
        <w:rPr>
          <w:rFonts w:ascii="Times New Roman" w:hAnsi="Times New Roman"/>
          <w:b w:val="0"/>
          <w:i w:val="0"/>
        </w:rPr>
        <w:t>The ELUR prohibits residential use on the ground floor of any structure on the Premises because near-surface soils exceed the Residential Direct Exposure Criteria. The Term Sheet describes the Project as including "ground-floor residential lobby and amenity spaces (fitness center, package room, resident lounge, and leasing office)" and permits "residential apartments" without a floor restriction. Halcyon addressed the tension directly and did not resolve it: the ELUR defines residential use as "habitable space at or below finished grade elevation intended for residential dwelling, sleeping, cooking, or eating purposes" and "does not define or specifically address non-habitable spaces such as building lobbies, mail rooms, fitness centers, package rooms, leasing offices, or common amenity areas." Halcyon's recommendation is a formal DEEP interpretation or variance before the design is finalized.</w:t>
      </w:r>
    </w:p>
    <w:p>
      <w:pPr>
        <w:spacing w:after="120"/>
        <w:ind w:left="0"/>
        <w:jc w:val="both"/>
      </w:pPr>
      <w:r>
        <w:rPr>
          <w:rFonts w:ascii="Times New Roman" w:hAnsi="Times New Roman"/>
          <w:b w:val="0"/>
          <w:i w:val="0"/>
        </w:rPr>
        <w:t xml:space="preserve">This matters in three ways that are easy to miss. </w:t>
      </w:r>
      <w:r>
        <w:rPr>
          <w:rFonts w:ascii="Times New Roman" w:hAnsi="Times New Roman"/>
          <w:b/>
          <w:i w:val="0"/>
        </w:rPr>
        <w:t>First, permitting.</w:t>
      </w:r>
      <w:r>
        <w:rPr>
          <w:rFonts w:ascii="Times New Roman" w:hAnsi="Times New Roman"/>
          <w:b w:val="0"/>
          <w:i w:val="0"/>
        </w:rPr>
        <w:t xml:space="preserve"> DEEP approval is on the critical path to Milestone 1, and an ELUR enforcement question can stop a building permit. </w:t>
      </w:r>
      <w:r>
        <w:rPr>
          <w:rFonts w:ascii="Times New Roman" w:hAnsi="Times New Roman"/>
          <w:b/>
          <w:i w:val="0"/>
        </w:rPr>
        <w:t>Second, the milestone clock.</w:t>
      </w:r>
      <w:r>
        <w:rPr>
          <w:rFonts w:ascii="Times New Roman" w:hAnsi="Times New Roman"/>
          <w:b w:val="0"/>
          <w:i w:val="0"/>
        </w:rPr>
        <w:t xml:space="preserve"> If DEEP's interpretation requires a redesign of the ground floor, the delay will count against Milestone 1 (18 months) unless it is expressly treated as a force majeure event or a permitting delay — which is why Section 7.8(b) and Section 3.4 say so. </w:t>
      </w:r>
      <w:r>
        <w:rPr>
          <w:rFonts w:ascii="Times New Roman" w:hAnsi="Times New Roman"/>
          <w:b/>
          <w:i w:val="0"/>
        </w:rPr>
        <w:t>Third, cost allocation.</w:t>
      </w:r>
      <w:r>
        <w:rPr>
          <w:rFonts w:ascii="Times New Roman" w:hAnsi="Times New Roman"/>
          <w:b w:val="0"/>
          <w:i w:val="0"/>
        </w:rPr>
        <w:t xml:space="preserve"> An ELUR modification application is expensive, and it is expensive because of a pre-existing condition the Authority created and disclosed in 2018, not because of anything Tenant did. Section 7.8(a) puts that cost on the Authority.</w:t>
      </w:r>
    </w:p>
    <w:p>
      <w:pPr>
        <w:spacing w:after="120"/>
        <w:ind w:left="0"/>
        <w:jc w:val="both"/>
      </w:pPr>
      <w:r>
        <w:rPr>
          <w:rFonts w:ascii="Times New Roman" w:hAnsi="Times New Roman"/>
          <w:b w:val="0"/>
          <w:i w:val="0"/>
        </w:rPr>
        <w:t xml:space="preserve">There is a helpful physical fact in the record that the parties should not lose: the project's ground floor will be at </w:t>
      </w:r>
      <w:r>
        <w:rPr>
          <w:rFonts w:ascii="Times New Roman" w:hAnsi="Times New Roman"/>
          <w:b/>
          <w:i w:val="0"/>
        </w:rPr>
        <w:t>finished floor elevation 15 feet NAVD88</w:t>
      </w:r>
      <w:r>
        <w:rPr>
          <w:rFonts w:ascii="Times New Roman" w:hAnsi="Times New Roman"/>
          <w:b w:val="0"/>
          <w:i w:val="0"/>
        </w:rPr>
        <w:t>, while existing site grades run from approximately 10.2 to 14.8 feet NAVD88 and the BFE is 12 feet. On the ELUR's own definition (space "at or below finished grade elevation"), a slab at 15.0 feet is above grade across essentially the whole site. That is a strong argument that the ground floor is not within the restricted zone at all — but it is an argument, not a determination, and DEEP has not been asked. Section 7.8(c) records the point for use in the application.</w:t>
      </w:r>
    </w:p>
    <w:p>
      <w:pPr>
        <w:spacing w:after="120"/>
        <w:ind w:left="0"/>
        <w:jc w:val="both"/>
      </w:pPr>
      <w:r>
        <w:rPr>
          <w:rFonts w:ascii="Times New Roman" w:hAnsi="Times New Roman"/>
          <w:b w:val="0"/>
          <w:i w:val="0"/>
        </w:rPr>
        <w:t>Two related ELUR obligations that appear nowhere in the Term Sheet and are now in the Draft Lease: the ELUR's prohibition on potable water supply wells (Section 7.7(e)), and the annual ELUR compliance certification to DEEP (Section 7.7(f)). The latter raises an allocation question the Term Sheet does not answer: the certification is required of the "owner, operator, or designee," and the fee owner is the Authority. Section 7.7 obliges the Authority to join in any filing requiring the fee owner's signature within ten business days. Finally, note the interaction between the 24-inch engineered barrier and the 8,000 square feet of public open space: landscaping and tree planting over a capped area is constrained by both the barrier specification and the prohibition on ground disturbance below two feet without a DEEP-approved Soil Management Plan (Section 14.4, final sentence).</w:t>
      </w:r>
    </w:p>
    <w:p>
      <w:pPr>
        <w:keepNext/>
        <w:spacing w:before="240" w:after="100"/>
        <w:ind w:left="0"/>
      </w:pPr>
      <w:r>
        <w:rPr>
          <w:rFonts w:ascii="Times New Roman" w:hAnsi="Times New Roman"/>
          <w:b/>
          <w:i w:val="0"/>
          <w:sz w:val="21"/>
        </w:rPr>
        <w:t>6.4  Remediation: the $2.4 million estimate is not a cap, and Tenant bears every dollar above it</w:t>
      </w:r>
    </w:p>
    <w:p>
      <w:pPr>
        <w:spacing w:after="120"/>
        <w:ind w:left="0"/>
        <w:jc w:val="both"/>
      </w:pPr>
      <w:r>
        <w:rPr>
          <w:rFonts w:ascii="Times New Roman" w:hAnsi="Times New Roman"/>
          <w:b w:val="0"/>
          <w:i w:val="0"/>
        </w:rPr>
        <w:t xml:space="preserve">Term Sheet § 7 provides a fixed $1,800,000 credit and makes Tenant responsible for the $600,000 balance </w:t>
      </w:r>
      <w:r>
        <w:rPr>
          <w:rFonts w:ascii="Times New Roman" w:hAnsi="Times New Roman"/>
          <w:b/>
          <w:i w:val="0"/>
        </w:rPr>
        <w:t>and for "any actual remediation costs in excess of the $2,400,000 estimate."</w:t>
      </w:r>
      <w:r>
        <w:rPr>
          <w:rFonts w:ascii="Times New Roman" w:hAnsi="Times New Roman"/>
          <w:b w:val="0"/>
          <w:i w:val="0"/>
        </w:rPr>
        <w:t xml:space="preserve"> Because the credit is fixed, Tenant keeps the benefit if costs come in lower and absorbs the whole of any overrun. Three observations.</w:t>
      </w:r>
    </w:p>
    <w:p>
      <w:pPr>
        <w:spacing w:after="120"/>
        <w:ind w:left="0"/>
        <w:jc w:val="both"/>
      </w:pPr>
      <w:r>
        <w:rPr>
          <w:rFonts w:ascii="Times New Roman" w:hAnsi="Times New Roman"/>
          <w:b/>
          <w:i w:val="0"/>
        </w:rPr>
        <w:t>First, the estimate has arithmetic problems</w:t>
      </w:r>
      <w:r>
        <w:rPr>
          <w:rFonts w:ascii="Times New Roman" w:hAnsi="Times New Roman"/>
          <w:b w:val="0"/>
          <w:i w:val="0"/>
        </w:rPr>
        <w:t xml:space="preserve"> (Part 2.6): the contingency lines labelled "10%" are 5.71% and 4.76%. If 10% is intended, the total is $2,502,500 and Tenant's residual is $702,500 rather than $600,000.</w:t>
      </w:r>
    </w:p>
    <w:p>
      <w:pPr>
        <w:spacing w:after="120"/>
        <w:ind w:left="0"/>
        <w:jc w:val="both"/>
      </w:pPr>
      <w:r>
        <w:rPr>
          <w:rFonts w:ascii="Times New Roman" w:hAnsi="Times New Roman"/>
          <w:b/>
          <w:i w:val="0"/>
        </w:rPr>
        <w:t>Second, and much more seriously, the estimate almost certainly does not cover the excavation the project actually requires.</w:t>
      </w:r>
      <w:r>
        <w:rPr>
          <w:rFonts w:ascii="Times New Roman" w:hAnsi="Times New Roman"/>
          <w:b w:val="0"/>
          <w:i w:val="0"/>
        </w:rPr>
        <w:t xml:space="preserve"> Halcyon's estimate assumes excavation of the two delineated areas: 933 cubic yards in Area 1 and approximately 600 in Area 2 — about 1,533 cubic yards of contaminated soil, priced on a material handling volume of about 3,700 cubic yards. But the Term Sheet's project description includes "structured and/or below-grade parking," and a below-grade parking structure across any meaningful part of a 139,392 square foot site generates a different order of magnitude:</w:t>
      </w:r>
    </w:p>
    <w:tbl>
      <w:tblPr>
        <w:tblStyle w:val="TableGrid"/>
        <w:tblW w:type="auto" w:w="0"/>
        <w:jc w:val="center"/>
        <w:tblLayout w:type="fixed"/>
        <w:tblLook w:firstColumn="1" w:firstRow="1" w:lastColumn="0" w:lastRow="0" w:noHBand="0" w:noVBand="1" w:val="04A0"/>
        <w:tblLayout w:type="fixed"/>
        <w:tblW w:type="dxa" w:w="9360"/>
        <w:tblCellMar>
          <w:top w:w="20" w:type="dxa"/>
          <w:left w:w="60" w:type="dxa"/>
          <w:bottom w:w="20" w:type="dxa"/>
          <w:right w:w="60" w:type="dxa"/>
        </w:tblCellMar>
      </w:tblPr>
      <w:tblGrid>
        <w:gridCol w:w="2448"/>
        <w:gridCol w:w="1296"/>
        <w:gridCol w:w="2160"/>
        <w:gridCol w:w="3456"/>
      </w:tblGrid>
      <w:tr>
        <w:trPr>
          <w:tblHeader w:val="true"/>
        </w:trPr>
        <w:tc>
          <w:tcPr>
            <w:tcW w:type="dxa" w:w="2448"/>
            <w:shd w:val="clear" w:color="auto" w:fill="D9D9D9"/>
          </w:tcPr>
          <w:p>
            <w:pPr>
              <w:spacing w:before="20" w:after="20" w:line="240" w:lineRule="auto"/>
            </w:pPr>
            <w:r/>
            <w:r>
              <w:rPr>
                <w:rFonts w:ascii="Times New Roman" w:hAnsi="Times New Roman"/>
                <w:b/>
                <w:i w:val="0"/>
                <w:sz w:val="16"/>
              </w:rPr>
              <w:t>Excavation footprint</w:t>
            </w:r>
          </w:p>
        </w:tc>
        <w:tc>
          <w:tcPr>
            <w:tcW w:type="dxa" w:w="1296"/>
            <w:shd w:val="clear" w:color="auto" w:fill="D9D9D9"/>
          </w:tcPr>
          <w:p>
            <w:pPr>
              <w:spacing w:before="20" w:after="20" w:line="240" w:lineRule="auto"/>
            </w:pPr>
            <w:r/>
            <w:r>
              <w:rPr>
                <w:rFonts w:ascii="Times New Roman" w:hAnsi="Times New Roman"/>
                <w:b/>
                <w:i w:val="0"/>
                <w:sz w:val="16"/>
              </w:rPr>
              <w:t>Depth</w:t>
            </w:r>
          </w:p>
        </w:tc>
        <w:tc>
          <w:tcPr>
            <w:tcW w:type="dxa" w:w="2160"/>
            <w:shd w:val="clear" w:color="auto" w:fill="D9D9D9"/>
          </w:tcPr>
          <w:p>
            <w:pPr>
              <w:spacing w:before="20" w:after="20" w:line="240" w:lineRule="auto"/>
            </w:pPr>
            <w:r/>
            <w:r>
              <w:rPr>
                <w:rFonts w:ascii="Times New Roman" w:hAnsi="Times New Roman"/>
                <w:b/>
                <w:i w:val="0"/>
                <w:sz w:val="16"/>
              </w:rPr>
              <w:t>Soil volume</w:t>
            </w:r>
          </w:p>
        </w:tc>
        <w:tc>
          <w:tcPr>
            <w:tcW w:type="dxa" w:w="3456"/>
            <w:shd w:val="clear" w:color="auto" w:fill="D9D9D9"/>
          </w:tcPr>
          <w:p>
            <w:pPr>
              <w:spacing w:before="20" w:after="20" w:line="240" w:lineRule="auto"/>
            </w:pPr>
            <w:r/>
            <w:r>
              <w:rPr>
                <w:rFonts w:ascii="Times New Roman" w:hAnsi="Times New Roman"/>
                <w:b/>
                <w:i w:val="0"/>
                <w:sz w:val="16"/>
              </w:rPr>
              <w:t>Multiple of the 1,533 CY of delineated contamination</w:t>
            </w:r>
          </w:p>
        </w:tc>
      </w:tr>
      <w:tr>
        <w:tc>
          <w:tcPr>
            <w:tcW w:type="dxa" w:w="2448"/>
          </w:tcPr>
          <w:p>
            <w:pPr>
              <w:spacing w:before="20" w:after="20" w:line="240" w:lineRule="auto"/>
            </w:pPr>
            <w:r/>
            <w:r>
              <w:rPr>
                <w:rFonts w:ascii="Times New Roman" w:hAnsi="Times New Roman"/>
                <w:b w:val="0"/>
                <w:i w:val="0"/>
                <w:sz w:val="16"/>
              </w:rPr>
              <w:t>20,000 SF</w:t>
            </w:r>
          </w:p>
        </w:tc>
        <w:tc>
          <w:tcPr>
            <w:tcW w:type="dxa" w:w="1296"/>
          </w:tcPr>
          <w:p>
            <w:pPr>
              <w:spacing w:before="20" w:after="20" w:line="240" w:lineRule="auto"/>
              <w:jc w:val="right"/>
            </w:pPr>
            <w:r/>
            <w:r>
              <w:rPr>
                <w:rFonts w:ascii="Times New Roman" w:hAnsi="Times New Roman"/>
                <w:b w:val="0"/>
                <w:i w:val="0"/>
                <w:sz w:val="16"/>
              </w:rPr>
              <w:t>12 ft</w:t>
            </w:r>
          </w:p>
        </w:tc>
        <w:tc>
          <w:tcPr>
            <w:tcW w:type="dxa" w:w="2160"/>
          </w:tcPr>
          <w:p>
            <w:pPr>
              <w:spacing w:before="20" w:after="20" w:line="240" w:lineRule="auto"/>
              <w:jc w:val="right"/>
            </w:pPr>
            <w:r/>
            <w:r>
              <w:rPr>
                <w:rFonts w:ascii="Times New Roman" w:hAnsi="Times New Roman"/>
                <w:b w:val="0"/>
                <w:i w:val="0"/>
                <w:sz w:val="16"/>
              </w:rPr>
              <w:t>8,889 CY</w:t>
            </w:r>
          </w:p>
        </w:tc>
        <w:tc>
          <w:tcPr>
            <w:tcW w:type="dxa" w:w="3456"/>
          </w:tcPr>
          <w:p>
            <w:pPr>
              <w:spacing w:before="20" w:after="20" w:line="240" w:lineRule="auto"/>
              <w:jc w:val="right"/>
            </w:pPr>
            <w:r/>
            <w:r>
              <w:rPr>
                <w:rFonts w:ascii="Times New Roman" w:hAnsi="Times New Roman"/>
                <w:b w:val="0"/>
                <w:i w:val="0"/>
                <w:sz w:val="16"/>
              </w:rPr>
              <w:t>5.8×</w:t>
            </w:r>
          </w:p>
        </w:tc>
      </w:tr>
      <w:tr>
        <w:tc>
          <w:tcPr>
            <w:tcW w:type="dxa" w:w="2448"/>
          </w:tcPr>
          <w:p>
            <w:pPr>
              <w:spacing w:before="20" w:after="20" w:line="240" w:lineRule="auto"/>
            </w:pPr>
            <w:r/>
            <w:r>
              <w:rPr>
                <w:rFonts w:ascii="Times New Roman" w:hAnsi="Times New Roman"/>
                <w:b w:val="0"/>
                <w:i w:val="0"/>
                <w:sz w:val="16"/>
              </w:rPr>
              <w:t>40,000 SF</w:t>
            </w:r>
          </w:p>
        </w:tc>
        <w:tc>
          <w:tcPr>
            <w:tcW w:type="dxa" w:w="1296"/>
          </w:tcPr>
          <w:p>
            <w:pPr>
              <w:spacing w:before="20" w:after="20" w:line="240" w:lineRule="auto"/>
              <w:jc w:val="right"/>
            </w:pPr>
            <w:r/>
            <w:r>
              <w:rPr>
                <w:rFonts w:ascii="Times New Roman" w:hAnsi="Times New Roman"/>
                <w:b w:val="0"/>
                <w:i w:val="0"/>
                <w:sz w:val="16"/>
              </w:rPr>
              <w:t>12 ft</w:t>
            </w:r>
          </w:p>
        </w:tc>
        <w:tc>
          <w:tcPr>
            <w:tcW w:type="dxa" w:w="2160"/>
          </w:tcPr>
          <w:p>
            <w:pPr>
              <w:spacing w:before="20" w:after="20" w:line="240" w:lineRule="auto"/>
              <w:jc w:val="right"/>
            </w:pPr>
            <w:r/>
            <w:r>
              <w:rPr>
                <w:rFonts w:ascii="Times New Roman" w:hAnsi="Times New Roman"/>
                <w:b w:val="0"/>
                <w:i w:val="0"/>
                <w:sz w:val="16"/>
              </w:rPr>
              <w:t>17,778 CY</w:t>
            </w:r>
          </w:p>
        </w:tc>
        <w:tc>
          <w:tcPr>
            <w:tcW w:type="dxa" w:w="3456"/>
          </w:tcPr>
          <w:p>
            <w:pPr>
              <w:spacing w:before="20" w:after="20" w:line="240" w:lineRule="auto"/>
              <w:jc w:val="right"/>
            </w:pPr>
            <w:r/>
            <w:r>
              <w:rPr>
                <w:rFonts w:ascii="Times New Roman" w:hAnsi="Times New Roman"/>
                <w:b w:val="0"/>
                <w:i w:val="0"/>
                <w:sz w:val="16"/>
              </w:rPr>
              <w:t>11.6×</w:t>
            </w:r>
          </w:p>
        </w:tc>
      </w:tr>
      <w:tr>
        <w:tc>
          <w:tcPr>
            <w:tcW w:type="dxa" w:w="2448"/>
          </w:tcPr>
          <w:p>
            <w:pPr>
              <w:spacing w:before="20" w:after="20" w:line="240" w:lineRule="auto"/>
            </w:pPr>
            <w:r/>
            <w:r>
              <w:rPr>
                <w:rFonts w:ascii="Times New Roman" w:hAnsi="Times New Roman"/>
                <w:b w:val="0"/>
                <w:i w:val="0"/>
                <w:sz w:val="16"/>
              </w:rPr>
              <w:t>60,000 SF</w:t>
            </w:r>
          </w:p>
        </w:tc>
        <w:tc>
          <w:tcPr>
            <w:tcW w:type="dxa" w:w="1296"/>
          </w:tcPr>
          <w:p>
            <w:pPr>
              <w:spacing w:before="20" w:after="20" w:line="240" w:lineRule="auto"/>
              <w:jc w:val="right"/>
            </w:pPr>
            <w:r/>
            <w:r>
              <w:rPr>
                <w:rFonts w:ascii="Times New Roman" w:hAnsi="Times New Roman"/>
                <w:b w:val="0"/>
                <w:i w:val="0"/>
                <w:sz w:val="16"/>
              </w:rPr>
              <w:t>12 ft</w:t>
            </w:r>
          </w:p>
        </w:tc>
        <w:tc>
          <w:tcPr>
            <w:tcW w:type="dxa" w:w="2160"/>
          </w:tcPr>
          <w:p>
            <w:pPr>
              <w:spacing w:before="20" w:after="20" w:line="240" w:lineRule="auto"/>
              <w:jc w:val="right"/>
            </w:pPr>
            <w:r/>
            <w:r>
              <w:rPr>
                <w:rFonts w:ascii="Times New Roman" w:hAnsi="Times New Roman"/>
                <w:b w:val="0"/>
                <w:i w:val="0"/>
                <w:sz w:val="16"/>
              </w:rPr>
              <w:t>26,667 CY</w:t>
            </w:r>
          </w:p>
        </w:tc>
        <w:tc>
          <w:tcPr>
            <w:tcW w:type="dxa" w:w="3456"/>
          </w:tcPr>
          <w:p>
            <w:pPr>
              <w:spacing w:before="20" w:after="20" w:line="240" w:lineRule="auto"/>
              <w:jc w:val="right"/>
            </w:pPr>
            <w:r/>
            <w:r>
              <w:rPr>
                <w:rFonts w:ascii="Times New Roman" w:hAnsi="Times New Roman"/>
                <w:b w:val="0"/>
                <w:i w:val="0"/>
                <w:sz w:val="16"/>
              </w:rPr>
              <w:t>17.4×</w:t>
            </w:r>
          </w:p>
        </w:tc>
      </w:tr>
    </w:tbl>
    <w:p>
      <w:pPr>
        <w:spacing w:after="40" w:before="0"/>
      </w:pPr>
    </w:p>
    <w:p>
      <w:pPr>
        <w:spacing w:after="120"/>
        <w:ind w:left="0"/>
        <w:jc w:val="both"/>
      </w:pPr>
      <w:r>
        <w:rPr>
          <w:rFonts w:ascii="Times New Roman" w:hAnsi="Times New Roman"/>
          <w:b w:val="0"/>
          <w:i w:val="0"/>
        </w:rPr>
        <w:t>Every cubic yard excavated below the cap must be handled under a DEEP-approved Soil Management Plan, and much of it will require characterization, stockpiling, testing and — where it is or may be impacted — licensed disposal. The estimate does not address this, and the ELUR separately prohibits excavation below the engineered barrier without DEEP's written approval, which is itself a schedule item for Milestone 1. On the record before us, the probability that Tenant's remediation cost exceeds $2.4 million is high, and the excess is 100% Tenant's under the Term Sheet.</w:t>
      </w:r>
    </w:p>
    <w:p>
      <w:pPr>
        <w:spacing w:after="120"/>
        <w:ind w:left="0"/>
        <w:jc w:val="both"/>
      </w:pPr>
      <w:r>
        <w:rPr>
          <w:rFonts w:ascii="Times New Roman" w:hAnsi="Times New Roman"/>
          <w:b/>
          <w:i w:val="0"/>
        </w:rPr>
        <w:t>Third, the contamination is the Authority's legacy.</w:t>
      </w:r>
      <w:r>
        <w:rPr>
          <w:rFonts w:ascii="Times New Roman" w:hAnsi="Times New Roman"/>
          <w:b w:val="0"/>
          <w:i w:val="0"/>
        </w:rPr>
        <w:t xml:space="preserve"> The Premises were a ship repair and dry dock facility from 1942 to 1987; the Authority acquired the land by condemnation in 2012, performed a partial remediation in 2016–2017, and recorded the ELUR in 2018. Tenant did none of it. Section 7.4(c) therefore draws the line where it belongs: Tenant bears the cost of remediating the two areas the Phase II delineated, and Landlord bears the cost of a Pre-Existing Environmental Condition that was </w:t>
      </w:r>
      <w:r>
        <w:rPr>
          <w:rFonts w:ascii="Times New Roman" w:hAnsi="Times New Roman"/>
          <w:b w:val="0"/>
          <w:i/>
        </w:rPr>
        <w:t>not</w:t>
      </w:r>
      <w:r>
        <w:rPr>
          <w:rFonts w:ascii="Times New Roman" w:hAnsi="Times New Roman"/>
          <w:b w:val="0"/>
          <w:i w:val="0"/>
        </w:rPr>
        <w:t xml:space="preserve"> identified, delineated or quantified — undiscovered contamination, contamination beyond the delineated depths, off-site migration, groundwater and sediment impacts, and any DEEP-imposed requirement not contemplated by the Phase II. Section 7.5 adds a full Landlord indemnity for Pre-Existing Environmental Conditions, running to Tenant, its members, its agents and each Leasehold Mortgagee. Section 7.6 caps Tenant's reciprocal indemnity. Together these are the most important economic protections in Article 7 after the credit itself, and they are the provisions most likely to be resisted; expect the Authority to offer a smaller version of § 7.4(c), such as a shared overrun above a threshold. A 50/50 sharing above $2.4 million would be an acceptable landing zone.</w:t>
      </w:r>
    </w:p>
    <w:p>
      <w:pPr>
        <w:spacing w:after="120"/>
        <w:ind w:left="0"/>
        <w:jc w:val="both"/>
      </w:pPr>
      <w:r>
        <w:rPr>
          <w:rFonts w:ascii="Times New Roman" w:hAnsi="Times New Roman"/>
          <w:b w:val="0"/>
          <w:i w:val="0"/>
        </w:rPr>
        <w:t xml:space="preserve">One further point on the credit mechanics, which you asked us to make unambiguous. Section 7.2 states the waterfall as a table (months 1–7 at zero, month 8 credit $137,500 with $100,000 payable, month 9 onward full rent), confirms that the credit is not reduced by any other credit or abatement, allows unabsorbed credit to be applied against other Rent or paid in cash, and — the provision that was missing — requires Landlord to </w:t>
      </w:r>
      <w:r>
        <w:rPr>
          <w:rFonts w:ascii="Times New Roman" w:hAnsi="Times New Roman"/>
          <w:b/>
          <w:i w:val="0"/>
        </w:rPr>
        <w:t>pay any unapplied balance in cash if the lease ends before the credit is exhausted</w:t>
      </w:r>
      <w:r>
        <w:rPr>
          <w:rFonts w:ascii="Times New Roman" w:hAnsi="Times New Roman"/>
          <w:b w:val="0"/>
          <w:i w:val="0"/>
        </w:rPr>
        <w:t>. Without that last sentence, an early termination (say in month 3) would forfeit roughly $962,500 of credit that Tenant had effectively paid for through its remediation work.</w:t>
      </w:r>
    </w:p>
    <w:p>
      <w:pPr>
        <w:keepNext/>
        <w:spacing w:before="240" w:after="100"/>
        <w:ind w:left="0"/>
      </w:pPr>
      <w:r>
        <w:rPr>
          <w:rFonts w:ascii="Times New Roman" w:hAnsi="Times New Roman"/>
          <w:b/>
          <w:i w:val="0"/>
          <w:sz w:val="21"/>
        </w:rPr>
        <w:t>6.5  Bulkhead: an unquantified structural liability inside a triple-net lease</w:t>
      </w:r>
    </w:p>
    <w:p>
      <w:pPr>
        <w:spacing w:after="120"/>
        <w:ind w:left="0"/>
        <w:jc w:val="both"/>
      </w:pPr>
      <w:r>
        <w:rPr>
          <w:rFonts w:ascii="Times New Roman" w:hAnsi="Times New Roman"/>
          <w:b w:val="0"/>
          <w:i w:val="0"/>
        </w:rPr>
        <w:t>Halcyon inspected approximately 480 linear feet of bulkhead and found it in "fair to poor condition," with lateral displacement, longitudinal and transverse cracking, deteriorated and missing timber lagging, and erosion of backfill. The survey adds spalling of the concrete cap, corrosion of the sheet piling, and "evidence of partial demolition activity ... consistent with work reportedly performed by Calloway Marine Demolition Inc.," including removal of approximately 40 linear feet of concrete cap. Halcyon recommends an independent structural engineering assessment and expressly excludes bulkhead repair or replacement from its $2.4 million cost estimate. The Term Sheet says nothing about the bulkhead at all.</w:t>
      </w:r>
    </w:p>
    <w:p>
      <w:pPr>
        <w:spacing w:after="120"/>
        <w:ind w:left="0"/>
        <w:jc w:val="both"/>
      </w:pPr>
      <w:r>
        <w:rPr>
          <w:rFonts w:ascii="Times New Roman" w:hAnsi="Times New Roman"/>
          <w:b w:val="0"/>
          <w:i w:val="0"/>
        </w:rPr>
        <w:t xml:space="preserve">Under a triple-net ground lease, and again under the surrender obligation in Term Sheet § 18 ("good condition, reasonable wear and tear excepted"), that liability lands on Tenant — for an asset that was already deteriorated when the Authority delivered it and that the Authority's own contractor partially demolished in 2025. Section 2.9(b) requires the Authority to commission and pay for the structural assessment before Lease Commencement, and Section 14.3 offers the alternative allocation (Authority repairs, or Tenant repairs with a dollar-for-dollar rent credit), with an express carve-out from Tenant's maintenance obligation for any pre-existing structural deficiency documented in the assessment. We recommend obtaining the assessment </w:t>
      </w:r>
      <w:r>
        <w:rPr>
          <w:rFonts w:ascii="Times New Roman" w:hAnsi="Times New Roman"/>
          <w:b/>
          <w:i w:val="0"/>
        </w:rPr>
        <w:t>now</w:t>
      </w:r>
      <w:r>
        <w:rPr>
          <w:rFonts w:ascii="Times New Roman" w:hAnsi="Times New Roman"/>
          <w:b w:val="0"/>
          <w:i w:val="0"/>
        </w:rPr>
        <w:t>, before the lease is negotiated, because the size of the number will determine which allocation is realistic. Note also that bulkhead work will require coastal permits (Structures, Dredging and Fill; tidal wetlands) and City cooperation, and that the bulkhead sits at or near the pedestrian access easement, whose terms prohibit permanent structures — Section 14.3(d) addresses both.</w:t>
      </w:r>
    </w:p>
    <w:p>
      <w:pPr>
        <w:keepNext/>
        <w:spacing w:before="240" w:after="100"/>
        <w:ind w:left="0"/>
      </w:pPr>
      <w:r>
        <w:rPr>
          <w:rFonts w:ascii="Times New Roman" w:hAnsi="Times New Roman"/>
          <w:b/>
          <w:i w:val="0"/>
          <w:sz w:val="21"/>
        </w:rPr>
        <w:t>6.6  The mechanics' lien: the Term Sheet cannot make it a Permitted Exception</w:t>
      </w:r>
    </w:p>
    <w:p>
      <w:pPr>
        <w:spacing w:after="120"/>
        <w:ind w:left="0"/>
        <w:jc w:val="both"/>
      </w:pPr>
      <w:r>
        <w:rPr>
          <w:rFonts w:ascii="Times New Roman" w:hAnsi="Times New Roman"/>
          <w:b w:val="0"/>
          <w:i w:val="0"/>
        </w:rPr>
        <w:t>A $187,500 mechanics' lien was filed on April 3, 2025 by Calloway Marine Demolition Inc. against the Authority's fee interest (Vol. 418, Pg. 302) for bulkhead demolition work. Term Sheet § 13 lists it as Permitted Exception No. 6 — that is, the lease would insure subject to it. The title commitment says the opposite in terms: "The Company will not issue either policy described in Schedule A until this requirement has been satisfied," and until then "Exception No. 6 shall remain as an exception to coverage." Requirement No. 7 offers three routes — discharge, a bond under Conn. Gen. Stat. § 49-37, or an indemnity from the fee owner. Bayside § 6(c) separately requires that all exceptions be reviewed and approved by the Lender.</w:t>
      </w:r>
    </w:p>
    <w:p>
      <w:pPr>
        <w:spacing w:after="120"/>
        <w:ind w:left="0"/>
        <w:jc w:val="both"/>
      </w:pPr>
      <w:r>
        <w:rPr>
          <w:rFonts w:ascii="Times New Roman" w:hAnsi="Times New Roman"/>
          <w:b w:val="0"/>
          <w:i w:val="0"/>
        </w:rPr>
        <w:t>The lien arises from work performed for the Authority, on the Authority's fee, before Tenant had any interest. Tenant should not pay it, insure over it, or accept it. Section 2.9(a) puts the obligation on Landlord at its sole cost, and Section 2.3(h) makes discharge or bonding a condition precedent. There is also an unresolved question worth asking: the demolition work that generated the lien is the same work that removed 40 feet of bulkhead cap. The Authority should be asked whether it has a claim against the contractor, and whether the lien is being defended rather than simply paid — because if the contractor's work is the cause of the bulkhead damage described in Part 6.5, that is a cost the Authority should bear twice over.</w:t>
      </w:r>
    </w:p>
    <w:p>
      <w:pPr>
        <w:keepNext/>
        <w:spacing w:before="240" w:after="100"/>
        <w:ind w:left="0"/>
      </w:pPr>
      <w:r>
        <w:rPr>
          <w:rFonts w:ascii="Times New Roman" w:hAnsi="Times New Roman"/>
          <w:b/>
          <w:i w:val="0"/>
          <w:sz w:val="21"/>
        </w:rPr>
        <w:t>6.7  The recorded right of first refusal will bind regardless of what the lease says</w:t>
      </w:r>
    </w:p>
    <w:p>
      <w:pPr>
        <w:spacing w:after="120"/>
        <w:ind w:left="0"/>
        <w:jc w:val="both"/>
      </w:pPr>
      <w:r>
        <w:rPr>
          <w:rFonts w:ascii="Times New Roman" w:hAnsi="Times New Roman"/>
          <w:b w:val="0"/>
          <w:i w:val="0"/>
        </w:rPr>
        <w:t xml:space="preserve">Term Sheet § 11 creates a ROFR for the first twenty years, with no carve-out for Leasehold Mortgagee enforcement. But there is also a </w:t>
      </w:r>
      <w:r>
        <w:rPr>
          <w:rFonts w:ascii="Times New Roman" w:hAnsi="Times New Roman"/>
          <w:b/>
          <w:i w:val="0"/>
        </w:rPr>
        <w:t>recorded</w:t>
      </w:r>
      <w:r>
        <w:rPr>
          <w:rFonts w:ascii="Times New Roman" w:hAnsi="Times New Roman"/>
          <w:b w:val="0"/>
          <w:i w:val="0"/>
        </w:rPr>
        <w:t xml:space="preserve"> Declaration of Right of First Refusal dated September 8, 2019 (Vol. 405, Pg. 55), and the title commitment tells us exactly what it does not contain: it "does not by its terms contain any exception or carve-out for transfers resulting from foreclosure, deed-in-lieu of foreclosure, the exercise of remedies by a leasehold mortgagee, or assignments by a leasehold mortgagee or its designee following a foreclosure or acceptance of a deed-in-lieu," and it "is binding upon the Tenant and all successors and assigns."</w:t>
      </w:r>
    </w:p>
    <w:p>
      <w:pPr>
        <w:spacing w:after="120"/>
        <w:ind w:left="0"/>
        <w:jc w:val="both"/>
      </w:pPr>
      <w:r>
        <w:rPr>
          <w:rFonts w:ascii="Times New Roman" w:hAnsi="Times New Roman"/>
          <w:b w:val="0"/>
          <w:i w:val="0"/>
        </w:rPr>
        <w:t xml:space="preserve">That is a direct collision with Bayside § 5.6 (unconditional right to foreclose and assign without Landlord's consent) and with the 100% membership-interest pledge Bayside requires under § 4. A lease provision cannot cure it; only a recorded amendment can. Section 11.5 of the Draft Lease narrows the ROFR in four ways (direct assignments for value only; no ROFR for Permitted Transfers, mortgagee transfers, recapitalizations or New Leases; acquisition subject to the leasehold mortgage and requiring the mortgagee's consent or payoff; lapse if the Authority elects but fails to close) and the drafting note records that the recorded Declaration "must be amended of record" before Lease Commencement. Exhibit B, Part 4 describes the permitted exception as the Declaration </w:t>
      </w:r>
      <w:r>
        <w:rPr>
          <w:rFonts w:ascii="Times New Roman" w:hAnsi="Times New Roman"/>
          <w:b w:val="0"/>
          <w:i/>
        </w:rPr>
        <w:t>as so amended</w:t>
      </w:r>
      <w:r>
        <w:rPr>
          <w:rFonts w:ascii="Times New Roman" w:hAnsi="Times New Roman"/>
          <w:b w:val="0"/>
          <w:i w:val="0"/>
        </w:rPr>
        <w:t>.</w:t>
      </w:r>
    </w:p>
    <w:p>
      <w:pPr>
        <w:spacing w:after="120"/>
        <w:ind w:left="0"/>
        <w:jc w:val="both"/>
      </w:pPr>
      <w:r>
        <w:rPr>
          <w:rFonts w:ascii="Times New Roman" w:hAnsi="Times New Roman"/>
          <w:b w:val="0"/>
          <w:i w:val="0"/>
        </w:rPr>
        <w:t>There is a secondary point in your instruction that the ROFR should not "interfere with the financing or any future recapitalization." Term Sheet § 11's Affiliate definition is reasonably broad, but it captures control, not economic interest, so a Coventry-led recapitalization in which Coventry's fund brings in a new institutional partner and Meridian's sponsorship interest is diluted could be argued to be a non-Affiliate transfer. Section 11.3 addresses this with a ten-item Permitted Transfers list including transfers of direct or indirect ownership interests, pledges and foreclosures of membership interests, buy-sell and drag-along exercises, transfers to Coventry vehicles, and a 20% look-through test. Section 11.7 then states expressly that no change of control is an assignment. We recommend confirming that list with Ansel, because it is his exit path that is being protected.</w:t>
      </w:r>
    </w:p>
    <w:p>
      <w:pPr>
        <w:keepNext/>
        <w:spacing w:before="240" w:after="100"/>
        <w:ind w:left="0"/>
      </w:pPr>
      <w:r>
        <w:rPr>
          <w:rFonts w:ascii="Times New Roman" w:hAnsi="Times New Roman"/>
          <w:b/>
          <w:i w:val="0"/>
          <w:sz w:val="21"/>
        </w:rPr>
        <w:t>6.8  Security deposit: two ambiguity traps and a conflict</w:t>
      </w:r>
    </w:p>
    <w:p>
      <w:pPr>
        <w:spacing w:after="120"/>
        <w:ind w:left="0"/>
        <w:jc w:val="both"/>
      </w:pPr>
      <w:r>
        <w:rPr>
          <w:rFonts w:ascii="Times New Roman" w:hAnsi="Times New Roman"/>
          <w:b w:val="0"/>
          <w:i w:val="0"/>
        </w:rPr>
        <w:t xml:space="preserve">The amounts are right (24 × $237,500 = $5,700,000; 12 × $237,500 = $2,850,000), and the step-down concept is standard. Three problems remain. </w:t>
      </w:r>
      <w:r>
        <w:rPr>
          <w:rFonts w:ascii="Times New Roman" w:hAnsi="Times New Roman"/>
          <w:b/>
          <w:i w:val="0"/>
        </w:rPr>
        <w:t>(a) "Overall occupancy rate of 90%" is undefined in a three-product-type project</w:t>
      </w:r>
      <w:r>
        <w:rPr>
          <w:rFonts w:ascii="Times New Roman" w:hAnsi="Times New Roman"/>
          <w:b w:val="0"/>
          <w:i w:val="0"/>
        </w:rPr>
        <w:t xml:space="preserve"> — 90% of units, of rentable square feet, of each component, or blended? A project that is 95% leased residentially and 70% leased in the office building is not 90% occupied by any measure the parties will agree on after the fact. Section 8.4(a) defines an Occupancy Rate as rentable square footage leased over rentable square footage completed, tested only against completed buildings, with residential measured on unit net rentable area. </w:t>
      </w:r>
      <w:r>
        <w:rPr>
          <w:rFonts w:ascii="Times New Roman" w:hAnsi="Times New Roman"/>
          <w:b/>
          <w:i w:val="0"/>
        </w:rPr>
        <w:t>(b) Documentation and timing were missing</w:t>
      </w:r>
      <w:r>
        <w:rPr>
          <w:rFonts w:ascii="Times New Roman" w:hAnsi="Times New Roman"/>
          <w:b w:val="0"/>
          <w:i w:val="0"/>
        </w:rPr>
        <w:t xml:space="preserve">; Section 8.4(b)–(c) requires a certified rent roll and officer's certificate, gives the Authority 30 days to object (deemed approved), and requires the amendment or replacement letter of credit within 10 business days. </w:t>
      </w:r>
      <w:r>
        <w:rPr>
          <w:rFonts w:ascii="Times New Roman" w:hAnsi="Times New Roman"/>
          <w:b/>
          <w:i w:val="0"/>
        </w:rPr>
        <w:t>(c) The "twelve months of the initial Base Rent" characterisation is already stale</w:t>
      </w:r>
      <w:r>
        <w:rPr>
          <w:rFonts w:ascii="Times New Roman" w:hAnsi="Times New Roman"/>
          <w:b w:val="0"/>
          <w:i w:val="0"/>
        </w:rPr>
        <w:t xml:space="preserve"> — if 90% occupancy is first achieved in, say, Lease Year 8, Base Rent is $268,709 a month and $2,850,000 is less than eleven months' rent. We have drafted the reduction as a fixed $2,850,000 with no reinstatement (Section 8.4(d)), which is the Tenant-favourable reading; the Authority may ask for twelve months of </w:t>
      </w:r>
      <w:r>
        <w:rPr>
          <w:rFonts w:ascii="Times New Roman" w:hAnsi="Times New Roman"/>
          <w:b w:val="0"/>
          <w:i/>
        </w:rPr>
        <w:t>then-current</w:t>
      </w:r>
      <w:r>
        <w:rPr>
          <w:rFonts w:ascii="Times New Roman" w:hAnsi="Times New Roman"/>
          <w:b w:val="0"/>
          <w:i w:val="0"/>
        </w:rPr>
        <w:t xml:space="preserve"> rent, which we would resist.</w:t>
      </w:r>
    </w:p>
    <w:p>
      <w:pPr>
        <w:spacing w:after="120"/>
        <w:ind w:left="0"/>
        <w:jc w:val="both"/>
      </w:pPr>
      <w:r>
        <w:rPr>
          <w:rFonts w:ascii="Times New Roman" w:hAnsi="Times New Roman"/>
          <w:b w:val="0"/>
          <w:i w:val="0"/>
        </w:rPr>
        <w:t>The conflict is the issuer test: Term Sheet § 8 requires an A-/A3 bank; the Board resolution recital describes a "federally chartered banking institution." Section 8.3 accepts either, and Section 8.2 preserves Bayside's own option (§ 4) of a cash deposit. Two further Tenant protections are worth noting: draws are limited to amounts finally determined to be due (Section 8.5), and a failure to renew the letter of credit is not a default until ten business days after notice (Section 8.8). The Term Sheet made non-renewal an immediate Event of Default.</w:t>
      </w:r>
    </w:p>
    <w:p>
      <w:pPr>
        <w:keepNext/>
        <w:spacing w:before="240" w:after="100"/>
        <w:ind w:left="0"/>
      </w:pPr>
      <w:r>
        <w:rPr>
          <w:rFonts w:ascii="Times New Roman" w:hAnsi="Times New Roman"/>
          <w:b/>
          <w:i w:val="0"/>
          <w:sz w:val="21"/>
        </w:rPr>
        <w:t>6.9  Insurance: the NFIP "maximum" standard cannot work on this site</w:t>
      </w:r>
    </w:p>
    <w:p>
      <w:pPr>
        <w:spacing w:after="120"/>
        <w:ind w:left="0"/>
        <w:jc w:val="both"/>
      </w:pPr>
      <w:r>
        <w:rPr>
          <w:rFonts w:ascii="Times New Roman" w:hAnsi="Times New Roman"/>
          <w:b w:val="0"/>
          <w:i w:val="0"/>
        </w:rPr>
        <w:t xml:space="preserve">Term Sheet § 12(d) requires flood insurance "in no event less than the maximum coverage available under the National Flood Insurance Program or equivalent private market policy." The NFIP maximum for a commercial building is $500,000 ($250,000 for a residential building) plus contents — against a project with a $425 million cost basis sitting entirely within Zone AE. Bayside § 6(h) requires flood insurance "in amounts satisfactory to Lender," which will mean full replacement cost. Section 12.1(f) reconciles the two by requiring NFIP maximum </w:t>
      </w:r>
      <w:r>
        <w:rPr>
          <w:rFonts w:ascii="Times New Roman" w:hAnsi="Times New Roman"/>
          <w:b w:val="0"/>
          <w:i/>
        </w:rPr>
        <w:t>plus</w:t>
      </w:r>
      <w:r>
        <w:rPr>
          <w:rFonts w:ascii="Times New Roman" w:hAnsi="Times New Roman"/>
          <w:b w:val="0"/>
          <w:i w:val="0"/>
        </w:rPr>
        <w:t xml:space="preserve"> excess flood or difference-in-conditions coverage to full replacement cost. That is more coverage and more premium than the Term Sheet contemplated; it is also the only version that survives a lender's insurance review, so we recommend raising it with Mr. Koss as a correction rather than a concession.</w:t>
      </w:r>
    </w:p>
    <w:p>
      <w:pPr>
        <w:spacing w:after="120"/>
        <w:ind w:left="0"/>
        <w:jc w:val="both"/>
      </w:pPr>
      <w:r>
        <w:rPr>
          <w:rFonts w:ascii="Times New Roman" w:hAnsi="Times New Roman"/>
          <w:b w:val="0"/>
          <w:i w:val="0"/>
        </w:rPr>
        <w:t xml:space="preserve">Two smaller points. Term Sheet § 12 names the Authority as an additional insured on the </w:t>
      </w:r>
      <w:r>
        <w:rPr>
          <w:rFonts w:ascii="Times New Roman" w:hAnsi="Times New Roman"/>
          <w:b/>
          <w:i w:val="0"/>
        </w:rPr>
        <w:t>all-risk property</w:t>
      </w:r>
      <w:r>
        <w:rPr>
          <w:rFonts w:ascii="Times New Roman" w:hAnsi="Times New Roman"/>
          <w:b w:val="0"/>
          <w:i w:val="0"/>
        </w:rPr>
        <w:t xml:space="preserve"> policy; an additional-insured endorsement is the wrong instrument for a fee owner's interest (a mortgagee/loss-payee endorsement or a waiver of subrogation is the right one), and Section 12.2 confines the Authority to additional insured on the liability policy. And Phase II recommends a pollution legal liability policy with a term reflecting the length of the ground lease; Section 12.1(e) requires, to the extent available on commercially reasonable terms, multi-year coverage for Pre-Existing Environmental Conditions, with Section 7.9 directing proceeds to the remediation cost.</w:t>
      </w:r>
    </w:p>
    <w:p>
      <w:pPr>
        <w:keepNext/>
        <w:spacing w:before="240" w:after="100"/>
        <w:ind w:left="0"/>
      </w:pPr>
      <w:r>
        <w:rPr>
          <w:rFonts w:ascii="Times New Roman" w:hAnsi="Times New Roman"/>
          <w:b/>
          <w:i w:val="0"/>
          <w:sz w:val="21"/>
        </w:rPr>
        <w:t>6.10  Assignment, subletting and the interaction with the loan documents</w:t>
      </w:r>
    </w:p>
    <w:p>
      <w:pPr>
        <w:spacing w:after="120"/>
        <w:ind w:left="0"/>
        <w:jc w:val="both"/>
      </w:pPr>
      <w:r>
        <w:rPr>
          <w:rFonts w:ascii="Times New Roman" w:hAnsi="Times New Roman"/>
          <w:b w:val="0"/>
          <w:i w:val="0"/>
        </w:rPr>
        <w:t>Three documents impose three regimes: Term Sheet § 11 (consent plus ROFR for non-Affiliate assignments, free subletting), Bayside § 5.6 (foreclosure and assignment without consent) and Bayside § 4 (first-priority pledge of 100% of the membership interests in Meridian). The pledgor's problem is that a foreclosure of the pledged membership interests is a change of control, which a naively drafted assignment clause could read as a prohibited transfer. Section 11.3 resolves it expressly, and Section 11.7 states that no change in ownership or control is an assignment. Section 11.2 preserves subletting freedom, which matters more than it looks: with a 28-story residential tower, a leasing office that cannot sign residential leases without consent is not a leasing office.</w:t>
      </w:r>
    </w:p>
    <w:p>
      <w:pPr>
        <w:keepNext/>
        <w:spacing w:before="240" w:after="100"/>
        <w:ind w:left="0"/>
      </w:pPr>
      <w:r>
        <w:rPr>
          <w:rFonts w:ascii="Times New Roman" w:hAnsi="Times New Roman"/>
          <w:b/>
          <w:i w:val="0"/>
          <w:sz w:val="21"/>
        </w:rPr>
        <w:t>6.11  Affordable housing: the covenant is agreed, but it is not yet a workable instrument</w:t>
      </w:r>
    </w:p>
    <w:p>
      <w:pPr>
        <w:spacing w:after="120"/>
        <w:ind w:left="0"/>
        <w:jc w:val="both"/>
      </w:pPr>
      <w:r>
        <w:rPr>
          <w:rFonts w:ascii="Times New Roman" w:hAnsi="Times New Roman"/>
          <w:b w:val="0"/>
          <w:i w:val="0"/>
        </w:rPr>
        <w:t>You are right that this should not be contentious. But the title commitment's own note identifies six things the recorded 2019 Declaration of Restrictive Covenants does not specify: how the 15% is recalculated if the unit count changes, income verification procedures, a monitoring or enforcement entity, the consequences of non-compliance, whether units must be distributed through the project, and any floor or location rules. Section 14.5 fills all six — with the important overlay that the ELUR's ground-floor restriction means affordable units must be on upper floors (Halcyon says so expressly), which also means the covenant and the ELUR should be read together. Two drafting choices are yours to confirm: the AMI geography (we adopted New Haven-Milford, the geography in the recorded covenant, because the Premises are in New Haven County; the Term Sheet says "Port Calloway MSA" and the survey says "Bridgeport-Stamford-Norwalk," and at least one of those is wrong), and the remedy (we have limited the Authority to specific performance and injunctive relief, with no default, no reverter and no draw on the deposit — a breach of a 15% covenant should never forfeit a $425 million project).</w:t>
      </w:r>
    </w:p>
    <w:p>
      <w:pPr>
        <w:keepNext/>
        <w:spacing w:before="240" w:after="100"/>
        <w:ind w:left="0"/>
      </w:pPr>
      <w:r>
        <w:rPr>
          <w:rFonts w:ascii="Times New Roman" w:hAnsi="Times New Roman"/>
          <w:b/>
          <w:i w:val="0"/>
          <w:sz w:val="21"/>
        </w:rPr>
        <w:t>6.12  Flood resilience: three feet of freeboard for a 99-year coastal lease</w:t>
      </w:r>
    </w:p>
    <w:p>
      <w:pPr>
        <w:spacing w:after="120"/>
        <w:ind w:left="0"/>
        <w:jc w:val="both"/>
      </w:pPr>
      <w:r>
        <w:rPr>
          <w:rFonts w:ascii="Times New Roman" w:hAnsi="Times New Roman"/>
          <w:b w:val="0"/>
          <w:i w:val="0"/>
        </w:rPr>
        <w:t>All three of the term sheet, title commitment and survey settle on a finished floor elevation of 15 feet NAVD88 — three feet above the BFE of 12 feet. Halcyon recommends 16 to 17 feet (four to five feet of freeboard), citing Connecticut Public Act 23-167 (2023), CIRCA's projections (20 inches by 2050 and up to 80 inches by 2100 under high-emission scenarios), the emergence of four-to-five-foot municipal standards in coastal Connecticut, the fact that roughly 60% of the parcel lies at or below the BFE, and a November 2024 nor'easter that put water at approximately 10.5 feet NAVD88 at this bulkhead. The FIRM panel is dated January 15, 2020 and will be revised during the Term.</w:t>
      </w:r>
    </w:p>
    <w:p>
      <w:pPr>
        <w:spacing w:after="120"/>
        <w:ind w:left="0"/>
        <w:jc w:val="both"/>
      </w:pPr>
      <w:r>
        <w:rPr>
          <w:rFonts w:ascii="Times New Roman" w:hAnsi="Times New Roman"/>
          <w:b w:val="0"/>
          <w:i w:val="0"/>
        </w:rPr>
        <w:t>Section 15.3 holds 15 feet as the contractual minimum (as negotiated) but permits Tenant to build higher, and Section 15.4 allocates code change over the Term to Tenant with the benefit of any phased-compliance or hardship relief, no rent increase, and a force-majeure/permitting extension for the time needed to obtain relief. Our commercial recommendation is that you evaluate now, not in 2040, whether to build to 16–17 feet: the incremental structural cost on a 28-story tower is small relative to the cost of a later retrofit or of uninsurable ground-floor retail, and it will be far easier to persuade the Authority and Bayside to accept a higher elevation at design stage than to explain a flood claim later.</w:t>
      </w:r>
    </w:p>
    <w:p>
      <w:pPr>
        <w:keepNext/>
        <w:spacing w:before="240" w:after="100"/>
        <w:ind w:left="0"/>
      </w:pPr>
      <w:r>
        <w:rPr>
          <w:rFonts w:ascii="Times New Roman" w:hAnsi="Times New Roman"/>
          <w:b/>
          <w:i w:val="0"/>
          <w:sz w:val="21"/>
        </w:rPr>
        <w:t>6.13  The financing does not cover the development program</w:t>
      </w:r>
    </w:p>
    <w:p>
      <w:pPr>
        <w:spacing w:after="120"/>
        <w:ind w:left="0"/>
        <w:jc w:val="both"/>
      </w:pPr>
      <w:r>
        <w:rPr>
          <w:rFonts w:ascii="Times New Roman" w:hAnsi="Times New Roman"/>
          <w:b w:val="0"/>
          <w:i w:val="0"/>
        </w:rPr>
        <w:t xml:space="preserve">Two mismatches in the loan documents should be raised with Sandra Milliken before the loan documents are negotiated. </w:t>
      </w:r>
      <w:r>
        <w:rPr>
          <w:rFonts w:ascii="Times New Roman" w:hAnsi="Times New Roman"/>
          <w:b/>
          <w:i w:val="0"/>
        </w:rPr>
        <w:t>First</w:t>
      </w:r>
      <w:r>
        <w:rPr>
          <w:rFonts w:ascii="Times New Roman" w:hAnsi="Times New Roman"/>
          <w:b w:val="0"/>
          <w:i w:val="0"/>
        </w:rPr>
        <w:t xml:space="preserve">, the construction loan has a 48-month term with two 6-month extensions — a maximum of 60 months — while Milestone 3 (Phase 1 substantial completion) is set at 60 months and Milestone 4 (the office building) at 84 months. Phase 2 is therefore unfinanced, and Phase 1 completion coincides with final maturity rather than preceding it. </w:t>
      </w:r>
      <w:r>
        <w:rPr>
          <w:rFonts w:ascii="Times New Roman" w:hAnsi="Times New Roman"/>
          <w:b/>
          <w:i w:val="0"/>
        </w:rPr>
        <w:t>Second</w:t>
      </w:r>
      <w:r>
        <w:rPr>
          <w:rFonts w:ascii="Times New Roman" w:hAnsi="Times New Roman"/>
          <w:b w:val="0"/>
          <w:i w:val="0"/>
        </w:rPr>
        <w:t>, Coventry's completion guaranty under Bayside § 4 guarantees lien-free completion "on or before the Initial Maturity Date," i.e. 48 months from closing; but the ground lease allows 60 months for Phase 1. Coventry could be in default of its guaranty a full year before the ground lease milestone is missed. These are loan-document issues rather than lease issues, but they will surface in the same negotiation and they affect how much enforcement pressure the Authority can apply through us.</w:t>
      </w:r>
    </w:p>
    <w:p>
      <w:pPr>
        <w:keepNext/>
        <w:spacing w:before="240" w:after="100"/>
        <w:ind w:left="0"/>
      </w:pPr>
      <w:r>
        <w:rPr>
          <w:rFonts w:ascii="Times New Roman" w:hAnsi="Times New Roman"/>
          <w:b/>
          <w:i w:val="0"/>
          <w:sz w:val="21"/>
        </w:rPr>
        <w:t>6.14  Closing mechanics: three dates that will not line up</w:t>
      </w:r>
    </w:p>
    <w:p>
      <w:pPr>
        <w:tabs>
          <w:tab w:pos="864" w:val="left"/>
        </w:tabs>
        <w:spacing w:after="80"/>
        <w:ind w:left="864" w:hanging="403"/>
        <w:jc w:val="both"/>
      </w:pPr>
      <w:r>
        <w:rPr>
          <w:rFonts w:ascii="Times New Roman" w:hAnsi="Times New Roman"/>
          <w:b w:val="0"/>
          <w:i w:val="0"/>
        </w:rPr>
        <w:t>•</w:t>
        <w:tab/>
      </w:r>
      <w:r>
        <w:rPr>
          <w:rFonts w:ascii="Times New Roman" w:hAnsi="Times New Roman"/>
          <w:b/>
          <w:i w:val="0"/>
        </w:rPr>
        <w:t>The survey goes stale on July 19, 2025</w:t>
      </w:r>
      <w:r>
        <w:rPr>
          <w:rFonts w:ascii="Times New Roman" w:hAnsi="Times New Roman"/>
          <w:b w:val="0"/>
          <w:i w:val="0"/>
        </w:rPr>
        <w:t xml:space="preserve"> for purposes of Bayside § 6(d), which requires a survey "dated within ninety (90) days of the closing date." The field survey is April 20, 2025. Any closing after July 19 requires a re-certification or update. Section 2.3(c) requires a survey dated within 90 days of Lease Commencement.</w:t>
      </w:r>
    </w:p>
    <w:p>
      <w:pPr>
        <w:tabs>
          <w:tab w:pos="864" w:val="left"/>
        </w:tabs>
        <w:spacing w:after="80"/>
        <w:ind w:left="864" w:hanging="403"/>
        <w:jc w:val="both"/>
      </w:pPr>
      <w:r>
        <w:rPr>
          <w:rFonts w:ascii="Times New Roman" w:hAnsi="Times New Roman"/>
          <w:b w:val="0"/>
          <w:i w:val="0"/>
        </w:rPr>
        <w:t>•</w:t>
        <w:tab/>
      </w:r>
      <w:r>
        <w:rPr>
          <w:rFonts w:ascii="Times New Roman" w:hAnsi="Times New Roman"/>
          <w:b/>
          <w:i w:val="0"/>
        </w:rPr>
        <w:t>The title commitment expires on December 1, 2025</w:t>
      </w:r>
      <w:r>
        <w:rPr>
          <w:rFonts w:ascii="Times New Roman" w:hAnsi="Times New Roman"/>
          <w:b w:val="0"/>
          <w:i w:val="0"/>
        </w:rPr>
        <w:t xml:space="preserve"> — six months after its effective date. That is tight but workable for an October 1 commencement, and not workable at all if the lease slips into December. An extension should be requested now rather than in November.</w:t>
      </w:r>
    </w:p>
    <w:p>
      <w:pPr>
        <w:tabs>
          <w:tab w:pos="864" w:val="left"/>
        </w:tabs>
        <w:spacing w:after="80"/>
        <w:ind w:left="864" w:hanging="403"/>
        <w:jc w:val="both"/>
      </w:pPr>
      <w:r>
        <w:rPr>
          <w:rFonts w:ascii="Times New Roman" w:hAnsi="Times New Roman"/>
          <w:b w:val="0"/>
          <w:i w:val="0"/>
        </w:rPr>
        <w:t>•</w:t>
        <w:tab/>
      </w:r>
      <w:r>
        <w:rPr>
          <w:rFonts w:ascii="Times New Roman" w:hAnsi="Times New Roman"/>
          <w:b/>
          <w:i w:val="0"/>
        </w:rPr>
        <w:t>Bayside's term sheet expired on June 27, 2025</w:t>
      </w:r>
      <w:r>
        <w:rPr>
          <w:rFonts w:ascii="Times New Roman" w:hAnsi="Times New Roman"/>
          <w:b w:val="0"/>
          <w:i w:val="0"/>
        </w:rPr>
        <w:t xml:space="preserve"> if not executed and returned by then (Bayside § 12). We do not have an executed copy in the record. Please confirm the status, because the sixty-day exclusivity and the § 5 ground lease conditions both run from execution, and there is a further oddity: a term sheet dated May 28 refers to a ground lease term sheet "dated June 10, 2025," so the version in the record may post-date its own cover date.</w:t>
      </w:r>
    </w:p>
    <w:p>
      <w:pPr>
        <w:keepNext/>
        <w:spacing w:before="240" w:after="100"/>
        <w:ind w:left="0"/>
      </w:pPr>
      <w:r>
        <w:rPr>
          <w:rFonts w:ascii="Times New Roman" w:hAnsi="Times New Roman"/>
          <w:b/>
          <w:i w:val="0"/>
          <w:sz w:val="21"/>
        </w:rPr>
        <w:t>6.15  End of term: 99 years, then nothing</w:t>
      </w:r>
    </w:p>
    <w:p>
      <w:pPr>
        <w:spacing w:after="120"/>
        <w:ind w:left="0"/>
        <w:jc w:val="both"/>
      </w:pPr>
      <w:r>
        <w:rPr>
          <w:rFonts w:ascii="Times New Roman" w:hAnsi="Times New Roman"/>
          <w:b w:val="0"/>
          <w:i w:val="0"/>
        </w:rPr>
        <w:t>Term Sheet § 18 provides that at expiration all improvements become the Authority's property "without any payment, compensation, or reimbursement," and § 3 confirms there are no renewal options. That is market for a ground lease and we have not disturbed it in Section 17.2. But it should be seen clearly for what it is: Meridian invests $425 million in buildings on land it will never own, and, absent an extension or purchase right, receives nothing at the end. We have bracketed three alternatives in Section 17.2 — a 25-year extension option, a purchase option at appraised value in the final ten years, or a right of removal or purchase for trade fixtures — and note that an extension option conflicts with Resolution No. 2025-047, § 4(b), which caps the lease term at ninety-nine years. Any of the three requires Board action. Our view is that the extension option is worth pursuing now, while the Authority needs the transaction, rather than in year 90.</w:t>
      </w:r>
    </w:p>
    <w:p>
      <w:pPr>
        <w:keepNext/>
        <w:spacing w:before="320" w:after="160"/>
        <w:pBdr>
          <w:bottom w:val="single" w:sz="6" w:space="2" w:color="000000"/>
        </w:pBdr>
      </w:pPr>
      <w:r>
        <w:rPr>
          <w:rFonts w:ascii="Times New Roman" w:hAnsi="Times New Roman"/>
          <w:b/>
          <w:i w:val="0"/>
          <w:sz w:val="24"/>
        </w:rPr>
        <w:t>PART 7 — LEGAL RESEARCH AND VERIFICATION ITEMS (NOT YET COMPLETED)</w:t>
      </w:r>
    </w:p>
    <w:p>
      <w:pPr>
        <w:spacing w:after="120"/>
        <w:ind w:left="0"/>
        <w:jc w:val="both"/>
      </w:pPr>
      <w:r>
        <w:rPr>
          <w:rFonts w:ascii="Times New Roman" w:hAnsi="Times New Roman"/>
          <w:b w:val="0"/>
          <w:i w:val="0"/>
        </w:rPr>
        <w:t>These are the questions on which we have stated a principle but not verified the authority. Each must be closed before the position is relied on externally. We have graded them by consequence.</w:t>
      </w:r>
    </w:p>
    <w:tbl>
      <w:tblPr>
        <w:tblStyle w:val="TableGrid"/>
        <w:tblW w:type="auto" w:w="0"/>
        <w:jc w:val="center"/>
        <w:tblLayout w:type="fixed"/>
        <w:tblLook w:firstColumn="1" w:firstRow="1" w:lastColumn="0" w:lastRow="0" w:noHBand="0" w:noVBand="1" w:val="04A0"/>
        <w:tblLayout w:type="fixed"/>
        <w:tblW w:type="dxa" w:w="7920"/>
        <w:tblCellMar>
          <w:top w:w="20" w:type="dxa"/>
          <w:left w:w="60" w:type="dxa"/>
          <w:bottom w:w="20" w:type="dxa"/>
          <w:right w:w="60" w:type="dxa"/>
        </w:tblCellMar>
      </w:tblPr>
      <w:tblGrid>
        <w:gridCol w:w="605"/>
        <w:gridCol w:w="3384"/>
        <w:gridCol w:w="3024"/>
        <w:gridCol w:w="907"/>
      </w:tblGrid>
      <w:tr>
        <w:trPr>
          <w:tblHeader w:val="true"/>
        </w:trPr>
        <w:tc>
          <w:tcPr>
            <w:tcW w:type="dxa" w:w="605"/>
            <w:shd w:val="clear" w:color="auto" w:fill="D9D9D9"/>
          </w:tcPr>
          <w:p>
            <w:pPr>
              <w:spacing w:before="20" w:after="20" w:line="240" w:lineRule="auto"/>
            </w:pPr>
            <w:r/>
            <w:r>
              <w:rPr>
                <w:rFonts w:ascii="Times New Roman" w:hAnsi="Times New Roman"/>
                <w:b/>
                <w:i w:val="0"/>
                <w:sz w:val="14"/>
              </w:rPr>
              <w:t>#</w:t>
            </w:r>
          </w:p>
        </w:tc>
        <w:tc>
          <w:tcPr>
            <w:tcW w:type="dxa" w:w="3384"/>
            <w:shd w:val="clear" w:color="auto" w:fill="D9D9D9"/>
          </w:tcPr>
          <w:p>
            <w:pPr>
              <w:spacing w:before="20" w:after="20" w:line="240" w:lineRule="auto"/>
            </w:pPr>
            <w:r/>
            <w:r>
              <w:rPr>
                <w:rFonts w:ascii="Times New Roman" w:hAnsi="Times New Roman"/>
                <w:b/>
                <w:i w:val="0"/>
                <w:sz w:val="14"/>
              </w:rPr>
              <w:t>Question</w:t>
            </w:r>
          </w:p>
        </w:tc>
        <w:tc>
          <w:tcPr>
            <w:tcW w:type="dxa" w:w="3024"/>
            <w:shd w:val="clear" w:color="auto" w:fill="D9D9D9"/>
          </w:tcPr>
          <w:p>
            <w:pPr>
              <w:spacing w:before="20" w:after="20" w:line="240" w:lineRule="auto"/>
            </w:pPr>
            <w:r/>
            <w:r>
              <w:rPr>
                <w:rFonts w:ascii="Times New Roman" w:hAnsi="Times New Roman"/>
                <w:b/>
                <w:i w:val="0"/>
                <w:sz w:val="14"/>
              </w:rPr>
              <w:t>Why it matters</w:t>
            </w:r>
          </w:p>
        </w:tc>
        <w:tc>
          <w:tcPr>
            <w:tcW w:type="dxa" w:w="907"/>
            <w:shd w:val="clear" w:color="auto" w:fill="D9D9D9"/>
          </w:tcPr>
          <w:p>
            <w:pPr>
              <w:spacing w:before="20" w:after="20" w:line="240" w:lineRule="auto"/>
            </w:pPr>
            <w:r/>
            <w:r>
              <w:rPr>
                <w:rFonts w:ascii="Times New Roman" w:hAnsi="Times New Roman"/>
                <w:b/>
                <w:i w:val="0"/>
                <w:sz w:val="14"/>
              </w:rPr>
              <w:t>Status</w:t>
            </w:r>
          </w:p>
        </w:tc>
      </w:tr>
      <w:tr>
        <w:tc>
          <w:tcPr>
            <w:tcW w:type="dxa" w:w="605"/>
          </w:tcPr>
          <w:p>
            <w:pPr>
              <w:spacing w:before="20" w:after="20" w:line="240" w:lineRule="auto"/>
            </w:pPr>
            <w:r/>
            <w:r>
              <w:rPr>
                <w:rFonts w:ascii="Times New Roman" w:hAnsi="Times New Roman"/>
                <w:b w:val="0"/>
                <w:i w:val="0"/>
                <w:sz w:val="14"/>
              </w:rPr>
              <w:t>7.1</w:t>
            </w:r>
          </w:p>
        </w:tc>
        <w:tc>
          <w:tcPr>
            <w:tcW w:type="dxa" w:w="3384"/>
          </w:tcPr>
          <w:p>
            <w:pPr>
              <w:spacing w:before="20" w:after="20" w:line="240" w:lineRule="auto"/>
            </w:pPr>
            <w:r/>
            <w:r>
              <w:rPr>
                <w:rFonts w:ascii="Times New Roman" w:hAnsi="Times New Roman"/>
                <w:b w:val="0"/>
                <w:i w:val="0"/>
                <w:sz w:val="14"/>
              </w:rPr>
              <w:t>Connecticut authority on penalties and on relief from forfeiture in a lease, including whether a reverter in a ground lease is treated as an enforceable conditional limitation rather than a penalty, and the treatment of a leasehold mortgagee's intervening interest</w:t>
            </w:r>
          </w:p>
        </w:tc>
        <w:tc>
          <w:tcPr>
            <w:tcW w:type="dxa" w:w="3024"/>
          </w:tcPr>
          <w:p>
            <w:pPr>
              <w:spacing w:before="20" w:after="20" w:line="240" w:lineRule="auto"/>
            </w:pPr>
            <w:r/>
            <w:r>
              <w:rPr>
                <w:rFonts w:ascii="Times New Roman" w:hAnsi="Times New Roman"/>
                <w:b w:val="0"/>
                <w:i w:val="0"/>
                <w:sz w:val="14"/>
              </w:rPr>
              <w:t>Underpins the entire reverter negotiation and any litigation position (Part 5.3)</w:t>
            </w:r>
          </w:p>
        </w:tc>
        <w:tc>
          <w:tcPr>
            <w:tcW w:type="dxa" w:w="907"/>
          </w:tcPr>
          <w:p>
            <w:pPr>
              <w:spacing w:before="20" w:after="20" w:line="240" w:lineRule="auto"/>
            </w:pPr>
            <w:r/>
            <w:r>
              <w:rPr>
                <w:rFonts w:ascii="Times New Roman" w:hAnsi="Times New Roman"/>
                <w:b w:val="0"/>
                <w:i w:val="0"/>
                <w:sz w:val="14"/>
              </w:rPr>
              <w:t>Open — high</w:t>
            </w:r>
          </w:p>
        </w:tc>
      </w:tr>
      <w:tr>
        <w:tc>
          <w:tcPr>
            <w:tcW w:type="dxa" w:w="605"/>
          </w:tcPr>
          <w:p>
            <w:pPr>
              <w:spacing w:before="20" w:after="20" w:line="240" w:lineRule="auto"/>
            </w:pPr>
            <w:r/>
            <w:r>
              <w:rPr>
                <w:rFonts w:ascii="Times New Roman" w:hAnsi="Times New Roman"/>
                <w:b w:val="0"/>
                <w:i w:val="0"/>
                <w:sz w:val="14"/>
              </w:rPr>
              <w:t>7.2</w:t>
            </w:r>
          </w:p>
        </w:tc>
        <w:tc>
          <w:tcPr>
            <w:tcW w:type="dxa" w:w="3384"/>
          </w:tcPr>
          <w:p>
            <w:pPr>
              <w:spacing w:before="20" w:after="20" w:line="240" w:lineRule="auto"/>
            </w:pPr>
            <w:r/>
            <w:r>
              <w:rPr>
                <w:rFonts w:ascii="Times New Roman" w:hAnsi="Times New Roman"/>
                <w:b w:val="0"/>
                <w:i w:val="0"/>
                <w:sz w:val="14"/>
              </w:rPr>
              <w:t>Whether the City of Port Calloway has statutory authority for a fifteen-year, three-tier abatement at 25% / 50% / 75% of assessed value, and what hearing and approval steps are required</w:t>
            </w:r>
          </w:p>
        </w:tc>
        <w:tc>
          <w:tcPr>
            <w:tcW w:type="dxa" w:w="3024"/>
          </w:tcPr>
          <w:p>
            <w:pPr>
              <w:spacing w:before="20" w:after="20" w:line="240" w:lineRule="auto"/>
            </w:pPr>
            <w:r/>
            <w:r>
              <w:rPr>
                <w:rFonts w:ascii="Times New Roman" w:hAnsi="Times New Roman"/>
                <w:b w:val="0"/>
                <w:i w:val="0"/>
                <w:sz w:val="14"/>
              </w:rPr>
              <w:t>If the structure is outside the city's authority the pro forma fails and the lease cannot fix it (Part 6.2)</w:t>
            </w:r>
          </w:p>
        </w:tc>
        <w:tc>
          <w:tcPr>
            <w:tcW w:type="dxa" w:w="907"/>
          </w:tcPr>
          <w:p>
            <w:pPr>
              <w:spacing w:before="20" w:after="20" w:line="240" w:lineRule="auto"/>
            </w:pPr>
            <w:r/>
            <w:r>
              <w:rPr>
                <w:rFonts w:ascii="Times New Roman" w:hAnsi="Times New Roman"/>
                <w:b w:val="0"/>
                <w:i w:val="0"/>
                <w:sz w:val="14"/>
              </w:rPr>
              <w:t>Open — critical</w:t>
            </w:r>
          </w:p>
        </w:tc>
      </w:tr>
      <w:tr>
        <w:tc>
          <w:tcPr>
            <w:tcW w:type="dxa" w:w="605"/>
          </w:tcPr>
          <w:p>
            <w:pPr>
              <w:spacing w:before="20" w:after="20" w:line="240" w:lineRule="auto"/>
            </w:pPr>
            <w:r/>
            <w:r>
              <w:rPr>
                <w:rFonts w:ascii="Times New Roman" w:hAnsi="Times New Roman"/>
                <w:b w:val="0"/>
                <w:i w:val="0"/>
                <w:sz w:val="14"/>
              </w:rPr>
              <w:t>7.3</w:t>
            </w:r>
          </w:p>
        </w:tc>
        <w:tc>
          <w:tcPr>
            <w:tcW w:type="dxa" w:w="3384"/>
          </w:tcPr>
          <w:p>
            <w:pPr>
              <w:spacing w:before="20" w:after="20" w:line="240" w:lineRule="auto"/>
            </w:pPr>
            <w:r/>
            <w:r>
              <w:rPr>
                <w:rFonts w:ascii="Times New Roman" w:hAnsi="Times New Roman"/>
                <w:b w:val="0"/>
                <w:i w:val="0"/>
                <w:sz w:val="14"/>
              </w:rPr>
              <w:t>Whether a Connecticut redevelopment authority under Conn. Gen. Stat. § 8-125 et seq. may lease for 99 years, and whether any appraisal, notice, hearing, RFP or best-value requirements apply to the disposition of the leasehold</w:t>
            </w:r>
          </w:p>
        </w:tc>
        <w:tc>
          <w:tcPr>
            <w:tcW w:type="dxa" w:w="3024"/>
          </w:tcPr>
          <w:p>
            <w:pPr>
              <w:spacing w:before="20" w:after="20" w:line="240" w:lineRule="auto"/>
            </w:pPr>
            <w:r/>
            <w:r>
              <w:rPr>
                <w:rFonts w:ascii="Times New Roman" w:hAnsi="Times New Roman"/>
                <w:b w:val="0"/>
                <w:i w:val="0"/>
                <w:sz w:val="14"/>
              </w:rPr>
              <w:t>A defect in the Authority's authority would taint the lease, the title policy and the loan (Part 8)</w:t>
            </w:r>
          </w:p>
        </w:tc>
        <w:tc>
          <w:tcPr>
            <w:tcW w:type="dxa" w:w="907"/>
          </w:tcPr>
          <w:p>
            <w:pPr>
              <w:spacing w:before="20" w:after="20" w:line="240" w:lineRule="auto"/>
            </w:pPr>
            <w:r/>
            <w:r>
              <w:rPr>
                <w:rFonts w:ascii="Times New Roman" w:hAnsi="Times New Roman"/>
                <w:b w:val="0"/>
                <w:i w:val="0"/>
                <w:sz w:val="14"/>
              </w:rPr>
              <w:t>Open — high</w:t>
            </w:r>
          </w:p>
        </w:tc>
      </w:tr>
      <w:tr>
        <w:tc>
          <w:tcPr>
            <w:tcW w:type="dxa" w:w="605"/>
          </w:tcPr>
          <w:p>
            <w:pPr>
              <w:spacing w:before="20" w:after="20" w:line="240" w:lineRule="auto"/>
            </w:pPr>
            <w:r/>
            <w:r>
              <w:rPr>
                <w:rFonts w:ascii="Times New Roman" w:hAnsi="Times New Roman"/>
                <w:b w:val="0"/>
                <w:i w:val="0"/>
                <w:sz w:val="14"/>
              </w:rPr>
              <w:t>7.4</w:t>
            </w:r>
          </w:p>
        </w:tc>
        <w:tc>
          <w:tcPr>
            <w:tcW w:type="dxa" w:w="3384"/>
          </w:tcPr>
          <w:p>
            <w:pPr>
              <w:spacing w:before="20" w:after="20" w:line="240" w:lineRule="auto"/>
            </w:pPr>
            <w:r/>
            <w:r>
              <w:rPr>
                <w:rFonts w:ascii="Times New Roman" w:hAnsi="Times New Roman"/>
                <w:b w:val="0"/>
                <w:i w:val="0"/>
                <w:sz w:val="14"/>
              </w:rPr>
              <w:t>Whether a mechanics' lien validly attaches to property held by a redevelopment authority for a public purpose, whether Conn. Gen. Stat. § 49-37 bonding is the correct route, and whether Tenant could be treated as an "owner" for lien purposes once the lease and memorandum are recorded</w:t>
            </w:r>
          </w:p>
        </w:tc>
        <w:tc>
          <w:tcPr>
            <w:tcW w:type="dxa" w:w="3024"/>
          </w:tcPr>
          <w:p>
            <w:pPr>
              <w:spacing w:before="20" w:after="20" w:line="240" w:lineRule="auto"/>
            </w:pPr>
            <w:r/>
            <w:r>
              <w:rPr>
                <w:rFonts w:ascii="Times New Roman" w:hAnsi="Times New Roman"/>
                <w:b w:val="0"/>
                <w:i w:val="0"/>
                <w:sz w:val="14"/>
              </w:rPr>
              <w:t>Determines whether the lien must simply be paid or can be defeated (Part 6.6)</w:t>
            </w:r>
          </w:p>
        </w:tc>
        <w:tc>
          <w:tcPr>
            <w:tcW w:type="dxa" w:w="907"/>
          </w:tcPr>
          <w:p>
            <w:pPr>
              <w:spacing w:before="20" w:after="20" w:line="240" w:lineRule="auto"/>
            </w:pPr>
            <w:r/>
            <w:r>
              <w:rPr>
                <w:rFonts w:ascii="Times New Roman" w:hAnsi="Times New Roman"/>
                <w:b w:val="0"/>
                <w:i w:val="0"/>
                <w:sz w:val="14"/>
              </w:rPr>
              <w:t>Open — medium</w:t>
            </w:r>
          </w:p>
        </w:tc>
      </w:tr>
      <w:tr>
        <w:tc>
          <w:tcPr>
            <w:tcW w:type="dxa" w:w="605"/>
          </w:tcPr>
          <w:p>
            <w:pPr>
              <w:spacing w:before="20" w:after="20" w:line="240" w:lineRule="auto"/>
            </w:pPr>
            <w:r/>
            <w:r>
              <w:rPr>
                <w:rFonts w:ascii="Times New Roman" w:hAnsi="Times New Roman"/>
                <w:b w:val="0"/>
                <w:i w:val="0"/>
                <w:sz w:val="14"/>
              </w:rPr>
              <w:t>7.5</w:t>
            </w:r>
          </w:p>
        </w:tc>
        <w:tc>
          <w:tcPr>
            <w:tcW w:type="dxa" w:w="3384"/>
          </w:tcPr>
          <w:p>
            <w:pPr>
              <w:spacing w:before="20" w:after="20" w:line="240" w:lineRule="auto"/>
            </w:pPr>
            <w:r/>
            <w:r>
              <w:rPr>
                <w:rFonts w:ascii="Times New Roman" w:hAnsi="Times New Roman"/>
                <w:b w:val="0"/>
                <w:i w:val="0"/>
                <w:sz w:val="14"/>
              </w:rPr>
              <w:t>Whether the Authority can be compelled by specific performance to execute a New Lease, and whether a future Board can be bound by this Board's covenant; whether the Authority may agree to binding arbitration; whether a jury trial waiver by a public body is effective; the scope of any governmental immunity</w:t>
            </w:r>
          </w:p>
        </w:tc>
        <w:tc>
          <w:tcPr>
            <w:tcW w:type="dxa" w:w="3024"/>
          </w:tcPr>
          <w:p>
            <w:pPr>
              <w:spacing w:before="20" w:after="20" w:line="240" w:lineRule="auto"/>
            </w:pPr>
            <w:r/>
            <w:r>
              <w:rPr>
                <w:rFonts w:ascii="Times New Roman" w:hAnsi="Times New Roman"/>
                <w:b w:val="0"/>
                <w:i w:val="0"/>
                <w:sz w:val="14"/>
              </w:rPr>
              <w:t>The New Lease right is the single most important lender protection after the cure periods; if it is not specifically enforceable it is worth much less (Sections 9.6, 20.2, 20.16)</w:t>
            </w:r>
          </w:p>
        </w:tc>
        <w:tc>
          <w:tcPr>
            <w:tcW w:type="dxa" w:w="907"/>
          </w:tcPr>
          <w:p>
            <w:pPr>
              <w:spacing w:before="20" w:after="20" w:line="240" w:lineRule="auto"/>
            </w:pPr>
            <w:r/>
            <w:r>
              <w:rPr>
                <w:rFonts w:ascii="Times New Roman" w:hAnsi="Times New Roman"/>
                <w:b w:val="0"/>
                <w:i w:val="0"/>
                <w:sz w:val="14"/>
              </w:rPr>
              <w:t>Open — high</w:t>
            </w:r>
          </w:p>
        </w:tc>
      </w:tr>
      <w:tr>
        <w:tc>
          <w:tcPr>
            <w:tcW w:type="dxa" w:w="605"/>
          </w:tcPr>
          <w:p>
            <w:pPr>
              <w:spacing w:before="20" w:after="20" w:line="240" w:lineRule="auto"/>
            </w:pPr>
            <w:r/>
            <w:r>
              <w:rPr>
                <w:rFonts w:ascii="Times New Roman" w:hAnsi="Times New Roman"/>
                <w:b w:val="0"/>
                <w:i w:val="0"/>
                <w:sz w:val="14"/>
              </w:rPr>
              <w:t>7.6</w:t>
            </w:r>
          </w:p>
        </w:tc>
        <w:tc>
          <w:tcPr>
            <w:tcW w:type="dxa" w:w="3384"/>
          </w:tcPr>
          <w:p>
            <w:pPr>
              <w:spacing w:before="20" w:after="20" w:line="240" w:lineRule="auto"/>
            </w:pPr>
            <w:r/>
            <w:r>
              <w:rPr>
                <w:rFonts w:ascii="Times New Roman" w:hAnsi="Times New Roman"/>
                <w:b w:val="0"/>
                <w:i w:val="0"/>
                <w:sz w:val="14"/>
              </w:rPr>
              <w:t>Whether the New Lease right survives rejection of the ground lease in bankruptcy as a property interest under 11 U.S.C. § 365(h)/(i), and how to document it to maximize that outcome</w:t>
            </w:r>
          </w:p>
        </w:tc>
        <w:tc>
          <w:tcPr>
            <w:tcW w:type="dxa" w:w="3024"/>
          </w:tcPr>
          <w:p>
            <w:pPr>
              <w:spacing w:before="20" w:after="20" w:line="240" w:lineRule="auto"/>
            </w:pPr>
            <w:r/>
            <w:r>
              <w:rPr>
                <w:rFonts w:ascii="Times New Roman" w:hAnsi="Times New Roman"/>
                <w:b w:val="0"/>
                <w:i w:val="0"/>
                <w:sz w:val="14"/>
              </w:rPr>
              <w:t>Bayside § 5.7(d) requires it (Section 9.8)</w:t>
            </w:r>
          </w:p>
        </w:tc>
        <w:tc>
          <w:tcPr>
            <w:tcW w:type="dxa" w:w="907"/>
          </w:tcPr>
          <w:p>
            <w:pPr>
              <w:spacing w:before="20" w:after="20" w:line="240" w:lineRule="auto"/>
            </w:pPr>
            <w:r/>
            <w:r>
              <w:rPr>
                <w:rFonts w:ascii="Times New Roman" w:hAnsi="Times New Roman"/>
                <w:b w:val="0"/>
                <w:i w:val="0"/>
                <w:sz w:val="14"/>
              </w:rPr>
              <w:t>Open — medium</w:t>
            </w:r>
          </w:p>
        </w:tc>
      </w:tr>
      <w:tr>
        <w:tc>
          <w:tcPr>
            <w:tcW w:type="dxa" w:w="605"/>
          </w:tcPr>
          <w:p>
            <w:pPr>
              <w:spacing w:before="20" w:after="20" w:line="240" w:lineRule="auto"/>
            </w:pPr>
            <w:r/>
            <w:r>
              <w:rPr>
                <w:rFonts w:ascii="Times New Roman" w:hAnsi="Times New Roman"/>
                <w:b w:val="0"/>
                <w:i w:val="0"/>
                <w:sz w:val="14"/>
              </w:rPr>
              <w:t>7.7</w:t>
            </w:r>
          </w:p>
        </w:tc>
        <w:tc>
          <w:tcPr>
            <w:tcW w:type="dxa" w:w="3384"/>
          </w:tcPr>
          <w:p>
            <w:pPr>
              <w:spacing w:before="20" w:after="20" w:line="240" w:lineRule="auto"/>
            </w:pPr>
            <w:r/>
            <w:r>
              <w:rPr>
                <w:rFonts w:ascii="Times New Roman" w:hAnsi="Times New Roman"/>
                <w:b w:val="0"/>
                <w:i w:val="0"/>
                <w:sz w:val="14"/>
              </w:rPr>
              <w:t>Whether the ELUR's ground-floor restriction, as drafted and as approved by DEEP, reaches non-habitable lobby, amenity and leasing space, and what a modification application requires</w:t>
            </w:r>
          </w:p>
        </w:tc>
        <w:tc>
          <w:tcPr>
            <w:tcW w:type="dxa" w:w="3024"/>
          </w:tcPr>
          <w:p>
            <w:pPr>
              <w:spacing w:before="20" w:after="20" w:line="240" w:lineRule="auto"/>
            </w:pPr>
            <w:r/>
            <w:r>
              <w:rPr>
                <w:rFonts w:ascii="Times New Roman" w:hAnsi="Times New Roman"/>
                <w:b w:val="0"/>
                <w:i w:val="0"/>
                <w:sz w:val="14"/>
              </w:rPr>
              <w:t>Design, permitting and Milestone 1 risk (Part 6.3)</w:t>
            </w:r>
          </w:p>
        </w:tc>
        <w:tc>
          <w:tcPr>
            <w:tcW w:type="dxa" w:w="907"/>
          </w:tcPr>
          <w:p>
            <w:pPr>
              <w:spacing w:before="20" w:after="20" w:line="240" w:lineRule="auto"/>
            </w:pPr>
            <w:r/>
            <w:r>
              <w:rPr>
                <w:rFonts w:ascii="Times New Roman" w:hAnsi="Times New Roman"/>
                <w:b w:val="0"/>
                <w:i w:val="0"/>
                <w:sz w:val="14"/>
              </w:rPr>
              <w:t>Open — high</w:t>
            </w:r>
          </w:p>
        </w:tc>
      </w:tr>
      <w:tr>
        <w:tc>
          <w:tcPr>
            <w:tcW w:type="dxa" w:w="605"/>
          </w:tcPr>
          <w:p>
            <w:pPr>
              <w:spacing w:before="20" w:after="20" w:line="240" w:lineRule="auto"/>
            </w:pPr>
            <w:r/>
            <w:r>
              <w:rPr>
                <w:rFonts w:ascii="Times New Roman" w:hAnsi="Times New Roman"/>
                <w:b w:val="0"/>
                <w:i w:val="0"/>
                <w:sz w:val="14"/>
              </w:rPr>
              <w:t>7.8</w:t>
            </w:r>
          </w:p>
        </w:tc>
        <w:tc>
          <w:tcPr>
            <w:tcW w:type="dxa" w:w="3384"/>
          </w:tcPr>
          <w:p>
            <w:pPr>
              <w:spacing w:before="20" w:after="20" w:line="240" w:lineRule="auto"/>
            </w:pPr>
            <w:r/>
            <w:r>
              <w:rPr>
                <w:rFonts w:ascii="Times New Roman" w:hAnsi="Times New Roman"/>
                <w:b w:val="0"/>
                <w:i w:val="0"/>
                <w:sz w:val="14"/>
              </w:rPr>
              <w:t>The coastal permit requirements for bulkhead rehabilitation (Structures, Dredging and Fill; tidal wetlands) and whether the pedestrian easement prohibits the work</w:t>
            </w:r>
          </w:p>
        </w:tc>
        <w:tc>
          <w:tcPr>
            <w:tcW w:type="dxa" w:w="3024"/>
          </w:tcPr>
          <w:p>
            <w:pPr>
              <w:spacing w:before="20" w:after="20" w:line="240" w:lineRule="auto"/>
            </w:pPr>
            <w:r/>
            <w:r>
              <w:rPr>
                <w:rFonts w:ascii="Times New Roman" w:hAnsi="Times New Roman"/>
                <w:b w:val="0"/>
                <w:i w:val="0"/>
                <w:sz w:val="14"/>
              </w:rPr>
              <w:t>Schedule and cost risk for an unquantified item (Part 6.5)</w:t>
            </w:r>
          </w:p>
        </w:tc>
        <w:tc>
          <w:tcPr>
            <w:tcW w:type="dxa" w:w="907"/>
          </w:tcPr>
          <w:p>
            <w:pPr>
              <w:spacing w:before="20" w:after="20" w:line="240" w:lineRule="auto"/>
            </w:pPr>
            <w:r/>
            <w:r>
              <w:rPr>
                <w:rFonts w:ascii="Times New Roman" w:hAnsi="Times New Roman"/>
                <w:b w:val="0"/>
                <w:i w:val="0"/>
                <w:sz w:val="14"/>
              </w:rPr>
              <w:t>Open — medium</w:t>
            </w:r>
          </w:p>
        </w:tc>
      </w:tr>
      <w:tr>
        <w:tc>
          <w:tcPr>
            <w:tcW w:type="dxa" w:w="605"/>
          </w:tcPr>
          <w:p>
            <w:pPr>
              <w:spacing w:before="20" w:after="20" w:line="240" w:lineRule="auto"/>
            </w:pPr>
            <w:r/>
            <w:r>
              <w:rPr>
                <w:rFonts w:ascii="Times New Roman" w:hAnsi="Times New Roman"/>
                <w:b w:val="0"/>
                <w:i w:val="0"/>
                <w:sz w:val="14"/>
              </w:rPr>
              <w:t>7.9</w:t>
            </w:r>
          </w:p>
        </w:tc>
        <w:tc>
          <w:tcPr>
            <w:tcW w:type="dxa" w:w="3384"/>
          </w:tcPr>
          <w:p>
            <w:pPr>
              <w:spacing w:before="20" w:after="20" w:line="240" w:lineRule="auto"/>
            </w:pPr>
            <w:r/>
            <w:r>
              <w:rPr>
                <w:rFonts w:ascii="Times New Roman" w:hAnsi="Times New Roman"/>
                <w:b w:val="0"/>
                <w:i w:val="0"/>
                <w:sz w:val="14"/>
              </w:rPr>
              <w:t>Whether the Authority's 2019 recorded declarations can be amended unilaterally or require the consent of any third party, and what Board action is required</w:t>
            </w:r>
          </w:p>
        </w:tc>
        <w:tc>
          <w:tcPr>
            <w:tcW w:type="dxa" w:w="3024"/>
          </w:tcPr>
          <w:p>
            <w:pPr>
              <w:spacing w:before="20" w:after="20" w:line="240" w:lineRule="auto"/>
            </w:pPr>
            <w:r/>
            <w:r>
              <w:rPr>
                <w:rFonts w:ascii="Times New Roman" w:hAnsi="Times New Roman"/>
                <w:b w:val="0"/>
                <w:i w:val="0"/>
                <w:sz w:val="14"/>
              </w:rPr>
              <w:t>The ROFR amendment is a closing condition (Part 6.7)</w:t>
            </w:r>
          </w:p>
        </w:tc>
        <w:tc>
          <w:tcPr>
            <w:tcW w:type="dxa" w:w="907"/>
          </w:tcPr>
          <w:p>
            <w:pPr>
              <w:spacing w:before="20" w:after="20" w:line="240" w:lineRule="auto"/>
            </w:pPr>
            <w:r/>
            <w:r>
              <w:rPr>
                <w:rFonts w:ascii="Times New Roman" w:hAnsi="Times New Roman"/>
                <w:b w:val="0"/>
                <w:i w:val="0"/>
                <w:sz w:val="14"/>
              </w:rPr>
              <w:t>Open — medium</w:t>
            </w:r>
          </w:p>
        </w:tc>
      </w:tr>
      <w:tr>
        <w:tc>
          <w:tcPr>
            <w:tcW w:type="dxa" w:w="605"/>
          </w:tcPr>
          <w:p>
            <w:pPr>
              <w:spacing w:before="20" w:after="20" w:line="240" w:lineRule="auto"/>
            </w:pPr>
            <w:r/>
            <w:r>
              <w:rPr>
                <w:rFonts w:ascii="Times New Roman" w:hAnsi="Times New Roman"/>
                <w:b w:val="0"/>
                <w:i w:val="0"/>
                <w:sz w:val="14"/>
              </w:rPr>
              <w:t>7.10</w:t>
            </w:r>
          </w:p>
        </w:tc>
        <w:tc>
          <w:tcPr>
            <w:tcW w:type="dxa" w:w="3384"/>
          </w:tcPr>
          <w:p>
            <w:pPr>
              <w:spacing w:before="20" w:after="20" w:line="240" w:lineRule="auto"/>
            </w:pPr>
            <w:r/>
            <w:r>
              <w:rPr>
                <w:rFonts w:ascii="Times New Roman" w:hAnsi="Times New Roman"/>
                <w:b w:val="0"/>
                <w:i w:val="0"/>
                <w:sz w:val="14"/>
              </w:rPr>
              <w:t>Connecticut and federal fair housing / affirmatively furthering fair housing requirements as they affect unit distribution and the 15% covenant, and any HUD or state monitoring obligations</w:t>
            </w:r>
          </w:p>
        </w:tc>
        <w:tc>
          <w:tcPr>
            <w:tcW w:type="dxa" w:w="3024"/>
          </w:tcPr>
          <w:p>
            <w:pPr>
              <w:spacing w:before="20" w:after="20" w:line="240" w:lineRule="auto"/>
            </w:pPr>
            <w:r/>
            <w:r>
              <w:rPr>
                <w:rFonts w:ascii="Times New Roman" w:hAnsi="Times New Roman"/>
                <w:b w:val="0"/>
                <w:i w:val="0"/>
                <w:sz w:val="14"/>
              </w:rPr>
              <w:t>Affects the distribution provisions in Section 14.5</w:t>
            </w:r>
          </w:p>
        </w:tc>
        <w:tc>
          <w:tcPr>
            <w:tcW w:type="dxa" w:w="907"/>
          </w:tcPr>
          <w:p>
            <w:pPr>
              <w:spacing w:before="20" w:after="20" w:line="240" w:lineRule="auto"/>
            </w:pPr>
            <w:r/>
            <w:r>
              <w:rPr>
                <w:rFonts w:ascii="Times New Roman" w:hAnsi="Times New Roman"/>
                <w:b w:val="0"/>
                <w:i w:val="0"/>
                <w:sz w:val="14"/>
              </w:rPr>
              <w:t>Open — low</w:t>
            </w:r>
          </w:p>
        </w:tc>
      </w:tr>
    </w:tbl>
    <w:p>
      <w:pPr>
        <w:spacing w:after="40" w:before="0"/>
      </w:pPr>
    </w:p>
    <w:p>
      <w:pPr>
        <w:keepNext/>
        <w:spacing w:before="320" w:after="160"/>
        <w:pBdr>
          <w:bottom w:val="single" w:sz="6" w:space="2" w:color="000000"/>
        </w:pBdr>
      </w:pPr>
      <w:r>
        <w:rPr>
          <w:rFonts w:ascii="Times New Roman" w:hAnsi="Times New Roman"/>
          <w:b/>
          <w:i w:val="0"/>
          <w:sz w:val="24"/>
        </w:rPr>
        <w:t>PART 8 — MISSING DOCUMENTS AND DILIGENCE REQUESTS</w:t>
      </w:r>
    </w:p>
    <w:p>
      <w:pPr>
        <w:spacing w:after="120"/>
        <w:ind w:left="0"/>
        <w:jc w:val="both"/>
      </w:pPr>
      <w:r>
        <w:rPr>
          <w:rFonts w:ascii="Times New Roman" w:hAnsi="Times New Roman"/>
          <w:b w:val="0"/>
          <w:i w:val="0"/>
        </w:rPr>
        <w:t>Items marked ★ should be requested this week; each one has the potential to change a number in the draft.</w:t>
      </w:r>
    </w:p>
    <w:tbl>
      <w:tblPr>
        <w:tblStyle w:val="TableGrid"/>
        <w:tblW w:type="auto" w:w="0"/>
        <w:jc w:val="center"/>
        <w:tblLayout w:type="fixed"/>
        <w:tblLook w:firstColumn="1" w:firstRow="1" w:lastColumn="0" w:lastRow="0" w:noHBand="0" w:noVBand="1" w:val="04A0"/>
        <w:tblLayout w:type="fixed"/>
        <w:tblW w:type="dxa" w:w="7920"/>
        <w:tblCellMar>
          <w:top w:w="20" w:type="dxa"/>
          <w:left w:w="60" w:type="dxa"/>
          <w:bottom w:w="20" w:type="dxa"/>
          <w:right w:w="60" w:type="dxa"/>
        </w:tblCellMar>
      </w:tblPr>
      <w:tblGrid>
        <w:gridCol w:w="504"/>
        <w:gridCol w:w="3312"/>
        <w:gridCol w:w="1656"/>
        <w:gridCol w:w="2448"/>
      </w:tblGrid>
      <w:tr>
        <w:trPr>
          <w:tblHeader w:val="true"/>
        </w:trPr>
        <w:tc>
          <w:tcPr>
            <w:tcW w:type="dxa" w:w="504"/>
            <w:shd w:val="clear" w:color="auto" w:fill="D9D9D9"/>
          </w:tcPr>
          <w:p>
            <w:pPr>
              <w:spacing w:before="20" w:after="20" w:line="240" w:lineRule="auto"/>
            </w:pPr>
            <w:r/>
            <w:r>
              <w:rPr>
                <w:rFonts w:ascii="Times New Roman" w:hAnsi="Times New Roman"/>
                <w:b/>
                <w:i w:val="0"/>
                <w:sz w:val="14"/>
              </w:rPr>
              <w:t>#</w:t>
            </w:r>
          </w:p>
        </w:tc>
        <w:tc>
          <w:tcPr>
            <w:tcW w:type="dxa" w:w="3312"/>
            <w:shd w:val="clear" w:color="auto" w:fill="D9D9D9"/>
          </w:tcPr>
          <w:p>
            <w:pPr>
              <w:spacing w:before="20" w:after="20" w:line="240" w:lineRule="auto"/>
            </w:pPr>
            <w:r/>
            <w:r>
              <w:rPr>
                <w:rFonts w:ascii="Times New Roman" w:hAnsi="Times New Roman"/>
                <w:b/>
                <w:i w:val="0"/>
                <w:sz w:val="14"/>
              </w:rPr>
              <w:t>Document</w:t>
            </w:r>
          </w:p>
        </w:tc>
        <w:tc>
          <w:tcPr>
            <w:tcW w:type="dxa" w:w="1656"/>
            <w:shd w:val="clear" w:color="auto" w:fill="D9D9D9"/>
          </w:tcPr>
          <w:p>
            <w:pPr>
              <w:spacing w:before="20" w:after="20" w:line="240" w:lineRule="auto"/>
            </w:pPr>
            <w:r/>
            <w:r>
              <w:rPr>
                <w:rFonts w:ascii="Times New Roman" w:hAnsi="Times New Roman"/>
                <w:b/>
                <w:i w:val="0"/>
                <w:sz w:val="14"/>
              </w:rPr>
              <w:t>From</w:t>
            </w:r>
          </w:p>
        </w:tc>
        <w:tc>
          <w:tcPr>
            <w:tcW w:type="dxa" w:w="2448"/>
            <w:shd w:val="clear" w:color="auto" w:fill="D9D9D9"/>
          </w:tcPr>
          <w:p>
            <w:pPr>
              <w:spacing w:before="20" w:after="20" w:line="240" w:lineRule="auto"/>
            </w:pPr>
            <w:r/>
            <w:r>
              <w:rPr>
                <w:rFonts w:ascii="Times New Roman" w:hAnsi="Times New Roman"/>
                <w:b/>
                <w:i w:val="0"/>
                <w:sz w:val="14"/>
              </w:rPr>
              <w:t>Why we need it</w:t>
            </w:r>
          </w:p>
        </w:tc>
      </w:tr>
      <w:tr>
        <w:tc>
          <w:tcPr>
            <w:tcW w:type="dxa" w:w="504"/>
          </w:tcPr>
          <w:p>
            <w:pPr>
              <w:spacing w:before="20" w:after="20" w:line="240" w:lineRule="auto"/>
            </w:pPr>
            <w:r/>
            <w:r>
              <w:rPr>
                <w:rFonts w:ascii="Times New Roman" w:hAnsi="Times New Roman"/>
                <w:b w:val="0"/>
                <w:i w:val="0"/>
                <w:sz w:val="14"/>
              </w:rPr>
              <w:t>1 ★</w:t>
            </w:r>
          </w:p>
        </w:tc>
        <w:tc>
          <w:tcPr>
            <w:tcW w:type="dxa" w:w="3312"/>
          </w:tcPr>
          <w:p>
            <w:pPr>
              <w:spacing w:before="20" w:after="20" w:line="240" w:lineRule="auto"/>
            </w:pPr>
            <w:r/>
            <w:r>
              <w:rPr>
                <w:rFonts w:ascii="Times New Roman" w:hAnsi="Times New Roman"/>
                <w:b w:val="0"/>
                <w:i w:val="0"/>
                <w:sz w:val="14"/>
              </w:rPr>
              <w:t>ALTA/NSPS survey, plat Sheets 1 and 2 (CLS-2025-0417), certified to Bayside</w:t>
            </w:r>
          </w:p>
        </w:tc>
        <w:tc>
          <w:tcPr>
            <w:tcW w:type="dxa" w:w="1656"/>
          </w:tcPr>
          <w:p>
            <w:pPr>
              <w:spacing w:before="20" w:after="20" w:line="240" w:lineRule="auto"/>
            </w:pPr>
            <w:r/>
            <w:r>
              <w:rPr>
                <w:rFonts w:ascii="Times New Roman" w:hAnsi="Times New Roman"/>
                <w:b w:val="0"/>
                <w:i w:val="0"/>
                <w:sz w:val="14"/>
              </w:rPr>
              <w:t>Calloway Land Surveyors / Ridgepoint</w:t>
            </w:r>
          </w:p>
        </w:tc>
        <w:tc>
          <w:tcPr>
            <w:tcW w:type="dxa" w:w="2448"/>
          </w:tcPr>
          <w:p>
            <w:pPr>
              <w:spacing w:before="20" w:after="20" w:line="240" w:lineRule="auto"/>
            </w:pPr>
            <w:r/>
            <w:r>
              <w:rPr>
                <w:rFonts w:ascii="Times New Roman" w:hAnsi="Times New Roman"/>
                <w:b w:val="0"/>
                <w:i w:val="0"/>
                <w:sz w:val="14"/>
              </w:rPr>
              <w:t>To resolve the 480 ft / 320.47 ft bulkhead question, the 139,392 / 139,475 SF area question, and the 8,000 SF open-space geometry</w:t>
            </w:r>
          </w:p>
        </w:tc>
      </w:tr>
      <w:tr>
        <w:tc>
          <w:tcPr>
            <w:tcW w:type="dxa" w:w="504"/>
          </w:tcPr>
          <w:p>
            <w:pPr>
              <w:spacing w:before="20" w:after="20" w:line="240" w:lineRule="auto"/>
            </w:pPr>
            <w:r/>
            <w:r>
              <w:rPr>
                <w:rFonts w:ascii="Times New Roman" w:hAnsi="Times New Roman"/>
                <w:b w:val="0"/>
                <w:i w:val="0"/>
                <w:sz w:val="14"/>
              </w:rPr>
              <w:t>2 ★</w:t>
            </w:r>
          </w:p>
        </w:tc>
        <w:tc>
          <w:tcPr>
            <w:tcW w:type="dxa" w:w="3312"/>
          </w:tcPr>
          <w:p>
            <w:pPr>
              <w:spacing w:before="20" w:after="20" w:line="240" w:lineRule="auto"/>
            </w:pPr>
            <w:r/>
            <w:r>
              <w:rPr>
                <w:rFonts w:ascii="Times New Roman" w:hAnsi="Times New Roman"/>
                <w:b w:val="0"/>
                <w:i w:val="0"/>
                <w:sz w:val="14"/>
              </w:rPr>
              <w:t>Survey CLS-2025-0321 by J. Michael Ferreira, P.L.S. (the survey cited in the title commitment), or confirmation that no such survey exists</w:t>
            </w:r>
          </w:p>
        </w:tc>
        <w:tc>
          <w:tcPr>
            <w:tcW w:type="dxa" w:w="1656"/>
          </w:tcPr>
          <w:p>
            <w:pPr>
              <w:spacing w:before="20" w:after="20" w:line="240" w:lineRule="auto"/>
            </w:pPr>
            <w:r/>
            <w:r>
              <w:rPr>
                <w:rFonts w:ascii="Times New Roman" w:hAnsi="Times New Roman"/>
                <w:b w:val="0"/>
                <w:i w:val="0"/>
                <w:sz w:val="14"/>
              </w:rPr>
              <w:t>Ridgepoint</w:t>
            </w:r>
          </w:p>
        </w:tc>
        <w:tc>
          <w:tcPr>
            <w:tcW w:type="dxa" w:w="2448"/>
          </w:tcPr>
          <w:p>
            <w:pPr>
              <w:spacing w:before="20" w:after="20" w:line="240" w:lineRule="auto"/>
            </w:pPr>
            <w:r/>
            <w:r>
              <w:rPr>
                <w:rFonts w:ascii="Times New Roman" w:hAnsi="Times New Roman"/>
                <w:b w:val="0"/>
                <w:i w:val="0"/>
                <w:sz w:val="14"/>
              </w:rPr>
              <w:t>The title commitment's Exhibit A cannot be reconciled without it</w:t>
            </w:r>
          </w:p>
        </w:tc>
      </w:tr>
      <w:tr>
        <w:tc>
          <w:tcPr>
            <w:tcW w:type="dxa" w:w="504"/>
          </w:tcPr>
          <w:p>
            <w:pPr>
              <w:spacing w:before="20" w:after="20" w:line="240" w:lineRule="auto"/>
            </w:pPr>
            <w:r/>
            <w:r>
              <w:rPr>
                <w:rFonts w:ascii="Times New Roman" w:hAnsi="Times New Roman"/>
                <w:b w:val="0"/>
                <w:i w:val="0"/>
                <w:sz w:val="14"/>
              </w:rPr>
              <w:t>3 ★</w:t>
            </w:r>
          </w:p>
        </w:tc>
        <w:tc>
          <w:tcPr>
            <w:tcW w:type="dxa" w:w="3312"/>
          </w:tcPr>
          <w:p>
            <w:pPr>
              <w:spacing w:before="20" w:after="20" w:line="240" w:lineRule="auto"/>
            </w:pPr>
            <w:r/>
            <w:r>
              <w:rPr>
                <w:rFonts w:ascii="Times New Roman" w:hAnsi="Times New Roman"/>
                <w:b w:val="0"/>
                <w:i w:val="0"/>
                <w:sz w:val="14"/>
              </w:rPr>
              <w:t>Phase II ESA full report and Appendices A–J, especially Appendix I (cost estimate backup) and Appendix F (ELUR)</w:t>
            </w:r>
          </w:p>
        </w:tc>
        <w:tc>
          <w:tcPr>
            <w:tcW w:type="dxa" w:w="1656"/>
          </w:tcPr>
          <w:p>
            <w:pPr>
              <w:spacing w:before="20" w:after="20" w:line="240" w:lineRule="auto"/>
            </w:pPr>
            <w:r/>
            <w:r>
              <w:rPr>
                <w:rFonts w:ascii="Times New Roman" w:hAnsi="Times New Roman"/>
                <w:b w:val="0"/>
                <w:i w:val="0"/>
                <w:sz w:val="14"/>
              </w:rPr>
              <w:t>Halcyon / Meridian</w:t>
            </w:r>
          </w:p>
        </w:tc>
        <w:tc>
          <w:tcPr>
            <w:tcW w:type="dxa" w:w="2448"/>
          </w:tcPr>
          <w:p>
            <w:pPr>
              <w:spacing w:before="20" w:after="20" w:line="240" w:lineRule="auto"/>
            </w:pPr>
            <w:r/>
            <w:r>
              <w:rPr>
                <w:rFonts w:ascii="Times New Roman" w:hAnsi="Times New Roman"/>
                <w:b w:val="0"/>
                <w:i w:val="0"/>
                <w:sz w:val="14"/>
              </w:rPr>
              <w:t>The $2.4M estimate, the disposal quantity, and the ELUR text are all unverifiable without it</w:t>
            </w:r>
          </w:p>
        </w:tc>
      </w:tr>
      <w:tr>
        <w:tc>
          <w:tcPr>
            <w:tcW w:type="dxa" w:w="504"/>
          </w:tcPr>
          <w:p>
            <w:pPr>
              <w:spacing w:before="20" w:after="20" w:line="240" w:lineRule="auto"/>
            </w:pPr>
            <w:r/>
            <w:r>
              <w:rPr>
                <w:rFonts w:ascii="Times New Roman" w:hAnsi="Times New Roman"/>
                <w:b w:val="0"/>
                <w:i w:val="0"/>
                <w:sz w:val="14"/>
              </w:rPr>
              <w:t>4 ★</w:t>
            </w:r>
          </w:p>
        </w:tc>
        <w:tc>
          <w:tcPr>
            <w:tcW w:type="dxa" w:w="3312"/>
          </w:tcPr>
          <w:p>
            <w:pPr>
              <w:spacing w:before="20" w:after="20" w:line="240" w:lineRule="auto"/>
            </w:pPr>
            <w:r/>
            <w:r>
              <w:rPr>
                <w:rFonts w:ascii="Times New Roman" w:hAnsi="Times New Roman"/>
                <w:b w:val="0"/>
                <w:i w:val="0"/>
                <w:sz w:val="14"/>
              </w:rPr>
              <w:t>The ELUR instrument (Vol. 412, Pg. 88) and the DEEP-approved Environmental Management Plan</w:t>
            </w:r>
          </w:p>
        </w:tc>
        <w:tc>
          <w:tcPr>
            <w:tcW w:type="dxa" w:w="1656"/>
          </w:tcPr>
          <w:p>
            <w:pPr>
              <w:spacing w:before="20" w:after="20" w:line="240" w:lineRule="auto"/>
            </w:pPr>
            <w:r/>
            <w:r>
              <w:rPr>
                <w:rFonts w:ascii="Times New Roman" w:hAnsi="Times New Roman"/>
                <w:b w:val="0"/>
                <w:i w:val="0"/>
                <w:sz w:val="14"/>
              </w:rPr>
              <w:t>Land records / Authority</w:t>
            </w:r>
          </w:p>
        </w:tc>
        <w:tc>
          <w:tcPr>
            <w:tcW w:type="dxa" w:w="2448"/>
          </w:tcPr>
          <w:p>
            <w:pPr>
              <w:spacing w:before="20" w:after="20" w:line="240" w:lineRule="auto"/>
            </w:pPr>
            <w:r/>
            <w:r>
              <w:rPr>
                <w:rFonts w:ascii="Times New Roman" w:hAnsi="Times New Roman"/>
                <w:b w:val="0"/>
                <w:i w:val="0"/>
                <w:sz w:val="14"/>
              </w:rPr>
              <w:t>Defines "residential use," the cap specification, and the compliance obligations</w:t>
            </w:r>
          </w:p>
        </w:tc>
      </w:tr>
      <w:tr>
        <w:tc>
          <w:tcPr>
            <w:tcW w:type="dxa" w:w="504"/>
          </w:tcPr>
          <w:p>
            <w:pPr>
              <w:spacing w:before="20" w:after="20" w:line="240" w:lineRule="auto"/>
            </w:pPr>
            <w:r/>
            <w:r>
              <w:rPr>
                <w:rFonts w:ascii="Times New Roman" w:hAnsi="Times New Roman"/>
                <w:b w:val="0"/>
                <w:i w:val="0"/>
                <w:sz w:val="14"/>
              </w:rPr>
              <w:t>5 ★</w:t>
            </w:r>
          </w:p>
        </w:tc>
        <w:tc>
          <w:tcPr>
            <w:tcW w:type="dxa" w:w="3312"/>
          </w:tcPr>
          <w:p>
            <w:pPr>
              <w:spacing w:before="20" w:after="20" w:line="240" w:lineRule="auto"/>
            </w:pPr>
            <w:r/>
            <w:r>
              <w:rPr>
                <w:rFonts w:ascii="Times New Roman" w:hAnsi="Times New Roman"/>
                <w:b w:val="0"/>
                <w:i w:val="0"/>
                <w:sz w:val="14"/>
              </w:rPr>
              <w:t>Declaration of Right of First Refusal (Sept. 8, 2019, Vol. 405, Pg. 55)</w:t>
            </w:r>
          </w:p>
        </w:tc>
        <w:tc>
          <w:tcPr>
            <w:tcW w:type="dxa" w:w="1656"/>
          </w:tcPr>
          <w:p>
            <w:pPr>
              <w:spacing w:before="20" w:after="20" w:line="240" w:lineRule="auto"/>
            </w:pPr>
            <w:r/>
            <w:r>
              <w:rPr>
                <w:rFonts w:ascii="Times New Roman" w:hAnsi="Times New Roman"/>
                <w:b w:val="0"/>
                <w:i w:val="0"/>
                <w:sz w:val="14"/>
              </w:rPr>
              <w:t>Land records</w:t>
            </w:r>
          </w:p>
        </w:tc>
        <w:tc>
          <w:tcPr>
            <w:tcW w:type="dxa" w:w="2448"/>
          </w:tcPr>
          <w:p>
            <w:pPr>
              <w:spacing w:before="20" w:after="20" w:line="240" w:lineRule="auto"/>
            </w:pPr>
            <w:r/>
            <w:r>
              <w:rPr>
                <w:rFonts w:ascii="Times New Roman" w:hAnsi="Times New Roman"/>
                <w:b w:val="0"/>
                <w:i w:val="0"/>
                <w:sz w:val="14"/>
              </w:rPr>
              <w:t>The amendment we must draft (Part 6.7)</w:t>
            </w:r>
          </w:p>
        </w:tc>
      </w:tr>
      <w:tr>
        <w:tc>
          <w:tcPr>
            <w:tcW w:type="dxa" w:w="504"/>
          </w:tcPr>
          <w:p>
            <w:pPr>
              <w:spacing w:before="20" w:after="20" w:line="240" w:lineRule="auto"/>
            </w:pPr>
            <w:r/>
            <w:r>
              <w:rPr>
                <w:rFonts w:ascii="Times New Roman" w:hAnsi="Times New Roman"/>
                <w:b w:val="0"/>
                <w:i w:val="0"/>
                <w:sz w:val="14"/>
              </w:rPr>
              <w:t>6 ★</w:t>
            </w:r>
          </w:p>
        </w:tc>
        <w:tc>
          <w:tcPr>
            <w:tcW w:type="dxa" w:w="3312"/>
          </w:tcPr>
          <w:p>
            <w:pPr>
              <w:spacing w:before="20" w:after="20" w:line="240" w:lineRule="auto"/>
            </w:pPr>
            <w:r/>
            <w:r>
              <w:rPr>
                <w:rFonts w:ascii="Times New Roman" w:hAnsi="Times New Roman"/>
                <w:b w:val="0"/>
                <w:i w:val="0"/>
                <w:sz w:val="14"/>
              </w:rPr>
              <w:t>Declaration of Restrictive Covenants (Nov. 15, 2019, Vol. 408, Pg. 230)</w:t>
            </w:r>
          </w:p>
        </w:tc>
        <w:tc>
          <w:tcPr>
            <w:tcW w:type="dxa" w:w="1656"/>
          </w:tcPr>
          <w:p>
            <w:pPr>
              <w:spacing w:before="20" w:after="20" w:line="240" w:lineRule="auto"/>
            </w:pPr>
            <w:r/>
            <w:r>
              <w:rPr>
                <w:rFonts w:ascii="Times New Roman" w:hAnsi="Times New Roman"/>
                <w:b w:val="0"/>
                <w:i w:val="0"/>
                <w:sz w:val="14"/>
              </w:rPr>
              <w:t>Land records</w:t>
            </w:r>
          </w:p>
        </w:tc>
        <w:tc>
          <w:tcPr>
            <w:tcW w:type="dxa" w:w="2448"/>
          </w:tcPr>
          <w:p>
            <w:pPr>
              <w:spacing w:before="20" w:after="20" w:line="240" w:lineRule="auto"/>
            </w:pPr>
            <w:r/>
            <w:r>
              <w:rPr>
                <w:rFonts w:ascii="Times New Roman" w:hAnsi="Times New Roman"/>
                <w:b w:val="0"/>
                <w:i w:val="0"/>
                <w:sz w:val="14"/>
              </w:rPr>
              <w:t>The six gaps in the affordable covenant (Part 6.11)</w:t>
            </w:r>
          </w:p>
        </w:tc>
      </w:tr>
      <w:tr>
        <w:tc>
          <w:tcPr>
            <w:tcW w:type="dxa" w:w="504"/>
          </w:tcPr>
          <w:p>
            <w:pPr>
              <w:spacing w:before="20" w:after="20" w:line="240" w:lineRule="auto"/>
            </w:pPr>
            <w:r/>
            <w:r>
              <w:rPr>
                <w:rFonts w:ascii="Times New Roman" w:hAnsi="Times New Roman"/>
                <w:b w:val="0"/>
                <w:i w:val="0"/>
                <w:sz w:val="14"/>
              </w:rPr>
              <w:t>7 ★</w:t>
            </w:r>
          </w:p>
        </w:tc>
        <w:tc>
          <w:tcPr>
            <w:tcW w:type="dxa" w:w="3312"/>
          </w:tcPr>
          <w:p>
            <w:pPr>
              <w:spacing w:before="20" w:after="20" w:line="240" w:lineRule="auto"/>
            </w:pPr>
            <w:r/>
            <w:r>
              <w:rPr>
                <w:rFonts w:ascii="Times New Roman" w:hAnsi="Times New Roman"/>
                <w:b w:val="0"/>
                <w:i w:val="0"/>
                <w:sz w:val="14"/>
              </w:rPr>
              <w:t>Independent structural engineering assessment of the bulkhead</w:t>
            </w:r>
          </w:p>
        </w:tc>
        <w:tc>
          <w:tcPr>
            <w:tcW w:type="dxa" w:w="1656"/>
          </w:tcPr>
          <w:p>
            <w:pPr>
              <w:spacing w:before="20" w:after="20" w:line="240" w:lineRule="auto"/>
            </w:pPr>
            <w:r/>
            <w:r>
              <w:rPr>
                <w:rFonts w:ascii="Times New Roman" w:hAnsi="Times New Roman"/>
                <w:b w:val="0"/>
                <w:i w:val="0"/>
                <w:sz w:val="14"/>
              </w:rPr>
              <w:t>Authority (per our request)</w:t>
            </w:r>
          </w:p>
        </w:tc>
        <w:tc>
          <w:tcPr>
            <w:tcW w:type="dxa" w:w="2448"/>
          </w:tcPr>
          <w:p>
            <w:pPr>
              <w:spacing w:before="20" w:after="20" w:line="240" w:lineRule="auto"/>
            </w:pPr>
            <w:r/>
            <w:r>
              <w:rPr>
                <w:rFonts w:ascii="Times New Roman" w:hAnsi="Times New Roman"/>
                <w:b w:val="0"/>
                <w:i w:val="0"/>
                <w:sz w:val="14"/>
              </w:rPr>
              <w:t>Quantifies the largest unallocated cost in the deal (Part 6.5)</w:t>
            </w:r>
          </w:p>
        </w:tc>
      </w:tr>
      <w:tr>
        <w:tc>
          <w:tcPr>
            <w:tcW w:type="dxa" w:w="504"/>
          </w:tcPr>
          <w:p>
            <w:pPr>
              <w:spacing w:before="20" w:after="20" w:line="240" w:lineRule="auto"/>
            </w:pPr>
            <w:r/>
            <w:r>
              <w:rPr>
                <w:rFonts w:ascii="Times New Roman" w:hAnsi="Times New Roman"/>
                <w:b w:val="0"/>
                <w:i w:val="0"/>
                <w:sz w:val="14"/>
              </w:rPr>
              <w:t>8 ★</w:t>
            </w:r>
          </w:p>
        </w:tc>
        <w:tc>
          <w:tcPr>
            <w:tcW w:type="dxa" w:w="3312"/>
          </w:tcPr>
          <w:p>
            <w:pPr>
              <w:spacing w:before="20" w:after="20" w:line="240" w:lineRule="auto"/>
            </w:pPr>
            <w:r/>
            <w:r>
              <w:rPr>
                <w:rFonts w:ascii="Times New Roman" w:hAnsi="Times New Roman"/>
                <w:b w:val="0"/>
                <w:i w:val="0"/>
                <w:sz w:val="14"/>
              </w:rPr>
              <w:t>Executed Bayside term sheet (or confirmation of status), loan commitment letter and the lender's ground lease and SNDA checklists</w:t>
            </w:r>
          </w:p>
        </w:tc>
        <w:tc>
          <w:tcPr>
            <w:tcW w:type="dxa" w:w="1656"/>
          </w:tcPr>
          <w:p>
            <w:pPr>
              <w:spacing w:before="20" w:after="20" w:line="240" w:lineRule="auto"/>
            </w:pPr>
            <w:r/>
            <w:r>
              <w:rPr>
                <w:rFonts w:ascii="Times New Roman" w:hAnsi="Times New Roman"/>
                <w:b w:val="0"/>
                <w:i w:val="0"/>
                <w:sz w:val="14"/>
              </w:rPr>
              <w:t>Meridian / Bayside</w:t>
            </w:r>
          </w:p>
        </w:tc>
        <w:tc>
          <w:tcPr>
            <w:tcW w:type="dxa" w:w="2448"/>
          </w:tcPr>
          <w:p>
            <w:pPr>
              <w:spacing w:before="20" w:after="20" w:line="240" w:lineRule="auto"/>
            </w:pPr>
            <w:r/>
            <w:r>
              <w:rPr>
                <w:rFonts w:ascii="Times New Roman" w:hAnsi="Times New Roman"/>
                <w:b w:val="0"/>
                <w:i w:val="0"/>
                <w:sz w:val="14"/>
              </w:rPr>
              <w:t>Confirms the operative § 5 requirements and whether the June 27, 2025 expiration has passed</w:t>
            </w:r>
          </w:p>
        </w:tc>
      </w:tr>
      <w:tr>
        <w:tc>
          <w:tcPr>
            <w:tcW w:type="dxa" w:w="504"/>
          </w:tcPr>
          <w:p>
            <w:pPr>
              <w:spacing w:before="20" w:after="20" w:line="240" w:lineRule="auto"/>
            </w:pPr>
            <w:r/>
            <w:r>
              <w:rPr>
                <w:rFonts w:ascii="Times New Roman" w:hAnsi="Times New Roman"/>
                <w:b w:val="0"/>
                <w:i w:val="0"/>
                <w:sz w:val="14"/>
              </w:rPr>
              <w:t>9</w:t>
            </w:r>
          </w:p>
        </w:tc>
        <w:tc>
          <w:tcPr>
            <w:tcW w:type="dxa" w:w="3312"/>
          </w:tcPr>
          <w:p>
            <w:pPr>
              <w:spacing w:before="20" w:after="20" w:line="240" w:lineRule="auto"/>
            </w:pPr>
            <w:r/>
            <w:r>
              <w:rPr>
                <w:rFonts w:ascii="Times New Roman" w:hAnsi="Times New Roman"/>
                <w:b w:val="0"/>
                <w:i w:val="0"/>
                <w:sz w:val="14"/>
              </w:rPr>
              <w:t>Bayside's written consent to disclose its confidential term sheet terms to the Authority and its counsel</w:t>
            </w:r>
          </w:p>
        </w:tc>
        <w:tc>
          <w:tcPr>
            <w:tcW w:type="dxa" w:w="1656"/>
          </w:tcPr>
          <w:p>
            <w:pPr>
              <w:spacing w:before="20" w:after="20" w:line="240" w:lineRule="auto"/>
            </w:pPr>
            <w:r/>
            <w:r>
              <w:rPr>
                <w:rFonts w:ascii="Times New Roman" w:hAnsi="Times New Roman"/>
                <w:b w:val="0"/>
                <w:i w:val="0"/>
                <w:sz w:val="14"/>
              </w:rPr>
              <w:t>Bayside</w:t>
            </w:r>
          </w:p>
        </w:tc>
        <w:tc>
          <w:tcPr>
            <w:tcW w:type="dxa" w:w="2448"/>
          </w:tcPr>
          <w:p>
            <w:pPr>
              <w:spacing w:before="20" w:after="20" w:line="240" w:lineRule="auto"/>
            </w:pPr>
            <w:r/>
            <w:r>
              <w:rPr>
                <w:rFonts w:ascii="Times New Roman" w:hAnsi="Times New Roman"/>
                <w:b w:val="0"/>
                <w:i w:val="0"/>
                <w:sz w:val="14"/>
              </w:rPr>
              <w:t>Bayside § 12 restricts disclosure to third parties; the Authority is a third party; yet the lease must implement § 5</w:t>
            </w:r>
          </w:p>
        </w:tc>
      </w:tr>
      <w:tr>
        <w:tc>
          <w:tcPr>
            <w:tcW w:type="dxa" w:w="504"/>
          </w:tcPr>
          <w:p>
            <w:pPr>
              <w:spacing w:before="20" w:after="20" w:line="240" w:lineRule="auto"/>
            </w:pPr>
            <w:r/>
            <w:r>
              <w:rPr>
                <w:rFonts w:ascii="Times New Roman" w:hAnsi="Times New Roman"/>
                <w:b w:val="0"/>
                <w:i w:val="0"/>
                <w:sz w:val="14"/>
              </w:rPr>
              <w:t>10</w:t>
            </w:r>
          </w:p>
        </w:tc>
        <w:tc>
          <w:tcPr>
            <w:tcW w:type="dxa" w:w="3312"/>
          </w:tcPr>
          <w:p>
            <w:pPr>
              <w:spacing w:before="20" w:after="20" w:line="240" w:lineRule="auto"/>
            </w:pPr>
            <w:r/>
            <w:r>
              <w:rPr>
                <w:rFonts w:ascii="Times New Roman" w:hAnsi="Times New Roman"/>
                <w:b w:val="0"/>
                <w:i w:val="0"/>
                <w:sz w:val="14"/>
              </w:rPr>
              <w:t>Coventry preferred equity documentation (11% preferred return, 70/30 promote above a 15% IRR hurdle)</w:t>
            </w:r>
          </w:p>
        </w:tc>
        <w:tc>
          <w:tcPr>
            <w:tcW w:type="dxa" w:w="1656"/>
          </w:tcPr>
          <w:p>
            <w:pPr>
              <w:spacing w:before="20" w:after="20" w:line="240" w:lineRule="auto"/>
            </w:pPr>
            <w:r/>
            <w:r>
              <w:rPr>
                <w:rFonts w:ascii="Times New Roman" w:hAnsi="Times New Roman"/>
                <w:b w:val="0"/>
                <w:i w:val="0"/>
                <w:sz w:val="14"/>
              </w:rPr>
              <w:t>Coventry</w:t>
            </w:r>
          </w:p>
        </w:tc>
        <w:tc>
          <w:tcPr>
            <w:tcW w:type="dxa" w:w="2448"/>
          </w:tcPr>
          <w:p>
            <w:pPr>
              <w:spacing w:before="20" w:after="20" w:line="240" w:lineRule="auto"/>
            </w:pPr>
            <w:r/>
            <w:r>
              <w:rPr>
                <w:rFonts w:ascii="Times New Roman" w:hAnsi="Times New Roman"/>
                <w:b w:val="0"/>
                <w:i w:val="0"/>
                <w:sz w:val="14"/>
              </w:rPr>
              <w:t>Ensures the lease's transfer and ROFR provisions do not impede the equity structure</w:t>
            </w:r>
          </w:p>
        </w:tc>
      </w:tr>
      <w:tr>
        <w:tc>
          <w:tcPr>
            <w:tcW w:type="dxa" w:w="504"/>
          </w:tcPr>
          <w:p>
            <w:pPr>
              <w:spacing w:before="20" w:after="20" w:line="240" w:lineRule="auto"/>
            </w:pPr>
            <w:r/>
            <w:r>
              <w:rPr>
                <w:rFonts w:ascii="Times New Roman" w:hAnsi="Times New Roman"/>
                <w:b w:val="0"/>
                <w:i w:val="0"/>
                <w:sz w:val="14"/>
              </w:rPr>
              <w:t>11</w:t>
            </w:r>
          </w:p>
        </w:tc>
        <w:tc>
          <w:tcPr>
            <w:tcW w:type="dxa" w:w="3312"/>
          </w:tcPr>
          <w:p>
            <w:pPr>
              <w:spacing w:before="20" w:after="20" w:line="240" w:lineRule="auto"/>
            </w:pPr>
            <w:r/>
            <w:r>
              <w:rPr>
                <w:rFonts w:ascii="Times New Roman" w:hAnsi="Times New Roman"/>
                <w:b w:val="0"/>
                <w:i w:val="0"/>
                <w:sz w:val="14"/>
              </w:rPr>
              <w:t>Site plan / zoning analysis for a 28-story tower in WRD-3 (FAR, height, setback, parking)</w:t>
            </w:r>
          </w:p>
        </w:tc>
        <w:tc>
          <w:tcPr>
            <w:tcW w:type="dxa" w:w="1656"/>
          </w:tcPr>
          <w:p>
            <w:pPr>
              <w:spacing w:before="20" w:after="20" w:line="240" w:lineRule="auto"/>
            </w:pPr>
            <w:r/>
            <w:r>
              <w:rPr>
                <w:rFonts w:ascii="Times New Roman" w:hAnsi="Times New Roman"/>
                <w:b w:val="0"/>
                <w:i w:val="0"/>
                <w:sz w:val="14"/>
              </w:rPr>
              <w:t>Meridian / architect</w:t>
            </w:r>
          </w:p>
        </w:tc>
        <w:tc>
          <w:tcPr>
            <w:tcW w:type="dxa" w:w="2448"/>
          </w:tcPr>
          <w:p>
            <w:pPr>
              <w:spacing w:before="20" w:after="20" w:line="240" w:lineRule="auto"/>
            </w:pPr>
            <w:r/>
            <w:r>
              <w:rPr>
                <w:rFonts w:ascii="Times New Roman" w:hAnsi="Times New Roman"/>
                <w:b w:val="0"/>
                <w:i w:val="0"/>
                <w:sz w:val="14"/>
              </w:rPr>
              <w:t>Confirms the program is buildable as of right; not in the record</w:t>
            </w:r>
          </w:p>
        </w:tc>
      </w:tr>
      <w:tr>
        <w:tc>
          <w:tcPr>
            <w:tcW w:type="dxa" w:w="504"/>
          </w:tcPr>
          <w:p>
            <w:pPr>
              <w:spacing w:before="20" w:after="20" w:line="240" w:lineRule="auto"/>
            </w:pPr>
            <w:r/>
            <w:r>
              <w:rPr>
                <w:rFonts w:ascii="Times New Roman" w:hAnsi="Times New Roman"/>
                <w:b w:val="0"/>
                <w:i w:val="0"/>
                <w:sz w:val="14"/>
              </w:rPr>
              <w:t>12</w:t>
            </w:r>
          </w:p>
        </w:tc>
        <w:tc>
          <w:tcPr>
            <w:tcW w:type="dxa" w:w="3312"/>
          </w:tcPr>
          <w:p>
            <w:pPr>
              <w:spacing w:before="20" w:after="20" w:line="240" w:lineRule="auto"/>
            </w:pPr>
            <w:r/>
            <w:r>
              <w:rPr>
                <w:rFonts w:ascii="Times New Roman" w:hAnsi="Times New Roman"/>
                <w:b w:val="0"/>
                <w:i w:val="0"/>
                <w:sz w:val="14"/>
              </w:rPr>
              <w:t>UST closure records and the DEEP LUST file status ("closure pending/incomplete")</w:t>
            </w:r>
          </w:p>
        </w:tc>
        <w:tc>
          <w:tcPr>
            <w:tcW w:type="dxa" w:w="1656"/>
          </w:tcPr>
          <w:p>
            <w:pPr>
              <w:spacing w:before="20" w:after="20" w:line="240" w:lineRule="auto"/>
            </w:pPr>
            <w:r/>
            <w:r>
              <w:rPr>
                <w:rFonts w:ascii="Times New Roman" w:hAnsi="Times New Roman"/>
                <w:b w:val="0"/>
                <w:i w:val="0"/>
                <w:sz w:val="14"/>
              </w:rPr>
              <w:t>Authority / DEEP</w:t>
            </w:r>
          </w:p>
        </w:tc>
        <w:tc>
          <w:tcPr>
            <w:tcW w:type="dxa" w:w="2448"/>
          </w:tcPr>
          <w:p>
            <w:pPr>
              <w:spacing w:before="20" w:after="20" w:line="240" w:lineRule="auto"/>
            </w:pPr>
            <w:r/>
            <w:r>
              <w:rPr>
                <w:rFonts w:ascii="Times New Roman" w:hAnsi="Times New Roman"/>
                <w:b w:val="0"/>
                <w:i w:val="0"/>
                <w:sz w:val="14"/>
              </w:rPr>
              <w:t>The northwest corner contamination is attributed to two USTs removed c. 1988 without documented closure</w:t>
            </w:r>
          </w:p>
        </w:tc>
      </w:tr>
      <w:tr>
        <w:tc>
          <w:tcPr>
            <w:tcW w:type="dxa" w:w="504"/>
          </w:tcPr>
          <w:p>
            <w:pPr>
              <w:spacing w:before="20" w:after="20" w:line="240" w:lineRule="auto"/>
            </w:pPr>
            <w:r/>
            <w:r>
              <w:rPr>
                <w:rFonts w:ascii="Times New Roman" w:hAnsi="Times New Roman"/>
                <w:b w:val="0"/>
                <w:i w:val="0"/>
                <w:sz w:val="14"/>
              </w:rPr>
              <w:t>13</w:t>
            </w:r>
          </w:p>
        </w:tc>
        <w:tc>
          <w:tcPr>
            <w:tcW w:type="dxa" w:w="3312"/>
          </w:tcPr>
          <w:p>
            <w:pPr>
              <w:spacing w:before="20" w:after="20" w:line="240" w:lineRule="auto"/>
            </w:pPr>
            <w:r/>
            <w:r>
              <w:rPr>
                <w:rFonts w:ascii="Times New Roman" w:hAnsi="Times New Roman"/>
                <w:b w:val="0"/>
                <w:i w:val="0"/>
                <w:sz w:val="14"/>
              </w:rPr>
              <w:t>Authority's 2019/2022 waterfront revitalization plan (as amended and readopted)</w:t>
            </w:r>
          </w:p>
        </w:tc>
        <w:tc>
          <w:tcPr>
            <w:tcW w:type="dxa" w:w="1656"/>
          </w:tcPr>
          <w:p>
            <w:pPr>
              <w:spacing w:before="20" w:after="20" w:line="240" w:lineRule="auto"/>
            </w:pPr>
            <w:r/>
            <w:r>
              <w:rPr>
                <w:rFonts w:ascii="Times New Roman" w:hAnsi="Times New Roman"/>
                <w:b w:val="0"/>
                <w:i w:val="0"/>
                <w:sz w:val="14"/>
              </w:rPr>
              <w:t>Authority</w:t>
            </w:r>
          </w:p>
        </w:tc>
        <w:tc>
          <w:tcPr>
            <w:tcW w:type="dxa" w:w="2448"/>
          </w:tcPr>
          <w:p>
            <w:pPr>
              <w:spacing w:before="20" w:after="20" w:line="240" w:lineRule="auto"/>
            </w:pPr>
            <w:r/>
            <w:r>
              <w:rPr>
                <w:rFonts w:ascii="Times New Roman" w:hAnsi="Times New Roman"/>
                <w:b w:val="0"/>
                <w:i w:val="0"/>
                <w:sz w:val="14"/>
              </w:rPr>
              <w:t>Recited in Resolution No. 2025-047; relevant to the public purpose analysis</w:t>
            </w:r>
          </w:p>
        </w:tc>
      </w:tr>
      <w:tr>
        <w:tc>
          <w:tcPr>
            <w:tcW w:type="dxa" w:w="504"/>
          </w:tcPr>
          <w:p>
            <w:pPr>
              <w:spacing w:before="20" w:after="20" w:line="240" w:lineRule="auto"/>
            </w:pPr>
            <w:r/>
            <w:r>
              <w:rPr>
                <w:rFonts w:ascii="Times New Roman" w:hAnsi="Times New Roman"/>
                <w:b w:val="0"/>
                <w:i w:val="0"/>
                <w:sz w:val="14"/>
              </w:rPr>
              <w:t>14</w:t>
            </w:r>
          </w:p>
        </w:tc>
        <w:tc>
          <w:tcPr>
            <w:tcW w:type="dxa" w:w="3312"/>
          </w:tcPr>
          <w:p>
            <w:pPr>
              <w:spacing w:before="20" w:after="20" w:line="240" w:lineRule="auto"/>
            </w:pPr>
            <w:r/>
            <w:r>
              <w:rPr>
                <w:rFonts w:ascii="Times New Roman" w:hAnsi="Times New Roman"/>
                <w:b w:val="0"/>
                <w:i w:val="0"/>
                <w:sz w:val="14"/>
              </w:rPr>
              <w:t>Certified copy of Resolution No. 2025-047 and the roll-call vote</w:t>
            </w:r>
          </w:p>
        </w:tc>
        <w:tc>
          <w:tcPr>
            <w:tcW w:type="dxa" w:w="1656"/>
          </w:tcPr>
          <w:p>
            <w:pPr>
              <w:spacing w:before="20" w:after="20" w:line="240" w:lineRule="auto"/>
            </w:pPr>
            <w:r/>
            <w:r>
              <w:rPr>
                <w:rFonts w:ascii="Times New Roman" w:hAnsi="Times New Roman"/>
                <w:b w:val="0"/>
                <w:i w:val="0"/>
                <w:sz w:val="14"/>
              </w:rPr>
              <w:t>Authority</w:t>
            </w:r>
          </w:p>
        </w:tc>
        <w:tc>
          <w:tcPr>
            <w:tcW w:type="dxa" w:w="2448"/>
          </w:tcPr>
          <w:p>
            <w:pPr>
              <w:spacing w:before="20" w:after="20" w:line="240" w:lineRule="auto"/>
            </w:pPr>
            <w:r/>
            <w:r>
              <w:rPr>
                <w:rFonts w:ascii="Times New Roman" w:hAnsi="Times New Roman"/>
                <w:b w:val="0"/>
                <w:i w:val="0"/>
                <w:sz w:val="14"/>
              </w:rPr>
              <w:t>Title Requirement No. 2 and Section 2.3(a)</w:t>
            </w:r>
          </w:p>
        </w:tc>
      </w:tr>
      <w:tr>
        <w:tc>
          <w:tcPr>
            <w:tcW w:type="dxa" w:w="504"/>
          </w:tcPr>
          <w:p>
            <w:pPr>
              <w:spacing w:before="20" w:after="20" w:line="240" w:lineRule="auto"/>
            </w:pPr>
            <w:r/>
            <w:r>
              <w:rPr>
                <w:rFonts w:ascii="Times New Roman" w:hAnsi="Times New Roman"/>
                <w:b w:val="0"/>
                <w:i w:val="0"/>
                <w:sz w:val="14"/>
              </w:rPr>
              <w:t>15</w:t>
            </w:r>
          </w:p>
        </w:tc>
        <w:tc>
          <w:tcPr>
            <w:tcW w:type="dxa" w:w="3312"/>
          </w:tcPr>
          <w:p>
            <w:pPr>
              <w:spacing w:before="20" w:after="20" w:line="240" w:lineRule="auto"/>
            </w:pPr>
            <w:r/>
            <w:r>
              <w:rPr>
                <w:rFonts w:ascii="Times New Roman" w:hAnsi="Times New Roman"/>
                <w:b w:val="0"/>
                <w:i w:val="0"/>
                <w:sz w:val="14"/>
              </w:rPr>
              <w:t>Any DEEP correspondence regarding the ELUR, the 2016–2017 remediation or the site's residual contamination</w:t>
            </w:r>
          </w:p>
        </w:tc>
        <w:tc>
          <w:tcPr>
            <w:tcW w:type="dxa" w:w="1656"/>
          </w:tcPr>
          <w:p>
            <w:pPr>
              <w:spacing w:before="20" w:after="20" w:line="240" w:lineRule="auto"/>
            </w:pPr>
            <w:r/>
            <w:r>
              <w:rPr>
                <w:rFonts w:ascii="Times New Roman" w:hAnsi="Times New Roman"/>
                <w:b w:val="0"/>
                <w:i w:val="0"/>
                <w:sz w:val="14"/>
              </w:rPr>
              <w:t>Authority</w:t>
            </w:r>
          </w:p>
        </w:tc>
        <w:tc>
          <w:tcPr>
            <w:tcW w:type="dxa" w:w="2448"/>
          </w:tcPr>
          <w:p>
            <w:pPr>
              <w:spacing w:before="20" w:after="20" w:line="240" w:lineRule="auto"/>
            </w:pPr>
            <w:r/>
            <w:r>
              <w:rPr>
                <w:rFonts w:ascii="Times New Roman" w:hAnsi="Times New Roman"/>
                <w:b w:val="0"/>
                <w:i w:val="0"/>
                <w:sz w:val="14"/>
              </w:rPr>
              <w:t>Landlord's disclosure representation in Section 18.1(f)</w:t>
            </w:r>
          </w:p>
        </w:tc>
      </w:tr>
    </w:tbl>
    <w:p>
      <w:pPr>
        <w:spacing w:after="40" w:before="0"/>
      </w:pPr>
    </w:p>
    <w:p>
      <w:pPr>
        <w:keepNext/>
        <w:spacing w:before="320" w:after="160"/>
        <w:pBdr>
          <w:bottom w:val="single" w:sz="6" w:space="2" w:color="000000"/>
        </w:pBdr>
      </w:pPr>
      <w:r>
        <w:rPr>
          <w:rFonts w:ascii="Times New Roman" w:hAnsi="Times New Roman"/>
          <w:b/>
          <w:i w:val="0"/>
          <w:sz w:val="24"/>
        </w:rPr>
        <w:t>PART 9 — SCHEDULE OF PROPOSED DEVIATIONS FROM THE TERM SHEET</w:t>
      </w:r>
    </w:p>
    <w:p>
      <w:pPr>
        <w:spacing w:after="120"/>
        <w:ind w:left="0"/>
        <w:jc w:val="both"/>
      </w:pPr>
      <w:r>
        <w:rPr>
          <w:rFonts w:ascii="Times New Roman" w:hAnsi="Times New Roman"/>
          <w:b w:val="0"/>
          <w:i w:val="0"/>
        </w:rPr>
        <w:t xml:space="preserve">Resolution No. 2025-047 authorizes the Executive Director to execute a lease "on terms and conditions substantially consistent with the Term Sheet" (§ 1) and to approve changes he and Authority counsel consider immaterial, provided that any deviation either of them "determines to be material shall be brought before the Board for further review and approval prior to execution" (§ 4(d)). The following table is the list we recommend including in the transmittal to the Authority, both because it is required and because volunteering it builds credibility for the items that matter. Items marked </w:t>
      </w:r>
      <w:r>
        <w:rPr>
          <w:rFonts w:ascii="Times New Roman" w:hAnsi="Times New Roman"/>
          <w:b/>
          <w:i w:val="0"/>
        </w:rPr>
        <w:t>M</w:t>
      </w:r>
      <w:r>
        <w:rPr>
          <w:rFonts w:ascii="Times New Roman" w:hAnsi="Times New Roman"/>
          <w:b w:val="0"/>
          <w:i w:val="0"/>
        </w:rPr>
        <w:t xml:space="preserve"> should be treated as material; </w:t>
      </w:r>
      <w:r>
        <w:rPr>
          <w:rFonts w:ascii="Times New Roman" w:hAnsi="Times New Roman"/>
          <w:b/>
          <w:i w:val="0"/>
        </w:rPr>
        <w:t>I</w:t>
      </w:r>
      <w:r>
        <w:rPr>
          <w:rFonts w:ascii="Times New Roman" w:hAnsi="Times New Roman"/>
          <w:b w:val="0"/>
          <w:i w:val="0"/>
        </w:rPr>
        <w:t xml:space="preserve"> as immaterial.</w:t>
      </w:r>
    </w:p>
    <w:tbl>
      <w:tblPr>
        <w:tblStyle w:val="TableGrid"/>
        <w:tblW w:type="auto" w:w="0"/>
        <w:jc w:val="center"/>
        <w:tblLayout w:type="fixed"/>
        <w:tblLook w:firstColumn="1" w:firstRow="1" w:lastColumn="0" w:lastRow="0" w:noHBand="0" w:noVBand="1" w:val="04A0"/>
        <w:tblLayout w:type="fixed"/>
        <w:tblW w:type="dxa" w:w="8640"/>
        <w:tblCellMar>
          <w:top w:w="20" w:type="dxa"/>
          <w:left w:w="60" w:type="dxa"/>
          <w:bottom w:w="20" w:type="dxa"/>
          <w:right w:w="60" w:type="dxa"/>
        </w:tblCellMar>
      </w:tblPr>
      <w:tblGrid>
        <w:gridCol w:w="432"/>
        <w:gridCol w:w="1656"/>
        <w:gridCol w:w="2520"/>
        <w:gridCol w:w="3456"/>
        <w:gridCol w:w="576"/>
      </w:tblGrid>
      <w:tr>
        <w:trPr>
          <w:tblHeader w:val="true"/>
        </w:trPr>
        <w:tc>
          <w:tcPr>
            <w:tcW w:type="dxa" w:w="432"/>
            <w:shd w:val="clear" w:color="auto" w:fill="D9D9D9"/>
          </w:tcPr>
          <w:p>
            <w:pPr>
              <w:spacing w:before="20" w:after="20" w:line="240" w:lineRule="auto"/>
            </w:pPr>
            <w:r/>
            <w:r>
              <w:rPr>
                <w:rFonts w:ascii="Times New Roman" w:hAnsi="Times New Roman"/>
                <w:b/>
                <w:i w:val="0"/>
                <w:sz w:val="13"/>
              </w:rPr>
              <w:t>#</w:t>
            </w:r>
          </w:p>
        </w:tc>
        <w:tc>
          <w:tcPr>
            <w:tcW w:type="dxa" w:w="1656"/>
            <w:shd w:val="clear" w:color="auto" w:fill="D9D9D9"/>
          </w:tcPr>
          <w:p>
            <w:pPr>
              <w:spacing w:before="20" w:after="20" w:line="240" w:lineRule="auto"/>
            </w:pPr>
            <w:r/>
            <w:r>
              <w:rPr>
                <w:rFonts w:ascii="Times New Roman" w:hAnsi="Times New Roman"/>
                <w:b/>
                <w:i w:val="0"/>
                <w:sz w:val="13"/>
              </w:rPr>
              <w:t>Provision</w:t>
            </w:r>
          </w:p>
        </w:tc>
        <w:tc>
          <w:tcPr>
            <w:tcW w:type="dxa" w:w="2520"/>
            <w:shd w:val="clear" w:color="auto" w:fill="D9D9D9"/>
          </w:tcPr>
          <w:p>
            <w:pPr>
              <w:spacing w:before="20" w:after="20" w:line="240" w:lineRule="auto"/>
            </w:pPr>
            <w:r/>
            <w:r>
              <w:rPr>
                <w:rFonts w:ascii="Times New Roman" w:hAnsi="Times New Roman"/>
                <w:b/>
                <w:i w:val="0"/>
                <w:sz w:val="13"/>
              </w:rPr>
              <w:t>Term Sheet position</w:t>
            </w:r>
          </w:p>
        </w:tc>
        <w:tc>
          <w:tcPr>
            <w:tcW w:type="dxa" w:w="3456"/>
            <w:shd w:val="clear" w:color="auto" w:fill="D9D9D9"/>
          </w:tcPr>
          <w:p>
            <w:pPr>
              <w:spacing w:before="20" w:after="20" w:line="240" w:lineRule="auto"/>
            </w:pPr>
            <w:r/>
            <w:r>
              <w:rPr>
                <w:rFonts w:ascii="Times New Roman" w:hAnsi="Times New Roman"/>
                <w:b/>
                <w:i w:val="0"/>
                <w:sz w:val="13"/>
              </w:rPr>
              <w:t>Draft Lease position</w:t>
            </w:r>
          </w:p>
        </w:tc>
        <w:tc>
          <w:tcPr>
            <w:tcW w:type="dxa" w:w="576"/>
            <w:shd w:val="clear" w:color="auto" w:fill="D9D9D9"/>
          </w:tcPr>
          <w:p>
            <w:pPr>
              <w:spacing w:before="20" w:after="20" w:line="240" w:lineRule="auto"/>
            </w:pPr>
            <w:r/>
            <w:r>
              <w:rPr>
                <w:rFonts w:ascii="Times New Roman" w:hAnsi="Times New Roman"/>
                <w:b/>
                <w:i w:val="0"/>
                <w:sz w:val="13"/>
              </w:rPr>
              <w:t>Class</w:t>
            </w:r>
          </w:p>
        </w:tc>
      </w:tr>
      <w:tr>
        <w:tc>
          <w:tcPr>
            <w:tcW w:type="dxa" w:w="432"/>
          </w:tcPr>
          <w:p>
            <w:pPr>
              <w:spacing w:before="20" w:after="20" w:line="240" w:lineRule="auto"/>
            </w:pPr>
            <w:r/>
            <w:r>
              <w:rPr>
                <w:rFonts w:ascii="Times New Roman" w:hAnsi="Times New Roman"/>
                <w:b w:val="0"/>
                <w:i w:val="0"/>
                <w:sz w:val="13"/>
              </w:rPr>
              <w:t>1</w:t>
            </w:r>
          </w:p>
        </w:tc>
        <w:tc>
          <w:tcPr>
            <w:tcW w:type="dxa" w:w="1656"/>
          </w:tcPr>
          <w:p>
            <w:pPr>
              <w:spacing w:before="20" w:after="20" w:line="240" w:lineRule="auto"/>
            </w:pPr>
            <w:r/>
            <w:r>
              <w:rPr>
                <w:rFonts w:ascii="Times New Roman" w:hAnsi="Times New Roman"/>
                <w:b w:val="0"/>
                <w:i w:val="0"/>
                <w:sz w:val="13"/>
              </w:rPr>
              <w:t>Reverter — compensation</w:t>
            </w:r>
          </w:p>
        </w:tc>
        <w:tc>
          <w:tcPr>
            <w:tcW w:type="dxa" w:w="2520"/>
          </w:tcPr>
          <w:p>
            <w:pPr>
              <w:spacing w:before="20" w:after="20" w:line="240" w:lineRule="auto"/>
            </w:pPr>
            <w:r/>
            <w:r>
              <w:rPr>
                <w:rFonts w:ascii="Times New Roman" w:hAnsi="Times New Roman"/>
                <w:b w:val="0"/>
                <w:i w:val="0"/>
                <w:sz w:val="13"/>
              </w:rPr>
              <w:t>Improvements revert "without any payment, compensation, or reimbursement"</w:t>
            </w:r>
          </w:p>
        </w:tc>
        <w:tc>
          <w:tcPr>
            <w:tcW w:type="dxa" w:w="3456"/>
          </w:tcPr>
          <w:p>
            <w:pPr>
              <w:spacing w:before="20" w:after="20" w:line="240" w:lineRule="auto"/>
            </w:pPr>
            <w:r/>
            <w:r>
              <w:rPr>
                <w:rFonts w:ascii="Times New Roman" w:hAnsi="Times New Roman"/>
                <w:b w:val="0"/>
                <w:i w:val="0"/>
                <w:sz w:val="13"/>
              </w:rPr>
              <w:t>Improvement Payment = greater of appraised value or unreimbursed hard costs, net of recoveries and Documented Damages (§ 10.6)</w:t>
            </w:r>
          </w:p>
        </w:tc>
        <w:tc>
          <w:tcPr>
            <w:tcW w:type="dxa" w:w="576"/>
          </w:tcPr>
          <w:p>
            <w:pPr>
              <w:spacing w:before="20" w:after="20" w:line="240" w:lineRule="auto"/>
            </w:pPr>
            <w:r/>
            <w:r>
              <w:rPr>
                <w:rFonts w:ascii="Times New Roman" w:hAnsi="Times New Roman"/>
                <w:b w:val="0"/>
                <w:i w:val="0"/>
                <w:sz w:val="13"/>
              </w:rPr>
              <w:t>M</w:t>
            </w:r>
          </w:p>
        </w:tc>
      </w:tr>
      <w:tr>
        <w:tc>
          <w:tcPr>
            <w:tcW w:type="dxa" w:w="432"/>
          </w:tcPr>
          <w:p>
            <w:pPr>
              <w:spacing w:before="20" w:after="20" w:line="240" w:lineRule="auto"/>
            </w:pPr>
            <w:r/>
            <w:r>
              <w:rPr>
                <w:rFonts w:ascii="Times New Roman" w:hAnsi="Times New Roman"/>
                <w:b w:val="0"/>
                <w:i w:val="0"/>
                <w:sz w:val="13"/>
              </w:rPr>
              <w:t>2</w:t>
            </w:r>
          </w:p>
        </w:tc>
        <w:tc>
          <w:tcPr>
            <w:tcW w:type="dxa" w:w="1656"/>
          </w:tcPr>
          <w:p>
            <w:pPr>
              <w:spacing w:before="20" w:after="20" w:line="240" w:lineRule="auto"/>
            </w:pPr>
            <w:r/>
            <w:r>
              <w:rPr>
                <w:rFonts w:ascii="Times New Roman" w:hAnsi="Times New Roman"/>
                <w:b w:val="0"/>
                <w:i w:val="0"/>
                <w:sz w:val="13"/>
              </w:rPr>
              <w:t>Reverter — mechanism</w:t>
            </w:r>
          </w:p>
        </w:tc>
        <w:tc>
          <w:tcPr>
            <w:tcW w:type="dxa" w:w="2520"/>
          </w:tcPr>
          <w:p>
            <w:pPr>
              <w:spacing w:before="20" w:after="20" w:line="240" w:lineRule="auto"/>
            </w:pPr>
            <w:r/>
            <w:r>
              <w:rPr>
                <w:rFonts w:ascii="Times New Roman" w:hAnsi="Times New Roman"/>
                <w:b w:val="0"/>
                <w:i w:val="0"/>
                <w:sz w:val="13"/>
              </w:rPr>
              <w:t>"Shall automatically terminate" at expiry of 180-day cure</w:t>
            </w:r>
          </w:p>
        </w:tc>
        <w:tc>
          <w:tcPr>
            <w:tcW w:type="dxa" w:w="3456"/>
          </w:tcPr>
          <w:p>
            <w:pPr>
              <w:spacing w:before="20" w:after="20" w:line="240" w:lineRule="auto"/>
            </w:pPr>
            <w:r/>
            <w:r>
              <w:rPr>
                <w:rFonts w:ascii="Times New Roman" w:hAnsi="Times New Roman"/>
                <w:b w:val="0"/>
                <w:i w:val="0"/>
                <w:sz w:val="13"/>
              </w:rPr>
              <w:t>Landlord election required within 30 days after all cure periods; deemed waiver; no automatic termination (§ 10.5)</w:t>
            </w:r>
          </w:p>
        </w:tc>
        <w:tc>
          <w:tcPr>
            <w:tcW w:type="dxa" w:w="576"/>
          </w:tcPr>
          <w:p>
            <w:pPr>
              <w:spacing w:before="20" w:after="20" w:line="240" w:lineRule="auto"/>
            </w:pPr>
            <w:r/>
            <w:r>
              <w:rPr>
                <w:rFonts w:ascii="Times New Roman" w:hAnsi="Times New Roman"/>
                <w:b w:val="0"/>
                <w:i w:val="0"/>
                <w:sz w:val="13"/>
              </w:rPr>
              <w:t>M</w:t>
            </w:r>
          </w:p>
        </w:tc>
      </w:tr>
      <w:tr>
        <w:tc>
          <w:tcPr>
            <w:tcW w:type="dxa" w:w="432"/>
          </w:tcPr>
          <w:p>
            <w:pPr>
              <w:spacing w:before="20" w:after="20" w:line="240" w:lineRule="auto"/>
            </w:pPr>
            <w:r/>
            <w:r>
              <w:rPr>
                <w:rFonts w:ascii="Times New Roman" w:hAnsi="Times New Roman"/>
                <w:b w:val="0"/>
                <w:i w:val="0"/>
                <w:sz w:val="13"/>
              </w:rPr>
              <w:t>3</w:t>
            </w:r>
          </w:p>
        </w:tc>
        <w:tc>
          <w:tcPr>
            <w:tcW w:type="dxa" w:w="1656"/>
          </w:tcPr>
          <w:p>
            <w:pPr>
              <w:spacing w:before="20" w:after="20" w:line="240" w:lineRule="auto"/>
            </w:pPr>
            <w:r/>
            <w:r>
              <w:rPr>
                <w:rFonts w:ascii="Times New Roman" w:hAnsi="Times New Roman"/>
                <w:b w:val="0"/>
                <w:i w:val="0"/>
                <w:sz w:val="13"/>
              </w:rPr>
              <w:t>Deposit on reverter</w:t>
            </w:r>
          </w:p>
        </w:tc>
        <w:tc>
          <w:tcPr>
            <w:tcW w:type="dxa" w:w="2520"/>
          </w:tcPr>
          <w:p>
            <w:pPr>
              <w:spacing w:before="20" w:after="20" w:line="240" w:lineRule="auto"/>
            </w:pPr>
            <w:r/>
            <w:r>
              <w:rPr>
                <w:rFonts w:ascii="Times New Roman" w:hAnsi="Times New Roman"/>
                <w:b w:val="0"/>
                <w:i w:val="0"/>
                <w:sz w:val="13"/>
              </w:rPr>
              <w:t>Landlord "entitled to draw in full"</w:t>
            </w:r>
          </w:p>
        </w:tc>
        <w:tc>
          <w:tcPr>
            <w:tcW w:type="dxa" w:w="3456"/>
          </w:tcPr>
          <w:p>
            <w:pPr>
              <w:spacing w:before="20" w:after="20" w:line="240" w:lineRule="auto"/>
            </w:pPr>
            <w:r/>
            <w:r>
              <w:rPr>
                <w:rFonts w:ascii="Times New Roman" w:hAnsi="Times New Roman"/>
                <w:b w:val="0"/>
                <w:i w:val="0"/>
                <w:sz w:val="13"/>
              </w:rPr>
              <w:t>Draw limited to Documented Damages; excess returned (§ 10.9)</w:t>
            </w:r>
          </w:p>
        </w:tc>
        <w:tc>
          <w:tcPr>
            <w:tcW w:type="dxa" w:w="576"/>
          </w:tcPr>
          <w:p>
            <w:pPr>
              <w:spacing w:before="20" w:after="20" w:line="240" w:lineRule="auto"/>
            </w:pPr>
            <w:r/>
            <w:r>
              <w:rPr>
                <w:rFonts w:ascii="Times New Roman" w:hAnsi="Times New Roman"/>
                <w:b w:val="0"/>
                <w:i w:val="0"/>
                <w:sz w:val="13"/>
              </w:rPr>
              <w:t>M</w:t>
            </w:r>
          </w:p>
        </w:tc>
      </w:tr>
      <w:tr>
        <w:tc>
          <w:tcPr>
            <w:tcW w:type="dxa" w:w="432"/>
          </w:tcPr>
          <w:p>
            <w:pPr>
              <w:spacing w:before="20" w:after="20" w:line="240" w:lineRule="auto"/>
            </w:pPr>
            <w:r/>
            <w:r>
              <w:rPr>
                <w:rFonts w:ascii="Times New Roman" w:hAnsi="Times New Roman"/>
                <w:b w:val="0"/>
                <w:i w:val="0"/>
                <w:sz w:val="13"/>
              </w:rPr>
              <w:t>4</w:t>
            </w:r>
          </w:p>
        </w:tc>
        <w:tc>
          <w:tcPr>
            <w:tcW w:type="dxa" w:w="1656"/>
          </w:tcPr>
          <w:p>
            <w:pPr>
              <w:spacing w:before="20" w:after="20" w:line="240" w:lineRule="auto"/>
            </w:pPr>
            <w:r/>
            <w:r>
              <w:rPr>
                <w:rFonts w:ascii="Times New Roman" w:hAnsi="Times New Roman"/>
                <w:b w:val="0"/>
                <w:i w:val="0"/>
                <w:sz w:val="13"/>
              </w:rPr>
              <w:t>Lender cure for milestone defaults</w:t>
            </w:r>
          </w:p>
        </w:tc>
        <w:tc>
          <w:tcPr>
            <w:tcW w:type="dxa" w:w="2520"/>
          </w:tcPr>
          <w:p>
            <w:pPr>
              <w:spacing w:before="20" w:after="20" w:line="240" w:lineRule="auto"/>
            </w:pPr>
            <w:r/>
            <w:r>
              <w:rPr>
                <w:rFonts w:ascii="Times New Roman" w:hAnsi="Times New Roman"/>
                <w:b w:val="0"/>
                <w:i w:val="0"/>
                <w:sz w:val="13"/>
              </w:rPr>
              <w:t>None in the Term Sheet; 90 days non-monetary in Bayside § 5.4</w:t>
            </w:r>
          </w:p>
        </w:tc>
        <w:tc>
          <w:tcPr>
            <w:tcW w:type="dxa" w:w="3456"/>
          </w:tcPr>
          <w:p>
            <w:pPr>
              <w:spacing w:before="20" w:after="20" w:line="240" w:lineRule="auto"/>
            </w:pPr>
            <w:r/>
            <w:r>
              <w:rPr>
                <w:rFonts w:ascii="Times New Roman" w:hAnsi="Times New Roman"/>
                <w:b w:val="0"/>
                <w:i w:val="0"/>
                <w:sz w:val="13"/>
              </w:rPr>
              <w:t>180 days from expiry of Tenant's cure period (§ 9.5(c))</w:t>
            </w:r>
          </w:p>
        </w:tc>
        <w:tc>
          <w:tcPr>
            <w:tcW w:type="dxa" w:w="576"/>
          </w:tcPr>
          <w:p>
            <w:pPr>
              <w:spacing w:before="20" w:after="20" w:line="240" w:lineRule="auto"/>
            </w:pPr>
            <w:r/>
            <w:r>
              <w:rPr>
                <w:rFonts w:ascii="Times New Roman" w:hAnsi="Times New Roman"/>
                <w:b w:val="0"/>
                <w:i w:val="0"/>
                <w:sz w:val="13"/>
              </w:rPr>
              <w:t>M</w:t>
            </w:r>
          </w:p>
        </w:tc>
      </w:tr>
      <w:tr>
        <w:tc>
          <w:tcPr>
            <w:tcW w:type="dxa" w:w="432"/>
          </w:tcPr>
          <w:p>
            <w:pPr>
              <w:spacing w:before="20" w:after="20" w:line="240" w:lineRule="auto"/>
            </w:pPr>
            <w:r/>
            <w:r>
              <w:rPr>
                <w:rFonts w:ascii="Times New Roman" w:hAnsi="Times New Roman"/>
                <w:b w:val="0"/>
                <w:i w:val="0"/>
                <w:sz w:val="13"/>
              </w:rPr>
              <w:t>5</w:t>
            </w:r>
          </w:p>
        </w:tc>
        <w:tc>
          <w:tcPr>
            <w:tcW w:type="dxa" w:w="1656"/>
          </w:tcPr>
          <w:p>
            <w:pPr>
              <w:spacing w:before="20" w:after="20" w:line="240" w:lineRule="auto"/>
            </w:pPr>
            <w:r/>
            <w:r>
              <w:rPr>
                <w:rFonts w:ascii="Times New Roman" w:hAnsi="Times New Roman"/>
                <w:b w:val="0"/>
                <w:i w:val="0"/>
                <w:sz w:val="13"/>
              </w:rPr>
              <w:t>New Lease</w:t>
            </w:r>
          </w:p>
        </w:tc>
        <w:tc>
          <w:tcPr>
            <w:tcW w:type="dxa" w:w="2520"/>
          </w:tcPr>
          <w:p>
            <w:pPr>
              <w:spacing w:before="20" w:after="20" w:line="240" w:lineRule="auto"/>
            </w:pPr>
            <w:r/>
            <w:r>
              <w:rPr>
                <w:rFonts w:ascii="Times New Roman" w:hAnsi="Times New Roman"/>
                <w:b w:val="0"/>
                <w:i w:val="0"/>
                <w:sz w:val="13"/>
              </w:rPr>
              <w:t>"Substantially the same terms"; cure within 60/90 days of termination</w:t>
            </w:r>
          </w:p>
        </w:tc>
        <w:tc>
          <w:tcPr>
            <w:tcW w:type="dxa" w:w="3456"/>
          </w:tcPr>
          <w:p>
            <w:pPr>
              <w:spacing w:before="20" w:after="20" w:line="240" w:lineRule="auto"/>
            </w:pPr>
            <w:r/>
            <w:r>
              <w:rPr>
                <w:rFonts w:ascii="Times New Roman" w:hAnsi="Times New Roman"/>
                <w:b w:val="0"/>
                <w:i w:val="0"/>
                <w:sz w:val="13"/>
              </w:rPr>
              <w:t>Remainder of term; 60-day request window; 30-day execution; priority and sublease recognition; 180-day non-monetary tail (§ 9.6)</w:t>
            </w:r>
          </w:p>
        </w:tc>
        <w:tc>
          <w:tcPr>
            <w:tcW w:type="dxa" w:w="576"/>
          </w:tcPr>
          <w:p>
            <w:pPr>
              <w:spacing w:before="20" w:after="20" w:line="240" w:lineRule="auto"/>
            </w:pPr>
            <w:r/>
            <w:r>
              <w:rPr>
                <w:rFonts w:ascii="Times New Roman" w:hAnsi="Times New Roman"/>
                <w:b w:val="0"/>
                <w:i w:val="0"/>
                <w:sz w:val="13"/>
              </w:rPr>
              <w:t>M</w:t>
            </w:r>
          </w:p>
        </w:tc>
      </w:tr>
      <w:tr>
        <w:tc>
          <w:tcPr>
            <w:tcW w:type="dxa" w:w="432"/>
          </w:tcPr>
          <w:p>
            <w:pPr>
              <w:spacing w:before="20" w:after="20" w:line="240" w:lineRule="auto"/>
            </w:pPr>
            <w:r/>
            <w:r>
              <w:rPr>
                <w:rFonts w:ascii="Times New Roman" w:hAnsi="Times New Roman"/>
                <w:b w:val="0"/>
                <w:i w:val="0"/>
                <w:sz w:val="13"/>
              </w:rPr>
              <w:t>6</w:t>
            </w:r>
          </w:p>
        </w:tc>
        <w:tc>
          <w:tcPr>
            <w:tcW w:type="dxa" w:w="1656"/>
          </w:tcPr>
          <w:p>
            <w:pPr>
              <w:spacing w:before="20" w:after="20" w:line="240" w:lineRule="auto"/>
            </w:pPr>
            <w:r/>
            <w:r>
              <w:rPr>
                <w:rFonts w:ascii="Times New Roman" w:hAnsi="Times New Roman"/>
                <w:b w:val="0"/>
                <w:i w:val="0"/>
                <w:sz w:val="13"/>
              </w:rPr>
              <w:t>Amendment restriction</w:t>
            </w:r>
          </w:p>
        </w:tc>
        <w:tc>
          <w:tcPr>
            <w:tcW w:type="dxa" w:w="2520"/>
          </w:tcPr>
          <w:p>
            <w:pPr>
              <w:spacing w:before="20" w:after="20" w:line="240" w:lineRule="auto"/>
            </w:pPr>
            <w:r/>
            <w:r>
              <w:rPr>
                <w:rFonts w:ascii="Times New Roman" w:hAnsi="Times New Roman"/>
                <w:b w:val="0"/>
                <w:i w:val="0"/>
                <w:sz w:val="13"/>
              </w:rPr>
              <w:t>Not addressed</w:t>
            </w:r>
          </w:p>
        </w:tc>
        <w:tc>
          <w:tcPr>
            <w:tcW w:type="dxa" w:w="3456"/>
          </w:tcPr>
          <w:p>
            <w:pPr>
              <w:spacing w:before="20" w:after="20" w:line="240" w:lineRule="auto"/>
            </w:pPr>
            <w:r/>
            <w:r>
              <w:rPr>
                <w:rFonts w:ascii="Times New Roman" w:hAnsi="Times New Roman"/>
                <w:b w:val="0"/>
                <w:i w:val="0"/>
                <w:sz w:val="13"/>
              </w:rPr>
              <w:t>No material amendment without each Leasehold Mortgagee's consent; void as against the mortgagee (§ 9.4)</w:t>
            </w:r>
          </w:p>
        </w:tc>
        <w:tc>
          <w:tcPr>
            <w:tcW w:type="dxa" w:w="576"/>
          </w:tcPr>
          <w:p>
            <w:pPr>
              <w:spacing w:before="20" w:after="20" w:line="240" w:lineRule="auto"/>
            </w:pPr>
            <w:r/>
            <w:r>
              <w:rPr>
                <w:rFonts w:ascii="Times New Roman" w:hAnsi="Times New Roman"/>
                <w:b w:val="0"/>
                <w:i w:val="0"/>
                <w:sz w:val="13"/>
              </w:rPr>
              <w:t>M</w:t>
            </w:r>
          </w:p>
        </w:tc>
      </w:tr>
      <w:tr>
        <w:tc>
          <w:tcPr>
            <w:tcW w:type="dxa" w:w="432"/>
          </w:tcPr>
          <w:p>
            <w:pPr>
              <w:spacing w:before="20" w:after="20" w:line="240" w:lineRule="auto"/>
            </w:pPr>
            <w:r/>
            <w:r>
              <w:rPr>
                <w:rFonts w:ascii="Times New Roman" w:hAnsi="Times New Roman"/>
                <w:b w:val="0"/>
                <w:i w:val="0"/>
                <w:sz w:val="13"/>
              </w:rPr>
              <w:t>7</w:t>
            </w:r>
          </w:p>
        </w:tc>
        <w:tc>
          <w:tcPr>
            <w:tcW w:type="dxa" w:w="1656"/>
          </w:tcPr>
          <w:p>
            <w:pPr>
              <w:spacing w:before="20" w:after="20" w:line="240" w:lineRule="auto"/>
            </w:pPr>
            <w:r/>
            <w:r>
              <w:rPr>
                <w:rFonts w:ascii="Times New Roman" w:hAnsi="Times New Roman"/>
                <w:b w:val="0"/>
                <w:i w:val="0"/>
                <w:sz w:val="13"/>
              </w:rPr>
              <w:t>Bankruptcy</w:t>
            </w:r>
          </w:p>
        </w:tc>
        <w:tc>
          <w:tcPr>
            <w:tcW w:type="dxa" w:w="2520"/>
          </w:tcPr>
          <w:p>
            <w:pPr>
              <w:spacing w:before="20" w:after="20" w:line="240" w:lineRule="auto"/>
            </w:pPr>
            <w:r/>
            <w:r>
              <w:rPr>
                <w:rFonts w:ascii="Times New Roman" w:hAnsi="Times New Roman"/>
                <w:b w:val="0"/>
                <w:i w:val="0"/>
                <w:sz w:val="13"/>
              </w:rPr>
              <w:t>Not addressed (filing is an Event of Default)</w:t>
            </w:r>
          </w:p>
        </w:tc>
        <w:tc>
          <w:tcPr>
            <w:tcW w:type="dxa" w:w="3456"/>
          </w:tcPr>
          <w:p>
            <w:pPr>
              <w:spacing w:before="20" w:after="20" w:line="240" w:lineRule="auto"/>
            </w:pPr>
            <w:r/>
            <w:r>
              <w:rPr>
                <w:rFonts w:ascii="Times New Roman" w:hAnsi="Times New Roman"/>
                <w:b w:val="0"/>
                <w:i w:val="0"/>
                <w:sz w:val="13"/>
              </w:rPr>
              <w:t>Section 365 protections; no ipso facto termination; New Lease survives rejection (§ 9.8)</w:t>
            </w:r>
          </w:p>
        </w:tc>
        <w:tc>
          <w:tcPr>
            <w:tcW w:type="dxa" w:w="576"/>
          </w:tcPr>
          <w:p>
            <w:pPr>
              <w:spacing w:before="20" w:after="20" w:line="240" w:lineRule="auto"/>
            </w:pPr>
            <w:r/>
            <w:r>
              <w:rPr>
                <w:rFonts w:ascii="Times New Roman" w:hAnsi="Times New Roman"/>
                <w:b w:val="0"/>
                <w:i w:val="0"/>
                <w:sz w:val="13"/>
              </w:rPr>
              <w:t>M</w:t>
            </w:r>
          </w:p>
        </w:tc>
      </w:tr>
      <w:tr>
        <w:tc>
          <w:tcPr>
            <w:tcW w:type="dxa" w:w="432"/>
          </w:tcPr>
          <w:p>
            <w:pPr>
              <w:spacing w:before="20" w:after="20" w:line="240" w:lineRule="auto"/>
            </w:pPr>
            <w:r/>
            <w:r>
              <w:rPr>
                <w:rFonts w:ascii="Times New Roman" w:hAnsi="Times New Roman"/>
                <w:b w:val="0"/>
                <w:i w:val="0"/>
                <w:sz w:val="13"/>
              </w:rPr>
              <w:t>8</w:t>
            </w:r>
          </w:p>
        </w:tc>
        <w:tc>
          <w:tcPr>
            <w:tcW w:type="dxa" w:w="1656"/>
          </w:tcPr>
          <w:p>
            <w:pPr>
              <w:spacing w:before="20" w:after="20" w:line="240" w:lineRule="auto"/>
            </w:pPr>
            <w:r/>
            <w:r>
              <w:rPr>
                <w:rFonts w:ascii="Times New Roman" w:hAnsi="Times New Roman"/>
                <w:b w:val="0"/>
                <w:i w:val="0"/>
                <w:sz w:val="13"/>
              </w:rPr>
              <w:t>Percentage rent</w:t>
            </w:r>
          </w:p>
        </w:tc>
        <w:tc>
          <w:tcPr>
            <w:tcW w:type="dxa" w:w="2520"/>
          </w:tcPr>
          <w:p>
            <w:pPr>
              <w:spacing w:before="20" w:after="20" w:line="240" w:lineRule="auto"/>
            </w:pPr>
            <w:r/>
            <w:r>
              <w:rPr>
                <w:rFonts w:ascii="Times New Roman" w:hAnsi="Times New Roman"/>
                <w:b w:val="0"/>
                <w:i w:val="0"/>
                <w:sz w:val="13"/>
              </w:rPr>
              <w:t>Breakpoint fixed at $28,500,000 for the Term</w:t>
            </w:r>
          </w:p>
        </w:tc>
        <w:tc>
          <w:tcPr>
            <w:tcW w:type="dxa" w:w="3456"/>
          </w:tcPr>
          <w:p>
            <w:pPr>
              <w:spacing w:before="20" w:after="20" w:line="240" w:lineRule="auto"/>
            </w:pPr>
            <w:r/>
            <w:r>
              <w:rPr>
                <w:rFonts w:ascii="Times New Roman" w:hAnsi="Times New Roman"/>
                <w:b w:val="0"/>
                <w:i w:val="0"/>
                <w:sz w:val="13"/>
              </w:rPr>
              <w:t>Breakpoint indexed at each Rent Reset to preserve the Year 6 ratio (§ 5.3)</w:t>
            </w:r>
          </w:p>
        </w:tc>
        <w:tc>
          <w:tcPr>
            <w:tcW w:type="dxa" w:w="576"/>
          </w:tcPr>
          <w:p>
            <w:pPr>
              <w:spacing w:before="20" w:after="20" w:line="240" w:lineRule="auto"/>
            </w:pPr>
            <w:r/>
            <w:r>
              <w:rPr>
                <w:rFonts w:ascii="Times New Roman" w:hAnsi="Times New Roman"/>
                <w:b w:val="0"/>
                <w:i w:val="0"/>
                <w:sz w:val="13"/>
              </w:rPr>
              <w:t>M</w:t>
            </w:r>
          </w:p>
        </w:tc>
      </w:tr>
      <w:tr>
        <w:tc>
          <w:tcPr>
            <w:tcW w:type="dxa" w:w="432"/>
          </w:tcPr>
          <w:p>
            <w:pPr>
              <w:spacing w:before="20" w:after="20" w:line="240" w:lineRule="auto"/>
            </w:pPr>
            <w:r/>
            <w:r>
              <w:rPr>
                <w:rFonts w:ascii="Times New Roman" w:hAnsi="Times New Roman"/>
                <w:b w:val="0"/>
                <w:i w:val="0"/>
                <w:sz w:val="13"/>
              </w:rPr>
              <w:t>9</w:t>
            </w:r>
          </w:p>
        </w:tc>
        <w:tc>
          <w:tcPr>
            <w:tcW w:type="dxa" w:w="1656"/>
          </w:tcPr>
          <w:p>
            <w:pPr>
              <w:spacing w:before="20" w:after="20" w:line="240" w:lineRule="auto"/>
            </w:pPr>
            <w:r/>
            <w:r>
              <w:rPr>
                <w:rFonts w:ascii="Times New Roman" w:hAnsi="Times New Roman"/>
                <w:b w:val="0"/>
                <w:i w:val="0"/>
                <w:sz w:val="13"/>
              </w:rPr>
              <w:t>Tax abatement</w:t>
            </w:r>
          </w:p>
        </w:tc>
        <w:tc>
          <w:tcPr>
            <w:tcW w:type="dxa" w:w="2520"/>
          </w:tcPr>
          <w:p>
            <w:pPr>
              <w:spacing w:before="20" w:after="20" w:line="240" w:lineRule="auto"/>
            </w:pPr>
            <w:r/>
            <w:r>
              <w:rPr>
                <w:rFonts w:ascii="Times New Roman" w:hAnsi="Times New Roman"/>
                <w:b w:val="0"/>
                <w:i w:val="0"/>
                <w:sz w:val="13"/>
              </w:rPr>
              <w:t>Period commences on the Lease Commencement Date</w:t>
            </w:r>
          </w:p>
        </w:tc>
        <w:tc>
          <w:tcPr>
            <w:tcW w:type="dxa" w:w="3456"/>
          </w:tcPr>
          <w:p>
            <w:pPr>
              <w:spacing w:before="20" w:after="20" w:line="240" w:lineRule="auto"/>
            </w:pPr>
            <w:r/>
            <w:r>
              <w:rPr>
                <w:rFonts w:ascii="Times New Roman" w:hAnsi="Times New Roman"/>
                <w:b w:val="0"/>
                <w:i w:val="0"/>
                <w:sz w:val="13"/>
              </w:rPr>
              <w:t>Period commences on the later of Rent Commencement and the first assessment reflecting the completed Improvements; rent credit backstop (§§ 6.7–6.8)</w:t>
            </w:r>
          </w:p>
        </w:tc>
        <w:tc>
          <w:tcPr>
            <w:tcW w:type="dxa" w:w="576"/>
          </w:tcPr>
          <w:p>
            <w:pPr>
              <w:spacing w:before="20" w:after="20" w:line="240" w:lineRule="auto"/>
            </w:pPr>
            <w:r/>
            <w:r>
              <w:rPr>
                <w:rFonts w:ascii="Times New Roman" w:hAnsi="Times New Roman"/>
                <w:b w:val="0"/>
                <w:i w:val="0"/>
                <w:sz w:val="13"/>
              </w:rPr>
              <w:t>M</w:t>
            </w:r>
          </w:p>
        </w:tc>
      </w:tr>
      <w:tr>
        <w:tc>
          <w:tcPr>
            <w:tcW w:type="dxa" w:w="432"/>
          </w:tcPr>
          <w:p>
            <w:pPr>
              <w:spacing w:before="20" w:after="20" w:line="240" w:lineRule="auto"/>
            </w:pPr>
            <w:r/>
            <w:r>
              <w:rPr>
                <w:rFonts w:ascii="Times New Roman" w:hAnsi="Times New Roman"/>
                <w:b w:val="0"/>
                <w:i w:val="0"/>
                <w:sz w:val="13"/>
              </w:rPr>
              <w:t>10</w:t>
            </w:r>
          </w:p>
        </w:tc>
        <w:tc>
          <w:tcPr>
            <w:tcW w:type="dxa" w:w="1656"/>
          </w:tcPr>
          <w:p>
            <w:pPr>
              <w:spacing w:before="20" w:after="20" w:line="240" w:lineRule="auto"/>
            </w:pPr>
            <w:r/>
            <w:r>
              <w:rPr>
                <w:rFonts w:ascii="Times New Roman" w:hAnsi="Times New Roman"/>
                <w:b w:val="0"/>
                <w:i w:val="0"/>
                <w:sz w:val="13"/>
              </w:rPr>
              <w:t>Remediation overruns</w:t>
            </w:r>
          </w:p>
        </w:tc>
        <w:tc>
          <w:tcPr>
            <w:tcW w:type="dxa" w:w="2520"/>
          </w:tcPr>
          <w:p>
            <w:pPr>
              <w:spacing w:before="20" w:after="20" w:line="240" w:lineRule="auto"/>
            </w:pPr>
            <w:r/>
            <w:r>
              <w:rPr>
                <w:rFonts w:ascii="Times New Roman" w:hAnsi="Times New Roman"/>
                <w:b w:val="0"/>
                <w:i w:val="0"/>
                <w:sz w:val="13"/>
              </w:rPr>
              <w:t>Tenant bears all costs above $2,400,000</w:t>
            </w:r>
          </w:p>
        </w:tc>
        <w:tc>
          <w:tcPr>
            <w:tcW w:type="dxa" w:w="3456"/>
          </w:tcPr>
          <w:p>
            <w:pPr>
              <w:spacing w:before="20" w:after="20" w:line="240" w:lineRule="auto"/>
            </w:pPr>
            <w:r/>
            <w:r>
              <w:rPr>
                <w:rFonts w:ascii="Times New Roman" w:hAnsi="Times New Roman"/>
                <w:b w:val="0"/>
                <w:i w:val="0"/>
                <w:sz w:val="13"/>
              </w:rPr>
              <w:t>Landlord bears overruns attributable to undisclosed or undelineated Pre-Existing Environmental Conditions; Landlord indemnity (§§ 7.4(c), 7.5)</w:t>
            </w:r>
          </w:p>
        </w:tc>
        <w:tc>
          <w:tcPr>
            <w:tcW w:type="dxa" w:w="576"/>
          </w:tcPr>
          <w:p>
            <w:pPr>
              <w:spacing w:before="20" w:after="20" w:line="240" w:lineRule="auto"/>
            </w:pPr>
            <w:r/>
            <w:r>
              <w:rPr>
                <w:rFonts w:ascii="Times New Roman" w:hAnsi="Times New Roman"/>
                <w:b w:val="0"/>
                <w:i w:val="0"/>
                <w:sz w:val="13"/>
              </w:rPr>
              <w:t>M</w:t>
            </w:r>
          </w:p>
        </w:tc>
      </w:tr>
      <w:tr>
        <w:tc>
          <w:tcPr>
            <w:tcW w:type="dxa" w:w="432"/>
          </w:tcPr>
          <w:p>
            <w:pPr>
              <w:spacing w:before="20" w:after="20" w:line="240" w:lineRule="auto"/>
            </w:pPr>
            <w:r/>
            <w:r>
              <w:rPr>
                <w:rFonts w:ascii="Times New Roman" w:hAnsi="Times New Roman"/>
                <w:b w:val="0"/>
                <w:i w:val="0"/>
                <w:sz w:val="13"/>
              </w:rPr>
              <w:t>11</w:t>
            </w:r>
          </w:p>
        </w:tc>
        <w:tc>
          <w:tcPr>
            <w:tcW w:type="dxa" w:w="1656"/>
          </w:tcPr>
          <w:p>
            <w:pPr>
              <w:spacing w:before="20" w:after="20" w:line="240" w:lineRule="auto"/>
            </w:pPr>
            <w:r/>
            <w:r>
              <w:rPr>
                <w:rFonts w:ascii="Times New Roman" w:hAnsi="Times New Roman"/>
                <w:b w:val="0"/>
                <w:i w:val="0"/>
                <w:sz w:val="13"/>
              </w:rPr>
              <w:t>Bulkhead</w:t>
            </w:r>
          </w:p>
        </w:tc>
        <w:tc>
          <w:tcPr>
            <w:tcW w:type="dxa" w:w="2520"/>
          </w:tcPr>
          <w:p>
            <w:pPr>
              <w:spacing w:before="20" w:after="20" w:line="240" w:lineRule="auto"/>
            </w:pPr>
            <w:r/>
            <w:r>
              <w:rPr>
                <w:rFonts w:ascii="Times New Roman" w:hAnsi="Times New Roman"/>
                <w:b w:val="0"/>
                <w:i w:val="0"/>
                <w:sz w:val="13"/>
              </w:rPr>
              <w:t>Not addressed</w:t>
            </w:r>
          </w:p>
        </w:tc>
        <w:tc>
          <w:tcPr>
            <w:tcW w:type="dxa" w:w="3456"/>
          </w:tcPr>
          <w:p>
            <w:pPr>
              <w:spacing w:before="20" w:after="20" w:line="240" w:lineRule="auto"/>
            </w:pPr>
            <w:r/>
            <w:r>
              <w:rPr>
                <w:rFonts w:ascii="Times New Roman" w:hAnsi="Times New Roman"/>
                <w:b w:val="0"/>
                <w:i w:val="0"/>
                <w:sz w:val="13"/>
              </w:rPr>
              <w:t>Landlord funds the structural assessment; alternative repair allocation with rent credit (§§ 2.9(b), 14.3)</w:t>
            </w:r>
          </w:p>
        </w:tc>
        <w:tc>
          <w:tcPr>
            <w:tcW w:type="dxa" w:w="576"/>
          </w:tcPr>
          <w:p>
            <w:pPr>
              <w:spacing w:before="20" w:after="20" w:line="240" w:lineRule="auto"/>
            </w:pPr>
            <w:r/>
            <w:r>
              <w:rPr>
                <w:rFonts w:ascii="Times New Roman" w:hAnsi="Times New Roman"/>
                <w:b w:val="0"/>
                <w:i w:val="0"/>
                <w:sz w:val="13"/>
              </w:rPr>
              <w:t>M</w:t>
            </w:r>
          </w:p>
        </w:tc>
      </w:tr>
      <w:tr>
        <w:tc>
          <w:tcPr>
            <w:tcW w:type="dxa" w:w="432"/>
          </w:tcPr>
          <w:p>
            <w:pPr>
              <w:spacing w:before="20" w:after="20" w:line="240" w:lineRule="auto"/>
            </w:pPr>
            <w:r/>
            <w:r>
              <w:rPr>
                <w:rFonts w:ascii="Times New Roman" w:hAnsi="Times New Roman"/>
                <w:b w:val="0"/>
                <w:i w:val="0"/>
                <w:sz w:val="13"/>
              </w:rPr>
              <w:t>12</w:t>
            </w:r>
          </w:p>
        </w:tc>
        <w:tc>
          <w:tcPr>
            <w:tcW w:type="dxa" w:w="1656"/>
          </w:tcPr>
          <w:p>
            <w:pPr>
              <w:spacing w:before="20" w:after="20" w:line="240" w:lineRule="auto"/>
            </w:pPr>
            <w:r/>
            <w:r>
              <w:rPr>
                <w:rFonts w:ascii="Times New Roman" w:hAnsi="Times New Roman"/>
                <w:b w:val="0"/>
                <w:i w:val="0"/>
                <w:sz w:val="13"/>
              </w:rPr>
              <w:t>Tenant extension option</w:t>
            </w:r>
          </w:p>
        </w:tc>
        <w:tc>
          <w:tcPr>
            <w:tcW w:type="dxa" w:w="2520"/>
          </w:tcPr>
          <w:p>
            <w:pPr>
              <w:spacing w:before="20" w:after="20" w:line="240" w:lineRule="auto"/>
            </w:pPr>
            <w:r/>
            <w:r>
              <w:rPr>
                <w:rFonts w:ascii="Times New Roman" w:hAnsi="Times New Roman"/>
                <w:b w:val="0"/>
                <w:i w:val="0"/>
                <w:sz w:val="13"/>
              </w:rPr>
              <w:t>"No renewal options are contemplated"</w:t>
            </w:r>
          </w:p>
        </w:tc>
        <w:tc>
          <w:tcPr>
            <w:tcW w:type="dxa" w:w="3456"/>
          </w:tcPr>
          <w:p>
            <w:pPr>
              <w:spacing w:before="20" w:after="20" w:line="240" w:lineRule="auto"/>
            </w:pPr>
            <w:r/>
            <w:r>
              <w:rPr>
                <w:rFonts w:ascii="Times New Roman" w:hAnsi="Times New Roman"/>
                <w:b w:val="0"/>
                <w:i w:val="0"/>
                <w:sz w:val="13"/>
              </w:rPr>
              <w:t>One 25-year extension at Tenant's option (§ 2.7, bracketed); note this exceeds the 99-year cap in Resolution § 4(b)</w:t>
            </w:r>
          </w:p>
        </w:tc>
        <w:tc>
          <w:tcPr>
            <w:tcW w:type="dxa" w:w="576"/>
          </w:tcPr>
          <w:p>
            <w:pPr>
              <w:spacing w:before="20" w:after="20" w:line="240" w:lineRule="auto"/>
            </w:pPr>
            <w:r/>
            <w:r>
              <w:rPr>
                <w:rFonts w:ascii="Times New Roman" w:hAnsi="Times New Roman"/>
                <w:b w:val="0"/>
                <w:i w:val="0"/>
                <w:sz w:val="13"/>
              </w:rPr>
              <w:t>M</w:t>
            </w:r>
          </w:p>
        </w:tc>
      </w:tr>
      <w:tr>
        <w:tc>
          <w:tcPr>
            <w:tcW w:type="dxa" w:w="432"/>
          </w:tcPr>
          <w:p>
            <w:pPr>
              <w:spacing w:before="20" w:after="20" w:line="240" w:lineRule="auto"/>
            </w:pPr>
            <w:r/>
            <w:r>
              <w:rPr>
                <w:rFonts w:ascii="Times New Roman" w:hAnsi="Times New Roman"/>
                <w:b w:val="0"/>
                <w:i w:val="0"/>
                <w:sz w:val="13"/>
              </w:rPr>
              <w:t>13</w:t>
            </w:r>
          </w:p>
        </w:tc>
        <w:tc>
          <w:tcPr>
            <w:tcW w:type="dxa" w:w="1656"/>
          </w:tcPr>
          <w:p>
            <w:pPr>
              <w:spacing w:before="20" w:after="20" w:line="240" w:lineRule="auto"/>
            </w:pPr>
            <w:r/>
            <w:r>
              <w:rPr>
                <w:rFonts w:ascii="Times New Roman" w:hAnsi="Times New Roman"/>
                <w:b w:val="0"/>
                <w:i w:val="0"/>
                <w:sz w:val="13"/>
              </w:rPr>
              <w:t>Milestone extensions</w:t>
            </w:r>
          </w:p>
        </w:tc>
        <w:tc>
          <w:tcPr>
            <w:tcW w:type="dxa" w:w="2520"/>
          </w:tcPr>
          <w:p>
            <w:pPr>
              <w:spacing w:before="20" w:after="20" w:line="240" w:lineRule="auto"/>
            </w:pPr>
            <w:r/>
            <w:r>
              <w:rPr>
                <w:rFonts w:ascii="Times New Roman" w:hAnsi="Times New Roman"/>
                <w:b w:val="0"/>
                <w:i w:val="0"/>
                <w:sz w:val="13"/>
              </w:rPr>
              <w:t>12 mo. FM + 6 mo. permitting; nothing for Landlord delay</w:t>
            </w:r>
          </w:p>
        </w:tc>
        <w:tc>
          <w:tcPr>
            <w:tcW w:type="dxa" w:w="3456"/>
          </w:tcPr>
          <w:p>
            <w:pPr>
              <w:spacing w:before="20" w:after="20" w:line="240" w:lineRule="auto"/>
            </w:pPr>
            <w:r/>
            <w:r>
              <w:rPr>
                <w:rFonts w:ascii="Times New Roman" w:hAnsi="Times New Roman"/>
                <w:b w:val="0"/>
                <w:i w:val="0"/>
                <w:sz w:val="13"/>
              </w:rPr>
              <w:t>Adds uncapped Landlord Delay and optional paid extensions (§ 3.4)</w:t>
            </w:r>
          </w:p>
        </w:tc>
        <w:tc>
          <w:tcPr>
            <w:tcW w:type="dxa" w:w="576"/>
          </w:tcPr>
          <w:p>
            <w:pPr>
              <w:spacing w:before="20" w:after="20" w:line="240" w:lineRule="auto"/>
            </w:pPr>
            <w:r/>
            <w:r>
              <w:rPr>
                <w:rFonts w:ascii="Times New Roman" w:hAnsi="Times New Roman"/>
                <w:b w:val="0"/>
                <w:i w:val="0"/>
                <w:sz w:val="13"/>
              </w:rPr>
              <w:t>M</w:t>
            </w:r>
          </w:p>
        </w:tc>
      </w:tr>
      <w:tr>
        <w:tc>
          <w:tcPr>
            <w:tcW w:type="dxa" w:w="432"/>
          </w:tcPr>
          <w:p>
            <w:pPr>
              <w:spacing w:before="20" w:after="20" w:line="240" w:lineRule="auto"/>
            </w:pPr>
            <w:r/>
            <w:r>
              <w:rPr>
                <w:rFonts w:ascii="Times New Roman" w:hAnsi="Times New Roman"/>
                <w:b w:val="0"/>
                <w:i w:val="0"/>
                <w:sz w:val="13"/>
              </w:rPr>
              <w:t>14</w:t>
            </w:r>
          </w:p>
        </w:tc>
        <w:tc>
          <w:tcPr>
            <w:tcW w:type="dxa" w:w="1656"/>
          </w:tcPr>
          <w:p>
            <w:pPr>
              <w:spacing w:before="20" w:after="20" w:line="240" w:lineRule="auto"/>
            </w:pPr>
            <w:r/>
            <w:r>
              <w:rPr>
                <w:rFonts w:ascii="Times New Roman" w:hAnsi="Times New Roman"/>
                <w:b w:val="0"/>
                <w:i w:val="0"/>
                <w:sz w:val="13"/>
              </w:rPr>
              <w:t>ROFR</w:t>
            </w:r>
          </w:p>
        </w:tc>
        <w:tc>
          <w:tcPr>
            <w:tcW w:type="dxa" w:w="2520"/>
          </w:tcPr>
          <w:p>
            <w:pPr>
              <w:spacing w:before="20" w:after="20" w:line="240" w:lineRule="auto"/>
            </w:pPr>
            <w:r/>
            <w:r>
              <w:rPr>
                <w:rFonts w:ascii="Times New Roman" w:hAnsi="Times New Roman"/>
                <w:b w:val="0"/>
                <w:i w:val="0"/>
                <w:sz w:val="13"/>
              </w:rPr>
              <w:t>Applies to any non-Affiliate assignment in first 20 years</w:t>
            </w:r>
          </w:p>
        </w:tc>
        <w:tc>
          <w:tcPr>
            <w:tcW w:type="dxa" w:w="3456"/>
          </w:tcPr>
          <w:p>
            <w:pPr>
              <w:spacing w:before="20" w:after="20" w:line="240" w:lineRule="auto"/>
            </w:pPr>
            <w:r/>
            <w:r>
              <w:rPr>
                <w:rFonts w:ascii="Times New Roman" w:hAnsi="Times New Roman"/>
                <w:b w:val="0"/>
                <w:i w:val="0"/>
                <w:sz w:val="13"/>
              </w:rPr>
              <w:t>Direct assignments for value only; broad Permitted Transfers; mortgagee carve-outs; lapse on failed closing; recorded Declaration to be amended (§§ 11.3, 11.5)</w:t>
            </w:r>
          </w:p>
        </w:tc>
        <w:tc>
          <w:tcPr>
            <w:tcW w:type="dxa" w:w="576"/>
          </w:tcPr>
          <w:p>
            <w:pPr>
              <w:spacing w:before="20" w:after="20" w:line="240" w:lineRule="auto"/>
            </w:pPr>
            <w:r/>
            <w:r>
              <w:rPr>
                <w:rFonts w:ascii="Times New Roman" w:hAnsi="Times New Roman"/>
                <w:b w:val="0"/>
                <w:i w:val="0"/>
                <w:sz w:val="13"/>
              </w:rPr>
              <w:t>M</w:t>
            </w:r>
          </w:p>
        </w:tc>
      </w:tr>
      <w:tr>
        <w:tc>
          <w:tcPr>
            <w:tcW w:type="dxa" w:w="432"/>
          </w:tcPr>
          <w:p>
            <w:pPr>
              <w:spacing w:before="20" w:after="20" w:line="240" w:lineRule="auto"/>
            </w:pPr>
            <w:r/>
            <w:r>
              <w:rPr>
                <w:rFonts w:ascii="Times New Roman" w:hAnsi="Times New Roman"/>
                <w:b w:val="0"/>
                <w:i w:val="0"/>
                <w:sz w:val="13"/>
              </w:rPr>
              <w:t>15</w:t>
            </w:r>
          </w:p>
        </w:tc>
        <w:tc>
          <w:tcPr>
            <w:tcW w:type="dxa" w:w="1656"/>
          </w:tcPr>
          <w:p>
            <w:pPr>
              <w:spacing w:before="20" w:after="20" w:line="240" w:lineRule="auto"/>
            </w:pPr>
            <w:r/>
            <w:r>
              <w:rPr>
                <w:rFonts w:ascii="Times New Roman" w:hAnsi="Times New Roman"/>
                <w:b w:val="0"/>
                <w:i w:val="0"/>
                <w:sz w:val="13"/>
              </w:rPr>
              <w:t>Rent amounts</w:t>
            </w:r>
          </w:p>
        </w:tc>
        <w:tc>
          <w:tcPr>
            <w:tcW w:type="dxa" w:w="2520"/>
          </w:tcPr>
          <w:p>
            <w:pPr>
              <w:spacing w:before="20" w:after="20" w:line="240" w:lineRule="auto"/>
            </w:pPr>
            <w:r/>
            <w:r>
              <w:rPr>
                <w:rFonts w:ascii="Times New Roman" w:hAnsi="Times New Roman"/>
                <w:b w:val="0"/>
                <w:i w:val="0"/>
                <w:sz w:val="13"/>
              </w:rPr>
              <w:t>$3,224,500 / $3,648,200</w:t>
            </w:r>
          </w:p>
        </w:tc>
        <w:tc>
          <w:tcPr>
            <w:tcW w:type="dxa" w:w="3456"/>
          </w:tcPr>
          <w:p>
            <w:pPr>
              <w:spacing w:before="20" w:after="20" w:line="240" w:lineRule="auto"/>
            </w:pPr>
            <w:r/>
            <w:r>
              <w:rPr>
                <w:rFonts w:ascii="Times New Roman" w:hAnsi="Times New Roman"/>
                <w:b w:val="0"/>
                <w:i w:val="0"/>
                <w:sz w:val="13"/>
              </w:rPr>
              <w:t>$3,224,513 / $3,648,241 (recomputed from 2.5% compounding)</w:t>
            </w:r>
          </w:p>
        </w:tc>
        <w:tc>
          <w:tcPr>
            <w:tcW w:type="dxa" w:w="576"/>
          </w:tcPr>
          <w:p>
            <w:pPr>
              <w:spacing w:before="20" w:after="20" w:line="240" w:lineRule="auto"/>
            </w:pPr>
            <w:r/>
            <w:r>
              <w:rPr>
                <w:rFonts w:ascii="Times New Roman" w:hAnsi="Times New Roman"/>
                <w:b w:val="0"/>
                <w:i w:val="0"/>
                <w:sz w:val="13"/>
              </w:rPr>
              <w:t>I</w:t>
            </w:r>
          </w:p>
        </w:tc>
      </w:tr>
      <w:tr>
        <w:tc>
          <w:tcPr>
            <w:tcW w:type="dxa" w:w="432"/>
          </w:tcPr>
          <w:p>
            <w:pPr>
              <w:spacing w:before="20" w:after="20" w:line="240" w:lineRule="auto"/>
            </w:pPr>
            <w:r/>
            <w:r>
              <w:rPr>
                <w:rFonts w:ascii="Times New Roman" w:hAnsi="Times New Roman"/>
                <w:b w:val="0"/>
                <w:i w:val="0"/>
                <w:sz w:val="13"/>
              </w:rPr>
              <w:t>16</w:t>
            </w:r>
          </w:p>
        </w:tc>
        <w:tc>
          <w:tcPr>
            <w:tcW w:type="dxa" w:w="1656"/>
          </w:tcPr>
          <w:p>
            <w:pPr>
              <w:spacing w:before="20" w:after="20" w:line="240" w:lineRule="auto"/>
            </w:pPr>
            <w:r/>
            <w:r>
              <w:rPr>
                <w:rFonts w:ascii="Times New Roman" w:hAnsi="Times New Roman"/>
                <w:b w:val="0"/>
                <w:i w:val="0"/>
                <w:sz w:val="13"/>
              </w:rPr>
              <w:t>CPI base month</w:t>
            </w:r>
          </w:p>
        </w:tc>
        <w:tc>
          <w:tcPr>
            <w:tcW w:type="dxa" w:w="2520"/>
          </w:tcPr>
          <w:p>
            <w:pPr>
              <w:spacing w:before="20" w:after="20" w:line="240" w:lineRule="auto"/>
            </w:pPr>
            <w:r/>
            <w:r>
              <w:rPr>
                <w:rFonts w:ascii="Times New Roman" w:hAnsi="Times New Roman"/>
                <w:b w:val="0"/>
                <w:i w:val="0"/>
                <w:sz w:val="13"/>
              </w:rPr>
              <w:t>From the Lease Commencement Date</w:t>
            </w:r>
          </w:p>
        </w:tc>
        <w:tc>
          <w:tcPr>
            <w:tcW w:type="dxa" w:w="3456"/>
          </w:tcPr>
          <w:p>
            <w:pPr>
              <w:spacing w:before="20" w:after="20" w:line="240" w:lineRule="auto"/>
            </w:pPr>
            <w:r/>
            <w:r>
              <w:rPr>
                <w:rFonts w:ascii="Times New Roman" w:hAnsi="Times New Roman"/>
                <w:b w:val="0"/>
                <w:i w:val="0"/>
                <w:sz w:val="13"/>
              </w:rPr>
              <w:t>From the Rent Commencement Date (§ 4.4(b))</w:t>
            </w:r>
          </w:p>
        </w:tc>
        <w:tc>
          <w:tcPr>
            <w:tcW w:type="dxa" w:w="576"/>
          </w:tcPr>
          <w:p>
            <w:pPr>
              <w:spacing w:before="20" w:after="20" w:line="240" w:lineRule="auto"/>
            </w:pPr>
            <w:r/>
            <w:r>
              <w:rPr>
                <w:rFonts w:ascii="Times New Roman" w:hAnsi="Times New Roman"/>
                <w:b w:val="0"/>
                <w:i w:val="0"/>
                <w:sz w:val="13"/>
              </w:rPr>
              <w:t>I</w:t>
            </w:r>
          </w:p>
        </w:tc>
      </w:tr>
      <w:tr>
        <w:tc>
          <w:tcPr>
            <w:tcW w:type="dxa" w:w="432"/>
          </w:tcPr>
          <w:p>
            <w:pPr>
              <w:spacing w:before="20" w:after="20" w:line="240" w:lineRule="auto"/>
            </w:pPr>
            <w:r/>
            <w:r>
              <w:rPr>
                <w:rFonts w:ascii="Times New Roman" w:hAnsi="Times New Roman"/>
                <w:b w:val="0"/>
                <w:i w:val="0"/>
                <w:sz w:val="13"/>
              </w:rPr>
              <w:t>17</w:t>
            </w:r>
          </w:p>
        </w:tc>
        <w:tc>
          <w:tcPr>
            <w:tcW w:type="dxa" w:w="1656"/>
          </w:tcPr>
          <w:p>
            <w:pPr>
              <w:spacing w:before="20" w:after="20" w:line="240" w:lineRule="auto"/>
            </w:pPr>
            <w:r/>
            <w:r>
              <w:rPr>
                <w:rFonts w:ascii="Times New Roman" w:hAnsi="Times New Roman"/>
                <w:b w:val="0"/>
                <w:i w:val="0"/>
                <w:sz w:val="13"/>
              </w:rPr>
              <w:t>Rent reset mechanic</w:t>
            </w:r>
          </w:p>
        </w:tc>
        <w:tc>
          <w:tcPr>
            <w:tcW w:type="dxa" w:w="2520"/>
          </w:tcPr>
          <w:p>
            <w:pPr>
              <w:spacing w:before="20" w:after="20" w:line="240" w:lineRule="auto"/>
            </w:pPr>
            <w:r/>
            <w:r>
              <w:rPr>
                <w:rFonts w:ascii="Times New Roman" w:hAnsi="Times New Roman"/>
                <w:b w:val="0"/>
                <w:i w:val="0"/>
                <w:sz w:val="13"/>
              </w:rPr>
              <w:t>Ten-year resets off the original Base Rent</w:t>
            </w:r>
          </w:p>
        </w:tc>
        <w:tc>
          <w:tcPr>
            <w:tcW w:type="dxa" w:w="3456"/>
          </w:tcPr>
          <w:p>
            <w:pPr>
              <w:spacing w:before="20" w:after="20" w:line="240" w:lineRule="auto"/>
            </w:pPr>
            <w:r/>
            <w:r>
              <w:rPr>
                <w:rFonts w:ascii="Times New Roman" w:hAnsi="Times New Roman"/>
                <w:b w:val="0"/>
                <w:i w:val="0"/>
                <w:sz w:val="13"/>
              </w:rPr>
              <w:t>Unchanged, but a bracketed annual CPI alternative with a 0–4% collar is proposed (§ 4.4, note)</w:t>
            </w:r>
          </w:p>
        </w:tc>
        <w:tc>
          <w:tcPr>
            <w:tcW w:type="dxa" w:w="576"/>
          </w:tcPr>
          <w:p>
            <w:pPr>
              <w:spacing w:before="20" w:after="20" w:line="240" w:lineRule="auto"/>
            </w:pPr>
            <w:r/>
            <w:r>
              <w:rPr>
                <w:rFonts w:ascii="Times New Roman" w:hAnsi="Times New Roman"/>
                <w:b w:val="0"/>
                <w:i w:val="0"/>
                <w:sz w:val="13"/>
              </w:rPr>
              <w:t>M</w:t>
            </w:r>
          </w:p>
        </w:tc>
      </w:tr>
      <w:tr>
        <w:tc>
          <w:tcPr>
            <w:tcW w:type="dxa" w:w="432"/>
          </w:tcPr>
          <w:p>
            <w:pPr>
              <w:spacing w:before="20" w:after="20" w:line="240" w:lineRule="auto"/>
            </w:pPr>
            <w:r/>
            <w:r>
              <w:rPr>
                <w:rFonts w:ascii="Times New Roman" w:hAnsi="Times New Roman"/>
                <w:b w:val="0"/>
                <w:i w:val="0"/>
                <w:sz w:val="13"/>
              </w:rPr>
              <w:t>18</w:t>
            </w:r>
          </w:p>
        </w:tc>
        <w:tc>
          <w:tcPr>
            <w:tcW w:type="dxa" w:w="1656"/>
          </w:tcPr>
          <w:p>
            <w:pPr>
              <w:spacing w:before="20" w:after="20" w:line="240" w:lineRule="auto"/>
            </w:pPr>
            <w:r/>
            <w:r>
              <w:rPr>
                <w:rFonts w:ascii="Times New Roman" w:hAnsi="Times New Roman"/>
                <w:b w:val="0"/>
                <w:i w:val="0"/>
                <w:sz w:val="13"/>
              </w:rPr>
              <w:t>Setoff</w:t>
            </w:r>
          </w:p>
        </w:tc>
        <w:tc>
          <w:tcPr>
            <w:tcW w:type="dxa" w:w="2520"/>
          </w:tcPr>
          <w:p>
            <w:pPr>
              <w:spacing w:before="20" w:after="20" w:line="240" w:lineRule="auto"/>
            </w:pPr>
            <w:r/>
            <w:r>
              <w:rPr>
                <w:rFonts w:ascii="Times New Roman" w:hAnsi="Times New Roman"/>
                <w:b w:val="0"/>
                <w:i w:val="0"/>
                <w:sz w:val="13"/>
              </w:rPr>
              <w:t>"Without setoff" (§ 5) but Tenant may offset (§ 16)</w:t>
            </w:r>
          </w:p>
        </w:tc>
        <w:tc>
          <w:tcPr>
            <w:tcW w:type="dxa" w:w="3456"/>
          </w:tcPr>
          <w:p>
            <w:pPr>
              <w:spacing w:before="20" w:after="20" w:line="240" w:lineRule="auto"/>
            </w:pPr>
            <w:r/>
            <w:r>
              <w:rPr>
                <w:rFonts w:ascii="Times New Roman" w:hAnsi="Times New Roman"/>
                <w:b w:val="0"/>
                <w:i w:val="0"/>
                <w:sz w:val="13"/>
              </w:rPr>
              <w:t>Express limited setoff rights with notice to mortgagees (§ 4.6)</w:t>
            </w:r>
          </w:p>
        </w:tc>
        <w:tc>
          <w:tcPr>
            <w:tcW w:type="dxa" w:w="576"/>
          </w:tcPr>
          <w:p>
            <w:pPr>
              <w:spacing w:before="20" w:after="20" w:line="240" w:lineRule="auto"/>
            </w:pPr>
            <w:r/>
            <w:r>
              <w:rPr>
                <w:rFonts w:ascii="Times New Roman" w:hAnsi="Times New Roman"/>
                <w:b w:val="0"/>
                <w:i w:val="0"/>
                <w:sz w:val="13"/>
              </w:rPr>
              <w:t>I</w:t>
            </w:r>
          </w:p>
        </w:tc>
      </w:tr>
      <w:tr>
        <w:tc>
          <w:tcPr>
            <w:tcW w:type="dxa" w:w="432"/>
          </w:tcPr>
          <w:p>
            <w:pPr>
              <w:spacing w:before="20" w:after="20" w:line="240" w:lineRule="auto"/>
            </w:pPr>
            <w:r/>
            <w:r>
              <w:rPr>
                <w:rFonts w:ascii="Times New Roman" w:hAnsi="Times New Roman"/>
                <w:b w:val="0"/>
                <w:i w:val="0"/>
                <w:sz w:val="13"/>
              </w:rPr>
              <w:t>19</w:t>
            </w:r>
          </w:p>
        </w:tc>
        <w:tc>
          <w:tcPr>
            <w:tcW w:type="dxa" w:w="1656"/>
          </w:tcPr>
          <w:p>
            <w:pPr>
              <w:spacing w:before="20" w:after="20" w:line="240" w:lineRule="auto"/>
            </w:pPr>
            <w:r/>
            <w:r>
              <w:rPr>
                <w:rFonts w:ascii="Times New Roman" w:hAnsi="Times New Roman"/>
                <w:b w:val="0"/>
                <w:i w:val="0"/>
                <w:sz w:val="13"/>
              </w:rPr>
              <w:t>Flood insurance</w:t>
            </w:r>
          </w:p>
        </w:tc>
        <w:tc>
          <w:tcPr>
            <w:tcW w:type="dxa" w:w="2520"/>
          </w:tcPr>
          <w:p>
            <w:pPr>
              <w:spacing w:before="20" w:after="20" w:line="240" w:lineRule="auto"/>
            </w:pPr>
            <w:r/>
            <w:r>
              <w:rPr>
                <w:rFonts w:ascii="Times New Roman" w:hAnsi="Times New Roman"/>
                <w:b w:val="0"/>
                <w:i w:val="0"/>
                <w:sz w:val="13"/>
              </w:rPr>
              <w:t>NFIP maximum</w:t>
            </w:r>
          </w:p>
        </w:tc>
        <w:tc>
          <w:tcPr>
            <w:tcW w:type="dxa" w:w="3456"/>
          </w:tcPr>
          <w:p>
            <w:pPr>
              <w:spacing w:before="20" w:after="20" w:line="240" w:lineRule="auto"/>
            </w:pPr>
            <w:r/>
            <w:r>
              <w:rPr>
                <w:rFonts w:ascii="Times New Roman" w:hAnsi="Times New Roman"/>
                <w:b w:val="0"/>
                <w:i w:val="0"/>
                <w:sz w:val="13"/>
              </w:rPr>
              <w:t>NFIP maximum plus excess/DIC to full replacement cost (§ 12.1(f))</w:t>
            </w:r>
          </w:p>
        </w:tc>
        <w:tc>
          <w:tcPr>
            <w:tcW w:type="dxa" w:w="576"/>
          </w:tcPr>
          <w:p>
            <w:pPr>
              <w:spacing w:before="20" w:after="20" w:line="240" w:lineRule="auto"/>
            </w:pPr>
            <w:r/>
            <w:r>
              <w:rPr>
                <w:rFonts w:ascii="Times New Roman" w:hAnsi="Times New Roman"/>
                <w:b w:val="0"/>
                <w:i w:val="0"/>
                <w:sz w:val="13"/>
              </w:rPr>
              <w:t>I</w:t>
            </w:r>
          </w:p>
        </w:tc>
      </w:tr>
      <w:tr>
        <w:tc>
          <w:tcPr>
            <w:tcW w:type="dxa" w:w="432"/>
          </w:tcPr>
          <w:p>
            <w:pPr>
              <w:spacing w:before="20" w:after="20" w:line="240" w:lineRule="auto"/>
            </w:pPr>
            <w:r/>
            <w:r>
              <w:rPr>
                <w:rFonts w:ascii="Times New Roman" w:hAnsi="Times New Roman"/>
                <w:b w:val="0"/>
                <w:i w:val="0"/>
                <w:sz w:val="13"/>
              </w:rPr>
              <w:t>20</w:t>
            </w:r>
          </w:p>
        </w:tc>
        <w:tc>
          <w:tcPr>
            <w:tcW w:type="dxa" w:w="1656"/>
          </w:tcPr>
          <w:p>
            <w:pPr>
              <w:spacing w:before="20" w:after="20" w:line="240" w:lineRule="auto"/>
            </w:pPr>
            <w:r/>
            <w:r>
              <w:rPr>
                <w:rFonts w:ascii="Times New Roman" w:hAnsi="Times New Roman"/>
                <w:b w:val="0"/>
                <w:i w:val="0"/>
                <w:sz w:val="13"/>
              </w:rPr>
              <w:t>LOC issuer</w:t>
            </w:r>
          </w:p>
        </w:tc>
        <w:tc>
          <w:tcPr>
            <w:tcW w:type="dxa" w:w="2520"/>
          </w:tcPr>
          <w:p>
            <w:pPr>
              <w:spacing w:before="20" w:after="20" w:line="240" w:lineRule="auto"/>
            </w:pPr>
            <w:r/>
            <w:r>
              <w:rPr>
                <w:rFonts w:ascii="Times New Roman" w:hAnsi="Times New Roman"/>
                <w:b w:val="0"/>
                <w:i w:val="0"/>
                <w:sz w:val="13"/>
              </w:rPr>
              <w:t>A-/A3 bank (or, per Board recital, federally chartered bank)</w:t>
            </w:r>
          </w:p>
        </w:tc>
        <w:tc>
          <w:tcPr>
            <w:tcW w:type="dxa" w:w="3456"/>
          </w:tcPr>
          <w:p>
            <w:pPr>
              <w:spacing w:before="20" w:after="20" w:line="240" w:lineRule="auto"/>
            </w:pPr>
            <w:r/>
            <w:r>
              <w:rPr>
                <w:rFonts w:ascii="Times New Roman" w:hAnsi="Times New Roman"/>
                <w:b w:val="0"/>
                <w:i w:val="0"/>
                <w:sz w:val="13"/>
              </w:rPr>
              <w:t>Either test (§ 8.3); cash deposit at Tenant's option (§ 8.2)</w:t>
            </w:r>
          </w:p>
        </w:tc>
        <w:tc>
          <w:tcPr>
            <w:tcW w:type="dxa" w:w="576"/>
          </w:tcPr>
          <w:p>
            <w:pPr>
              <w:spacing w:before="20" w:after="20" w:line="240" w:lineRule="auto"/>
            </w:pPr>
            <w:r/>
            <w:r>
              <w:rPr>
                <w:rFonts w:ascii="Times New Roman" w:hAnsi="Times New Roman"/>
                <w:b w:val="0"/>
                <w:i w:val="0"/>
                <w:sz w:val="13"/>
              </w:rPr>
              <w:t>I</w:t>
            </w:r>
          </w:p>
        </w:tc>
      </w:tr>
      <w:tr>
        <w:tc>
          <w:tcPr>
            <w:tcW w:type="dxa" w:w="432"/>
          </w:tcPr>
          <w:p>
            <w:pPr>
              <w:spacing w:before="20" w:after="20" w:line="240" w:lineRule="auto"/>
            </w:pPr>
            <w:r/>
            <w:r>
              <w:rPr>
                <w:rFonts w:ascii="Times New Roman" w:hAnsi="Times New Roman"/>
                <w:b w:val="0"/>
                <w:i w:val="0"/>
                <w:sz w:val="13"/>
              </w:rPr>
              <w:t>21</w:t>
            </w:r>
          </w:p>
        </w:tc>
        <w:tc>
          <w:tcPr>
            <w:tcW w:type="dxa" w:w="1656"/>
          </w:tcPr>
          <w:p>
            <w:pPr>
              <w:spacing w:before="20" w:after="20" w:line="240" w:lineRule="auto"/>
            </w:pPr>
            <w:r/>
            <w:r>
              <w:rPr>
                <w:rFonts w:ascii="Times New Roman" w:hAnsi="Times New Roman"/>
                <w:b w:val="0"/>
                <w:i w:val="0"/>
                <w:sz w:val="13"/>
              </w:rPr>
              <w:t>Occupancy measurement</w:t>
            </w:r>
          </w:p>
        </w:tc>
        <w:tc>
          <w:tcPr>
            <w:tcW w:type="dxa" w:w="2520"/>
          </w:tcPr>
          <w:p>
            <w:pPr>
              <w:spacing w:before="20" w:after="20" w:line="240" w:lineRule="auto"/>
            </w:pPr>
            <w:r/>
            <w:r>
              <w:rPr>
                <w:rFonts w:ascii="Times New Roman" w:hAnsi="Times New Roman"/>
                <w:b w:val="0"/>
                <w:i w:val="0"/>
                <w:sz w:val="13"/>
              </w:rPr>
              <w:t>"Overall occupancy rate of 90%"</w:t>
            </w:r>
          </w:p>
        </w:tc>
        <w:tc>
          <w:tcPr>
            <w:tcW w:type="dxa" w:w="3456"/>
          </w:tcPr>
          <w:p>
            <w:pPr>
              <w:spacing w:before="20" w:after="20" w:line="240" w:lineRule="auto"/>
            </w:pPr>
            <w:r/>
            <w:r>
              <w:rPr>
                <w:rFonts w:ascii="Times New Roman" w:hAnsi="Times New Roman"/>
                <w:b w:val="0"/>
                <w:i w:val="0"/>
                <w:sz w:val="13"/>
              </w:rPr>
              <w:t>Defined RSF-based test with certification and deemed-approval mechanics (§ 8.4)</w:t>
            </w:r>
          </w:p>
        </w:tc>
        <w:tc>
          <w:tcPr>
            <w:tcW w:type="dxa" w:w="576"/>
          </w:tcPr>
          <w:p>
            <w:pPr>
              <w:spacing w:before="20" w:after="20" w:line="240" w:lineRule="auto"/>
            </w:pPr>
            <w:r/>
            <w:r>
              <w:rPr>
                <w:rFonts w:ascii="Times New Roman" w:hAnsi="Times New Roman"/>
                <w:b w:val="0"/>
                <w:i w:val="0"/>
                <w:sz w:val="13"/>
              </w:rPr>
              <w:t>I</w:t>
            </w:r>
          </w:p>
        </w:tc>
      </w:tr>
      <w:tr>
        <w:tc>
          <w:tcPr>
            <w:tcW w:type="dxa" w:w="432"/>
          </w:tcPr>
          <w:p>
            <w:pPr>
              <w:spacing w:before="20" w:after="20" w:line="240" w:lineRule="auto"/>
            </w:pPr>
            <w:r/>
            <w:r>
              <w:rPr>
                <w:rFonts w:ascii="Times New Roman" w:hAnsi="Times New Roman"/>
                <w:b w:val="0"/>
                <w:i w:val="0"/>
                <w:sz w:val="13"/>
              </w:rPr>
              <w:t>22</w:t>
            </w:r>
          </w:p>
        </w:tc>
        <w:tc>
          <w:tcPr>
            <w:tcW w:type="dxa" w:w="1656"/>
          </w:tcPr>
          <w:p>
            <w:pPr>
              <w:spacing w:before="20" w:after="20" w:line="240" w:lineRule="auto"/>
            </w:pPr>
            <w:r/>
            <w:r>
              <w:rPr>
                <w:rFonts w:ascii="Times New Roman" w:hAnsi="Times New Roman"/>
                <w:b w:val="0"/>
                <w:i w:val="0"/>
                <w:sz w:val="13"/>
              </w:rPr>
              <w:t>Condominium conversion</w:t>
            </w:r>
          </w:p>
        </w:tc>
        <w:tc>
          <w:tcPr>
            <w:tcW w:type="dxa" w:w="2520"/>
          </w:tcPr>
          <w:p>
            <w:pPr>
              <w:spacing w:before="20" w:after="20" w:line="240" w:lineRule="auto"/>
            </w:pPr>
            <w:r/>
            <w:r>
              <w:rPr>
                <w:rFonts w:ascii="Times New Roman" w:hAnsi="Times New Roman"/>
                <w:b w:val="0"/>
                <w:i w:val="0"/>
                <w:sz w:val="13"/>
              </w:rPr>
              <w:t>Rent only; "no condominiums or cooperative units"</w:t>
            </w:r>
          </w:p>
        </w:tc>
        <w:tc>
          <w:tcPr>
            <w:tcW w:type="dxa" w:w="3456"/>
          </w:tcPr>
          <w:p>
            <w:pPr>
              <w:spacing w:before="20" w:after="20" w:line="240" w:lineRule="auto"/>
            </w:pPr>
            <w:r/>
            <w:r>
              <w:rPr>
                <w:rFonts w:ascii="Times New Roman" w:hAnsi="Times New Roman"/>
                <w:b w:val="0"/>
                <w:i w:val="0"/>
                <w:sz w:val="13"/>
              </w:rPr>
              <w:t>Conversion permitted if it does not alter Landlord's rights or reversion (§ 15.2)</w:t>
            </w:r>
          </w:p>
        </w:tc>
        <w:tc>
          <w:tcPr>
            <w:tcW w:type="dxa" w:w="576"/>
          </w:tcPr>
          <w:p>
            <w:pPr>
              <w:spacing w:before="20" w:after="20" w:line="240" w:lineRule="auto"/>
            </w:pPr>
            <w:r/>
            <w:r>
              <w:rPr>
                <w:rFonts w:ascii="Times New Roman" w:hAnsi="Times New Roman"/>
                <w:b w:val="0"/>
                <w:i w:val="0"/>
                <w:sz w:val="13"/>
              </w:rPr>
              <w:t>M</w:t>
            </w:r>
          </w:p>
        </w:tc>
      </w:tr>
      <w:tr>
        <w:tc>
          <w:tcPr>
            <w:tcW w:type="dxa" w:w="432"/>
          </w:tcPr>
          <w:p>
            <w:pPr>
              <w:spacing w:before="20" w:after="20" w:line="240" w:lineRule="auto"/>
            </w:pPr>
            <w:r/>
            <w:r>
              <w:rPr>
                <w:rFonts w:ascii="Times New Roman" w:hAnsi="Times New Roman"/>
                <w:b w:val="0"/>
                <w:i w:val="0"/>
                <w:sz w:val="13"/>
              </w:rPr>
              <w:t>23</w:t>
            </w:r>
          </w:p>
        </w:tc>
        <w:tc>
          <w:tcPr>
            <w:tcW w:type="dxa" w:w="1656"/>
          </w:tcPr>
          <w:p>
            <w:pPr>
              <w:spacing w:before="20" w:after="20" w:line="240" w:lineRule="auto"/>
            </w:pPr>
            <w:r/>
            <w:r>
              <w:rPr>
                <w:rFonts w:ascii="Times New Roman" w:hAnsi="Times New Roman"/>
                <w:b w:val="0"/>
                <w:i w:val="0"/>
                <w:sz w:val="13"/>
              </w:rPr>
              <w:t>Remediation credit survival</w:t>
            </w:r>
          </w:p>
        </w:tc>
        <w:tc>
          <w:tcPr>
            <w:tcW w:type="dxa" w:w="2520"/>
          </w:tcPr>
          <w:p>
            <w:pPr>
              <w:spacing w:before="20" w:after="20" w:line="240" w:lineRule="auto"/>
            </w:pPr>
            <w:r/>
            <w:r>
              <w:rPr>
                <w:rFonts w:ascii="Times New Roman" w:hAnsi="Times New Roman"/>
                <w:b w:val="0"/>
                <w:i w:val="0"/>
                <w:sz w:val="13"/>
              </w:rPr>
              <w:t>Silent</w:t>
            </w:r>
          </w:p>
        </w:tc>
        <w:tc>
          <w:tcPr>
            <w:tcW w:type="dxa" w:w="3456"/>
          </w:tcPr>
          <w:p>
            <w:pPr>
              <w:spacing w:before="20" w:after="20" w:line="240" w:lineRule="auto"/>
            </w:pPr>
            <w:r/>
            <w:r>
              <w:rPr>
                <w:rFonts w:ascii="Times New Roman" w:hAnsi="Times New Roman"/>
                <w:b w:val="0"/>
                <w:i w:val="0"/>
                <w:sz w:val="13"/>
              </w:rPr>
              <w:t>Unapplied credit paid in cash on early termination (§ 7.2)</w:t>
            </w:r>
          </w:p>
        </w:tc>
        <w:tc>
          <w:tcPr>
            <w:tcW w:type="dxa" w:w="576"/>
          </w:tcPr>
          <w:p>
            <w:pPr>
              <w:spacing w:before="20" w:after="20" w:line="240" w:lineRule="auto"/>
            </w:pPr>
            <w:r/>
            <w:r>
              <w:rPr>
                <w:rFonts w:ascii="Times New Roman" w:hAnsi="Times New Roman"/>
                <w:b w:val="0"/>
                <w:i w:val="0"/>
                <w:sz w:val="13"/>
              </w:rPr>
              <w:t>I</w:t>
            </w:r>
          </w:p>
        </w:tc>
      </w:tr>
      <w:tr>
        <w:tc>
          <w:tcPr>
            <w:tcW w:type="dxa" w:w="432"/>
          </w:tcPr>
          <w:p>
            <w:pPr>
              <w:spacing w:before="20" w:after="20" w:line="240" w:lineRule="auto"/>
            </w:pPr>
            <w:r/>
            <w:r>
              <w:rPr>
                <w:rFonts w:ascii="Times New Roman" w:hAnsi="Times New Roman"/>
                <w:b w:val="0"/>
                <w:i w:val="0"/>
                <w:sz w:val="13"/>
              </w:rPr>
              <w:t>24</w:t>
            </w:r>
          </w:p>
        </w:tc>
        <w:tc>
          <w:tcPr>
            <w:tcW w:type="dxa" w:w="1656"/>
          </w:tcPr>
          <w:p>
            <w:pPr>
              <w:spacing w:before="20" w:after="20" w:line="240" w:lineRule="auto"/>
            </w:pPr>
            <w:r/>
            <w:r>
              <w:rPr>
                <w:rFonts w:ascii="Times New Roman" w:hAnsi="Times New Roman"/>
                <w:b w:val="0"/>
                <w:i w:val="0"/>
                <w:sz w:val="13"/>
              </w:rPr>
              <w:t>Venue</w:t>
            </w:r>
          </w:p>
        </w:tc>
        <w:tc>
          <w:tcPr>
            <w:tcW w:type="dxa" w:w="2520"/>
          </w:tcPr>
          <w:p>
            <w:pPr>
              <w:spacing w:before="20" w:after="20" w:line="240" w:lineRule="auto"/>
            </w:pPr>
            <w:r/>
            <w:r>
              <w:rPr>
                <w:rFonts w:ascii="Times New Roman" w:hAnsi="Times New Roman"/>
                <w:b w:val="0"/>
                <w:i w:val="0"/>
                <w:sz w:val="13"/>
              </w:rPr>
              <w:t>"Judicial District of Port Calloway"</w:t>
            </w:r>
          </w:p>
        </w:tc>
        <w:tc>
          <w:tcPr>
            <w:tcW w:type="dxa" w:w="3456"/>
          </w:tcPr>
          <w:p>
            <w:pPr>
              <w:spacing w:before="20" w:after="20" w:line="240" w:lineRule="auto"/>
            </w:pPr>
            <w:r/>
            <w:r>
              <w:rPr>
                <w:rFonts w:ascii="Times New Roman" w:hAnsi="Times New Roman"/>
                <w:b w:val="0"/>
                <w:i w:val="0"/>
                <w:sz w:val="13"/>
              </w:rPr>
              <w:t>Judicial District of New Haven; mediation first (§ 20.2)</w:t>
            </w:r>
          </w:p>
        </w:tc>
        <w:tc>
          <w:tcPr>
            <w:tcW w:type="dxa" w:w="576"/>
          </w:tcPr>
          <w:p>
            <w:pPr>
              <w:spacing w:before="20" w:after="20" w:line="240" w:lineRule="auto"/>
            </w:pPr>
            <w:r/>
            <w:r>
              <w:rPr>
                <w:rFonts w:ascii="Times New Roman" w:hAnsi="Times New Roman"/>
                <w:b w:val="0"/>
                <w:i w:val="0"/>
                <w:sz w:val="13"/>
              </w:rPr>
              <w:t>I</w:t>
            </w:r>
          </w:p>
        </w:tc>
      </w:tr>
      <w:tr>
        <w:tc>
          <w:tcPr>
            <w:tcW w:type="dxa" w:w="432"/>
          </w:tcPr>
          <w:p>
            <w:pPr>
              <w:spacing w:before="20" w:after="20" w:line="240" w:lineRule="auto"/>
            </w:pPr>
            <w:r/>
            <w:r>
              <w:rPr>
                <w:rFonts w:ascii="Times New Roman" w:hAnsi="Times New Roman"/>
                <w:b w:val="0"/>
                <w:i w:val="0"/>
                <w:sz w:val="13"/>
              </w:rPr>
              <w:t>25</w:t>
            </w:r>
          </w:p>
        </w:tc>
        <w:tc>
          <w:tcPr>
            <w:tcW w:type="dxa" w:w="1656"/>
          </w:tcPr>
          <w:p>
            <w:pPr>
              <w:spacing w:before="20" w:after="20" w:line="240" w:lineRule="auto"/>
            </w:pPr>
            <w:r/>
            <w:r>
              <w:rPr>
                <w:rFonts w:ascii="Times New Roman" w:hAnsi="Times New Roman"/>
                <w:b w:val="0"/>
                <w:i w:val="0"/>
                <w:sz w:val="13"/>
              </w:rPr>
              <w:t>Title and survey corrections</w:t>
            </w:r>
          </w:p>
        </w:tc>
        <w:tc>
          <w:tcPr>
            <w:tcW w:type="dxa" w:w="2520"/>
          </w:tcPr>
          <w:p>
            <w:pPr>
              <w:spacing w:before="20" w:after="20" w:line="240" w:lineRule="auto"/>
            </w:pPr>
            <w:r/>
            <w:r>
              <w:rPr>
                <w:rFonts w:ascii="Times New Roman" w:hAnsi="Times New Roman"/>
                <w:b w:val="0"/>
                <w:i w:val="0"/>
                <w:sz w:val="13"/>
              </w:rPr>
              <w:t>Mechanics' lien listed as a Permitted Exception</w:t>
            </w:r>
          </w:p>
        </w:tc>
        <w:tc>
          <w:tcPr>
            <w:tcW w:type="dxa" w:w="3456"/>
          </w:tcPr>
          <w:p>
            <w:pPr>
              <w:spacing w:before="20" w:after="20" w:line="240" w:lineRule="auto"/>
            </w:pPr>
            <w:r/>
            <w:r>
              <w:rPr>
                <w:rFonts w:ascii="Times New Roman" w:hAnsi="Times New Roman"/>
                <w:b w:val="0"/>
                <w:i w:val="0"/>
                <w:sz w:val="13"/>
              </w:rPr>
              <w:t>Lien discharged at Landlord's cost; legal description conformed to the survey; both conditions precedent (§§ 2.3, 2.9(a), 16.2)</w:t>
            </w:r>
          </w:p>
        </w:tc>
        <w:tc>
          <w:tcPr>
            <w:tcW w:type="dxa" w:w="576"/>
          </w:tcPr>
          <w:p>
            <w:pPr>
              <w:spacing w:before="20" w:after="20" w:line="240" w:lineRule="auto"/>
            </w:pPr>
            <w:r/>
            <w:r>
              <w:rPr>
                <w:rFonts w:ascii="Times New Roman" w:hAnsi="Times New Roman"/>
                <w:b w:val="0"/>
                <w:i w:val="0"/>
                <w:sz w:val="13"/>
              </w:rPr>
              <w:t>I — but gating</w:t>
            </w:r>
          </w:p>
        </w:tc>
      </w:tr>
    </w:tbl>
    <w:p>
      <w:pPr>
        <w:spacing w:after="40" w:before="0"/>
      </w:pPr>
    </w:p>
    <w:p>
      <w:pPr>
        <w:spacing w:after="120"/>
        <w:ind w:left="0"/>
        <w:jc w:val="both"/>
      </w:pPr>
      <w:r>
        <w:rPr>
          <w:rFonts w:ascii="Times New Roman" w:hAnsi="Times New Roman"/>
          <w:b w:val="0"/>
          <w:i w:val="0"/>
        </w:rPr>
        <w:t>Our recommendation is to transmit this schedule with the draft, with a cover note from us explaining that items 1–5, 8–11 and 14 are responsive to the requirements of the construction lender and that items 1–3 are also responsive to the Authority's interest in an enforceable remedy. See Part 10.</w:t>
      </w:r>
    </w:p>
    <w:p>
      <w:pPr>
        <w:keepNext/>
        <w:spacing w:before="320" w:after="160"/>
        <w:pBdr>
          <w:bottom w:val="single" w:sz="6" w:space="2" w:color="000000"/>
        </w:pBdr>
      </w:pPr>
      <w:r>
        <w:rPr>
          <w:rFonts w:ascii="Times New Roman" w:hAnsi="Times New Roman"/>
          <w:b/>
          <w:i w:val="0"/>
          <w:sz w:val="24"/>
        </w:rPr>
        <w:t>PART 10 — NEGOTIATION STRATEGY</w:t>
      </w:r>
    </w:p>
    <w:p>
      <w:pPr>
        <w:keepNext/>
        <w:spacing w:before="240" w:after="100"/>
        <w:ind w:left="0"/>
      </w:pPr>
      <w:r>
        <w:rPr>
          <w:rFonts w:ascii="Times New Roman" w:hAnsi="Times New Roman"/>
          <w:b/>
          <w:i w:val="0"/>
          <w:sz w:val="21"/>
        </w:rPr>
        <w:t>10.1  Must-haves (walk-away if refused)</w:t>
      </w:r>
    </w:p>
    <w:p>
      <w:pPr>
        <w:tabs>
          <w:tab w:pos="864" w:val="left"/>
        </w:tabs>
        <w:spacing w:after="80"/>
        <w:ind w:left="864" w:hanging="403"/>
        <w:jc w:val="both"/>
      </w:pPr>
      <w:r>
        <w:rPr>
          <w:rFonts w:ascii="Times New Roman" w:hAnsi="Times New Roman"/>
          <w:b w:val="0"/>
          <w:i w:val="0"/>
        </w:rPr>
        <w:t>•</w:t>
        <w:tab/>
      </w:r>
      <w:r>
        <w:rPr>
          <w:rFonts w:ascii="Times New Roman" w:hAnsi="Times New Roman"/>
          <w:b/>
          <w:i w:val="0"/>
        </w:rPr>
        <w:t>Compensation for improvements on any reverter</w:t>
      </w:r>
      <w:r>
        <w:rPr>
          <w:rFonts w:ascii="Times New Roman" w:hAnsi="Times New Roman"/>
          <w:b w:val="0"/>
          <w:i w:val="0"/>
        </w:rPr>
        <w:t xml:space="preserve"> (§ 10.6) — your stated non-negotiable, and the condition to the loan.</w:t>
      </w:r>
    </w:p>
    <w:p>
      <w:pPr>
        <w:tabs>
          <w:tab w:pos="864" w:val="left"/>
        </w:tabs>
        <w:spacing w:after="80"/>
        <w:ind w:left="864" w:hanging="403"/>
        <w:jc w:val="both"/>
      </w:pPr>
      <w:r>
        <w:rPr>
          <w:rFonts w:ascii="Times New Roman" w:hAnsi="Times New Roman"/>
          <w:b w:val="0"/>
          <w:i w:val="0"/>
        </w:rPr>
        <w:t>•</w:t>
        <w:tab/>
      </w:r>
      <w:r>
        <w:rPr>
          <w:rFonts w:ascii="Times New Roman" w:hAnsi="Times New Roman"/>
          <w:b/>
          <w:i w:val="0"/>
        </w:rPr>
        <w:t>Lender cure periods and New Lease</w:t>
      </w:r>
      <w:r>
        <w:rPr>
          <w:rFonts w:ascii="Times New Roman" w:hAnsi="Times New Roman"/>
          <w:b w:val="0"/>
          <w:i w:val="0"/>
        </w:rPr>
        <w:t xml:space="preserve"> (§§ 9.5, 9.6) — without these the loan does not close, whatever the rest of the document says.</w:t>
      </w:r>
    </w:p>
    <w:p>
      <w:pPr>
        <w:tabs>
          <w:tab w:pos="864" w:val="left"/>
        </w:tabs>
        <w:spacing w:after="80"/>
        <w:ind w:left="864" w:hanging="403"/>
        <w:jc w:val="both"/>
      </w:pPr>
      <w:r>
        <w:rPr>
          <w:rFonts w:ascii="Times New Roman" w:hAnsi="Times New Roman"/>
          <w:b w:val="0"/>
          <w:i w:val="0"/>
        </w:rPr>
        <w:t>•</w:t>
        <w:tab/>
      </w:r>
      <w:r>
        <w:rPr>
          <w:rFonts w:ascii="Times New Roman" w:hAnsi="Times New Roman"/>
          <w:b/>
          <w:i w:val="0"/>
        </w:rPr>
        <w:t>A conformed legal description and a discharge of the mechanics' lien</w:t>
      </w:r>
      <w:r>
        <w:rPr>
          <w:rFonts w:ascii="Times New Roman" w:hAnsi="Times New Roman"/>
          <w:b w:val="0"/>
          <w:i w:val="0"/>
        </w:rPr>
        <w:t xml:space="preserve"> (§§ 2.3, 16.2) — title cannot issue otherwise.</w:t>
      </w:r>
    </w:p>
    <w:p>
      <w:pPr>
        <w:tabs>
          <w:tab w:pos="864" w:val="left"/>
        </w:tabs>
        <w:spacing w:after="80"/>
        <w:ind w:left="864" w:hanging="403"/>
        <w:jc w:val="both"/>
      </w:pPr>
      <w:r>
        <w:rPr>
          <w:rFonts w:ascii="Times New Roman" w:hAnsi="Times New Roman"/>
          <w:b w:val="0"/>
          <w:i w:val="0"/>
        </w:rPr>
        <w:t>•</w:t>
        <w:tab/>
      </w:r>
      <w:r>
        <w:rPr>
          <w:rFonts w:ascii="Times New Roman" w:hAnsi="Times New Roman"/>
          <w:b/>
          <w:i w:val="0"/>
        </w:rPr>
        <w:t>An amendment of the recorded ROFR</w:t>
      </w:r>
      <w:r>
        <w:rPr>
          <w:rFonts w:ascii="Times New Roman" w:hAnsi="Times New Roman"/>
          <w:b w:val="0"/>
          <w:i w:val="0"/>
        </w:rPr>
        <w:t xml:space="preserve"> to carve out mortgagee enforcement (§ 11.5) — a recorded instrument cannot be overridden by contract.</w:t>
      </w:r>
    </w:p>
    <w:p>
      <w:pPr>
        <w:tabs>
          <w:tab w:pos="864" w:val="left"/>
        </w:tabs>
        <w:spacing w:after="80"/>
        <w:ind w:left="864" w:hanging="403"/>
        <w:jc w:val="both"/>
      </w:pPr>
      <w:r>
        <w:rPr>
          <w:rFonts w:ascii="Times New Roman" w:hAnsi="Times New Roman"/>
          <w:b w:val="0"/>
          <w:i w:val="0"/>
        </w:rPr>
        <w:t>•</w:t>
        <w:tab/>
      </w:r>
      <w:r>
        <w:rPr>
          <w:rFonts w:ascii="Times New Roman" w:hAnsi="Times New Roman"/>
          <w:b/>
          <w:i w:val="0"/>
        </w:rPr>
        <w:t>A tax abatement backstop</w:t>
      </w:r>
      <w:r>
        <w:rPr>
          <w:rFonts w:ascii="Times New Roman" w:hAnsi="Times New Roman"/>
          <w:b w:val="0"/>
          <w:i w:val="0"/>
        </w:rPr>
        <w:t xml:space="preserve"> (§ 6.8) — the Authority is not the taxing authority, so a covenant alone is not enough.</w:t>
      </w:r>
    </w:p>
    <w:p>
      <w:pPr>
        <w:keepNext/>
        <w:spacing w:before="240" w:after="100"/>
        <w:ind w:left="0"/>
      </w:pPr>
      <w:r>
        <w:rPr>
          <w:rFonts w:ascii="Times New Roman" w:hAnsi="Times New Roman"/>
          <w:b/>
          <w:i w:val="0"/>
          <w:sz w:val="21"/>
        </w:rPr>
        <w:t>10.2  Strong preferences (trade only against something real)</w:t>
      </w:r>
    </w:p>
    <w:p>
      <w:pPr>
        <w:tabs>
          <w:tab w:pos="864" w:val="left"/>
        </w:tabs>
        <w:spacing w:after="80"/>
        <w:ind w:left="864" w:hanging="403"/>
        <w:jc w:val="both"/>
      </w:pPr>
      <w:r>
        <w:rPr>
          <w:rFonts w:ascii="Times New Roman" w:hAnsi="Times New Roman"/>
          <w:b w:val="0"/>
          <w:i w:val="0"/>
        </w:rPr>
        <w:t>•</w:t>
        <w:tab/>
        <w:t>Breakpoint indexation (§ 5.3) — trade against a higher Percentage Rent rate if pressed, or accept CPI-only indexation as a fallback.</w:t>
      </w:r>
    </w:p>
    <w:p>
      <w:pPr>
        <w:tabs>
          <w:tab w:pos="864" w:val="left"/>
        </w:tabs>
        <w:spacing w:after="80"/>
        <w:ind w:left="864" w:hanging="403"/>
        <w:jc w:val="both"/>
      </w:pPr>
      <w:r>
        <w:rPr>
          <w:rFonts w:ascii="Times New Roman" w:hAnsi="Times New Roman"/>
          <w:b w:val="0"/>
          <w:i w:val="0"/>
        </w:rPr>
        <w:t>•</w:t>
        <w:tab/>
        <w:t>Abatement commencement re-anchoring (§ 6.7) — this is the highest-value item that the Authority will frame as impossible; it may need City cooperation and therefore time.</w:t>
      </w:r>
    </w:p>
    <w:p>
      <w:pPr>
        <w:tabs>
          <w:tab w:pos="864" w:val="left"/>
        </w:tabs>
        <w:spacing w:after="80"/>
        <w:ind w:left="864" w:hanging="403"/>
        <w:jc w:val="both"/>
      </w:pPr>
      <w:r>
        <w:rPr>
          <w:rFonts w:ascii="Times New Roman" w:hAnsi="Times New Roman"/>
          <w:b w:val="0"/>
          <w:i w:val="0"/>
        </w:rPr>
        <w:t>•</w:t>
        <w:tab/>
        <w:t>Environmental overrun allocation and indemnity (§§ 7.4(c), 7.5) — a 50/50 sharing above $2.4 million is an acceptable landing zone.</w:t>
      </w:r>
    </w:p>
    <w:p>
      <w:pPr>
        <w:tabs>
          <w:tab w:pos="864" w:val="left"/>
        </w:tabs>
        <w:spacing w:after="80"/>
        <w:ind w:left="864" w:hanging="403"/>
        <w:jc w:val="both"/>
      </w:pPr>
      <w:r>
        <w:rPr>
          <w:rFonts w:ascii="Times New Roman" w:hAnsi="Times New Roman"/>
          <w:b w:val="0"/>
          <w:i w:val="0"/>
        </w:rPr>
        <w:t>•</w:t>
        <w:tab/>
        <w:t>Bulkhead allocation (§§ 2.9(b), 14.3) — get the assessment first; the number will do the arguing.</w:t>
      </w:r>
    </w:p>
    <w:p>
      <w:pPr>
        <w:tabs>
          <w:tab w:pos="864" w:val="left"/>
        </w:tabs>
        <w:spacing w:after="80"/>
        <w:ind w:left="864" w:hanging="403"/>
        <w:jc w:val="both"/>
      </w:pPr>
      <w:r>
        <w:rPr>
          <w:rFonts w:ascii="Times New Roman" w:hAnsi="Times New Roman"/>
          <w:b w:val="0"/>
          <w:i w:val="0"/>
        </w:rPr>
        <w:t>•</w:t>
        <w:tab/>
        <w:t>Extension option (§ 2.7) — valuable but not worth the transaction; drop it if the Board resists.</w:t>
      </w:r>
    </w:p>
    <w:p>
      <w:pPr>
        <w:keepNext/>
        <w:spacing w:before="240" w:after="100"/>
        <w:ind w:left="0"/>
      </w:pPr>
      <w:r>
        <w:rPr>
          <w:rFonts w:ascii="Times New Roman" w:hAnsi="Times New Roman"/>
          <w:b/>
          <w:i w:val="0"/>
          <w:sz w:val="21"/>
        </w:rPr>
        <w:t>10.3  Tradeables (give these if needed)</w:t>
      </w:r>
    </w:p>
    <w:p>
      <w:pPr>
        <w:spacing w:after="120"/>
        <w:ind w:left="0"/>
        <w:jc w:val="both"/>
      </w:pPr>
      <w:r>
        <w:rPr>
          <w:rFonts w:ascii="Times New Roman" w:hAnsi="Times New Roman"/>
          <w:b w:val="0"/>
          <w:i w:val="0"/>
        </w:rPr>
        <w:t>The recomputed rent amounts (Part 2.1 items 3–4 — a $54 per annum point); the CPI base-month correction (item 16); the setoff mechanics; the flood insurance enhancement (we would not concede this, since it protects Bayside, but we can let it be framed as a lender requirement rather than a Tenant ask); the condominium conversion right; and the paid-extension mechanic, which is a concession to Tenant that costs the Authority nothing if Tenant never uses it and pays the Authority if it does.</w:t>
      </w:r>
    </w:p>
    <w:p>
      <w:pPr>
        <w:keepNext/>
        <w:spacing w:before="240" w:after="100"/>
        <w:ind w:left="0"/>
      </w:pPr>
      <w:r>
        <w:rPr>
          <w:rFonts w:ascii="Times New Roman" w:hAnsi="Times New Roman"/>
          <w:b/>
          <w:i w:val="0"/>
          <w:sz w:val="21"/>
        </w:rPr>
        <w:t>10.4  Sequencing</w:t>
      </w:r>
    </w:p>
    <w:p>
      <w:pPr>
        <w:spacing w:after="120"/>
        <w:ind w:left="0"/>
        <w:jc w:val="both"/>
      </w:pPr>
      <w:r>
        <w:rPr>
          <w:rFonts w:ascii="Times New Roman" w:hAnsi="Times New Roman"/>
          <w:b w:val="0"/>
          <w:i w:val="0"/>
        </w:rPr>
        <w:t>Send the draft and this schedule to Mr. Koss with the loan-driven items identified as lender requirements, not Tenant preferences. That framing is accurate — Bayside § 5 requires most of them — and it moves the argument from "the tenant wants more" to "the deal does not fund without this." Then schedule a joint call with Authority counsel and Bayside's counsel in the same week, so that the Authority hears the lender's requirements from the lender. We should not negotiate the reverter with Authority counsel alone and then have to re-open it when Bayside's redline arrives.</w:t>
      </w:r>
    </w:p>
    <w:p>
      <w:pPr>
        <w:keepNext/>
        <w:spacing w:before="320" w:after="160"/>
        <w:pBdr>
          <w:bottom w:val="single" w:sz="6" w:space="2" w:color="000000"/>
        </w:pBdr>
      </w:pPr>
      <w:r>
        <w:rPr>
          <w:rFonts w:ascii="Times New Roman" w:hAnsi="Times New Roman"/>
          <w:b/>
          <w:i w:val="0"/>
          <w:sz w:val="24"/>
        </w:rPr>
        <w:t>PART 11 — TIMELINE TO OCTOBER 1, 2025</w:t>
      </w:r>
    </w:p>
    <w:tbl>
      <w:tblPr>
        <w:tblStyle w:val="TableGrid"/>
        <w:tblW w:type="auto" w:w="0"/>
        <w:jc w:val="center"/>
        <w:tblLayout w:type="fixed"/>
        <w:tblLook w:firstColumn="1" w:firstRow="1" w:lastColumn="0" w:lastRow="0" w:noHBand="0" w:noVBand="1" w:val="04A0"/>
        <w:tblLayout w:type="fixed"/>
        <w:tblW w:type="dxa" w:w="9360"/>
        <w:tblCellMar>
          <w:top w:w="20" w:type="dxa"/>
          <w:left w:w="60" w:type="dxa"/>
          <w:bottom w:w="20" w:type="dxa"/>
          <w:right w:w="60" w:type="dxa"/>
        </w:tblCellMar>
      </w:tblPr>
      <w:tblGrid>
        <w:gridCol w:w="1584"/>
        <w:gridCol w:w="5616"/>
        <w:gridCol w:w="2160"/>
      </w:tblGrid>
      <w:tr>
        <w:trPr>
          <w:tblHeader w:val="true"/>
        </w:trPr>
        <w:tc>
          <w:tcPr>
            <w:tcW w:type="dxa" w:w="1584"/>
            <w:shd w:val="clear" w:color="auto" w:fill="D9D9D9"/>
          </w:tcPr>
          <w:p>
            <w:pPr>
              <w:spacing w:before="20" w:after="20" w:line="240" w:lineRule="auto"/>
            </w:pPr>
            <w:r/>
            <w:r>
              <w:rPr>
                <w:rFonts w:ascii="Times New Roman" w:hAnsi="Times New Roman"/>
                <w:b/>
                <w:i w:val="0"/>
                <w:sz w:val="15"/>
              </w:rPr>
              <w:t>Date</w:t>
            </w:r>
          </w:p>
        </w:tc>
        <w:tc>
          <w:tcPr>
            <w:tcW w:type="dxa" w:w="5616"/>
            <w:shd w:val="clear" w:color="auto" w:fill="D9D9D9"/>
          </w:tcPr>
          <w:p>
            <w:pPr>
              <w:spacing w:before="20" w:after="20" w:line="240" w:lineRule="auto"/>
            </w:pPr>
            <w:r/>
            <w:r>
              <w:rPr>
                <w:rFonts w:ascii="Times New Roman" w:hAnsi="Times New Roman"/>
                <w:b/>
                <w:i w:val="0"/>
                <w:sz w:val="15"/>
              </w:rPr>
              <w:t>Milestone</w:t>
            </w:r>
          </w:p>
        </w:tc>
        <w:tc>
          <w:tcPr>
            <w:tcW w:type="dxa" w:w="2160"/>
            <w:shd w:val="clear" w:color="auto" w:fill="D9D9D9"/>
          </w:tcPr>
          <w:p>
            <w:pPr>
              <w:spacing w:before="20" w:after="20" w:line="240" w:lineRule="auto"/>
            </w:pPr>
            <w:r/>
            <w:r>
              <w:rPr>
                <w:rFonts w:ascii="Times New Roman" w:hAnsi="Times New Roman"/>
                <w:b/>
                <w:i w:val="0"/>
                <w:sz w:val="15"/>
              </w:rPr>
              <w:t>Owner</w:t>
            </w:r>
          </w:p>
        </w:tc>
      </w:tr>
      <w:tr>
        <w:tc>
          <w:tcPr>
            <w:tcW w:type="dxa" w:w="1584"/>
          </w:tcPr>
          <w:p>
            <w:pPr>
              <w:spacing w:before="20" w:after="20" w:line="240" w:lineRule="auto"/>
            </w:pPr>
            <w:r/>
            <w:r>
              <w:rPr>
                <w:rFonts w:ascii="Times New Roman" w:hAnsi="Times New Roman"/>
                <w:b w:val="0"/>
                <w:i w:val="0"/>
                <w:sz w:val="15"/>
              </w:rPr>
              <w:t>June 20, 2025</w:t>
            </w:r>
          </w:p>
        </w:tc>
        <w:tc>
          <w:tcPr>
            <w:tcW w:type="dxa" w:w="5616"/>
          </w:tcPr>
          <w:p>
            <w:pPr>
              <w:spacing w:before="20" w:after="20" w:line="240" w:lineRule="auto"/>
            </w:pPr>
            <w:r/>
            <w:r>
              <w:rPr>
                <w:rFonts w:ascii="Times New Roman" w:hAnsi="Times New Roman"/>
                <w:b w:val="0"/>
                <w:i w:val="0"/>
                <w:sz w:val="15"/>
              </w:rPr>
              <w:t>Draft Lease and this memorandum delivered to you</w:t>
            </w:r>
          </w:p>
        </w:tc>
        <w:tc>
          <w:tcPr>
            <w:tcW w:type="dxa" w:w="2160"/>
          </w:tcPr>
          <w:p>
            <w:pPr>
              <w:spacing w:before="20" w:after="20" w:line="240" w:lineRule="auto"/>
            </w:pPr>
            <w:r/>
            <w:r>
              <w:rPr>
                <w:rFonts w:ascii="Times New Roman" w:hAnsi="Times New Roman"/>
                <w:b w:val="0"/>
                <w:i w:val="0"/>
                <w:sz w:val="15"/>
              </w:rPr>
              <w:t>Hargrove &amp; Linden</w:t>
            </w:r>
          </w:p>
        </w:tc>
      </w:tr>
      <w:tr>
        <w:tc>
          <w:tcPr>
            <w:tcW w:type="dxa" w:w="1584"/>
          </w:tcPr>
          <w:p>
            <w:pPr>
              <w:spacing w:before="20" w:after="20" w:line="240" w:lineRule="auto"/>
            </w:pPr>
            <w:r/>
            <w:r>
              <w:rPr>
                <w:rFonts w:ascii="Times New Roman" w:hAnsi="Times New Roman"/>
                <w:b w:val="0"/>
                <w:i w:val="0"/>
                <w:sz w:val="15"/>
              </w:rPr>
              <w:t>June 23–27, 2025</w:t>
            </w:r>
          </w:p>
        </w:tc>
        <w:tc>
          <w:tcPr>
            <w:tcW w:type="dxa" w:w="5616"/>
          </w:tcPr>
          <w:p>
            <w:pPr>
              <w:spacing w:before="20" w:after="20" w:line="240" w:lineRule="auto"/>
            </w:pPr>
            <w:r/>
            <w:r>
              <w:rPr>
                <w:rFonts w:ascii="Times New Roman" w:hAnsi="Times New Roman"/>
                <w:b w:val="0"/>
                <w:i w:val="0"/>
                <w:sz w:val="15"/>
              </w:rPr>
              <w:t>Your review and instructions on the bracketed items (Part 11 note below)</w:t>
            </w:r>
          </w:p>
        </w:tc>
        <w:tc>
          <w:tcPr>
            <w:tcW w:type="dxa" w:w="2160"/>
          </w:tcPr>
          <w:p>
            <w:pPr>
              <w:spacing w:before="20" w:after="20" w:line="240" w:lineRule="auto"/>
            </w:pPr>
            <w:r/>
            <w:r>
              <w:rPr>
                <w:rFonts w:ascii="Times New Roman" w:hAnsi="Times New Roman"/>
                <w:b w:val="0"/>
                <w:i w:val="0"/>
                <w:sz w:val="15"/>
              </w:rPr>
              <w:t>Meridian</w:t>
            </w:r>
          </w:p>
        </w:tc>
      </w:tr>
      <w:tr>
        <w:tc>
          <w:tcPr>
            <w:tcW w:type="dxa" w:w="1584"/>
          </w:tcPr>
          <w:p>
            <w:pPr>
              <w:spacing w:before="20" w:after="20" w:line="240" w:lineRule="auto"/>
            </w:pPr>
            <w:r/>
            <w:r>
              <w:rPr>
                <w:rFonts w:ascii="Times New Roman" w:hAnsi="Times New Roman"/>
                <w:b w:val="0"/>
                <w:i w:val="0"/>
                <w:sz w:val="15"/>
              </w:rPr>
              <w:t>June 27, 2025</w:t>
            </w:r>
          </w:p>
        </w:tc>
        <w:tc>
          <w:tcPr>
            <w:tcW w:type="dxa" w:w="5616"/>
          </w:tcPr>
          <w:p>
            <w:pPr>
              <w:spacing w:before="20" w:after="20" w:line="240" w:lineRule="auto"/>
            </w:pPr>
            <w:r/>
            <w:r>
              <w:rPr>
                <w:rFonts w:ascii="Times New Roman" w:hAnsi="Times New Roman"/>
                <w:b w:val="0"/>
                <w:i w:val="0"/>
                <w:sz w:val="15"/>
              </w:rPr>
              <w:t>Confirm Bayside term sheet execution status (Bayside § 12 expiration)</w:t>
            </w:r>
          </w:p>
        </w:tc>
        <w:tc>
          <w:tcPr>
            <w:tcW w:type="dxa" w:w="2160"/>
          </w:tcPr>
          <w:p>
            <w:pPr>
              <w:spacing w:before="20" w:after="20" w:line="240" w:lineRule="auto"/>
            </w:pPr>
            <w:r/>
            <w:r>
              <w:rPr>
                <w:rFonts w:ascii="Times New Roman" w:hAnsi="Times New Roman"/>
                <w:b w:val="0"/>
                <w:i w:val="0"/>
                <w:sz w:val="15"/>
              </w:rPr>
              <w:t>Meridian</w:t>
            </w:r>
          </w:p>
        </w:tc>
      </w:tr>
      <w:tr>
        <w:tc>
          <w:tcPr>
            <w:tcW w:type="dxa" w:w="1584"/>
          </w:tcPr>
          <w:p>
            <w:pPr>
              <w:spacing w:before="20" w:after="20" w:line="240" w:lineRule="auto"/>
            </w:pPr>
            <w:r/>
            <w:r>
              <w:rPr>
                <w:rFonts w:ascii="Times New Roman" w:hAnsi="Times New Roman"/>
                <w:b w:val="0"/>
                <w:i w:val="0"/>
                <w:sz w:val="15"/>
              </w:rPr>
              <w:t>June 29, 2025</w:t>
            </w:r>
          </w:p>
        </w:tc>
        <w:tc>
          <w:tcPr>
            <w:tcW w:type="dxa" w:w="5616"/>
          </w:tcPr>
          <w:p>
            <w:pPr>
              <w:spacing w:before="20" w:after="20" w:line="240" w:lineRule="auto"/>
            </w:pPr>
            <w:r/>
            <w:r>
              <w:rPr>
                <w:rFonts w:ascii="Times New Roman" w:hAnsi="Times New Roman"/>
                <w:b w:val="0"/>
                <w:i w:val="0"/>
                <w:sz w:val="15"/>
              </w:rPr>
              <w:t>Target delivery of the Draft Lease to Howard Koss with the deviation schedule</w:t>
            </w:r>
          </w:p>
        </w:tc>
        <w:tc>
          <w:tcPr>
            <w:tcW w:type="dxa" w:w="2160"/>
          </w:tcPr>
          <w:p>
            <w:pPr>
              <w:spacing w:before="20" w:after="20" w:line="240" w:lineRule="auto"/>
            </w:pPr>
            <w:r/>
            <w:r>
              <w:rPr>
                <w:rFonts w:ascii="Times New Roman" w:hAnsi="Times New Roman"/>
                <w:b w:val="0"/>
                <w:i w:val="0"/>
                <w:sz w:val="15"/>
              </w:rPr>
              <w:t>Hargrove &amp; Linden</w:t>
            </w:r>
          </w:p>
        </w:tc>
      </w:tr>
      <w:tr>
        <w:tc>
          <w:tcPr>
            <w:tcW w:type="dxa" w:w="1584"/>
          </w:tcPr>
          <w:p>
            <w:pPr>
              <w:spacing w:before="20" w:after="20" w:line="240" w:lineRule="auto"/>
            </w:pPr>
            <w:r/>
            <w:r>
              <w:rPr>
                <w:rFonts w:ascii="Times New Roman" w:hAnsi="Times New Roman"/>
                <w:b w:val="0"/>
                <w:i w:val="0"/>
                <w:sz w:val="15"/>
              </w:rPr>
              <w:t>Week of June 30</w:t>
            </w:r>
          </w:p>
        </w:tc>
        <w:tc>
          <w:tcPr>
            <w:tcW w:type="dxa" w:w="5616"/>
          </w:tcPr>
          <w:p>
            <w:pPr>
              <w:spacing w:before="20" w:after="20" w:line="240" w:lineRule="auto"/>
            </w:pPr>
            <w:r/>
            <w:r>
              <w:rPr>
                <w:rFonts w:ascii="Times New Roman" w:hAnsi="Times New Roman"/>
                <w:b w:val="0"/>
                <w:i w:val="0"/>
                <w:sz w:val="15"/>
              </w:rPr>
              <w:t>Joint call with Authority counsel and Bayside counsel on Article 9 and the reverter</w:t>
            </w:r>
          </w:p>
        </w:tc>
        <w:tc>
          <w:tcPr>
            <w:tcW w:type="dxa" w:w="2160"/>
          </w:tcPr>
          <w:p>
            <w:pPr>
              <w:spacing w:before="20" w:after="20" w:line="240" w:lineRule="auto"/>
            </w:pPr>
            <w:r/>
            <w:r>
              <w:rPr>
                <w:rFonts w:ascii="Times New Roman" w:hAnsi="Times New Roman"/>
                <w:b w:val="0"/>
                <w:i w:val="0"/>
                <w:sz w:val="15"/>
              </w:rPr>
              <w:t>All</w:t>
            </w:r>
          </w:p>
        </w:tc>
      </w:tr>
      <w:tr>
        <w:tc>
          <w:tcPr>
            <w:tcW w:type="dxa" w:w="1584"/>
          </w:tcPr>
          <w:p>
            <w:pPr>
              <w:spacing w:before="20" w:after="20" w:line="240" w:lineRule="auto"/>
            </w:pPr>
            <w:r/>
            <w:r>
              <w:rPr>
                <w:rFonts w:ascii="Times New Roman" w:hAnsi="Times New Roman"/>
                <w:b w:val="0"/>
                <w:i w:val="0"/>
                <w:sz w:val="15"/>
              </w:rPr>
              <w:t>July 7–18, 2025</w:t>
            </w:r>
          </w:p>
        </w:tc>
        <w:tc>
          <w:tcPr>
            <w:tcW w:type="dxa" w:w="5616"/>
          </w:tcPr>
          <w:p>
            <w:pPr>
              <w:spacing w:before="20" w:after="20" w:line="240" w:lineRule="auto"/>
            </w:pPr>
            <w:r/>
            <w:r>
              <w:rPr>
                <w:rFonts w:ascii="Times New Roman" w:hAnsi="Times New Roman"/>
                <w:b w:val="0"/>
                <w:i w:val="0"/>
                <w:sz w:val="15"/>
              </w:rPr>
              <w:t>Request survey re-certification / update (90-day window expires July 19); request DEEP pre-application meeting on the ELUR ground-floor question</w:t>
            </w:r>
          </w:p>
        </w:tc>
        <w:tc>
          <w:tcPr>
            <w:tcW w:type="dxa" w:w="2160"/>
          </w:tcPr>
          <w:p>
            <w:pPr>
              <w:spacing w:before="20" w:after="20" w:line="240" w:lineRule="auto"/>
            </w:pPr>
            <w:r/>
            <w:r>
              <w:rPr>
                <w:rFonts w:ascii="Times New Roman" w:hAnsi="Times New Roman"/>
                <w:b w:val="0"/>
                <w:i w:val="0"/>
                <w:sz w:val="15"/>
              </w:rPr>
              <w:t>Meridian / Halcyon</w:t>
            </w:r>
          </w:p>
        </w:tc>
      </w:tr>
      <w:tr>
        <w:tc>
          <w:tcPr>
            <w:tcW w:type="dxa" w:w="1584"/>
          </w:tcPr>
          <w:p>
            <w:pPr>
              <w:spacing w:before="20" w:after="20" w:line="240" w:lineRule="auto"/>
            </w:pPr>
            <w:r/>
            <w:r>
              <w:rPr>
                <w:rFonts w:ascii="Times New Roman" w:hAnsi="Times New Roman"/>
                <w:b w:val="0"/>
                <w:i w:val="0"/>
                <w:sz w:val="15"/>
              </w:rPr>
              <w:t>July 2025</w:t>
            </w:r>
          </w:p>
        </w:tc>
        <w:tc>
          <w:tcPr>
            <w:tcW w:type="dxa" w:w="5616"/>
          </w:tcPr>
          <w:p>
            <w:pPr>
              <w:spacing w:before="20" w:after="20" w:line="240" w:lineRule="auto"/>
            </w:pPr>
            <w:r/>
            <w:r>
              <w:rPr>
                <w:rFonts w:ascii="Times New Roman" w:hAnsi="Times New Roman"/>
                <w:b w:val="0"/>
                <w:i w:val="0"/>
                <w:sz w:val="15"/>
              </w:rPr>
              <w:t>First redline from Pryor Whitfield &amp; Koss; Bayside checklist redline</w:t>
            </w:r>
          </w:p>
        </w:tc>
        <w:tc>
          <w:tcPr>
            <w:tcW w:type="dxa" w:w="2160"/>
          </w:tcPr>
          <w:p>
            <w:pPr>
              <w:spacing w:before="20" w:after="20" w:line="240" w:lineRule="auto"/>
            </w:pPr>
            <w:r/>
            <w:r>
              <w:rPr>
                <w:rFonts w:ascii="Times New Roman" w:hAnsi="Times New Roman"/>
                <w:b w:val="0"/>
                <w:i w:val="0"/>
                <w:sz w:val="15"/>
              </w:rPr>
              <w:t>Authority / Bayside</w:t>
            </w:r>
          </w:p>
        </w:tc>
      </w:tr>
      <w:tr>
        <w:tc>
          <w:tcPr>
            <w:tcW w:type="dxa" w:w="1584"/>
          </w:tcPr>
          <w:p>
            <w:pPr>
              <w:spacing w:before="20" w:after="20" w:line="240" w:lineRule="auto"/>
            </w:pPr>
            <w:r/>
            <w:r>
              <w:rPr>
                <w:rFonts w:ascii="Times New Roman" w:hAnsi="Times New Roman"/>
                <w:b w:val="0"/>
                <w:i w:val="0"/>
                <w:sz w:val="15"/>
              </w:rPr>
              <w:t>August 2025</w:t>
            </w:r>
          </w:p>
        </w:tc>
        <w:tc>
          <w:tcPr>
            <w:tcW w:type="dxa" w:w="5616"/>
          </w:tcPr>
          <w:p>
            <w:pPr>
              <w:spacing w:before="20" w:after="20" w:line="240" w:lineRule="auto"/>
            </w:pPr>
            <w:r/>
            <w:r>
              <w:rPr>
                <w:rFonts w:ascii="Times New Roman" w:hAnsi="Times New Roman"/>
                <w:b w:val="0"/>
                <w:i w:val="0"/>
                <w:sz w:val="15"/>
              </w:rPr>
              <w:t>Negotiate Articles 6, 7 and 10 (tax abatement, environmental, reverter); confirm City authority for the abatement with municipal finance counsel</w:t>
            </w:r>
          </w:p>
        </w:tc>
        <w:tc>
          <w:tcPr>
            <w:tcW w:type="dxa" w:w="2160"/>
          </w:tcPr>
          <w:p>
            <w:pPr>
              <w:spacing w:before="20" w:after="20" w:line="240" w:lineRule="auto"/>
            </w:pPr>
            <w:r/>
            <w:r>
              <w:rPr>
                <w:rFonts w:ascii="Times New Roman" w:hAnsi="Times New Roman"/>
                <w:b w:val="0"/>
                <w:i w:val="0"/>
                <w:sz w:val="15"/>
              </w:rPr>
              <w:t>All</w:t>
            </w:r>
          </w:p>
        </w:tc>
      </w:tr>
      <w:tr>
        <w:tc>
          <w:tcPr>
            <w:tcW w:type="dxa" w:w="1584"/>
          </w:tcPr>
          <w:p>
            <w:pPr>
              <w:spacing w:before="20" w:after="20" w:line="240" w:lineRule="auto"/>
            </w:pPr>
            <w:r/>
            <w:r>
              <w:rPr>
                <w:rFonts w:ascii="Times New Roman" w:hAnsi="Times New Roman"/>
                <w:b w:val="0"/>
                <w:i w:val="0"/>
                <w:sz w:val="15"/>
              </w:rPr>
              <w:t>August 2025</w:t>
            </w:r>
          </w:p>
        </w:tc>
        <w:tc>
          <w:tcPr>
            <w:tcW w:type="dxa" w:w="5616"/>
          </w:tcPr>
          <w:p>
            <w:pPr>
              <w:spacing w:before="20" w:after="20" w:line="240" w:lineRule="auto"/>
            </w:pPr>
            <w:r/>
            <w:r>
              <w:rPr>
                <w:rFonts w:ascii="Times New Roman" w:hAnsi="Times New Roman"/>
                <w:b w:val="0"/>
                <w:i w:val="0"/>
                <w:sz w:val="15"/>
              </w:rPr>
              <w:t>Obtain the bulkhead structural assessment and price the repair</w:t>
            </w:r>
          </w:p>
        </w:tc>
        <w:tc>
          <w:tcPr>
            <w:tcW w:type="dxa" w:w="2160"/>
          </w:tcPr>
          <w:p>
            <w:pPr>
              <w:spacing w:before="20" w:after="20" w:line="240" w:lineRule="auto"/>
            </w:pPr>
            <w:r/>
            <w:r>
              <w:rPr>
                <w:rFonts w:ascii="Times New Roman" w:hAnsi="Times New Roman"/>
                <w:b w:val="0"/>
                <w:i w:val="0"/>
                <w:sz w:val="15"/>
              </w:rPr>
              <w:t>Authority</w:t>
            </w:r>
          </w:p>
        </w:tc>
      </w:tr>
      <w:tr>
        <w:tc>
          <w:tcPr>
            <w:tcW w:type="dxa" w:w="1584"/>
          </w:tcPr>
          <w:p>
            <w:pPr>
              <w:spacing w:before="20" w:after="20" w:line="240" w:lineRule="auto"/>
            </w:pPr>
            <w:r/>
            <w:r>
              <w:rPr>
                <w:rFonts w:ascii="Times New Roman" w:hAnsi="Times New Roman"/>
                <w:b w:val="0"/>
                <w:i w:val="0"/>
                <w:sz w:val="15"/>
              </w:rPr>
              <w:t>Early September</w:t>
            </w:r>
          </w:p>
        </w:tc>
        <w:tc>
          <w:tcPr>
            <w:tcW w:type="dxa" w:w="5616"/>
          </w:tcPr>
          <w:p>
            <w:pPr>
              <w:spacing w:before="20" w:after="20" w:line="240" w:lineRule="auto"/>
            </w:pPr>
            <w:r/>
            <w:r>
              <w:rPr>
                <w:rFonts w:ascii="Times New Roman" w:hAnsi="Times New Roman"/>
                <w:b w:val="0"/>
                <w:i w:val="0"/>
                <w:sz w:val="15"/>
              </w:rPr>
              <w:t>Circulate the execution version to the Authority Board package; request a special meeting date</w:t>
            </w:r>
          </w:p>
        </w:tc>
        <w:tc>
          <w:tcPr>
            <w:tcW w:type="dxa" w:w="2160"/>
          </w:tcPr>
          <w:p>
            <w:pPr>
              <w:spacing w:before="20" w:after="20" w:line="240" w:lineRule="auto"/>
            </w:pPr>
            <w:r/>
            <w:r>
              <w:rPr>
                <w:rFonts w:ascii="Times New Roman" w:hAnsi="Times New Roman"/>
                <w:b w:val="0"/>
                <w:i w:val="0"/>
                <w:sz w:val="15"/>
              </w:rPr>
              <w:t>Authority / Hargrove &amp; Linden</w:t>
            </w:r>
          </w:p>
        </w:tc>
      </w:tr>
      <w:tr>
        <w:tc>
          <w:tcPr>
            <w:tcW w:type="dxa" w:w="1584"/>
          </w:tcPr>
          <w:p>
            <w:pPr>
              <w:spacing w:before="20" w:after="20" w:line="240" w:lineRule="auto"/>
            </w:pPr>
            <w:r/>
            <w:r>
              <w:rPr>
                <w:rFonts w:ascii="Times New Roman" w:hAnsi="Times New Roman"/>
                <w:b w:val="0"/>
                <w:i w:val="0"/>
                <w:sz w:val="15"/>
              </w:rPr>
              <w:t>Mid-September</w:t>
            </w:r>
          </w:p>
        </w:tc>
        <w:tc>
          <w:tcPr>
            <w:tcW w:type="dxa" w:w="5616"/>
          </w:tcPr>
          <w:p>
            <w:pPr>
              <w:spacing w:before="20" w:after="20" w:line="240" w:lineRule="auto"/>
            </w:pPr>
            <w:r/>
            <w:r>
              <w:rPr>
                <w:rFonts w:ascii="Times New Roman" w:hAnsi="Times New Roman"/>
                <w:b w:val="0"/>
                <w:i w:val="0"/>
                <w:sz w:val="15"/>
              </w:rPr>
              <w:t>Board resolution approving the definitive lease (Term Sheet § 15(g)) and the recorded ROFR amendment</w:t>
            </w:r>
          </w:p>
        </w:tc>
        <w:tc>
          <w:tcPr>
            <w:tcW w:type="dxa" w:w="2160"/>
          </w:tcPr>
          <w:p>
            <w:pPr>
              <w:spacing w:before="20" w:after="20" w:line="240" w:lineRule="auto"/>
            </w:pPr>
            <w:r/>
            <w:r>
              <w:rPr>
                <w:rFonts w:ascii="Times New Roman" w:hAnsi="Times New Roman"/>
                <w:b w:val="0"/>
                <w:i w:val="0"/>
                <w:sz w:val="15"/>
              </w:rPr>
              <w:t>Authority Board</w:t>
            </w:r>
          </w:p>
        </w:tc>
      </w:tr>
      <w:tr>
        <w:tc>
          <w:tcPr>
            <w:tcW w:type="dxa" w:w="1584"/>
          </w:tcPr>
          <w:p>
            <w:pPr>
              <w:spacing w:before="20" w:after="20" w:line="240" w:lineRule="auto"/>
            </w:pPr>
            <w:r/>
            <w:r>
              <w:rPr>
                <w:rFonts w:ascii="Times New Roman" w:hAnsi="Times New Roman"/>
                <w:b w:val="0"/>
                <w:i w:val="0"/>
                <w:sz w:val="15"/>
              </w:rPr>
              <w:t>Late September</w:t>
            </w:r>
          </w:p>
        </w:tc>
        <w:tc>
          <w:tcPr>
            <w:tcW w:type="dxa" w:w="5616"/>
          </w:tcPr>
          <w:p>
            <w:pPr>
              <w:spacing w:before="20" w:after="20" w:line="240" w:lineRule="auto"/>
            </w:pPr>
            <w:r/>
            <w:r>
              <w:rPr>
                <w:rFonts w:ascii="Times New Roman" w:hAnsi="Times New Roman"/>
                <w:b w:val="0"/>
                <w:i w:val="0"/>
                <w:sz w:val="15"/>
              </w:rPr>
              <w:t>Title: conformed commitment, lien discharged, policies marked to issue; SNDA executed and recorded</w:t>
            </w:r>
          </w:p>
        </w:tc>
        <w:tc>
          <w:tcPr>
            <w:tcW w:type="dxa" w:w="2160"/>
          </w:tcPr>
          <w:p>
            <w:pPr>
              <w:spacing w:before="20" w:after="20" w:line="240" w:lineRule="auto"/>
            </w:pPr>
            <w:r/>
            <w:r>
              <w:rPr>
                <w:rFonts w:ascii="Times New Roman" w:hAnsi="Times New Roman"/>
                <w:b w:val="0"/>
                <w:i w:val="0"/>
                <w:sz w:val="15"/>
              </w:rPr>
              <w:t>Ridgepoint / all</w:t>
            </w:r>
          </w:p>
        </w:tc>
      </w:tr>
      <w:tr>
        <w:tc>
          <w:tcPr>
            <w:tcW w:type="dxa" w:w="1584"/>
          </w:tcPr>
          <w:p>
            <w:pPr>
              <w:spacing w:before="20" w:after="20" w:line="240" w:lineRule="auto"/>
            </w:pPr>
            <w:r/>
            <w:r>
              <w:rPr>
                <w:rFonts w:ascii="Times New Roman" w:hAnsi="Times New Roman"/>
                <w:b w:val="0"/>
                <w:i w:val="0"/>
                <w:sz w:val="15"/>
              </w:rPr>
              <w:t>October 1, 2025</w:t>
            </w:r>
          </w:p>
        </w:tc>
        <w:tc>
          <w:tcPr>
            <w:tcW w:type="dxa" w:w="5616"/>
          </w:tcPr>
          <w:p>
            <w:pPr>
              <w:spacing w:before="20" w:after="20" w:line="240" w:lineRule="auto"/>
            </w:pPr>
            <w:r/>
            <w:r>
              <w:rPr>
                <w:rFonts w:ascii="Times New Roman" w:hAnsi="Times New Roman"/>
                <w:b w:val="0"/>
                <w:i w:val="0"/>
                <w:sz w:val="15"/>
              </w:rPr>
              <w:t>Lease Commencement Date; Memorandum of Lease recorded; Letter of Credit delivered</w:t>
            </w:r>
          </w:p>
        </w:tc>
        <w:tc>
          <w:tcPr>
            <w:tcW w:type="dxa" w:w="2160"/>
          </w:tcPr>
          <w:p>
            <w:pPr>
              <w:spacing w:before="20" w:after="20" w:line="240" w:lineRule="auto"/>
            </w:pPr>
            <w:r/>
            <w:r>
              <w:rPr>
                <w:rFonts w:ascii="Times New Roman" w:hAnsi="Times New Roman"/>
                <w:b w:val="0"/>
                <w:i w:val="0"/>
                <w:sz w:val="15"/>
              </w:rPr>
              <w:t>All</w:t>
            </w:r>
          </w:p>
        </w:tc>
      </w:tr>
    </w:tbl>
    <w:p>
      <w:pPr>
        <w:spacing w:after="40" w:before="0"/>
      </w:pPr>
    </w:p>
    <w:p>
      <w:pPr>
        <w:spacing w:before="60" w:after="160"/>
        <w:ind w:left="360" w:right="216"/>
        <w:jc w:val="both"/>
        <w:pBdr>
          <w:top w:val="single" w:sz="4" w:space="4" w:color="808080"/>
          <w:left w:val="single" w:sz="4" w:space="4" w:color="808080"/>
          <w:bottom w:val="single" w:sz="4" w:space="4" w:color="808080"/>
          <w:right w:val="single" w:sz="4" w:space="4" w:color="808080"/>
        </w:pBdr>
        <w:shd w:val="clear" w:color="auto" w:fill="F2F2F2"/>
      </w:pPr>
      <w:r>
        <w:rPr>
          <w:rFonts w:ascii="Times New Roman" w:hAnsi="Times New Roman"/>
          <w:b/>
          <w:i w:val="0"/>
          <w:sz w:val="19"/>
        </w:rPr>
        <w:t xml:space="preserve">The critical path is not the drafting. </w:t>
      </w:r>
      <w:r>
        <w:rPr>
          <w:rFonts w:ascii="Times New Roman" w:hAnsi="Times New Roman"/>
          <w:b w:val="0"/>
          <w:i w:val="0"/>
          <w:sz w:val="19"/>
        </w:rPr>
        <w:t xml:space="preserve">It is the Authority Board calendar and the City's tax abatement approval. Resolution No. 2025-047 is an authorization to negotiate and execute a lease substantially consistent with the Term Sheet; Term Sheet § 15(g) separately requires approval of the definitive lease by the Board at a properly noticed public meeting, and Resolution § 4(d) requires Board review of material deviations. You should assume </w:t>
      </w:r>
      <w:r>
        <w:rPr>
          <w:rFonts w:ascii="Times New Roman" w:hAnsi="Times New Roman"/>
          <w:b/>
          <w:i w:val="0"/>
          <w:sz w:val="19"/>
        </w:rPr>
        <w:t>two</w:t>
      </w:r>
      <w:r>
        <w:rPr>
          <w:rFonts w:ascii="Times New Roman" w:hAnsi="Times New Roman"/>
          <w:b w:val="0"/>
          <w:i w:val="0"/>
          <w:sz w:val="19"/>
        </w:rPr>
        <w:t xml:space="preserve"> Board actions are required — one for the lease and one for the recorded ROFR amendment — and that the City must act separately on the abatement agreement. On a municipal calendar that is four to six weeks before October 1. Our recommendation is that we ask Mr. Koss this week to reserve a special meeting date in the second week of September.</w:t>
      </w:r>
    </w:p>
    <w:p>
      <w:pPr>
        <w:spacing w:after="120"/>
        <w:ind w:left="0"/>
        <w:jc w:val="both"/>
      </w:pPr>
      <w:r>
        <w:rPr>
          <w:rFonts w:ascii="Times New Roman" w:hAnsi="Times New Roman"/>
          <w:b/>
          <w:i w:val="0"/>
        </w:rPr>
        <w:t>Five dollar amounts are left blank in the Draft Lease</w:t>
      </w:r>
      <w:r>
        <w:rPr>
          <w:rFonts w:ascii="Times New Roman" w:hAnsi="Times New Roman"/>
          <w:b w:val="0"/>
          <w:i w:val="0"/>
        </w:rPr>
        <w:t>, each marked "$[●]" and each requiring your instruction or a negotiated number: (i) the fee for Tenant's optional 6-month milestone extensions (§ 3.4(d)); (ii) the cap on Tenant's environmental indemnity (§ 7.6); (iii) the minimum capital and surplus of a federally chartered letter-of-credit issuer, if that alternative is used (§ 8.3); (iv) the net-worth qualification for a foreclosure transferee (§ 9.7); and (v) the threshold above which alterations in the final ten years of the Term require consent (§ 14.6). We have not inserted numbers because each is a business judgment, and because the Authority will want to negotiate each of them.</w:t>
      </w:r>
    </w:p>
    <w:p>
      <w:pPr>
        <w:spacing w:after="120"/>
        <w:ind w:left="0"/>
        <w:jc w:val="both"/>
      </w:pPr>
      <w:r>
        <w:rPr>
          <w:rFonts w:ascii="Times New Roman" w:hAnsi="Times New Roman"/>
          <w:b/>
          <w:i w:val="0"/>
        </w:rPr>
        <w:t>Items requiring your decision before we send the draft.</w:t>
      </w:r>
      <w:r>
        <w:rPr>
          <w:rFonts w:ascii="Times New Roman" w:hAnsi="Times New Roman"/>
          <w:b w:val="0"/>
          <w:i w:val="0"/>
        </w:rPr>
        <w:t xml:space="preserve"> (i) Do you want us to keep the bracketed 25-year extension option in Section 2.7, given that it exceeds the 99-year cap in Resolution § 4(b) and will itself require Board action? (ii) Do you accept the recomputed rent figures ($3,224,513 and $3,648,241) or should we adopt the Term Sheet's rounded amounts? (iii) Do you want us to press for a 16–17 foot finished floor elevation now rather than 15 feet? (iv) Are you comfortable with the 24-month Base Rent cap on Documented Damages, or should we propose a lower number (e.g., 12 months) to make the proportionality argument even stronger at the cost of some negotiating room? (v) Do you want us to include the cash-security-deposit alternative (Bayside permits it; the Term Sheet does not)?</w:t>
      </w:r>
    </w:p>
    <w:p>
      <w:r>
        <w:br w:type="page"/>
      </w:r>
    </w:p>
    <w:p>
      <w:pPr>
        <w:spacing w:after="80"/>
        <w:jc w:val="center"/>
      </w:pPr>
      <w:r>
        <w:rPr>
          <w:rFonts w:ascii="Times New Roman" w:hAnsi="Times New Roman"/>
          <w:b/>
          <w:i w:val="0"/>
          <w:sz w:val="24"/>
        </w:rPr>
        <w:t>APPENDIX 1</w:t>
      </w:r>
    </w:p>
    <w:p>
      <w:pPr>
        <w:spacing w:after="200"/>
        <w:jc w:val="center"/>
      </w:pPr>
      <w:r>
        <w:rPr>
          <w:rFonts w:ascii="Times New Roman" w:hAnsi="Times New Roman"/>
          <w:b/>
          <w:i w:val="0"/>
          <w:sz w:val="22"/>
        </w:rPr>
        <w:t>SOURCE-TO-ISSUE LOG</w:t>
      </w:r>
    </w:p>
    <w:p>
      <w:pPr>
        <w:spacing w:after="120"/>
        <w:ind w:left="0"/>
        <w:jc w:val="both"/>
      </w:pPr>
      <w:r>
        <w:rPr>
          <w:rFonts w:ascii="Times New Roman" w:hAnsi="Times New Roman"/>
          <w:b w:val="0"/>
          <w:i w:val="0"/>
          <w:sz w:val="18"/>
        </w:rPr>
        <w:t>Each material proposition, figure, date and obligation relied on in this memorandum and in the Draft Lease, with the document and location from which it was taken. "TS" = Term Sheet (June 10, 2025); "BL" = Bayside construction loan term sheet (May 28, 2025); "TC" = Title Commitment TC-2025-07821; "P2" = Phase II ESA executive summary (May 2, 2025); "SV" = survey narrative CLS-2025-0417; "BR" = Board Resolution No. 2025-047; "CI" = client instructions (June 15, 2025).</w:t>
      </w:r>
    </w:p>
    <w:tbl>
      <w:tblPr>
        <w:tblStyle w:val="TableGrid"/>
        <w:tblW w:type="auto" w:w="0"/>
        <w:jc w:val="center"/>
        <w:tblLayout w:type="fixed"/>
        <w:tblLook w:firstColumn="1" w:firstRow="1" w:lastColumn="0" w:lastRow="0" w:noHBand="0" w:noVBand="1" w:val="04A0"/>
        <w:tblLayout w:type="fixed"/>
        <w:tblW w:type="dxa" w:w="9360"/>
        <w:tblCellMar>
          <w:top w:w="20" w:type="dxa"/>
          <w:left w:w="60" w:type="dxa"/>
          <w:bottom w:w="20" w:type="dxa"/>
          <w:right w:w="60" w:type="dxa"/>
        </w:tblCellMar>
      </w:tblPr>
      <w:tblGrid>
        <w:gridCol w:w="6192"/>
        <w:gridCol w:w="3168"/>
      </w:tblGrid>
      <w:tr>
        <w:trPr>
          <w:tblHeader w:val="true"/>
        </w:trPr>
        <w:tc>
          <w:tcPr>
            <w:tcW w:type="dxa" w:w="6192"/>
            <w:shd w:val="clear" w:color="auto" w:fill="D9D9D9"/>
          </w:tcPr>
          <w:p>
            <w:pPr>
              <w:spacing w:before="20" w:after="20" w:line="240" w:lineRule="auto"/>
            </w:pPr>
            <w:r/>
            <w:r>
              <w:rPr>
                <w:rFonts w:ascii="Times New Roman" w:hAnsi="Times New Roman"/>
                <w:b/>
                <w:i w:val="0"/>
                <w:sz w:val="13"/>
              </w:rPr>
              <w:t>Proposition / figure</w:t>
            </w:r>
          </w:p>
        </w:tc>
        <w:tc>
          <w:tcPr>
            <w:tcW w:type="dxa" w:w="3168"/>
            <w:shd w:val="clear" w:color="auto" w:fill="D9D9D9"/>
          </w:tcPr>
          <w:p>
            <w:pPr>
              <w:spacing w:before="20" w:after="20" w:line="240" w:lineRule="auto"/>
            </w:pPr>
            <w:r/>
            <w:r>
              <w:rPr>
                <w:rFonts w:ascii="Times New Roman" w:hAnsi="Times New Roman"/>
                <w:b/>
                <w:i w:val="0"/>
                <w:sz w:val="13"/>
              </w:rPr>
              <w:t>Source</w:t>
            </w:r>
          </w:p>
        </w:tc>
      </w:tr>
      <w:tr>
        <w:tc>
          <w:tcPr>
            <w:tcW w:type="dxa" w:w="6192"/>
          </w:tcPr>
          <w:p>
            <w:pPr>
              <w:spacing w:before="20" w:after="20" w:line="240" w:lineRule="auto"/>
            </w:pPr>
            <w:r/>
            <w:r>
              <w:rPr>
                <w:rFonts w:ascii="Times New Roman" w:hAnsi="Times New Roman"/>
                <w:b w:val="0"/>
                <w:i w:val="0"/>
                <w:sz w:val="13"/>
              </w:rPr>
              <w:t>Parties, addresses, EIN, formation date</w:t>
            </w:r>
          </w:p>
        </w:tc>
        <w:tc>
          <w:tcPr>
            <w:tcW w:type="dxa" w:w="3168"/>
          </w:tcPr>
          <w:p>
            <w:pPr>
              <w:spacing w:before="20" w:after="20" w:line="240" w:lineRule="auto"/>
            </w:pPr>
            <w:r/>
            <w:r>
              <w:rPr>
                <w:rFonts w:ascii="Times New Roman" w:hAnsi="Times New Roman"/>
                <w:b w:val="0"/>
                <w:i w:val="0"/>
                <w:sz w:val="13"/>
              </w:rPr>
              <w:t>TS § 1; BL § 1; TC Sched. A § 4</w:t>
            </w:r>
          </w:p>
        </w:tc>
      </w:tr>
      <w:tr>
        <w:tc>
          <w:tcPr>
            <w:tcW w:type="dxa" w:w="6192"/>
          </w:tcPr>
          <w:p>
            <w:pPr>
              <w:spacing w:before="20" w:after="20" w:line="240" w:lineRule="auto"/>
            </w:pPr>
            <w:r/>
            <w:r>
              <w:rPr>
                <w:rFonts w:ascii="Times New Roman" w:hAnsi="Times New Roman"/>
                <w:b w:val="0"/>
                <w:i w:val="0"/>
                <w:sz w:val="13"/>
              </w:rPr>
              <w:t>Authority's enabling statute (CGS § 8-125)</w:t>
            </w:r>
          </w:p>
        </w:tc>
        <w:tc>
          <w:tcPr>
            <w:tcW w:type="dxa" w:w="3168"/>
          </w:tcPr>
          <w:p>
            <w:pPr>
              <w:spacing w:before="20" w:after="20" w:line="240" w:lineRule="auto"/>
            </w:pPr>
            <w:r/>
            <w:r>
              <w:rPr>
                <w:rFonts w:ascii="Times New Roman" w:hAnsi="Times New Roman"/>
                <w:b w:val="0"/>
                <w:i w:val="0"/>
                <w:sz w:val="13"/>
              </w:rPr>
              <w:t>TS § 1; BR preamble; TC Sched. A § 4</w:t>
            </w:r>
          </w:p>
        </w:tc>
      </w:tr>
      <w:tr>
        <w:tc>
          <w:tcPr>
            <w:tcW w:type="dxa" w:w="6192"/>
          </w:tcPr>
          <w:p>
            <w:pPr>
              <w:spacing w:before="20" w:after="20" w:line="240" w:lineRule="auto"/>
            </w:pPr>
            <w:r/>
            <w:r>
              <w:rPr>
                <w:rFonts w:ascii="Times New Roman" w:hAnsi="Times New Roman"/>
                <w:b w:val="0"/>
                <w:i w:val="0"/>
                <w:sz w:val="13"/>
              </w:rPr>
              <w:t>Premises: 10–30 Pier Street; APN 127-003-0045; ~3.2 ac / 139,392 SF</w:t>
            </w:r>
          </w:p>
        </w:tc>
        <w:tc>
          <w:tcPr>
            <w:tcW w:type="dxa" w:w="3168"/>
          </w:tcPr>
          <w:p>
            <w:pPr>
              <w:spacing w:before="20" w:after="20" w:line="240" w:lineRule="auto"/>
            </w:pPr>
            <w:r/>
            <w:r>
              <w:rPr>
                <w:rFonts w:ascii="Times New Roman" w:hAnsi="Times New Roman"/>
                <w:b w:val="0"/>
                <w:i w:val="0"/>
                <w:sz w:val="13"/>
              </w:rPr>
              <w:t>TS § 2; P2 § 2.1; SV § 1; BR recitals</w:t>
            </w:r>
          </w:p>
        </w:tc>
      </w:tr>
      <w:tr>
        <w:tc>
          <w:tcPr>
            <w:tcW w:type="dxa" w:w="6192"/>
          </w:tcPr>
          <w:p>
            <w:pPr>
              <w:spacing w:before="20" w:after="20" w:line="240" w:lineRule="auto"/>
            </w:pPr>
            <w:r/>
            <w:r>
              <w:rPr>
                <w:rFonts w:ascii="Times New Roman" w:hAnsi="Times New Roman"/>
                <w:b w:val="0"/>
                <w:i w:val="0"/>
                <w:sz w:val="13"/>
              </w:rPr>
              <w:t>Waterfront location; 480 LF of bulkhead</w:t>
            </w:r>
          </w:p>
        </w:tc>
        <w:tc>
          <w:tcPr>
            <w:tcW w:type="dxa" w:w="3168"/>
          </w:tcPr>
          <w:p>
            <w:pPr>
              <w:spacing w:before="20" w:after="20" w:line="240" w:lineRule="auto"/>
            </w:pPr>
            <w:r/>
            <w:r>
              <w:rPr>
                <w:rFonts w:ascii="Times New Roman" w:hAnsi="Times New Roman"/>
                <w:b w:val="0"/>
                <w:i w:val="0"/>
                <w:sz w:val="13"/>
              </w:rPr>
              <w:t>TS § 2; P2 § 2.1; SV §§ 1, 3(b)</w:t>
            </w:r>
          </w:p>
        </w:tc>
      </w:tr>
      <w:tr>
        <w:tc>
          <w:tcPr>
            <w:tcW w:type="dxa" w:w="6192"/>
          </w:tcPr>
          <w:p>
            <w:pPr>
              <w:spacing w:before="20" w:after="20" w:line="240" w:lineRule="auto"/>
            </w:pPr>
            <w:r/>
            <w:r>
              <w:rPr>
                <w:rFonts w:ascii="Times New Roman" w:hAnsi="Times New Roman"/>
                <w:b w:val="0"/>
                <w:i w:val="0"/>
                <w:sz w:val="13"/>
              </w:rPr>
              <w:t>FEMA Zone AE; BFE 12 ft NAVD88; FFE 15 ft NAVD88</w:t>
            </w:r>
          </w:p>
        </w:tc>
        <w:tc>
          <w:tcPr>
            <w:tcW w:type="dxa" w:w="3168"/>
          </w:tcPr>
          <w:p>
            <w:pPr>
              <w:spacing w:before="20" w:after="20" w:line="240" w:lineRule="auto"/>
            </w:pPr>
            <w:r/>
            <w:r>
              <w:rPr>
                <w:rFonts w:ascii="Times New Roman" w:hAnsi="Times New Roman"/>
                <w:b w:val="0"/>
                <w:i w:val="0"/>
                <w:sz w:val="13"/>
              </w:rPr>
              <w:t>TS § 2; P2 § 5; TC Ex. 9; SV § 2; BL § 6(l)</w:t>
            </w:r>
          </w:p>
        </w:tc>
      </w:tr>
      <w:tr>
        <w:tc>
          <w:tcPr>
            <w:tcW w:type="dxa" w:w="6192"/>
          </w:tcPr>
          <w:p>
            <w:pPr>
              <w:spacing w:before="20" w:after="20" w:line="240" w:lineRule="auto"/>
            </w:pPr>
            <w:r/>
            <w:r>
              <w:rPr>
                <w:rFonts w:ascii="Times New Roman" w:hAnsi="Times New Roman"/>
                <w:b w:val="0"/>
                <w:i w:val="0"/>
                <w:sz w:val="13"/>
              </w:rPr>
              <w:t>Lease term 99 years; expiration Sept. 30, 2124</w:t>
            </w:r>
          </w:p>
        </w:tc>
        <w:tc>
          <w:tcPr>
            <w:tcW w:type="dxa" w:w="3168"/>
          </w:tcPr>
          <w:p>
            <w:pPr>
              <w:spacing w:before="20" w:after="20" w:line="240" w:lineRule="auto"/>
            </w:pPr>
            <w:r/>
            <w:r>
              <w:rPr>
                <w:rFonts w:ascii="Times New Roman" w:hAnsi="Times New Roman"/>
                <w:b w:val="0"/>
                <w:i w:val="0"/>
                <w:sz w:val="13"/>
              </w:rPr>
              <w:t>TS § 3; TC Sched. A § 3; BR § 1</w:t>
            </w:r>
          </w:p>
        </w:tc>
      </w:tr>
      <w:tr>
        <w:tc>
          <w:tcPr>
            <w:tcW w:type="dxa" w:w="6192"/>
          </w:tcPr>
          <w:p>
            <w:pPr>
              <w:spacing w:before="20" w:after="20" w:line="240" w:lineRule="auto"/>
            </w:pPr>
            <w:r/>
            <w:r>
              <w:rPr>
                <w:rFonts w:ascii="Times New Roman" w:hAnsi="Times New Roman"/>
                <w:b w:val="0"/>
                <w:i w:val="0"/>
                <w:sz w:val="13"/>
              </w:rPr>
              <w:t>Rent Commencement = earlier of 36 months or first CO</w:t>
            </w:r>
          </w:p>
        </w:tc>
        <w:tc>
          <w:tcPr>
            <w:tcW w:type="dxa" w:w="3168"/>
          </w:tcPr>
          <w:p>
            <w:pPr>
              <w:spacing w:before="20" w:after="20" w:line="240" w:lineRule="auto"/>
            </w:pPr>
            <w:r/>
            <w:r>
              <w:rPr>
                <w:rFonts w:ascii="Times New Roman" w:hAnsi="Times New Roman"/>
                <w:b w:val="0"/>
                <w:i w:val="0"/>
                <w:sz w:val="13"/>
              </w:rPr>
              <w:t>TS § 3</w:t>
            </w:r>
          </w:p>
        </w:tc>
      </w:tr>
      <w:tr>
        <w:tc>
          <w:tcPr>
            <w:tcW w:type="dxa" w:w="6192"/>
          </w:tcPr>
          <w:p>
            <w:pPr>
              <w:spacing w:before="20" w:after="20" w:line="240" w:lineRule="auto"/>
            </w:pPr>
            <w:r/>
            <w:r>
              <w:rPr>
                <w:rFonts w:ascii="Times New Roman" w:hAnsi="Times New Roman"/>
                <w:b w:val="0"/>
                <w:i w:val="0"/>
                <w:sz w:val="13"/>
              </w:rPr>
              <w:t>No renewal options</w:t>
            </w:r>
          </w:p>
        </w:tc>
        <w:tc>
          <w:tcPr>
            <w:tcW w:type="dxa" w:w="3168"/>
          </w:tcPr>
          <w:p>
            <w:pPr>
              <w:spacing w:before="20" w:after="20" w:line="240" w:lineRule="auto"/>
            </w:pPr>
            <w:r/>
            <w:r>
              <w:rPr>
                <w:rFonts w:ascii="Times New Roman" w:hAnsi="Times New Roman"/>
                <w:b w:val="0"/>
                <w:i w:val="0"/>
                <w:sz w:val="13"/>
              </w:rPr>
              <w:t>TS § 3</w:t>
            </w:r>
          </w:p>
        </w:tc>
      </w:tr>
      <w:tr>
        <w:tc>
          <w:tcPr>
            <w:tcW w:type="dxa" w:w="6192"/>
          </w:tcPr>
          <w:p>
            <w:pPr>
              <w:spacing w:before="20" w:after="20" w:line="240" w:lineRule="auto"/>
            </w:pPr>
            <w:r/>
            <w:r>
              <w:rPr>
                <w:rFonts w:ascii="Times New Roman" w:hAnsi="Times New Roman"/>
                <w:b w:val="0"/>
                <w:i w:val="0"/>
                <w:sz w:val="13"/>
              </w:rPr>
              <w:t>Project program: 28-story tower, 6-story office, retail, parking</w:t>
            </w:r>
          </w:p>
        </w:tc>
        <w:tc>
          <w:tcPr>
            <w:tcW w:type="dxa" w:w="3168"/>
          </w:tcPr>
          <w:p>
            <w:pPr>
              <w:spacing w:before="20" w:after="20" w:line="240" w:lineRule="auto"/>
            </w:pPr>
            <w:r/>
            <w:r>
              <w:rPr>
                <w:rFonts w:ascii="Times New Roman" w:hAnsi="Times New Roman"/>
                <w:b w:val="0"/>
                <w:i w:val="0"/>
                <w:sz w:val="13"/>
              </w:rPr>
              <w:t>TS § 4; P2 § 2.3 (Client note); BL § 1</w:t>
            </w:r>
          </w:p>
        </w:tc>
      </w:tr>
      <w:tr>
        <w:tc>
          <w:tcPr>
            <w:tcW w:type="dxa" w:w="6192"/>
          </w:tcPr>
          <w:p>
            <w:pPr>
              <w:spacing w:before="20" w:after="20" w:line="240" w:lineRule="auto"/>
            </w:pPr>
            <w:r/>
            <w:r>
              <w:rPr>
                <w:rFonts w:ascii="Times New Roman" w:hAnsi="Times New Roman"/>
                <w:b w:val="0"/>
                <w:i w:val="0"/>
                <w:sz w:val="13"/>
              </w:rPr>
              <w:t>Ground-floor residential lobby and amenity spaces</w:t>
            </w:r>
          </w:p>
        </w:tc>
        <w:tc>
          <w:tcPr>
            <w:tcW w:type="dxa" w:w="3168"/>
          </w:tcPr>
          <w:p>
            <w:pPr>
              <w:spacing w:before="20" w:after="20" w:line="240" w:lineRule="auto"/>
            </w:pPr>
            <w:r/>
            <w:r>
              <w:rPr>
                <w:rFonts w:ascii="Times New Roman" w:hAnsi="Times New Roman"/>
                <w:b w:val="0"/>
                <w:i w:val="0"/>
                <w:sz w:val="13"/>
              </w:rPr>
              <w:t>TS § 4(a)</w:t>
            </w:r>
          </w:p>
        </w:tc>
      </w:tr>
      <w:tr>
        <w:tc>
          <w:tcPr>
            <w:tcW w:type="dxa" w:w="6192"/>
          </w:tcPr>
          <w:p>
            <w:pPr>
              <w:spacing w:before="20" w:after="20" w:line="240" w:lineRule="auto"/>
            </w:pPr>
            <w:r/>
            <w:r>
              <w:rPr>
                <w:rFonts w:ascii="Times New Roman" w:hAnsi="Times New Roman"/>
                <w:b w:val="0"/>
                <w:i w:val="0"/>
                <w:sz w:val="13"/>
              </w:rPr>
              <w:t>8,000 SF public open space</w:t>
            </w:r>
          </w:p>
        </w:tc>
        <w:tc>
          <w:tcPr>
            <w:tcW w:type="dxa" w:w="3168"/>
          </w:tcPr>
          <w:p>
            <w:pPr>
              <w:spacing w:before="20" w:after="20" w:line="240" w:lineRule="auto"/>
            </w:pPr>
            <w:r/>
            <w:r>
              <w:rPr>
                <w:rFonts w:ascii="Times New Roman" w:hAnsi="Times New Roman"/>
                <w:b w:val="0"/>
                <w:i w:val="0"/>
                <w:sz w:val="13"/>
              </w:rPr>
              <w:t>TS § 4; BR § 2(e); BL § 1</w:t>
            </w:r>
          </w:p>
        </w:tc>
      </w:tr>
      <w:tr>
        <w:tc>
          <w:tcPr>
            <w:tcW w:type="dxa" w:w="6192"/>
          </w:tcPr>
          <w:p>
            <w:pPr>
              <w:spacing w:before="20" w:after="20" w:line="240" w:lineRule="auto"/>
            </w:pPr>
            <w:r/>
            <w:r>
              <w:rPr>
                <w:rFonts w:ascii="Times New Roman" w:hAnsi="Times New Roman"/>
                <w:b w:val="0"/>
                <w:i w:val="0"/>
                <w:sz w:val="13"/>
              </w:rPr>
              <w:t>15% affordable at 80% AMI for the term</w:t>
            </w:r>
          </w:p>
        </w:tc>
        <w:tc>
          <w:tcPr>
            <w:tcW w:type="dxa" w:w="3168"/>
          </w:tcPr>
          <w:p>
            <w:pPr>
              <w:spacing w:before="20" w:after="20" w:line="240" w:lineRule="auto"/>
            </w:pPr>
            <w:r/>
            <w:r>
              <w:rPr>
                <w:rFonts w:ascii="Times New Roman" w:hAnsi="Times New Roman"/>
                <w:b w:val="0"/>
                <w:i w:val="0"/>
                <w:sz w:val="13"/>
              </w:rPr>
              <w:t>TS § 4; BR § 2(b); TC Ex. 5; BL § 1, § 7(f)</w:t>
            </w:r>
          </w:p>
        </w:tc>
      </w:tr>
      <w:tr>
        <w:tc>
          <w:tcPr>
            <w:tcW w:type="dxa" w:w="6192"/>
          </w:tcPr>
          <w:p>
            <w:pPr>
              <w:spacing w:before="20" w:after="20" w:line="240" w:lineRule="auto"/>
            </w:pPr>
            <w:r/>
            <w:r>
              <w:rPr>
                <w:rFonts w:ascii="Times New Roman" w:hAnsi="Times New Roman"/>
                <w:b w:val="0"/>
                <w:i w:val="0"/>
                <w:sz w:val="13"/>
              </w:rPr>
              <w:t>ELUR recorded Mar. 22, 2018, Vol. 412, Pg. 88</w:t>
            </w:r>
          </w:p>
        </w:tc>
        <w:tc>
          <w:tcPr>
            <w:tcW w:type="dxa" w:w="3168"/>
          </w:tcPr>
          <w:p>
            <w:pPr>
              <w:spacing w:before="20" w:after="20" w:line="240" w:lineRule="auto"/>
            </w:pPr>
            <w:r/>
            <w:r>
              <w:rPr>
                <w:rFonts w:ascii="Times New Roman" w:hAnsi="Times New Roman"/>
                <w:b w:val="0"/>
                <w:i w:val="0"/>
                <w:sz w:val="13"/>
              </w:rPr>
              <w:t>TS § 4, § 7; TC Ex. 1; P2 § 2.3; SV § 3(c); BL § 6(e)</w:t>
            </w:r>
          </w:p>
        </w:tc>
      </w:tr>
      <w:tr>
        <w:tc>
          <w:tcPr>
            <w:tcW w:type="dxa" w:w="6192"/>
          </w:tcPr>
          <w:p>
            <w:pPr>
              <w:spacing w:before="20" w:after="20" w:line="240" w:lineRule="auto"/>
            </w:pPr>
            <w:r/>
            <w:r>
              <w:rPr>
                <w:rFonts w:ascii="Times New Roman" w:hAnsi="Times New Roman"/>
                <w:b w:val="0"/>
                <w:i w:val="0"/>
                <w:sz w:val="13"/>
              </w:rPr>
              <w:t>Initial Base Rent $2,850,000; $237,500/month; $20.45/SF</w:t>
            </w:r>
          </w:p>
        </w:tc>
        <w:tc>
          <w:tcPr>
            <w:tcW w:type="dxa" w:w="3168"/>
          </w:tcPr>
          <w:p>
            <w:pPr>
              <w:spacing w:before="20" w:after="20" w:line="240" w:lineRule="auto"/>
            </w:pPr>
            <w:r/>
            <w:r>
              <w:rPr>
                <w:rFonts w:ascii="Times New Roman" w:hAnsi="Times New Roman"/>
                <w:b w:val="0"/>
                <w:i w:val="0"/>
                <w:sz w:val="13"/>
              </w:rPr>
              <w:t>TS § 5</w:t>
            </w:r>
          </w:p>
        </w:tc>
      </w:tr>
      <w:tr>
        <w:tc>
          <w:tcPr>
            <w:tcW w:type="dxa" w:w="6192"/>
          </w:tcPr>
          <w:p>
            <w:pPr>
              <w:spacing w:before="20" w:after="20" w:line="240" w:lineRule="auto"/>
            </w:pPr>
            <w:r/>
            <w:r>
              <w:rPr>
                <w:rFonts w:ascii="Times New Roman" w:hAnsi="Times New Roman"/>
                <w:b w:val="0"/>
                <w:i w:val="0"/>
                <w:sz w:val="13"/>
              </w:rPr>
              <w:t>2.5% escalation; $3,224,500 / $3,648,200</w:t>
            </w:r>
          </w:p>
        </w:tc>
        <w:tc>
          <w:tcPr>
            <w:tcW w:type="dxa" w:w="3168"/>
          </w:tcPr>
          <w:p>
            <w:pPr>
              <w:spacing w:before="20" w:after="20" w:line="240" w:lineRule="auto"/>
            </w:pPr>
            <w:r/>
            <w:r>
              <w:rPr>
                <w:rFonts w:ascii="Times New Roman" w:hAnsi="Times New Roman"/>
                <w:b w:val="0"/>
                <w:i w:val="0"/>
                <w:sz w:val="13"/>
              </w:rPr>
              <w:t>TS § 5</w:t>
            </w:r>
          </w:p>
        </w:tc>
      </w:tr>
      <w:tr>
        <w:tc>
          <w:tcPr>
            <w:tcW w:type="dxa" w:w="6192"/>
          </w:tcPr>
          <w:p>
            <w:pPr>
              <w:spacing w:before="20" w:after="20" w:line="240" w:lineRule="auto"/>
            </w:pPr>
            <w:r/>
            <w:r>
              <w:rPr>
                <w:rFonts w:ascii="Times New Roman" w:hAnsi="Times New Roman"/>
                <w:b w:val="0"/>
                <w:i w:val="0"/>
                <w:sz w:val="13"/>
              </w:rPr>
              <w:t>CPI resets at Lease Years 16–96; greater of formula</w:t>
            </w:r>
          </w:p>
        </w:tc>
        <w:tc>
          <w:tcPr>
            <w:tcW w:type="dxa" w:w="3168"/>
          </w:tcPr>
          <w:p>
            <w:pPr>
              <w:spacing w:before="20" w:after="20" w:line="240" w:lineRule="auto"/>
            </w:pPr>
            <w:r/>
            <w:r>
              <w:rPr>
                <w:rFonts w:ascii="Times New Roman" w:hAnsi="Times New Roman"/>
                <w:b w:val="0"/>
                <w:i w:val="0"/>
                <w:sz w:val="13"/>
              </w:rPr>
              <w:t>TS § 5</w:t>
            </w:r>
          </w:p>
        </w:tc>
      </w:tr>
      <w:tr>
        <w:tc>
          <w:tcPr>
            <w:tcW w:type="dxa" w:w="6192"/>
          </w:tcPr>
          <w:p>
            <w:pPr>
              <w:spacing w:before="20" w:after="20" w:line="240" w:lineRule="auto"/>
            </w:pPr>
            <w:r/>
            <w:r>
              <w:rPr>
                <w:rFonts w:ascii="Times New Roman" w:hAnsi="Times New Roman"/>
                <w:b w:val="0"/>
                <w:i w:val="0"/>
                <w:sz w:val="13"/>
              </w:rPr>
              <w:t>Percentage Rent 2.0%; Breakpoint $28,500,000; from Lease Year 6</w:t>
            </w:r>
          </w:p>
        </w:tc>
        <w:tc>
          <w:tcPr>
            <w:tcW w:type="dxa" w:w="3168"/>
          </w:tcPr>
          <w:p>
            <w:pPr>
              <w:spacing w:before="20" w:after="20" w:line="240" w:lineRule="auto"/>
            </w:pPr>
            <w:r/>
            <w:r>
              <w:rPr>
                <w:rFonts w:ascii="Times New Roman" w:hAnsi="Times New Roman"/>
                <w:b w:val="0"/>
                <w:i w:val="0"/>
                <w:sz w:val="13"/>
              </w:rPr>
              <w:t>TS § 6; BR recital (b)</w:t>
            </w:r>
          </w:p>
        </w:tc>
      </w:tr>
      <w:tr>
        <w:tc>
          <w:tcPr>
            <w:tcW w:type="dxa" w:w="6192"/>
          </w:tcPr>
          <w:p>
            <w:pPr>
              <w:spacing w:before="20" w:after="20" w:line="240" w:lineRule="auto"/>
            </w:pPr>
            <w:r/>
            <w:r>
              <w:rPr>
                <w:rFonts w:ascii="Times New Roman" w:hAnsi="Times New Roman"/>
                <w:b w:val="0"/>
                <w:i w:val="0"/>
                <w:sz w:val="13"/>
              </w:rPr>
              <w:t>Gross Revenues definition and exclusion placeholder</w:t>
            </w:r>
          </w:p>
        </w:tc>
        <w:tc>
          <w:tcPr>
            <w:tcW w:type="dxa" w:w="3168"/>
          </w:tcPr>
          <w:p>
            <w:pPr>
              <w:spacing w:before="20" w:after="20" w:line="240" w:lineRule="auto"/>
            </w:pPr>
            <w:r/>
            <w:r>
              <w:rPr>
                <w:rFonts w:ascii="Times New Roman" w:hAnsi="Times New Roman"/>
                <w:b w:val="0"/>
                <w:i w:val="0"/>
                <w:sz w:val="13"/>
              </w:rPr>
              <w:t>TS § 6</w:t>
            </w:r>
          </w:p>
        </w:tc>
      </w:tr>
      <w:tr>
        <w:tc>
          <w:tcPr>
            <w:tcW w:type="dxa" w:w="6192"/>
          </w:tcPr>
          <w:p>
            <w:pPr>
              <w:spacing w:before="20" w:after="20" w:line="240" w:lineRule="auto"/>
            </w:pPr>
            <w:r/>
            <w:r>
              <w:rPr>
                <w:rFonts w:ascii="Times New Roman" w:hAnsi="Times New Roman"/>
                <w:b w:val="0"/>
                <w:i w:val="0"/>
                <w:sz w:val="13"/>
              </w:rPr>
              <w:t>Audit right; 5% threshold; 3-year retention</w:t>
            </w:r>
          </w:p>
        </w:tc>
        <w:tc>
          <w:tcPr>
            <w:tcW w:type="dxa" w:w="3168"/>
          </w:tcPr>
          <w:p>
            <w:pPr>
              <w:spacing w:before="20" w:after="20" w:line="240" w:lineRule="auto"/>
            </w:pPr>
            <w:r/>
            <w:r>
              <w:rPr>
                <w:rFonts w:ascii="Times New Roman" w:hAnsi="Times New Roman"/>
                <w:b w:val="0"/>
                <w:i w:val="0"/>
                <w:sz w:val="13"/>
              </w:rPr>
              <w:t>TS § 6</w:t>
            </w:r>
          </w:p>
        </w:tc>
      </w:tr>
      <w:tr>
        <w:tc>
          <w:tcPr>
            <w:tcW w:type="dxa" w:w="6192"/>
          </w:tcPr>
          <w:p>
            <w:pPr>
              <w:spacing w:before="20" w:after="20" w:line="240" w:lineRule="auto"/>
            </w:pPr>
            <w:r/>
            <w:r>
              <w:rPr>
                <w:rFonts w:ascii="Times New Roman" w:hAnsi="Times New Roman"/>
                <w:b w:val="0"/>
                <w:i w:val="0"/>
                <w:sz w:val="13"/>
              </w:rPr>
              <w:t>Phase II: Area 1 4,200 SF, max TPH 3,800 mg/kg; Area 2 1,600 SF, max 1,200 mg/kg; RDEC 500 mg/kg</w:t>
            </w:r>
          </w:p>
        </w:tc>
        <w:tc>
          <w:tcPr>
            <w:tcW w:type="dxa" w:w="3168"/>
          </w:tcPr>
          <w:p>
            <w:pPr>
              <w:spacing w:before="20" w:after="20" w:line="240" w:lineRule="auto"/>
            </w:pPr>
            <w:r/>
            <w:r>
              <w:rPr>
                <w:rFonts w:ascii="Times New Roman" w:hAnsi="Times New Roman"/>
                <w:b w:val="0"/>
                <w:i w:val="0"/>
                <w:sz w:val="13"/>
              </w:rPr>
              <w:t>TS § 7; P2 §§ 4.1–4.2, 7</w:t>
            </w:r>
          </w:p>
        </w:tc>
      </w:tr>
      <w:tr>
        <w:tc>
          <w:tcPr>
            <w:tcW w:type="dxa" w:w="6192"/>
          </w:tcPr>
          <w:p>
            <w:pPr>
              <w:spacing w:before="20" w:after="20" w:line="240" w:lineRule="auto"/>
            </w:pPr>
            <w:r/>
            <w:r>
              <w:rPr>
                <w:rFonts w:ascii="Times New Roman" w:hAnsi="Times New Roman"/>
                <w:b w:val="0"/>
                <w:i w:val="0"/>
                <w:sz w:val="13"/>
              </w:rPr>
              <w:t>Remediation estimate $2,400,000 ($1,850,000 / $550,000)</w:t>
            </w:r>
          </w:p>
        </w:tc>
        <w:tc>
          <w:tcPr>
            <w:tcW w:type="dxa" w:w="3168"/>
          </w:tcPr>
          <w:p>
            <w:pPr>
              <w:spacing w:before="20" w:after="20" w:line="240" w:lineRule="auto"/>
            </w:pPr>
            <w:r/>
            <w:r>
              <w:rPr>
                <w:rFonts w:ascii="Times New Roman" w:hAnsi="Times New Roman"/>
                <w:b w:val="0"/>
                <w:i w:val="0"/>
                <w:sz w:val="13"/>
              </w:rPr>
              <w:t>TS § 7; P2 § 6</w:t>
            </w:r>
          </w:p>
        </w:tc>
      </w:tr>
      <w:tr>
        <w:tc>
          <w:tcPr>
            <w:tcW w:type="dxa" w:w="6192"/>
          </w:tcPr>
          <w:p>
            <w:pPr>
              <w:spacing w:before="20" w:after="20" w:line="240" w:lineRule="auto"/>
            </w:pPr>
            <w:r/>
            <w:r>
              <w:rPr>
                <w:rFonts w:ascii="Times New Roman" w:hAnsi="Times New Roman"/>
                <w:b w:val="0"/>
                <w:i w:val="0"/>
                <w:sz w:val="13"/>
              </w:rPr>
              <w:t>Remediation credit $1,800,000; Tenant bears $600,000 and all overruns</w:t>
            </w:r>
          </w:p>
        </w:tc>
        <w:tc>
          <w:tcPr>
            <w:tcW w:type="dxa" w:w="3168"/>
          </w:tcPr>
          <w:p>
            <w:pPr>
              <w:spacing w:before="20" w:after="20" w:line="240" w:lineRule="auto"/>
            </w:pPr>
            <w:r/>
            <w:r>
              <w:rPr>
                <w:rFonts w:ascii="Times New Roman" w:hAnsi="Times New Roman"/>
                <w:b w:val="0"/>
                <w:i w:val="0"/>
                <w:sz w:val="13"/>
              </w:rPr>
              <w:t>TS § 7; P2 § 6 (Allocation Note)</w:t>
            </w:r>
          </w:p>
        </w:tc>
      </w:tr>
      <w:tr>
        <w:tc>
          <w:tcPr>
            <w:tcW w:type="dxa" w:w="6192"/>
          </w:tcPr>
          <w:p>
            <w:pPr>
              <w:spacing w:before="20" w:after="20" w:line="240" w:lineRule="auto"/>
            </w:pPr>
            <w:r/>
            <w:r>
              <w:rPr>
                <w:rFonts w:ascii="Times New Roman" w:hAnsi="Times New Roman"/>
                <w:b w:val="0"/>
                <w:i w:val="0"/>
                <w:sz w:val="13"/>
              </w:rPr>
              <w:t>Contingency lines stated as 10% ($100,000 / $25,000)</w:t>
            </w:r>
          </w:p>
        </w:tc>
        <w:tc>
          <w:tcPr>
            <w:tcW w:type="dxa" w:w="3168"/>
          </w:tcPr>
          <w:p>
            <w:pPr>
              <w:spacing w:before="20" w:after="20" w:line="240" w:lineRule="auto"/>
            </w:pPr>
            <w:r/>
            <w:r>
              <w:rPr>
                <w:rFonts w:ascii="Times New Roman" w:hAnsi="Times New Roman"/>
                <w:b w:val="0"/>
                <w:i w:val="0"/>
                <w:sz w:val="13"/>
              </w:rPr>
              <w:t>P2 § 6 (cost tables)</w:t>
            </w:r>
          </w:p>
        </w:tc>
      </w:tr>
      <w:tr>
        <w:tc>
          <w:tcPr>
            <w:tcW w:type="dxa" w:w="6192"/>
          </w:tcPr>
          <w:p>
            <w:pPr>
              <w:spacing w:before="20" w:after="20" w:line="240" w:lineRule="auto"/>
            </w:pPr>
            <w:r/>
            <w:r>
              <w:rPr>
                <w:rFonts w:ascii="Times New Roman" w:hAnsi="Times New Roman"/>
                <w:b w:val="0"/>
                <w:i w:val="0"/>
                <w:sz w:val="13"/>
              </w:rPr>
              <w:t>ELUR ambiguity re non-habitable ground-floor space; recommend DEEP clarification</w:t>
            </w:r>
          </w:p>
        </w:tc>
        <w:tc>
          <w:tcPr>
            <w:tcW w:type="dxa" w:w="3168"/>
          </w:tcPr>
          <w:p>
            <w:pPr>
              <w:spacing w:before="20" w:after="20" w:line="240" w:lineRule="auto"/>
            </w:pPr>
            <w:r/>
            <w:r>
              <w:rPr>
                <w:rFonts w:ascii="Times New Roman" w:hAnsi="Times New Roman"/>
                <w:b w:val="0"/>
                <w:i w:val="0"/>
                <w:sz w:val="13"/>
              </w:rPr>
              <w:t>P2 § 2.3 (Important Note), § 7 rec. 2</w:t>
            </w:r>
          </w:p>
        </w:tc>
      </w:tr>
      <w:tr>
        <w:tc>
          <w:tcPr>
            <w:tcW w:type="dxa" w:w="6192"/>
          </w:tcPr>
          <w:p>
            <w:pPr>
              <w:spacing w:before="20" w:after="20" w:line="240" w:lineRule="auto"/>
            </w:pPr>
            <w:r/>
            <w:r>
              <w:rPr>
                <w:rFonts w:ascii="Times New Roman" w:hAnsi="Times New Roman"/>
                <w:b w:val="0"/>
                <w:i w:val="0"/>
                <w:sz w:val="13"/>
              </w:rPr>
              <w:t>ELUR: no potable wells; annual compliance certification; 30-day breach notice; 90-day repair</w:t>
            </w:r>
          </w:p>
        </w:tc>
        <w:tc>
          <w:tcPr>
            <w:tcW w:type="dxa" w:w="3168"/>
          </w:tcPr>
          <w:p>
            <w:pPr>
              <w:spacing w:before="20" w:after="20" w:line="240" w:lineRule="auto"/>
            </w:pPr>
            <w:r/>
            <w:r>
              <w:rPr>
                <w:rFonts w:ascii="Times New Roman" w:hAnsi="Times New Roman"/>
                <w:b w:val="0"/>
                <w:i w:val="0"/>
                <w:sz w:val="13"/>
              </w:rPr>
              <w:t>P2 § 2.3(b)–(d); TC Ex. 1</w:t>
            </w:r>
          </w:p>
        </w:tc>
      </w:tr>
      <w:tr>
        <w:tc>
          <w:tcPr>
            <w:tcW w:type="dxa" w:w="6192"/>
          </w:tcPr>
          <w:p>
            <w:pPr>
              <w:spacing w:before="20" w:after="20" w:line="240" w:lineRule="auto"/>
            </w:pPr>
            <w:r/>
            <w:r>
              <w:rPr>
                <w:rFonts w:ascii="Times New Roman" w:hAnsi="Times New Roman"/>
                <w:b w:val="0"/>
                <w:i w:val="0"/>
                <w:sz w:val="13"/>
              </w:rPr>
              <w:t>Bulkhead fair-to-poor; 40 LF of cap removed; repair excluded from estimate</w:t>
            </w:r>
          </w:p>
        </w:tc>
        <w:tc>
          <w:tcPr>
            <w:tcW w:type="dxa" w:w="3168"/>
          </w:tcPr>
          <w:p>
            <w:pPr>
              <w:spacing w:before="20" w:after="20" w:line="240" w:lineRule="auto"/>
            </w:pPr>
            <w:r/>
            <w:r>
              <w:rPr>
                <w:rFonts w:ascii="Times New Roman" w:hAnsi="Times New Roman"/>
                <w:b w:val="0"/>
                <w:i w:val="0"/>
                <w:sz w:val="13"/>
              </w:rPr>
              <w:t>P2 § 5; SV § 3(d)(iii)</w:t>
            </w:r>
          </w:p>
        </w:tc>
      </w:tr>
      <w:tr>
        <w:tc>
          <w:tcPr>
            <w:tcW w:type="dxa" w:w="6192"/>
          </w:tcPr>
          <w:p>
            <w:pPr>
              <w:spacing w:before="20" w:after="20" w:line="240" w:lineRule="auto"/>
            </w:pPr>
            <w:r/>
            <w:r>
              <w:rPr>
                <w:rFonts w:ascii="Times New Roman" w:hAnsi="Times New Roman"/>
                <w:b w:val="0"/>
                <w:i w:val="0"/>
                <w:sz w:val="13"/>
              </w:rPr>
              <w:t>Freeboard recommendation 4–5 ft; PA 23-167; CIRCA projections; Nov. 2024 flooding at 10.5 ft</w:t>
            </w:r>
          </w:p>
        </w:tc>
        <w:tc>
          <w:tcPr>
            <w:tcW w:type="dxa" w:w="3168"/>
          </w:tcPr>
          <w:p>
            <w:pPr>
              <w:spacing w:before="20" w:after="20" w:line="240" w:lineRule="auto"/>
            </w:pPr>
            <w:r/>
            <w:r>
              <w:rPr>
                <w:rFonts w:ascii="Times New Roman" w:hAnsi="Times New Roman"/>
                <w:b w:val="0"/>
                <w:i w:val="0"/>
                <w:sz w:val="13"/>
              </w:rPr>
              <w:t>P2 § 5, § 7 rec. 5; SV § 2 (surveyor's note)</w:t>
            </w:r>
          </w:p>
        </w:tc>
      </w:tr>
      <w:tr>
        <w:tc>
          <w:tcPr>
            <w:tcW w:type="dxa" w:w="6192"/>
          </w:tcPr>
          <w:p>
            <w:pPr>
              <w:spacing w:before="20" w:after="20" w:line="240" w:lineRule="auto"/>
            </w:pPr>
            <w:r/>
            <w:r>
              <w:rPr>
                <w:rFonts w:ascii="Times New Roman" w:hAnsi="Times New Roman"/>
                <w:b w:val="0"/>
                <w:i w:val="0"/>
                <w:sz w:val="13"/>
              </w:rPr>
              <w:t>Security deposit $5,700,000; step-down to $2,850,000 at 90% occupancy for 24 months</w:t>
            </w:r>
          </w:p>
        </w:tc>
        <w:tc>
          <w:tcPr>
            <w:tcW w:type="dxa" w:w="3168"/>
          </w:tcPr>
          <w:p>
            <w:pPr>
              <w:spacing w:before="20" w:after="20" w:line="240" w:lineRule="auto"/>
            </w:pPr>
            <w:r/>
            <w:r>
              <w:rPr>
                <w:rFonts w:ascii="Times New Roman" w:hAnsi="Times New Roman"/>
                <w:b w:val="0"/>
                <w:i w:val="0"/>
                <w:sz w:val="13"/>
              </w:rPr>
              <w:t>TS § 8; BR recital (c); BL § 4</w:t>
            </w:r>
          </w:p>
        </w:tc>
      </w:tr>
      <w:tr>
        <w:tc>
          <w:tcPr>
            <w:tcW w:type="dxa" w:w="6192"/>
          </w:tcPr>
          <w:p>
            <w:pPr>
              <w:spacing w:before="20" w:after="20" w:line="240" w:lineRule="auto"/>
            </w:pPr>
            <w:r/>
            <w:r>
              <w:rPr>
                <w:rFonts w:ascii="Times New Roman" w:hAnsi="Times New Roman"/>
                <w:b w:val="0"/>
                <w:i w:val="0"/>
                <w:sz w:val="13"/>
              </w:rPr>
              <w:t>Milestones 1–4 and dates</w:t>
            </w:r>
          </w:p>
        </w:tc>
        <w:tc>
          <w:tcPr>
            <w:tcW w:type="dxa" w:w="3168"/>
          </w:tcPr>
          <w:p>
            <w:pPr>
              <w:spacing w:before="20" w:after="20" w:line="240" w:lineRule="auto"/>
            </w:pPr>
            <w:r/>
            <w:r>
              <w:rPr>
                <w:rFonts w:ascii="Times New Roman" w:hAnsi="Times New Roman"/>
                <w:b w:val="0"/>
                <w:i w:val="0"/>
                <w:sz w:val="13"/>
              </w:rPr>
              <w:t>TS § 9; BR § 2(a)</w:t>
            </w:r>
          </w:p>
        </w:tc>
      </w:tr>
      <w:tr>
        <w:tc>
          <w:tcPr>
            <w:tcW w:type="dxa" w:w="6192"/>
          </w:tcPr>
          <w:p>
            <w:pPr>
              <w:spacing w:before="20" w:after="20" w:line="240" w:lineRule="auto"/>
            </w:pPr>
            <w:r/>
            <w:r>
              <w:rPr>
                <w:rFonts w:ascii="Times New Roman" w:hAnsi="Times New Roman"/>
                <w:b w:val="0"/>
                <w:i w:val="0"/>
                <w:sz w:val="13"/>
              </w:rPr>
              <w:t>Force majeure 12 months; permitting 6 months; aggregate 18 months</w:t>
            </w:r>
          </w:p>
        </w:tc>
        <w:tc>
          <w:tcPr>
            <w:tcW w:type="dxa" w:w="3168"/>
          </w:tcPr>
          <w:p>
            <w:pPr>
              <w:spacing w:before="20" w:after="20" w:line="240" w:lineRule="auto"/>
            </w:pPr>
            <w:r/>
            <w:r>
              <w:rPr>
                <w:rFonts w:ascii="Times New Roman" w:hAnsi="Times New Roman"/>
                <w:b w:val="0"/>
                <w:i w:val="0"/>
                <w:sz w:val="13"/>
              </w:rPr>
              <w:t>TS § 9</w:t>
            </w:r>
          </w:p>
        </w:tc>
      </w:tr>
      <w:tr>
        <w:tc>
          <w:tcPr>
            <w:tcW w:type="dxa" w:w="6192"/>
          </w:tcPr>
          <w:p>
            <w:pPr>
              <w:spacing w:before="20" w:after="20" w:line="240" w:lineRule="auto"/>
            </w:pPr>
            <w:r/>
            <w:r>
              <w:rPr>
                <w:rFonts w:ascii="Times New Roman" w:hAnsi="Times New Roman"/>
                <w:b w:val="0"/>
                <w:i w:val="0"/>
                <w:sz w:val="13"/>
              </w:rPr>
              <w:t>Reverter: automatic termination; deposit forfeiture; improvements without compensation</w:t>
            </w:r>
          </w:p>
        </w:tc>
        <w:tc>
          <w:tcPr>
            <w:tcW w:type="dxa" w:w="3168"/>
          </w:tcPr>
          <w:p>
            <w:pPr>
              <w:spacing w:before="20" w:after="20" w:line="240" w:lineRule="auto"/>
            </w:pPr>
            <w:r/>
            <w:r>
              <w:rPr>
                <w:rFonts w:ascii="Times New Roman" w:hAnsi="Times New Roman"/>
                <w:b w:val="0"/>
                <w:i w:val="0"/>
                <w:sz w:val="13"/>
              </w:rPr>
              <w:t>TS § 9</w:t>
            </w:r>
          </w:p>
        </w:tc>
      </w:tr>
      <w:tr>
        <w:tc>
          <w:tcPr>
            <w:tcW w:type="dxa" w:w="6192"/>
          </w:tcPr>
          <w:p>
            <w:pPr>
              <w:spacing w:before="20" w:after="20" w:line="240" w:lineRule="auto"/>
            </w:pPr>
            <w:r/>
            <w:r>
              <w:rPr>
                <w:rFonts w:ascii="Times New Roman" w:hAnsi="Times New Roman"/>
                <w:b w:val="0"/>
                <w:i w:val="0"/>
                <w:sz w:val="13"/>
              </w:rPr>
              <w:t>Term Sheet lender protections (mortgage, SNDA, New Lease, notices, no surrender, foreclosure)</w:t>
            </w:r>
          </w:p>
        </w:tc>
        <w:tc>
          <w:tcPr>
            <w:tcW w:type="dxa" w:w="3168"/>
          </w:tcPr>
          <w:p>
            <w:pPr>
              <w:spacing w:before="20" w:after="20" w:line="240" w:lineRule="auto"/>
            </w:pPr>
            <w:r/>
            <w:r>
              <w:rPr>
                <w:rFonts w:ascii="Times New Roman" w:hAnsi="Times New Roman"/>
                <w:b w:val="0"/>
                <w:i w:val="0"/>
                <w:sz w:val="13"/>
              </w:rPr>
              <w:t>TS § 9; BL § 5.1–5.7</w:t>
            </w:r>
          </w:p>
        </w:tc>
      </w:tr>
      <w:tr>
        <w:tc>
          <w:tcPr>
            <w:tcW w:type="dxa" w:w="6192"/>
          </w:tcPr>
          <w:p>
            <w:pPr>
              <w:spacing w:before="20" w:after="20" w:line="240" w:lineRule="auto"/>
            </w:pPr>
            <w:r/>
            <w:r>
              <w:rPr>
                <w:rFonts w:ascii="Times New Roman" w:hAnsi="Times New Roman"/>
                <w:b w:val="0"/>
                <w:i w:val="0"/>
                <w:sz w:val="13"/>
              </w:rPr>
              <w:t>Bayside cure periods 60/90 days; non-concurrent; simultaneous notices</w:t>
            </w:r>
          </w:p>
        </w:tc>
        <w:tc>
          <w:tcPr>
            <w:tcW w:type="dxa" w:w="3168"/>
          </w:tcPr>
          <w:p>
            <w:pPr>
              <w:spacing w:before="20" w:after="20" w:line="240" w:lineRule="auto"/>
            </w:pPr>
            <w:r/>
            <w:r>
              <w:rPr>
                <w:rFonts w:ascii="Times New Roman" w:hAnsi="Times New Roman"/>
                <w:b w:val="0"/>
                <w:i w:val="0"/>
                <w:sz w:val="13"/>
              </w:rPr>
              <w:t>BL § 5.4</w:t>
            </w:r>
          </w:p>
        </w:tc>
      </w:tr>
      <w:tr>
        <w:tc>
          <w:tcPr>
            <w:tcW w:type="dxa" w:w="6192"/>
          </w:tcPr>
          <w:p>
            <w:pPr>
              <w:spacing w:before="20" w:after="20" w:line="240" w:lineRule="auto"/>
            </w:pPr>
            <w:r/>
            <w:r>
              <w:rPr>
                <w:rFonts w:ascii="Times New Roman" w:hAnsi="Times New Roman"/>
                <w:b w:val="0"/>
                <w:i w:val="0"/>
                <w:sz w:val="13"/>
              </w:rPr>
              <w:t>Bayside bankruptcy protections</w:t>
            </w:r>
          </w:p>
        </w:tc>
        <w:tc>
          <w:tcPr>
            <w:tcW w:type="dxa" w:w="3168"/>
          </w:tcPr>
          <w:p>
            <w:pPr>
              <w:spacing w:before="20" w:after="20" w:line="240" w:lineRule="auto"/>
            </w:pPr>
            <w:r/>
            <w:r>
              <w:rPr>
                <w:rFonts w:ascii="Times New Roman" w:hAnsi="Times New Roman"/>
                <w:b w:val="0"/>
                <w:i w:val="0"/>
                <w:sz w:val="13"/>
              </w:rPr>
              <w:t>BL § 5.7</w:t>
            </w:r>
          </w:p>
        </w:tc>
      </w:tr>
      <w:tr>
        <w:tc>
          <w:tcPr>
            <w:tcW w:type="dxa" w:w="6192"/>
          </w:tcPr>
          <w:p>
            <w:pPr>
              <w:spacing w:before="20" w:after="20" w:line="240" w:lineRule="auto"/>
            </w:pPr>
            <w:r/>
            <w:r>
              <w:rPr>
                <w:rFonts w:ascii="Times New Roman" w:hAnsi="Times New Roman"/>
                <w:b w:val="0"/>
                <w:i w:val="0"/>
                <w:sz w:val="13"/>
              </w:rPr>
              <w:t>Triple net; current assessment $4,200,000; mill rate 34.75; $145,950</w:t>
            </w:r>
          </w:p>
        </w:tc>
        <w:tc>
          <w:tcPr>
            <w:tcW w:type="dxa" w:w="3168"/>
          </w:tcPr>
          <w:p>
            <w:pPr>
              <w:spacing w:before="20" w:after="20" w:line="240" w:lineRule="auto"/>
            </w:pPr>
            <w:r/>
            <w:r>
              <w:rPr>
                <w:rFonts w:ascii="Times New Roman" w:hAnsi="Times New Roman"/>
                <w:b w:val="0"/>
                <w:i w:val="0"/>
                <w:sz w:val="13"/>
              </w:rPr>
              <w:t>TS § 10; TC Ex. 7</w:t>
            </w:r>
          </w:p>
        </w:tc>
      </w:tr>
      <w:tr>
        <w:tc>
          <w:tcPr>
            <w:tcW w:type="dxa" w:w="6192"/>
          </w:tcPr>
          <w:p>
            <w:pPr>
              <w:spacing w:before="20" w:after="20" w:line="240" w:lineRule="auto"/>
            </w:pPr>
            <w:r/>
            <w:r>
              <w:rPr>
                <w:rFonts w:ascii="Times New Roman" w:hAnsi="Times New Roman"/>
                <w:b w:val="0"/>
                <w:i w:val="0"/>
                <w:sz w:val="13"/>
              </w:rPr>
              <w:t>Projected assessment $178,000,000; $6,185,500 at full</w:t>
            </w:r>
          </w:p>
        </w:tc>
        <w:tc>
          <w:tcPr>
            <w:tcW w:type="dxa" w:w="3168"/>
          </w:tcPr>
          <w:p>
            <w:pPr>
              <w:spacing w:before="20" w:after="20" w:line="240" w:lineRule="auto"/>
            </w:pPr>
            <w:r/>
            <w:r>
              <w:rPr>
                <w:rFonts w:ascii="Times New Roman" w:hAnsi="Times New Roman"/>
                <w:b w:val="0"/>
                <w:i w:val="0"/>
                <w:sz w:val="13"/>
              </w:rPr>
              <w:t>TS § 10; BR recital</w:t>
            </w:r>
          </w:p>
        </w:tc>
      </w:tr>
      <w:tr>
        <w:tc>
          <w:tcPr>
            <w:tcW w:type="dxa" w:w="6192"/>
          </w:tcPr>
          <w:p>
            <w:pPr>
              <w:spacing w:before="20" w:after="20" w:line="240" w:lineRule="auto"/>
            </w:pPr>
            <w:r/>
            <w:r>
              <w:rPr>
                <w:rFonts w:ascii="Times New Roman" w:hAnsi="Times New Roman"/>
                <w:b w:val="0"/>
                <w:i w:val="0"/>
                <w:sz w:val="13"/>
              </w:rPr>
              <w:t>Abatement 25/50/75% for 15 years, commencing Lease Commencement Date</w:t>
            </w:r>
          </w:p>
        </w:tc>
        <w:tc>
          <w:tcPr>
            <w:tcW w:type="dxa" w:w="3168"/>
          </w:tcPr>
          <w:p>
            <w:pPr>
              <w:spacing w:before="20" w:after="20" w:line="240" w:lineRule="auto"/>
            </w:pPr>
            <w:r/>
            <w:r>
              <w:rPr>
                <w:rFonts w:ascii="Times New Roman" w:hAnsi="Times New Roman"/>
                <w:b w:val="0"/>
                <w:i w:val="0"/>
                <w:sz w:val="13"/>
              </w:rPr>
              <w:t>TS § 10; BR recital</w:t>
            </w:r>
          </w:p>
        </w:tc>
      </w:tr>
      <w:tr>
        <w:tc>
          <w:tcPr>
            <w:tcW w:type="dxa" w:w="6192"/>
          </w:tcPr>
          <w:p>
            <w:pPr>
              <w:spacing w:before="20" w:after="20" w:line="240" w:lineRule="auto"/>
            </w:pPr>
            <w:r/>
            <w:r>
              <w:rPr>
                <w:rFonts w:ascii="Times New Roman" w:hAnsi="Times New Roman"/>
                <w:b w:val="0"/>
                <w:i w:val="0"/>
                <w:sz w:val="13"/>
              </w:rPr>
              <w:t>Abatement implemented by separate agreement with the City</w:t>
            </w:r>
          </w:p>
        </w:tc>
        <w:tc>
          <w:tcPr>
            <w:tcW w:type="dxa" w:w="3168"/>
          </w:tcPr>
          <w:p>
            <w:pPr>
              <w:spacing w:before="20" w:after="20" w:line="240" w:lineRule="auto"/>
            </w:pPr>
            <w:r/>
            <w:r>
              <w:rPr>
                <w:rFonts w:ascii="Times New Roman" w:hAnsi="Times New Roman"/>
                <w:b w:val="0"/>
                <w:i w:val="0"/>
                <w:sz w:val="13"/>
              </w:rPr>
              <w:t>BR § 3(d)</w:t>
            </w:r>
          </w:p>
        </w:tc>
      </w:tr>
      <w:tr>
        <w:tc>
          <w:tcPr>
            <w:tcW w:type="dxa" w:w="6192"/>
          </w:tcPr>
          <w:p>
            <w:pPr>
              <w:spacing w:before="20" w:after="20" w:line="240" w:lineRule="auto"/>
            </w:pPr>
            <w:r/>
            <w:r>
              <w:rPr>
                <w:rFonts w:ascii="Times New Roman" w:hAnsi="Times New Roman"/>
                <w:b w:val="0"/>
                <w:i w:val="0"/>
                <w:sz w:val="13"/>
              </w:rPr>
              <w:t>Assignment consent; subletting; ROFR first 20 years; Affiliate definition</w:t>
            </w:r>
          </w:p>
        </w:tc>
        <w:tc>
          <w:tcPr>
            <w:tcW w:type="dxa" w:w="3168"/>
          </w:tcPr>
          <w:p>
            <w:pPr>
              <w:spacing w:before="20" w:after="20" w:line="240" w:lineRule="auto"/>
            </w:pPr>
            <w:r/>
            <w:r>
              <w:rPr>
                <w:rFonts w:ascii="Times New Roman" w:hAnsi="Times New Roman"/>
                <w:b w:val="0"/>
                <w:i w:val="0"/>
                <w:sz w:val="13"/>
              </w:rPr>
              <w:t>TS § 11; TC Ex. 4</w:t>
            </w:r>
          </w:p>
        </w:tc>
      </w:tr>
      <w:tr>
        <w:tc>
          <w:tcPr>
            <w:tcW w:type="dxa" w:w="6192"/>
          </w:tcPr>
          <w:p>
            <w:pPr>
              <w:spacing w:before="20" w:after="20" w:line="240" w:lineRule="auto"/>
            </w:pPr>
            <w:r/>
            <w:r>
              <w:rPr>
                <w:rFonts w:ascii="Times New Roman" w:hAnsi="Times New Roman"/>
                <w:b w:val="0"/>
                <w:i w:val="0"/>
                <w:sz w:val="13"/>
              </w:rPr>
              <w:t>Recorded ROFR Declaration Sept. 8, 2019, Vol. 405, Pg. 55, without mortgagee carve-outs</w:t>
            </w:r>
          </w:p>
        </w:tc>
        <w:tc>
          <w:tcPr>
            <w:tcW w:type="dxa" w:w="3168"/>
          </w:tcPr>
          <w:p>
            <w:pPr>
              <w:spacing w:before="20" w:after="20" w:line="240" w:lineRule="auto"/>
            </w:pPr>
            <w:r/>
            <w:r>
              <w:rPr>
                <w:rFonts w:ascii="Times New Roman" w:hAnsi="Times New Roman"/>
                <w:b w:val="0"/>
                <w:i w:val="0"/>
                <w:sz w:val="13"/>
              </w:rPr>
              <w:t>TC Ex. 4</w:t>
            </w:r>
          </w:p>
        </w:tc>
      </w:tr>
      <w:tr>
        <w:tc>
          <w:tcPr>
            <w:tcW w:type="dxa" w:w="6192"/>
          </w:tcPr>
          <w:p>
            <w:pPr>
              <w:spacing w:before="20" w:after="20" w:line="240" w:lineRule="auto"/>
            </w:pPr>
            <w:r/>
            <w:r>
              <w:rPr>
                <w:rFonts w:ascii="Times New Roman" w:hAnsi="Times New Roman"/>
                <w:b w:val="0"/>
                <w:i w:val="0"/>
                <w:sz w:val="13"/>
              </w:rPr>
              <w:t>Recorded affordable covenant Nov. 15, 2019, Vol. 408, Pg. 230, with six gaps</w:t>
            </w:r>
          </w:p>
        </w:tc>
        <w:tc>
          <w:tcPr>
            <w:tcW w:type="dxa" w:w="3168"/>
          </w:tcPr>
          <w:p>
            <w:pPr>
              <w:spacing w:before="20" w:after="20" w:line="240" w:lineRule="auto"/>
            </w:pPr>
            <w:r/>
            <w:r>
              <w:rPr>
                <w:rFonts w:ascii="Times New Roman" w:hAnsi="Times New Roman"/>
                <w:b w:val="0"/>
                <w:i w:val="0"/>
                <w:sz w:val="13"/>
              </w:rPr>
              <w:t>TC Ex. 5</w:t>
            </w:r>
          </w:p>
        </w:tc>
      </w:tr>
      <w:tr>
        <w:tc>
          <w:tcPr>
            <w:tcW w:type="dxa" w:w="6192"/>
          </w:tcPr>
          <w:p>
            <w:pPr>
              <w:spacing w:before="20" w:after="20" w:line="240" w:lineRule="auto"/>
            </w:pPr>
            <w:r/>
            <w:r>
              <w:rPr>
                <w:rFonts w:ascii="Times New Roman" w:hAnsi="Times New Roman"/>
                <w:b w:val="0"/>
                <w:i w:val="0"/>
                <w:sz w:val="13"/>
              </w:rPr>
              <w:t>Insurance: CGL $10M/$20M; all-risk; builder's risk; NFIP flood; environmental $5M/$10M; WC</w:t>
            </w:r>
          </w:p>
        </w:tc>
        <w:tc>
          <w:tcPr>
            <w:tcW w:type="dxa" w:w="3168"/>
          </w:tcPr>
          <w:p>
            <w:pPr>
              <w:spacing w:before="20" w:after="20" w:line="240" w:lineRule="auto"/>
            </w:pPr>
            <w:r/>
            <w:r>
              <w:rPr>
                <w:rFonts w:ascii="Times New Roman" w:hAnsi="Times New Roman"/>
                <w:b w:val="0"/>
                <w:i w:val="0"/>
                <w:sz w:val="13"/>
              </w:rPr>
              <w:t>TS § 12; BL § 6(h)</w:t>
            </w:r>
          </w:p>
        </w:tc>
      </w:tr>
      <w:tr>
        <w:tc>
          <w:tcPr>
            <w:tcW w:type="dxa" w:w="6192"/>
          </w:tcPr>
          <w:p>
            <w:pPr>
              <w:spacing w:before="20" w:after="20" w:line="240" w:lineRule="auto"/>
            </w:pPr>
            <w:r/>
            <w:r>
              <w:rPr>
                <w:rFonts w:ascii="Times New Roman" w:hAnsi="Times New Roman"/>
                <w:b w:val="0"/>
                <w:i w:val="0"/>
                <w:sz w:val="13"/>
              </w:rPr>
              <w:t>Permitted Exceptions list (10 items)</w:t>
            </w:r>
          </w:p>
        </w:tc>
        <w:tc>
          <w:tcPr>
            <w:tcW w:type="dxa" w:w="3168"/>
          </w:tcPr>
          <w:p>
            <w:pPr>
              <w:spacing w:before="20" w:after="20" w:line="240" w:lineRule="auto"/>
            </w:pPr>
            <w:r/>
            <w:r>
              <w:rPr>
                <w:rFonts w:ascii="Times New Roman" w:hAnsi="Times New Roman"/>
                <w:b w:val="0"/>
                <w:i w:val="0"/>
                <w:sz w:val="13"/>
              </w:rPr>
              <w:t>TS § 13; TC Sched. B-II</w:t>
            </w:r>
          </w:p>
        </w:tc>
      </w:tr>
      <w:tr>
        <w:tc>
          <w:tcPr>
            <w:tcW w:type="dxa" w:w="6192"/>
          </w:tcPr>
          <w:p>
            <w:pPr>
              <w:spacing w:before="20" w:after="20" w:line="240" w:lineRule="auto"/>
            </w:pPr>
            <w:r/>
            <w:r>
              <w:rPr>
                <w:rFonts w:ascii="Times New Roman" w:hAnsi="Times New Roman"/>
                <w:b w:val="0"/>
                <w:i w:val="0"/>
                <w:sz w:val="13"/>
              </w:rPr>
              <w:t>Mechanics' lien $187,500, Apr. 3, 2025, Vol. 418, Pg. 302</w:t>
            </w:r>
          </w:p>
        </w:tc>
        <w:tc>
          <w:tcPr>
            <w:tcW w:type="dxa" w:w="3168"/>
          </w:tcPr>
          <w:p>
            <w:pPr>
              <w:spacing w:before="20" w:after="20" w:line="240" w:lineRule="auto"/>
            </w:pPr>
            <w:r/>
            <w:r>
              <w:rPr>
                <w:rFonts w:ascii="Times New Roman" w:hAnsi="Times New Roman"/>
                <w:b w:val="0"/>
                <w:i w:val="0"/>
                <w:sz w:val="13"/>
              </w:rPr>
              <w:t>TS § 13; TC Ex. 6 and Req. 7; SV § 3(d)(iii)</w:t>
            </w:r>
          </w:p>
        </w:tc>
      </w:tr>
      <w:tr>
        <w:tc>
          <w:tcPr>
            <w:tcW w:type="dxa" w:w="6192"/>
          </w:tcPr>
          <w:p>
            <w:pPr>
              <w:spacing w:before="20" w:after="20" w:line="240" w:lineRule="auto"/>
            </w:pPr>
            <w:r/>
            <w:r>
              <w:rPr>
                <w:rFonts w:ascii="Times New Roman" w:hAnsi="Times New Roman"/>
                <w:b w:val="0"/>
                <w:i w:val="0"/>
                <w:sz w:val="13"/>
              </w:rPr>
              <w:t>Loan $285M; SOFR + 275; 48 months + two 6-month extensions</w:t>
            </w:r>
          </w:p>
        </w:tc>
        <w:tc>
          <w:tcPr>
            <w:tcW w:type="dxa" w:w="3168"/>
          </w:tcPr>
          <w:p>
            <w:pPr>
              <w:spacing w:before="20" w:after="20" w:line="240" w:lineRule="auto"/>
            </w:pPr>
            <w:r/>
            <w:r>
              <w:rPr>
                <w:rFonts w:ascii="Times New Roman" w:hAnsi="Times New Roman"/>
                <w:b w:val="0"/>
                <w:i w:val="0"/>
                <w:sz w:val="13"/>
              </w:rPr>
              <w:t>TS § 14; BL § 2</w:t>
            </w:r>
          </w:p>
        </w:tc>
      </w:tr>
      <w:tr>
        <w:tc>
          <w:tcPr>
            <w:tcW w:type="dxa" w:w="6192"/>
          </w:tcPr>
          <w:p>
            <w:pPr>
              <w:spacing w:before="20" w:after="20" w:line="240" w:lineRule="auto"/>
            </w:pPr>
            <w:r/>
            <w:r>
              <w:rPr>
                <w:rFonts w:ascii="Times New Roman" w:hAnsi="Times New Roman"/>
                <w:b w:val="0"/>
                <w:i w:val="0"/>
                <w:sz w:val="13"/>
              </w:rPr>
              <w:t>Equity: Coventry $95M; Meridian $45M; total $425M</w:t>
            </w:r>
          </w:p>
        </w:tc>
        <w:tc>
          <w:tcPr>
            <w:tcW w:type="dxa" w:w="3168"/>
          </w:tcPr>
          <w:p>
            <w:pPr>
              <w:spacing w:before="20" w:after="20" w:line="240" w:lineRule="auto"/>
            </w:pPr>
            <w:r/>
            <w:r>
              <w:rPr>
                <w:rFonts w:ascii="Times New Roman" w:hAnsi="Times New Roman"/>
                <w:b w:val="0"/>
                <w:i w:val="0"/>
                <w:sz w:val="13"/>
              </w:rPr>
              <w:t>TS § 14; BL § 3</w:t>
            </w:r>
          </w:p>
        </w:tc>
      </w:tr>
      <w:tr>
        <w:tc>
          <w:tcPr>
            <w:tcW w:type="dxa" w:w="6192"/>
          </w:tcPr>
          <w:p>
            <w:pPr>
              <w:spacing w:before="20" w:after="20" w:line="240" w:lineRule="auto"/>
            </w:pPr>
            <w:r/>
            <w:r>
              <w:rPr>
                <w:rFonts w:ascii="Times New Roman" w:hAnsi="Times New Roman"/>
                <w:b w:val="0"/>
                <w:i w:val="0"/>
                <w:sz w:val="13"/>
              </w:rPr>
              <w:t>Cost allocation: hard $352M; soft $38.5M; contingency $34.5M</w:t>
            </w:r>
          </w:p>
        </w:tc>
        <w:tc>
          <w:tcPr>
            <w:tcW w:type="dxa" w:w="3168"/>
          </w:tcPr>
          <w:p>
            <w:pPr>
              <w:spacing w:before="20" w:after="20" w:line="240" w:lineRule="auto"/>
            </w:pPr>
            <w:r/>
            <w:r>
              <w:rPr>
                <w:rFonts w:ascii="Times New Roman" w:hAnsi="Times New Roman"/>
                <w:b w:val="0"/>
                <w:i w:val="0"/>
                <w:sz w:val="13"/>
              </w:rPr>
              <w:t>TS § 14; BL § 3</w:t>
            </w:r>
          </w:p>
        </w:tc>
      </w:tr>
      <w:tr>
        <w:tc>
          <w:tcPr>
            <w:tcW w:type="dxa" w:w="6192"/>
          </w:tcPr>
          <w:p>
            <w:pPr>
              <w:spacing w:before="20" w:after="20" w:line="240" w:lineRule="auto"/>
            </w:pPr>
            <w:r/>
            <w:r>
              <w:rPr>
                <w:rFonts w:ascii="Times New Roman" w:hAnsi="Times New Roman"/>
                <w:b w:val="0"/>
                <w:i w:val="0"/>
                <w:sz w:val="13"/>
              </w:rPr>
              <w:t>Coventry completion guaranty to Initial Maturity Date</w:t>
            </w:r>
          </w:p>
        </w:tc>
        <w:tc>
          <w:tcPr>
            <w:tcW w:type="dxa" w:w="3168"/>
          </w:tcPr>
          <w:p>
            <w:pPr>
              <w:spacing w:before="20" w:after="20" w:line="240" w:lineRule="auto"/>
            </w:pPr>
            <w:r/>
            <w:r>
              <w:rPr>
                <w:rFonts w:ascii="Times New Roman" w:hAnsi="Times New Roman"/>
                <w:b w:val="0"/>
                <w:i w:val="0"/>
                <w:sz w:val="13"/>
              </w:rPr>
              <w:t>BL § 4</w:t>
            </w:r>
          </w:p>
        </w:tc>
      </w:tr>
      <w:tr>
        <w:tc>
          <w:tcPr>
            <w:tcW w:type="dxa" w:w="6192"/>
          </w:tcPr>
          <w:p>
            <w:pPr>
              <w:spacing w:before="20" w:after="20" w:line="240" w:lineRule="auto"/>
            </w:pPr>
            <w:r/>
            <w:r>
              <w:rPr>
                <w:rFonts w:ascii="Times New Roman" w:hAnsi="Times New Roman"/>
                <w:b w:val="0"/>
                <w:i w:val="0"/>
                <w:sz w:val="13"/>
              </w:rPr>
              <w:t>Conditions precedent to lease commencement</w:t>
            </w:r>
          </w:p>
        </w:tc>
        <w:tc>
          <w:tcPr>
            <w:tcW w:type="dxa" w:w="3168"/>
          </w:tcPr>
          <w:p>
            <w:pPr>
              <w:spacing w:before="20" w:after="20" w:line="240" w:lineRule="auto"/>
            </w:pPr>
            <w:r/>
            <w:r>
              <w:rPr>
                <w:rFonts w:ascii="Times New Roman" w:hAnsi="Times New Roman"/>
                <w:b w:val="0"/>
                <w:i w:val="0"/>
                <w:sz w:val="13"/>
              </w:rPr>
              <w:t>TS § 15</w:t>
            </w:r>
          </w:p>
        </w:tc>
      </w:tr>
      <w:tr>
        <w:tc>
          <w:tcPr>
            <w:tcW w:type="dxa" w:w="6192"/>
          </w:tcPr>
          <w:p>
            <w:pPr>
              <w:spacing w:before="20" w:after="20" w:line="240" w:lineRule="auto"/>
            </w:pPr>
            <w:r/>
            <w:r>
              <w:rPr>
                <w:rFonts w:ascii="Times New Roman" w:hAnsi="Times New Roman"/>
                <w:b w:val="0"/>
                <w:i w:val="0"/>
                <w:sz w:val="13"/>
              </w:rPr>
              <w:t>Default and remedies summary; reverter available on any Event of Default</w:t>
            </w:r>
          </w:p>
        </w:tc>
        <w:tc>
          <w:tcPr>
            <w:tcW w:type="dxa" w:w="3168"/>
          </w:tcPr>
          <w:p>
            <w:pPr>
              <w:spacing w:before="20" w:after="20" w:line="240" w:lineRule="auto"/>
            </w:pPr>
            <w:r/>
            <w:r>
              <w:rPr>
                <w:rFonts w:ascii="Times New Roman" w:hAnsi="Times New Roman"/>
                <w:b w:val="0"/>
                <w:i w:val="0"/>
                <w:sz w:val="13"/>
              </w:rPr>
              <w:t>TS § 16</w:t>
            </w:r>
          </w:p>
        </w:tc>
      </w:tr>
      <w:tr>
        <w:tc>
          <w:tcPr>
            <w:tcW w:type="dxa" w:w="6192"/>
          </w:tcPr>
          <w:p>
            <w:pPr>
              <w:spacing w:before="20" w:after="20" w:line="240" w:lineRule="auto"/>
            </w:pPr>
            <w:r/>
            <w:r>
              <w:rPr>
                <w:rFonts w:ascii="Times New Roman" w:hAnsi="Times New Roman"/>
                <w:b w:val="0"/>
                <w:i w:val="0"/>
                <w:sz w:val="13"/>
              </w:rPr>
              <w:t>Casualty/condemnation summary; award allocation</w:t>
            </w:r>
          </w:p>
        </w:tc>
        <w:tc>
          <w:tcPr>
            <w:tcW w:type="dxa" w:w="3168"/>
          </w:tcPr>
          <w:p>
            <w:pPr>
              <w:spacing w:before="20" w:after="20" w:line="240" w:lineRule="auto"/>
            </w:pPr>
            <w:r/>
            <w:r>
              <w:rPr>
                <w:rFonts w:ascii="Times New Roman" w:hAnsi="Times New Roman"/>
                <w:b w:val="0"/>
                <w:i w:val="0"/>
                <w:sz w:val="13"/>
              </w:rPr>
              <w:t>TS § 17</w:t>
            </w:r>
          </w:p>
        </w:tc>
      </w:tr>
      <w:tr>
        <w:tc>
          <w:tcPr>
            <w:tcW w:type="dxa" w:w="6192"/>
          </w:tcPr>
          <w:p>
            <w:pPr>
              <w:spacing w:before="20" w:after="20" w:line="240" w:lineRule="auto"/>
            </w:pPr>
            <w:r/>
            <w:r>
              <w:rPr>
                <w:rFonts w:ascii="Times New Roman" w:hAnsi="Times New Roman"/>
                <w:b w:val="0"/>
                <w:i w:val="0"/>
                <w:sz w:val="13"/>
              </w:rPr>
              <w:t>End of term: improvements to Landlord without compensation; last-10-year alteration restriction</w:t>
            </w:r>
          </w:p>
        </w:tc>
        <w:tc>
          <w:tcPr>
            <w:tcW w:type="dxa" w:w="3168"/>
          </w:tcPr>
          <w:p>
            <w:pPr>
              <w:spacing w:before="20" w:after="20" w:line="240" w:lineRule="auto"/>
            </w:pPr>
            <w:r/>
            <w:r>
              <w:rPr>
                <w:rFonts w:ascii="Times New Roman" w:hAnsi="Times New Roman"/>
                <w:b w:val="0"/>
                <w:i w:val="0"/>
                <w:sz w:val="13"/>
              </w:rPr>
              <w:t>TS § 18</w:t>
            </w:r>
          </w:p>
        </w:tc>
      </w:tr>
      <w:tr>
        <w:tc>
          <w:tcPr>
            <w:tcW w:type="dxa" w:w="6192"/>
          </w:tcPr>
          <w:p>
            <w:pPr>
              <w:spacing w:before="20" w:after="20" w:line="240" w:lineRule="auto"/>
            </w:pPr>
            <w:r/>
            <w:r>
              <w:rPr>
                <w:rFonts w:ascii="Times New Roman" w:hAnsi="Times New Roman"/>
                <w:b w:val="0"/>
                <w:i w:val="0"/>
                <w:sz w:val="13"/>
              </w:rPr>
              <w:t>Governing law; mediation; Judicial District of Port Calloway; FOIA; exclusivity to Dec. 31, 2025</w:t>
            </w:r>
          </w:p>
        </w:tc>
        <w:tc>
          <w:tcPr>
            <w:tcW w:type="dxa" w:w="3168"/>
          </w:tcPr>
          <w:p>
            <w:pPr>
              <w:spacing w:before="20" w:after="20" w:line="240" w:lineRule="auto"/>
            </w:pPr>
            <w:r/>
            <w:r>
              <w:rPr>
                <w:rFonts w:ascii="Times New Roman" w:hAnsi="Times New Roman"/>
                <w:b w:val="0"/>
                <w:i w:val="0"/>
                <w:sz w:val="13"/>
              </w:rPr>
              <w:t>TS § 19</w:t>
            </w:r>
          </w:p>
        </w:tc>
      </w:tr>
      <w:tr>
        <w:tc>
          <w:tcPr>
            <w:tcW w:type="dxa" w:w="6192"/>
          </w:tcPr>
          <w:p>
            <w:pPr>
              <w:spacing w:before="20" w:after="20" w:line="240" w:lineRule="auto"/>
            </w:pPr>
            <w:r/>
            <w:r>
              <w:rPr>
                <w:rFonts w:ascii="Times New Roman" w:hAnsi="Times New Roman"/>
                <w:b w:val="0"/>
                <w:i w:val="0"/>
                <w:sz w:val="13"/>
              </w:rPr>
              <w:t>Resolution authority; rent floor; 99-year cap; affordable floor; material deviation rule</w:t>
            </w:r>
          </w:p>
        </w:tc>
        <w:tc>
          <w:tcPr>
            <w:tcW w:type="dxa" w:w="3168"/>
          </w:tcPr>
          <w:p>
            <w:pPr>
              <w:spacing w:before="20" w:after="20" w:line="240" w:lineRule="auto"/>
            </w:pPr>
            <w:r/>
            <w:r>
              <w:rPr>
                <w:rFonts w:ascii="Times New Roman" w:hAnsi="Times New Roman"/>
                <w:b w:val="0"/>
                <w:i w:val="0"/>
                <w:sz w:val="13"/>
              </w:rPr>
              <w:t>BR §§ 1, 2, 4</w:t>
            </w:r>
          </w:p>
        </w:tc>
      </w:tr>
      <w:tr>
        <w:tc>
          <w:tcPr>
            <w:tcW w:type="dxa" w:w="6192"/>
          </w:tcPr>
          <w:p>
            <w:pPr>
              <w:spacing w:before="20" w:after="20" w:line="240" w:lineRule="auto"/>
            </w:pPr>
            <w:r/>
            <w:r>
              <w:rPr>
                <w:rFonts w:ascii="Times New Roman" w:hAnsi="Times New Roman"/>
                <w:b w:val="0"/>
                <w:i w:val="0"/>
                <w:sz w:val="13"/>
              </w:rPr>
              <w:t>Title commitment expiration Dec. 1, 2025; requirements 1–8</w:t>
            </w:r>
          </w:p>
        </w:tc>
        <w:tc>
          <w:tcPr>
            <w:tcW w:type="dxa" w:w="3168"/>
          </w:tcPr>
          <w:p>
            <w:pPr>
              <w:spacing w:before="20" w:after="20" w:line="240" w:lineRule="auto"/>
            </w:pPr>
            <w:r/>
            <w:r>
              <w:rPr>
                <w:rFonts w:ascii="Times New Roman" w:hAnsi="Times New Roman"/>
                <w:b w:val="0"/>
                <w:i w:val="0"/>
                <w:sz w:val="13"/>
              </w:rPr>
              <w:t>TC Conditions, Sched. B-I</w:t>
            </w:r>
          </w:p>
        </w:tc>
      </w:tr>
      <w:tr>
        <w:tc>
          <w:tcPr>
            <w:tcW w:type="dxa" w:w="6192"/>
          </w:tcPr>
          <w:p>
            <w:pPr>
              <w:spacing w:before="20" w:after="20" w:line="240" w:lineRule="auto"/>
            </w:pPr>
            <w:r/>
            <w:r>
              <w:rPr>
                <w:rFonts w:ascii="Times New Roman" w:hAnsi="Times New Roman"/>
                <w:b w:val="0"/>
                <w:i w:val="0"/>
                <w:sz w:val="13"/>
              </w:rPr>
              <w:t>Survey: CLS-2025-0417; Pellegrino PLS-008741; Table A items; certification to four parties</w:t>
            </w:r>
          </w:p>
        </w:tc>
        <w:tc>
          <w:tcPr>
            <w:tcW w:type="dxa" w:w="3168"/>
          </w:tcPr>
          <w:p>
            <w:pPr>
              <w:spacing w:before="20" w:after="20" w:line="240" w:lineRule="auto"/>
            </w:pPr>
            <w:r/>
            <w:r>
              <w:rPr>
                <w:rFonts w:ascii="Times New Roman" w:hAnsi="Times New Roman"/>
                <w:b w:val="0"/>
                <w:i w:val="0"/>
                <w:sz w:val="13"/>
              </w:rPr>
              <w:t>SV cover, § 5</w:t>
            </w:r>
          </w:p>
        </w:tc>
      </w:tr>
      <w:tr>
        <w:tc>
          <w:tcPr>
            <w:tcW w:type="dxa" w:w="6192"/>
          </w:tcPr>
          <w:p>
            <w:pPr>
              <w:spacing w:before="20" w:after="20" w:line="240" w:lineRule="auto"/>
            </w:pPr>
            <w:r/>
            <w:r>
              <w:rPr>
                <w:rFonts w:ascii="Times New Roman" w:hAnsi="Times New Roman"/>
                <w:b w:val="0"/>
                <w:i w:val="0"/>
                <w:sz w:val="13"/>
              </w:rPr>
              <w:t>Survey referenced in title: CLS-2025-0321; Ferreira PLS 12847; rev. May 15, 2025</w:t>
            </w:r>
          </w:p>
        </w:tc>
        <w:tc>
          <w:tcPr>
            <w:tcW w:type="dxa" w:w="3168"/>
          </w:tcPr>
          <w:p>
            <w:pPr>
              <w:spacing w:before="20" w:after="20" w:line="240" w:lineRule="auto"/>
            </w:pPr>
            <w:r/>
            <w:r>
              <w:rPr>
                <w:rFonts w:ascii="Times New Roman" w:hAnsi="Times New Roman"/>
                <w:b w:val="0"/>
                <w:i w:val="0"/>
                <w:sz w:val="13"/>
              </w:rPr>
              <w:t>TC Sched. A § 5; Ex. A</w:t>
            </w:r>
          </w:p>
        </w:tc>
      </w:tr>
      <w:tr>
        <w:tc>
          <w:tcPr>
            <w:tcW w:type="dxa" w:w="6192"/>
          </w:tcPr>
          <w:p>
            <w:pPr>
              <w:spacing w:before="20" w:after="20" w:line="240" w:lineRule="auto"/>
            </w:pPr>
            <w:r/>
            <w:r>
              <w:rPr>
                <w:rFonts w:ascii="Times New Roman" w:hAnsi="Times New Roman"/>
                <w:b w:val="0"/>
                <w:i w:val="0"/>
                <w:sz w:val="13"/>
              </w:rPr>
              <w:t>Condemnation: 2012; Vol. 367 Pg. 44 (TC) / Vol. 375 Pg. 44 (SV); New Haven (TC) / Port Calloway (TS)</w:t>
            </w:r>
          </w:p>
        </w:tc>
        <w:tc>
          <w:tcPr>
            <w:tcW w:type="dxa" w:w="3168"/>
          </w:tcPr>
          <w:p>
            <w:pPr>
              <w:spacing w:before="20" w:after="20" w:line="240" w:lineRule="auto"/>
            </w:pPr>
            <w:r/>
            <w:r>
              <w:rPr>
                <w:rFonts w:ascii="Times New Roman" w:hAnsi="Times New Roman"/>
                <w:b w:val="0"/>
                <w:i w:val="0"/>
                <w:sz w:val="13"/>
              </w:rPr>
              <w:t>TS § 2; TC Sched. A § 4, Ex. 10; SV § 4</w:t>
            </w:r>
          </w:p>
        </w:tc>
      </w:tr>
      <w:tr>
        <w:tc>
          <w:tcPr>
            <w:tcW w:type="dxa" w:w="6192"/>
          </w:tcPr>
          <w:p>
            <w:pPr>
              <w:spacing w:before="20" w:after="20" w:line="240" w:lineRule="auto"/>
            </w:pPr>
            <w:r/>
            <w:r>
              <w:rPr>
                <w:rFonts w:ascii="Times New Roman" w:hAnsi="Times New Roman"/>
                <w:b w:val="0"/>
                <w:i w:val="0"/>
                <w:sz w:val="13"/>
              </w:rPr>
              <w:t>Client priorities: reverter, financeability, abatement, percentage rent, remediation, deposit, affordable, milestones, assignment</w:t>
            </w:r>
          </w:p>
        </w:tc>
        <w:tc>
          <w:tcPr>
            <w:tcW w:type="dxa" w:w="3168"/>
          </w:tcPr>
          <w:p>
            <w:pPr>
              <w:spacing w:before="20" w:after="20" w:line="240" w:lineRule="auto"/>
            </w:pPr>
            <w:r/>
            <w:r>
              <w:rPr>
                <w:rFonts w:ascii="Times New Roman" w:hAnsi="Times New Roman"/>
                <w:b w:val="0"/>
                <w:i w:val="0"/>
                <w:sz w:val="13"/>
              </w:rPr>
              <w:t>CI §§ 1–5</w:t>
            </w:r>
          </w:p>
        </w:tc>
      </w:tr>
      <w:tr>
        <w:tc>
          <w:tcPr>
            <w:tcW w:type="dxa" w:w="6192"/>
          </w:tcPr>
          <w:p>
            <w:pPr>
              <w:spacing w:before="20" w:after="20" w:line="240" w:lineRule="auto"/>
            </w:pPr>
            <w:r/>
            <w:r>
              <w:rPr>
                <w:rFonts w:ascii="Times New Roman" w:hAnsi="Times New Roman"/>
                <w:b w:val="0"/>
                <w:i w:val="0"/>
                <w:sz w:val="13"/>
              </w:rPr>
              <w:t>Total project cost $425M; client's improvement value estimate $200–300M at Milestone 3</w:t>
            </w:r>
          </w:p>
        </w:tc>
        <w:tc>
          <w:tcPr>
            <w:tcW w:type="dxa" w:w="3168"/>
          </w:tcPr>
          <w:p>
            <w:pPr>
              <w:spacing w:before="20" w:after="20" w:line="240" w:lineRule="auto"/>
            </w:pPr>
            <w:r/>
            <w:r>
              <w:rPr>
                <w:rFonts w:ascii="Times New Roman" w:hAnsi="Times New Roman"/>
                <w:b w:val="0"/>
                <w:i w:val="0"/>
                <w:sz w:val="13"/>
              </w:rPr>
              <w:t>CI § 1, § 2</w:t>
            </w:r>
          </w:p>
        </w:tc>
      </w:tr>
    </w:tbl>
    <w:p>
      <w:pPr>
        <w:spacing w:after="40" w:before="0"/>
      </w:pPr>
    </w:p>
    <w:p>
      <w:r>
        <w:br w:type="page"/>
      </w:r>
    </w:p>
    <w:p>
      <w:pPr>
        <w:spacing w:after="80"/>
        <w:jc w:val="center"/>
      </w:pPr>
      <w:r>
        <w:rPr>
          <w:rFonts w:ascii="Times New Roman" w:hAnsi="Times New Roman"/>
          <w:b/>
          <w:i w:val="0"/>
          <w:sz w:val="24"/>
        </w:rPr>
        <w:t>APPENDIX 2</w:t>
      </w:r>
    </w:p>
    <w:p>
      <w:pPr>
        <w:spacing w:after="200"/>
        <w:jc w:val="center"/>
      </w:pPr>
      <w:r>
        <w:rPr>
          <w:rFonts w:ascii="Times New Roman" w:hAnsi="Times New Roman"/>
          <w:b/>
          <w:i w:val="0"/>
          <w:sz w:val="22"/>
        </w:rPr>
        <w:t>PERCENTAGE RENT AND RENT RESET MODELS</w:t>
      </w:r>
    </w:p>
    <w:p>
      <w:pPr>
        <w:spacing w:after="120"/>
        <w:ind w:left="0"/>
        <w:jc w:val="both"/>
      </w:pPr>
      <w:r>
        <w:rPr>
          <w:rFonts w:ascii="Times New Roman" w:hAnsi="Times New Roman"/>
          <w:b/>
          <w:i w:val="0"/>
          <w:sz w:val="19"/>
        </w:rPr>
        <w:t>A2.1  Breakpoint erosion.</w:t>
      </w:r>
      <w:r>
        <w:rPr>
          <w:rFonts w:ascii="Times New Roman" w:hAnsi="Times New Roman"/>
          <w:b w:val="0"/>
          <w:i w:val="0"/>
          <w:sz w:val="19"/>
        </w:rPr>
        <w:t xml:space="preserve"> Base Rent escalated at the 2.5% floor; Breakpoint fixed at $28,500,000; "Year-1 dollars" deflate nominal amounts at the same 2.5% for comparability.</w:t>
      </w:r>
    </w:p>
    <w:tbl>
      <w:tblPr>
        <w:tblStyle w:val="TableGrid"/>
        <w:tblW w:type="auto" w:w="0"/>
        <w:jc w:val="center"/>
        <w:tblLayout w:type="fixed"/>
        <w:tblLook w:firstColumn="1" w:firstRow="1" w:lastColumn="0" w:lastRow="0" w:noHBand="0" w:noVBand="1" w:val="04A0"/>
        <w:tblLayout w:type="fixed"/>
        <w:tblW w:type="dxa" w:w="9360"/>
        <w:tblCellMar>
          <w:top w:w="20" w:type="dxa"/>
          <w:left w:w="60" w:type="dxa"/>
          <w:bottom w:w="20" w:type="dxa"/>
          <w:right w:w="60" w:type="dxa"/>
        </w:tblCellMar>
      </w:tblPr>
      <w:tblGrid>
        <w:gridCol w:w="1008"/>
        <w:gridCol w:w="1800"/>
        <w:gridCol w:w="1512"/>
        <w:gridCol w:w="1584"/>
        <w:gridCol w:w="1728"/>
        <w:gridCol w:w="1728"/>
      </w:tblGrid>
      <w:tr>
        <w:trPr>
          <w:tblHeader w:val="true"/>
        </w:trPr>
        <w:tc>
          <w:tcPr>
            <w:tcW w:type="dxa" w:w="1008"/>
            <w:shd w:val="clear" w:color="auto" w:fill="D9D9D9"/>
          </w:tcPr>
          <w:p>
            <w:pPr>
              <w:spacing w:before="20" w:after="20" w:line="240" w:lineRule="auto"/>
            </w:pPr>
            <w:r/>
            <w:r>
              <w:rPr>
                <w:rFonts w:ascii="Times New Roman" w:hAnsi="Times New Roman"/>
                <w:b/>
                <w:i w:val="0"/>
                <w:sz w:val="15"/>
              </w:rPr>
              <w:t>Lease Yr</w:t>
            </w:r>
          </w:p>
        </w:tc>
        <w:tc>
          <w:tcPr>
            <w:tcW w:type="dxa" w:w="1800"/>
            <w:shd w:val="clear" w:color="auto" w:fill="D9D9D9"/>
          </w:tcPr>
          <w:p>
            <w:pPr>
              <w:spacing w:before="20" w:after="20" w:line="240" w:lineRule="auto"/>
            </w:pPr>
            <w:r/>
            <w:r>
              <w:rPr>
                <w:rFonts w:ascii="Times New Roman" w:hAnsi="Times New Roman"/>
                <w:b/>
                <w:i w:val="0"/>
                <w:sz w:val="15"/>
              </w:rPr>
              <w:t>Base Rent (2.5% floor)</w:t>
            </w:r>
          </w:p>
        </w:tc>
        <w:tc>
          <w:tcPr>
            <w:tcW w:type="dxa" w:w="1512"/>
            <w:shd w:val="clear" w:color="auto" w:fill="D9D9D9"/>
          </w:tcPr>
          <w:p>
            <w:pPr>
              <w:spacing w:before="20" w:after="20" w:line="240" w:lineRule="auto"/>
            </w:pPr>
            <w:r/>
            <w:r>
              <w:rPr>
                <w:rFonts w:ascii="Times New Roman" w:hAnsi="Times New Roman"/>
                <w:b/>
                <w:i w:val="0"/>
                <w:sz w:val="15"/>
              </w:rPr>
              <w:t>Breakpoint</w:t>
            </w:r>
          </w:p>
        </w:tc>
        <w:tc>
          <w:tcPr>
            <w:tcW w:type="dxa" w:w="1584"/>
            <w:shd w:val="clear" w:color="auto" w:fill="D9D9D9"/>
          </w:tcPr>
          <w:p>
            <w:pPr>
              <w:spacing w:before="20" w:after="20" w:line="240" w:lineRule="auto"/>
            </w:pPr>
            <w:r/>
            <w:r>
              <w:rPr>
                <w:rFonts w:ascii="Times New Roman" w:hAnsi="Times New Roman"/>
                <w:b/>
                <w:i w:val="0"/>
                <w:sz w:val="15"/>
              </w:rPr>
              <w:t>Breakpoint ÷ Base Rent</w:t>
            </w:r>
          </w:p>
        </w:tc>
        <w:tc>
          <w:tcPr>
            <w:tcW w:type="dxa" w:w="1728"/>
            <w:shd w:val="clear" w:color="auto" w:fill="D9D9D9"/>
          </w:tcPr>
          <w:p>
            <w:pPr>
              <w:spacing w:before="20" w:after="20" w:line="240" w:lineRule="auto"/>
            </w:pPr>
            <w:r/>
            <w:r>
              <w:rPr>
                <w:rFonts w:ascii="Times New Roman" w:hAnsi="Times New Roman"/>
                <w:b/>
                <w:i w:val="0"/>
                <w:sz w:val="15"/>
              </w:rPr>
              <w:t>Breakpoint (Yr-1 $)</w:t>
            </w:r>
          </w:p>
        </w:tc>
        <w:tc>
          <w:tcPr>
            <w:tcW w:type="dxa" w:w="1728"/>
            <w:shd w:val="clear" w:color="auto" w:fill="D9D9D9"/>
          </w:tcPr>
          <w:p>
            <w:pPr>
              <w:spacing w:before="20" w:after="20" w:line="240" w:lineRule="auto"/>
            </w:pPr>
            <w:r/>
            <w:r>
              <w:rPr>
                <w:rFonts w:ascii="Times New Roman" w:hAnsi="Times New Roman"/>
                <w:b/>
                <w:i w:val="0"/>
                <w:sz w:val="15"/>
              </w:rPr>
              <w:t>Base Rent (Yr-1 $)</w:t>
            </w:r>
          </w:p>
        </w:tc>
      </w:tr>
      <w:tr>
        <w:tc>
          <w:tcPr>
            <w:tcW w:type="dxa" w:w="1008"/>
          </w:tcPr>
          <w:p>
            <w:pPr>
              <w:spacing w:before="20" w:after="20" w:line="240" w:lineRule="auto"/>
            </w:pPr>
            <w:r/>
            <w:r>
              <w:rPr>
                <w:rFonts w:ascii="Times New Roman" w:hAnsi="Times New Roman"/>
                <w:b w:val="0"/>
                <w:i w:val="0"/>
                <w:sz w:val="15"/>
              </w:rPr>
              <w:t>6</w:t>
            </w:r>
          </w:p>
        </w:tc>
        <w:tc>
          <w:tcPr>
            <w:tcW w:type="dxa" w:w="1800"/>
          </w:tcPr>
          <w:p>
            <w:pPr>
              <w:spacing w:before="20" w:after="20" w:line="240" w:lineRule="auto"/>
              <w:jc w:val="right"/>
            </w:pPr>
            <w:r/>
            <w:r>
              <w:rPr>
                <w:rFonts w:ascii="Times New Roman" w:hAnsi="Times New Roman"/>
                <w:b w:val="0"/>
                <w:i w:val="0"/>
                <w:sz w:val="15"/>
              </w:rPr>
              <w:t>3,224,513</w:t>
            </w:r>
          </w:p>
        </w:tc>
        <w:tc>
          <w:tcPr>
            <w:tcW w:type="dxa" w:w="1512"/>
          </w:tcPr>
          <w:p>
            <w:pPr>
              <w:spacing w:before="20" w:after="20" w:line="240" w:lineRule="auto"/>
              <w:jc w:val="right"/>
            </w:pPr>
            <w:r/>
            <w:r>
              <w:rPr>
                <w:rFonts w:ascii="Times New Roman" w:hAnsi="Times New Roman"/>
                <w:b w:val="0"/>
                <w:i w:val="0"/>
                <w:sz w:val="15"/>
              </w:rPr>
              <w:t>28,500,000</w:t>
            </w:r>
          </w:p>
        </w:tc>
        <w:tc>
          <w:tcPr>
            <w:tcW w:type="dxa" w:w="1584"/>
          </w:tcPr>
          <w:p>
            <w:pPr>
              <w:spacing w:before="20" w:after="20" w:line="240" w:lineRule="auto"/>
              <w:jc w:val="right"/>
            </w:pPr>
            <w:r/>
            <w:r>
              <w:rPr>
                <w:rFonts w:ascii="Times New Roman" w:hAnsi="Times New Roman"/>
                <w:b w:val="0"/>
                <w:i w:val="0"/>
                <w:sz w:val="15"/>
              </w:rPr>
              <w:t>8.84×</w:t>
            </w:r>
          </w:p>
        </w:tc>
        <w:tc>
          <w:tcPr>
            <w:tcW w:type="dxa" w:w="1728"/>
          </w:tcPr>
          <w:p>
            <w:pPr>
              <w:spacing w:before="20" w:after="20" w:line="240" w:lineRule="auto"/>
              <w:jc w:val="right"/>
            </w:pPr>
            <w:r/>
            <w:r>
              <w:rPr>
                <w:rFonts w:ascii="Times New Roman" w:hAnsi="Times New Roman"/>
                <w:b w:val="0"/>
                <w:i w:val="0"/>
                <w:sz w:val="15"/>
              </w:rPr>
              <w:t>25,189,847</w:t>
            </w:r>
          </w:p>
        </w:tc>
        <w:tc>
          <w:tcPr>
            <w:tcW w:type="dxa" w:w="1728"/>
          </w:tcPr>
          <w:p>
            <w:pPr>
              <w:spacing w:before="20" w:after="20" w:line="240" w:lineRule="auto"/>
              <w:jc w:val="right"/>
            </w:pPr>
            <w:r/>
            <w:r>
              <w:rPr>
                <w:rFonts w:ascii="Times New Roman" w:hAnsi="Times New Roman"/>
                <w:b w:val="0"/>
                <w:i w:val="0"/>
                <w:sz w:val="15"/>
              </w:rPr>
              <w:t>2,850,000</w:t>
            </w:r>
          </w:p>
        </w:tc>
      </w:tr>
      <w:tr>
        <w:tc>
          <w:tcPr>
            <w:tcW w:type="dxa" w:w="1008"/>
          </w:tcPr>
          <w:p>
            <w:pPr>
              <w:spacing w:before="20" w:after="20" w:line="240" w:lineRule="auto"/>
            </w:pPr>
            <w:r/>
            <w:r>
              <w:rPr>
                <w:rFonts w:ascii="Times New Roman" w:hAnsi="Times New Roman"/>
                <w:b w:val="0"/>
                <w:i w:val="0"/>
                <w:sz w:val="15"/>
              </w:rPr>
              <w:t>16</w:t>
            </w:r>
          </w:p>
        </w:tc>
        <w:tc>
          <w:tcPr>
            <w:tcW w:type="dxa" w:w="1800"/>
          </w:tcPr>
          <w:p>
            <w:pPr>
              <w:spacing w:before="20" w:after="20" w:line="240" w:lineRule="auto"/>
              <w:jc w:val="right"/>
            </w:pPr>
            <w:r/>
            <w:r>
              <w:rPr>
                <w:rFonts w:ascii="Times New Roman" w:hAnsi="Times New Roman"/>
                <w:b w:val="0"/>
                <w:i w:val="0"/>
                <w:sz w:val="15"/>
              </w:rPr>
              <w:t>4,127,650</w:t>
            </w:r>
          </w:p>
        </w:tc>
        <w:tc>
          <w:tcPr>
            <w:tcW w:type="dxa" w:w="1512"/>
          </w:tcPr>
          <w:p>
            <w:pPr>
              <w:spacing w:before="20" w:after="20" w:line="240" w:lineRule="auto"/>
              <w:jc w:val="right"/>
            </w:pPr>
            <w:r/>
            <w:r>
              <w:rPr>
                <w:rFonts w:ascii="Times New Roman" w:hAnsi="Times New Roman"/>
                <w:b w:val="0"/>
                <w:i w:val="0"/>
                <w:sz w:val="15"/>
              </w:rPr>
              <w:t>28,500,000</w:t>
            </w:r>
          </w:p>
        </w:tc>
        <w:tc>
          <w:tcPr>
            <w:tcW w:type="dxa" w:w="1584"/>
          </w:tcPr>
          <w:p>
            <w:pPr>
              <w:spacing w:before="20" w:after="20" w:line="240" w:lineRule="auto"/>
              <w:jc w:val="right"/>
            </w:pPr>
            <w:r/>
            <w:r>
              <w:rPr>
                <w:rFonts w:ascii="Times New Roman" w:hAnsi="Times New Roman"/>
                <w:b w:val="0"/>
                <w:i w:val="0"/>
                <w:sz w:val="15"/>
              </w:rPr>
              <w:t>6.90×</w:t>
            </w:r>
          </w:p>
        </w:tc>
        <w:tc>
          <w:tcPr>
            <w:tcW w:type="dxa" w:w="1728"/>
          </w:tcPr>
          <w:p>
            <w:pPr>
              <w:spacing w:before="20" w:after="20" w:line="240" w:lineRule="auto"/>
              <w:jc w:val="right"/>
            </w:pPr>
            <w:r/>
            <w:r>
              <w:rPr>
                <w:rFonts w:ascii="Times New Roman" w:hAnsi="Times New Roman"/>
                <w:b w:val="0"/>
                <w:i w:val="0"/>
                <w:sz w:val="15"/>
              </w:rPr>
              <w:t>19,678,268</w:t>
            </w:r>
          </w:p>
        </w:tc>
        <w:tc>
          <w:tcPr>
            <w:tcW w:type="dxa" w:w="1728"/>
          </w:tcPr>
          <w:p>
            <w:pPr>
              <w:spacing w:before="20" w:after="20" w:line="240" w:lineRule="auto"/>
              <w:jc w:val="right"/>
            </w:pPr>
            <w:r/>
            <w:r>
              <w:rPr>
                <w:rFonts w:ascii="Times New Roman" w:hAnsi="Times New Roman"/>
                <w:b w:val="0"/>
                <w:i w:val="0"/>
                <w:sz w:val="15"/>
              </w:rPr>
              <w:t>2,850,000</w:t>
            </w:r>
          </w:p>
        </w:tc>
      </w:tr>
      <w:tr>
        <w:tc>
          <w:tcPr>
            <w:tcW w:type="dxa" w:w="1008"/>
          </w:tcPr>
          <w:p>
            <w:pPr>
              <w:spacing w:before="20" w:after="20" w:line="240" w:lineRule="auto"/>
            </w:pPr>
            <w:r/>
            <w:r>
              <w:rPr>
                <w:rFonts w:ascii="Times New Roman" w:hAnsi="Times New Roman"/>
                <w:b w:val="0"/>
                <w:i w:val="0"/>
                <w:sz w:val="15"/>
              </w:rPr>
              <w:t>26</w:t>
            </w:r>
          </w:p>
        </w:tc>
        <w:tc>
          <w:tcPr>
            <w:tcW w:type="dxa" w:w="1800"/>
          </w:tcPr>
          <w:p>
            <w:pPr>
              <w:spacing w:before="20" w:after="20" w:line="240" w:lineRule="auto"/>
              <w:jc w:val="right"/>
            </w:pPr>
            <w:r/>
            <w:r>
              <w:rPr>
                <w:rFonts w:ascii="Times New Roman" w:hAnsi="Times New Roman"/>
                <w:b w:val="0"/>
                <w:i w:val="0"/>
                <w:sz w:val="15"/>
              </w:rPr>
              <w:t>5,283,741</w:t>
            </w:r>
          </w:p>
        </w:tc>
        <w:tc>
          <w:tcPr>
            <w:tcW w:type="dxa" w:w="1512"/>
          </w:tcPr>
          <w:p>
            <w:pPr>
              <w:spacing w:before="20" w:after="20" w:line="240" w:lineRule="auto"/>
              <w:jc w:val="right"/>
            </w:pPr>
            <w:r/>
            <w:r>
              <w:rPr>
                <w:rFonts w:ascii="Times New Roman" w:hAnsi="Times New Roman"/>
                <w:b w:val="0"/>
                <w:i w:val="0"/>
                <w:sz w:val="15"/>
              </w:rPr>
              <w:t>28,500,000</w:t>
            </w:r>
          </w:p>
        </w:tc>
        <w:tc>
          <w:tcPr>
            <w:tcW w:type="dxa" w:w="1584"/>
          </w:tcPr>
          <w:p>
            <w:pPr>
              <w:spacing w:before="20" w:after="20" w:line="240" w:lineRule="auto"/>
              <w:jc w:val="right"/>
            </w:pPr>
            <w:r/>
            <w:r>
              <w:rPr>
                <w:rFonts w:ascii="Times New Roman" w:hAnsi="Times New Roman"/>
                <w:b w:val="0"/>
                <w:i w:val="0"/>
                <w:sz w:val="15"/>
              </w:rPr>
              <w:t>5.39×</w:t>
            </w:r>
          </w:p>
        </w:tc>
        <w:tc>
          <w:tcPr>
            <w:tcW w:type="dxa" w:w="1728"/>
          </w:tcPr>
          <w:p>
            <w:pPr>
              <w:spacing w:before="20" w:after="20" w:line="240" w:lineRule="auto"/>
              <w:jc w:val="right"/>
            </w:pPr>
            <w:r/>
            <w:r>
              <w:rPr>
                <w:rFonts w:ascii="Times New Roman" w:hAnsi="Times New Roman"/>
                <w:b w:val="0"/>
                <w:i w:val="0"/>
                <w:sz w:val="15"/>
              </w:rPr>
              <w:t>15,372,632</w:t>
            </w:r>
          </w:p>
        </w:tc>
        <w:tc>
          <w:tcPr>
            <w:tcW w:type="dxa" w:w="1728"/>
          </w:tcPr>
          <w:p>
            <w:pPr>
              <w:spacing w:before="20" w:after="20" w:line="240" w:lineRule="auto"/>
              <w:jc w:val="right"/>
            </w:pPr>
            <w:r/>
            <w:r>
              <w:rPr>
                <w:rFonts w:ascii="Times New Roman" w:hAnsi="Times New Roman"/>
                <w:b w:val="0"/>
                <w:i w:val="0"/>
                <w:sz w:val="15"/>
              </w:rPr>
              <w:t>2,850,000</w:t>
            </w:r>
          </w:p>
        </w:tc>
      </w:tr>
      <w:tr>
        <w:tc>
          <w:tcPr>
            <w:tcW w:type="dxa" w:w="1008"/>
          </w:tcPr>
          <w:p>
            <w:pPr>
              <w:spacing w:before="20" w:after="20" w:line="240" w:lineRule="auto"/>
            </w:pPr>
            <w:r/>
            <w:r>
              <w:rPr>
                <w:rFonts w:ascii="Times New Roman" w:hAnsi="Times New Roman"/>
                <w:b w:val="0"/>
                <w:i w:val="0"/>
                <w:sz w:val="15"/>
              </w:rPr>
              <w:t>36</w:t>
            </w:r>
          </w:p>
        </w:tc>
        <w:tc>
          <w:tcPr>
            <w:tcW w:type="dxa" w:w="1800"/>
          </w:tcPr>
          <w:p>
            <w:pPr>
              <w:spacing w:before="20" w:after="20" w:line="240" w:lineRule="auto"/>
              <w:jc w:val="right"/>
            </w:pPr>
            <w:r/>
            <w:r>
              <w:rPr>
                <w:rFonts w:ascii="Times New Roman" w:hAnsi="Times New Roman"/>
                <w:b w:val="0"/>
                <w:i w:val="0"/>
                <w:sz w:val="15"/>
              </w:rPr>
              <w:t>6,763,635</w:t>
            </w:r>
          </w:p>
        </w:tc>
        <w:tc>
          <w:tcPr>
            <w:tcW w:type="dxa" w:w="1512"/>
          </w:tcPr>
          <w:p>
            <w:pPr>
              <w:spacing w:before="20" w:after="20" w:line="240" w:lineRule="auto"/>
              <w:jc w:val="right"/>
            </w:pPr>
            <w:r/>
            <w:r>
              <w:rPr>
                <w:rFonts w:ascii="Times New Roman" w:hAnsi="Times New Roman"/>
                <w:b w:val="0"/>
                <w:i w:val="0"/>
                <w:sz w:val="15"/>
              </w:rPr>
              <w:t>28,500,000</w:t>
            </w:r>
          </w:p>
        </w:tc>
        <w:tc>
          <w:tcPr>
            <w:tcW w:type="dxa" w:w="1584"/>
          </w:tcPr>
          <w:p>
            <w:pPr>
              <w:spacing w:before="20" w:after="20" w:line="240" w:lineRule="auto"/>
              <w:jc w:val="right"/>
            </w:pPr>
            <w:r/>
            <w:r>
              <w:rPr>
                <w:rFonts w:ascii="Times New Roman" w:hAnsi="Times New Roman"/>
                <w:b w:val="0"/>
                <w:i w:val="0"/>
                <w:sz w:val="15"/>
              </w:rPr>
              <w:t>4.21×</w:t>
            </w:r>
          </w:p>
        </w:tc>
        <w:tc>
          <w:tcPr>
            <w:tcW w:type="dxa" w:w="1728"/>
          </w:tcPr>
          <w:p>
            <w:pPr>
              <w:spacing w:before="20" w:after="20" w:line="240" w:lineRule="auto"/>
              <w:jc w:val="right"/>
            </w:pPr>
            <w:r/>
            <w:r>
              <w:rPr>
                <w:rFonts w:ascii="Times New Roman" w:hAnsi="Times New Roman"/>
                <w:b w:val="0"/>
                <w:i w:val="0"/>
                <w:sz w:val="15"/>
              </w:rPr>
              <w:t>12,009,075</w:t>
            </w:r>
          </w:p>
        </w:tc>
        <w:tc>
          <w:tcPr>
            <w:tcW w:type="dxa" w:w="1728"/>
          </w:tcPr>
          <w:p>
            <w:pPr>
              <w:spacing w:before="20" w:after="20" w:line="240" w:lineRule="auto"/>
              <w:jc w:val="right"/>
            </w:pPr>
            <w:r/>
            <w:r>
              <w:rPr>
                <w:rFonts w:ascii="Times New Roman" w:hAnsi="Times New Roman"/>
                <w:b w:val="0"/>
                <w:i w:val="0"/>
                <w:sz w:val="15"/>
              </w:rPr>
              <w:t>2,850,000</w:t>
            </w:r>
          </w:p>
        </w:tc>
      </w:tr>
      <w:tr>
        <w:tc>
          <w:tcPr>
            <w:tcW w:type="dxa" w:w="1008"/>
          </w:tcPr>
          <w:p>
            <w:pPr>
              <w:spacing w:before="20" w:after="20" w:line="240" w:lineRule="auto"/>
            </w:pPr>
            <w:r/>
            <w:r>
              <w:rPr>
                <w:rFonts w:ascii="Times New Roman" w:hAnsi="Times New Roman"/>
                <w:b w:val="0"/>
                <w:i w:val="0"/>
                <w:sz w:val="15"/>
              </w:rPr>
              <w:t>46</w:t>
            </w:r>
          </w:p>
        </w:tc>
        <w:tc>
          <w:tcPr>
            <w:tcW w:type="dxa" w:w="1800"/>
          </w:tcPr>
          <w:p>
            <w:pPr>
              <w:spacing w:before="20" w:after="20" w:line="240" w:lineRule="auto"/>
              <w:jc w:val="right"/>
            </w:pPr>
            <w:r/>
            <w:r>
              <w:rPr>
                <w:rFonts w:ascii="Times New Roman" w:hAnsi="Times New Roman"/>
                <w:b w:val="0"/>
                <w:i w:val="0"/>
                <w:sz w:val="15"/>
              </w:rPr>
              <w:t>8,658,024</w:t>
            </w:r>
          </w:p>
        </w:tc>
        <w:tc>
          <w:tcPr>
            <w:tcW w:type="dxa" w:w="1512"/>
          </w:tcPr>
          <w:p>
            <w:pPr>
              <w:spacing w:before="20" w:after="20" w:line="240" w:lineRule="auto"/>
              <w:jc w:val="right"/>
            </w:pPr>
            <w:r/>
            <w:r>
              <w:rPr>
                <w:rFonts w:ascii="Times New Roman" w:hAnsi="Times New Roman"/>
                <w:b w:val="0"/>
                <w:i w:val="0"/>
                <w:sz w:val="15"/>
              </w:rPr>
              <w:t>28,500,000</w:t>
            </w:r>
          </w:p>
        </w:tc>
        <w:tc>
          <w:tcPr>
            <w:tcW w:type="dxa" w:w="1584"/>
          </w:tcPr>
          <w:p>
            <w:pPr>
              <w:spacing w:before="20" w:after="20" w:line="240" w:lineRule="auto"/>
              <w:jc w:val="right"/>
            </w:pPr>
            <w:r/>
            <w:r>
              <w:rPr>
                <w:rFonts w:ascii="Times New Roman" w:hAnsi="Times New Roman"/>
                <w:b w:val="0"/>
                <w:i w:val="0"/>
                <w:sz w:val="15"/>
              </w:rPr>
              <w:t>3.29×</w:t>
            </w:r>
          </w:p>
        </w:tc>
        <w:tc>
          <w:tcPr>
            <w:tcW w:type="dxa" w:w="1728"/>
          </w:tcPr>
          <w:p>
            <w:pPr>
              <w:spacing w:before="20" w:after="20" w:line="240" w:lineRule="auto"/>
              <w:jc w:val="right"/>
            </w:pPr>
            <w:r/>
            <w:r>
              <w:rPr>
                <w:rFonts w:ascii="Times New Roman" w:hAnsi="Times New Roman"/>
                <w:b w:val="0"/>
                <w:i w:val="0"/>
                <w:sz w:val="15"/>
              </w:rPr>
              <w:t>9,381,471</w:t>
            </w:r>
          </w:p>
        </w:tc>
        <w:tc>
          <w:tcPr>
            <w:tcW w:type="dxa" w:w="1728"/>
          </w:tcPr>
          <w:p>
            <w:pPr>
              <w:spacing w:before="20" w:after="20" w:line="240" w:lineRule="auto"/>
              <w:jc w:val="right"/>
            </w:pPr>
            <w:r/>
            <w:r>
              <w:rPr>
                <w:rFonts w:ascii="Times New Roman" w:hAnsi="Times New Roman"/>
                <w:b w:val="0"/>
                <w:i w:val="0"/>
                <w:sz w:val="15"/>
              </w:rPr>
              <w:t>2,850,000</w:t>
            </w:r>
          </w:p>
        </w:tc>
      </w:tr>
      <w:tr>
        <w:tc>
          <w:tcPr>
            <w:tcW w:type="dxa" w:w="1008"/>
          </w:tcPr>
          <w:p>
            <w:pPr>
              <w:spacing w:before="20" w:after="20" w:line="240" w:lineRule="auto"/>
            </w:pPr>
            <w:r/>
            <w:r>
              <w:rPr>
                <w:rFonts w:ascii="Times New Roman" w:hAnsi="Times New Roman"/>
                <w:b w:val="0"/>
                <w:i w:val="0"/>
                <w:sz w:val="15"/>
              </w:rPr>
              <w:t>56</w:t>
            </w:r>
          </w:p>
        </w:tc>
        <w:tc>
          <w:tcPr>
            <w:tcW w:type="dxa" w:w="1800"/>
          </w:tcPr>
          <w:p>
            <w:pPr>
              <w:spacing w:before="20" w:after="20" w:line="240" w:lineRule="auto"/>
              <w:jc w:val="right"/>
            </w:pPr>
            <w:r/>
            <w:r>
              <w:rPr>
                <w:rFonts w:ascii="Times New Roman" w:hAnsi="Times New Roman"/>
                <w:b w:val="0"/>
                <w:i w:val="0"/>
                <w:sz w:val="15"/>
              </w:rPr>
              <w:t>11,083,003</w:t>
            </w:r>
          </w:p>
        </w:tc>
        <w:tc>
          <w:tcPr>
            <w:tcW w:type="dxa" w:w="1512"/>
          </w:tcPr>
          <w:p>
            <w:pPr>
              <w:spacing w:before="20" w:after="20" w:line="240" w:lineRule="auto"/>
              <w:jc w:val="right"/>
            </w:pPr>
            <w:r/>
            <w:r>
              <w:rPr>
                <w:rFonts w:ascii="Times New Roman" w:hAnsi="Times New Roman"/>
                <w:b w:val="0"/>
                <w:i w:val="0"/>
                <w:sz w:val="15"/>
              </w:rPr>
              <w:t>28,500,000</w:t>
            </w:r>
          </w:p>
        </w:tc>
        <w:tc>
          <w:tcPr>
            <w:tcW w:type="dxa" w:w="1584"/>
          </w:tcPr>
          <w:p>
            <w:pPr>
              <w:spacing w:before="20" w:after="20" w:line="240" w:lineRule="auto"/>
              <w:jc w:val="right"/>
            </w:pPr>
            <w:r/>
            <w:r>
              <w:rPr>
                <w:rFonts w:ascii="Times New Roman" w:hAnsi="Times New Roman"/>
                <w:b w:val="0"/>
                <w:i w:val="0"/>
                <w:sz w:val="15"/>
              </w:rPr>
              <w:t>2.57×</w:t>
            </w:r>
          </w:p>
        </w:tc>
        <w:tc>
          <w:tcPr>
            <w:tcW w:type="dxa" w:w="1728"/>
          </w:tcPr>
          <w:p>
            <w:pPr>
              <w:spacing w:before="20" w:after="20" w:line="240" w:lineRule="auto"/>
              <w:jc w:val="right"/>
            </w:pPr>
            <w:r/>
            <w:r>
              <w:rPr>
                <w:rFonts w:ascii="Times New Roman" w:hAnsi="Times New Roman"/>
                <w:b w:val="0"/>
                <w:i w:val="0"/>
                <w:sz w:val="15"/>
              </w:rPr>
              <w:t>7,328,790</w:t>
            </w:r>
          </w:p>
        </w:tc>
        <w:tc>
          <w:tcPr>
            <w:tcW w:type="dxa" w:w="1728"/>
          </w:tcPr>
          <w:p>
            <w:pPr>
              <w:spacing w:before="20" w:after="20" w:line="240" w:lineRule="auto"/>
              <w:jc w:val="right"/>
            </w:pPr>
            <w:r/>
            <w:r>
              <w:rPr>
                <w:rFonts w:ascii="Times New Roman" w:hAnsi="Times New Roman"/>
                <w:b w:val="0"/>
                <w:i w:val="0"/>
                <w:sz w:val="15"/>
              </w:rPr>
              <w:t>2,850,000</w:t>
            </w:r>
          </w:p>
        </w:tc>
      </w:tr>
      <w:tr>
        <w:tc>
          <w:tcPr>
            <w:tcW w:type="dxa" w:w="1008"/>
          </w:tcPr>
          <w:p>
            <w:pPr>
              <w:spacing w:before="20" w:after="20" w:line="240" w:lineRule="auto"/>
            </w:pPr>
            <w:r/>
            <w:r>
              <w:rPr>
                <w:rFonts w:ascii="Times New Roman" w:hAnsi="Times New Roman"/>
                <w:b w:val="0"/>
                <w:i w:val="0"/>
                <w:sz w:val="15"/>
              </w:rPr>
              <w:t>66</w:t>
            </w:r>
          </w:p>
        </w:tc>
        <w:tc>
          <w:tcPr>
            <w:tcW w:type="dxa" w:w="1800"/>
          </w:tcPr>
          <w:p>
            <w:pPr>
              <w:spacing w:before="20" w:after="20" w:line="240" w:lineRule="auto"/>
              <w:jc w:val="right"/>
            </w:pPr>
            <w:r/>
            <w:r>
              <w:rPr>
                <w:rFonts w:ascii="Times New Roman" w:hAnsi="Times New Roman"/>
                <w:b w:val="0"/>
                <w:i w:val="0"/>
                <w:sz w:val="15"/>
              </w:rPr>
              <w:t>14,187,181</w:t>
            </w:r>
          </w:p>
        </w:tc>
        <w:tc>
          <w:tcPr>
            <w:tcW w:type="dxa" w:w="1512"/>
          </w:tcPr>
          <w:p>
            <w:pPr>
              <w:spacing w:before="20" w:after="20" w:line="240" w:lineRule="auto"/>
              <w:jc w:val="right"/>
            </w:pPr>
            <w:r/>
            <w:r>
              <w:rPr>
                <w:rFonts w:ascii="Times New Roman" w:hAnsi="Times New Roman"/>
                <w:b w:val="0"/>
                <w:i w:val="0"/>
                <w:sz w:val="15"/>
              </w:rPr>
              <w:t>28,500,000</w:t>
            </w:r>
          </w:p>
        </w:tc>
        <w:tc>
          <w:tcPr>
            <w:tcW w:type="dxa" w:w="1584"/>
          </w:tcPr>
          <w:p>
            <w:pPr>
              <w:spacing w:before="20" w:after="20" w:line="240" w:lineRule="auto"/>
              <w:jc w:val="right"/>
            </w:pPr>
            <w:r/>
            <w:r>
              <w:rPr>
                <w:rFonts w:ascii="Times New Roman" w:hAnsi="Times New Roman"/>
                <w:b w:val="0"/>
                <w:i w:val="0"/>
                <w:sz w:val="15"/>
              </w:rPr>
              <w:t>2.01×</w:t>
            </w:r>
          </w:p>
        </w:tc>
        <w:tc>
          <w:tcPr>
            <w:tcW w:type="dxa" w:w="1728"/>
          </w:tcPr>
          <w:p>
            <w:pPr>
              <w:spacing w:before="20" w:after="20" w:line="240" w:lineRule="auto"/>
              <w:jc w:val="right"/>
            </w:pPr>
            <w:r/>
            <w:r>
              <w:rPr>
                <w:rFonts w:ascii="Times New Roman" w:hAnsi="Times New Roman"/>
                <w:b w:val="0"/>
                <w:i w:val="0"/>
                <w:sz w:val="15"/>
              </w:rPr>
              <w:t>5,725,239</w:t>
            </w:r>
          </w:p>
        </w:tc>
        <w:tc>
          <w:tcPr>
            <w:tcW w:type="dxa" w:w="1728"/>
          </w:tcPr>
          <w:p>
            <w:pPr>
              <w:spacing w:before="20" w:after="20" w:line="240" w:lineRule="auto"/>
              <w:jc w:val="right"/>
            </w:pPr>
            <w:r/>
            <w:r>
              <w:rPr>
                <w:rFonts w:ascii="Times New Roman" w:hAnsi="Times New Roman"/>
                <w:b w:val="0"/>
                <w:i w:val="0"/>
                <w:sz w:val="15"/>
              </w:rPr>
              <w:t>2,850,000</w:t>
            </w:r>
          </w:p>
        </w:tc>
      </w:tr>
      <w:tr>
        <w:tc>
          <w:tcPr>
            <w:tcW w:type="dxa" w:w="1008"/>
          </w:tcPr>
          <w:p>
            <w:pPr>
              <w:spacing w:before="20" w:after="20" w:line="240" w:lineRule="auto"/>
            </w:pPr>
            <w:r/>
            <w:r>
              <w:rPr>
                <w:rFonts w:ascii="Times New Roman" w:hAnsi="Times New Roman"/>
                <w:b w:val="0"/>
                <w:i w:val="0"/>
                <w:sz w:val="15"/>
              </w:rPr>
              <w:t>76</w:t>
            </w:r>
          </w:p>
        </w:tc>
        <w:tc>
          <w:tcPr>
            <w:tcW w:type="dxa" w:w="1800"/>
          </w:tcPr>
          <w:p>
            <w:pPr>
              <w:spacing w:before="20" w:after="20" w:line="240" w:lineRule="auto"/>
              <w:jc w:val="right"/>
            </w:pPr>
            <w:r/>
            <w:r>
              <w:rPr>
                <w:rFonts w:ascii="Times New Roman" w:hAnsi="Times New Roman"/>
                <w:b w:val="0"/>
                <w:i w:val="0"/>
                <w:sz w:val="15"/>
              </w:rPr>
              <w:t>18,160,791</w:t>
            </w:r>
          </w:p>
        </w:tc>
        <w:tc>
          <w:tcPr>
            <w:tcW w:type="dxa" w:w="1512"/>
          </w:tcPr>
          <w:p>
            <w:pPr>
              <w:spacing w:before="20" w:after="20" w:line="240" w:lineRule="auto"/>
              <w:jc w:val="right"/>
            </w:pPr>
            <w:r/>
            <w:r>
              <w:rPr>
                <w:rFonts w:ascii="Times New Roman" w:hAnsi="Times New Roman"/>
                <w:b w:val="0"/>
                <w:i w:val="0"/>
                <w:sz w:val="15"/>
              </w:rPr>
              <w:t>28,500,000</w:t>
            </w:r>
          </w:p>
        </w:tc>
        <w:tc>
          <w:tcPr>
            <w:tcW w:type="dxa" w:w="1584"/>
          </w:tcPr>
          <w:p>
            <w:pPr>
              <w:spacing w:before="20" w:after="20" w:line="240" w:lineRule="auto"/>
              <w:jc w:val="right"/>
            </w:pPr>
            <w:r/>
            <w:r>
              <w:rPr>
                <w:rFonts w:ascii="Times New Roman" w:hAnsi="Times New Roman"/>
                <w:b w:val="0"/>
                <w:i w:val="0"/>
                <w:sz w:val="15"/>
              </w:rPr>
              <w:t>1.57×</w:t>
            </w:r>
          </w:p>
        </w:tc>
        <w:tc>
          <w:tcPr>
            <w:tcW w:type="dxa" w:w="1728"/>
          </w:tcPr>
          <w:p>
            <w:pPr>
              <w:spacing w:before="20" w:after="20" w:line="240" w:lineRule="auto"/>
              <w:jc w:val="right"/>
            </w:pPr>
            <w:r/>
            <w:r>
              <w:rPr>
                <w:rFonts w:ascii="Times New Roman" w:hAnsi="Times New Roman"/>
                <w:b w:val="0"/>
                <w:i w:val="0"/>
                <w:sz w:val="15"/>
              </w:rPr>
              <w:t>4,472,547</w:t>
            </w:r>
          </w:p>
        </w:tc>
        <w:tc>
          <w:tcPr>
            <w:tcW w:type="dxa" w:w="1728"/>
          </w:tcPr>
          <w:p>
            <w:pPr>
              <w:spacing w:before="20" w:after="20" w:line="240" w:lineRule="auto"/>
              <w:jc w:val="right"/>
            </w:pPr>
            <w:r/>
            <w:r>
              <w:rPr>
                <w:rFonts w:ascii="Times New Roman" w:hAnsi="Times New Roman"/>
                <w:b w:val="0"/>
                <w:i w:val="0"/>
                <w:sz w:val="15"/>
              </w:rPr>
              <w:t>2,850,000</w:t>
            </w:r>
          </w:p>
        </w:tc>
      </w:tr>
      <w:tr>
        <w:tc>
          <w:tcPr>
            <w:tcW w:type="dxa" w:w="1008"/>
          </w:tcPr>
          <w:p>
            <w:pPr>
              <w:spacing w:before="20" w:after="20" w:line="240" w:lineRule="auto"/>
            </w:pPr>
            <w:r/>
            <w:r>
              <w:rPr>
                <w:rFonts w:ascii="Times New Roman" w:hAnsi="Times New Roman"/>
                <w:b w:val="0"/>
                <w:i w:val="0"/>
                <w:sz w:val="15"/>
              </w:rPr>
              <w:t>86</w:t>
            </w:r>
          </w:p>
        </w:tc>
        <w:tc>
          <w:tcPr>
            <w:tcW w:type="dxa" w:w="1800"/>
          </w:tcPr>
          <w:p>
            <w:pPr>
              <w:spacing w:before="20" w:after="20" w:line="240" w:lineRule="auto"/>
              <w:jc w:val="right"/>
            </w:pPr>
            <w:r/>
            <w:r>
              <w:rPr>
                <w:rFonts w:ascii="Times New Roman" w:hAnsi="Times New Roman"/>
                <w:b w:val="0"/>
                <w:i w:val="0"/>
                <w:sz w:val="15"/>
              </w:rPr>
              <w:t>23,247,348</w:t>
            </w:r>
          </w:p>
        </w:tc>
        <w:tc>
          <w:tcPr>
            <w:tcW w:type="dxa" w:w="1512"/>
          </w:tcPr>
          <w:p>
            <w:pPr>
              <w:spacing w:before="20" w:after="20" w:line="240" w:lineRule="auto"/>
              <w:jc w:val="right"/>
            </w:pPr>
            <w:r/>
            <w:r>
              <w:rPr>
                <w:rFonts w:ascii="Times New Roman" w:hAnsi="Times New Roman"/>
                <w:b w:val="0"/>
                <w:i w:val="0"/>
                <w:sz w:val="15"/>
              </w:rPr>
              <w:t>28,500,000</w:t>
            </w:r>
          </w:p>
        </w:tc>
        <w:tc>
          <w:tcPr>
            <w:tcW w:type="dxa" w:w="1584"/>
          </w:tcPr>
          <w:p>
            <w:pPr>
              <w:spacing w:before="20" w:after="20" w:line="240" w:lineRule="auto"/>
              <w:jc w:val="right"/>
            </w:pPr>
            <w:r/>
            <w:r>
              <w:rPr>
                <w:rFonts w:ascii="Times New Roman" w:hAnsi="Times New Roman"/>
                <w:b w:val="0"/>
                <w:i w:val="0"/>
                <w:sz w:val="15"/>
              </w:rPr>
              <w:t>1.23×</w:t>
            </w:r>
          </w:p>
        </w:tc>
        <w:tc>
          <w:tcPr>
            <w:tcW w:type="dxa" w:w="1728"/>
          </w:tcPr>
          <w:p>
            <w:pPr>
              <w:spacing w:before="20" w:after="20" w:line="240" w:lineRule="auto"/>
              <w:jc w:val="right"/>
            </w:pPr>
            <w:r/>
            <w:r>
              <w:rPr>
                <w:rFonts w:ascii="Times New Roman" w:hAnsi="Times New Roman"/>
                <w:b w:val="0"/>
                <w:i w:val="0"/>
                <w:sz w:val="15"/>
              </w:rPr>
              <w:t>3,493,947</w:t>
            </w:r>
          </w:p>
        </w:tc>
        <w:tc>
          <w:tcPr>
            <w:tcW w:type="dxa" w:w="1728"/>
          </w:tcPr>
          <w:p>
            <w:pPr>
              <w:spacing w:before="20" w:after="20" w:line="240" w:lineRule="auto"/>
              <w:jc w:val="right"/>
            </w:pPr>
            <w:r/>
            <w:r>
              <w:rPr>
                <w:rFonts w:ascii="Times New Roman" w:hAnsi="Times New Roman"/>
                <w:b w:val="0"/>
                <w:i w:val="0"/>
                <w:sz w:val="15"/>
              </w:rPr>
              <w:t>2,850,000</w:t>
            </w:r>
          </w:p>
        </w:tc>
      </w:tr>
      <w:tr>
        <w:tc>
          <w:tcPr>
            <w:tcW w:type="dxa" w:w="1008"/>
          </w:tcPr>
          <w:p>
            <w:pPr>
              <w:spacing w:before="20" w:after="20" w:line="240" w:lineRule="auto"/>
            </w:pPr>
            <w:r/>
            <w:r>
              <w:rPr>
                <w:rFonts w:ascii="Times New Roman" w:hAnsi="Times New Roman"/>
                <w:b w:val="0"/>
                <w:i w:val="0"/>
                <w:sz w:val="15"/>
              </w:rPr>
              <w:t>96</w:t>
            </w:r>
          </w:p>
        </w:tc>
        <w:tc>
          <w:tcPr>
            <w:tcW w:type="dxa" w:w="1800"/>
          </w:tcPr>
          <w:p>
            <w:pPr>
              <w:spacing w:before="20" w:after="20" w:line="240" w:lineRule="auto"/>
              <w:jc w:val="right"/>
            </w:pPr>
            <w:r/>
            <w:r>
              <w:rPr>
                <w:rFonts w:ascii="Times New Roman" w:hAnsi="Times New Roman"/>
                <w:b w:val="0"/>
                <w:i w:val="0"/>
                <w:sz w:val="15"/>
              </w:rPr>
              <w:t>29,758,571</w:t>
            </w:r>
          </w:p>
        </w:tc>
        <w:tc>
          <w:tcPr>
            <w:tcW w:type="dxa" w:w="1512"/>
          </w:tcPr>
          <w:p>
            <w:pPr>
              <w:spacing w:before="20" w:after="20" w:line="240" w:lineRule="auto"/>
              <w:jc w:val="right"/>
            </w:pPr>
            <w:r/>
            <w:r>
              <w:rPr>
                <w:rFonts w:ascii="Times New Roman" w:hAnsi="Times New Roman"/>
                <w:b w:val="0"/>
                <w:i w:val="0"/>
                <w:sz w:val="15"/>
              </w:rPr>
              <w:t>28,500,000</w:t>
            </w:r>
          </w:p>
        </w:tc>
        <w:tc>
          <w:tcPr>
            <w:tcW w:type="dxa" w:w="1584"/>
          </w:tcPr>
          <w:p>
            <w:pPr>
              <w:spacing w:before="20" w:after="20" w:line="240" w:lineRule="auto"/>
              <w:jc w:val="right"/>
            </w:pPr>
            <w:r/>
            <w:r>
              <w:rPr>
                <w:rFonts w:ascii="Times New Roman" w:hAnsi="Times New Roman"/>
                <w:b w:val="0"/>
                <w:i w:val="0"/>
                <w:sz w:val="15"/>
              </w:rPr>
              <w:t>0.96×</w:t>
            </w:r>
          </w:p>
        </w:tc>
        <w:tc>
          <w:tcPr>
            <w:tcW w:type="dxa" w:w="1728"/>
          </w:tcPr>
          <w:p>
            <w:pPr>
              <w:spacing w:before="20" w:after="20" w:line="240" w:lineRule="auto"/>
              <w:jc w:val="right"/>
            </w:pPr>
            <w:r/>
            <w:r>
              <w:rPr>
                <w:rFonts w:ascii="Times New Roman" w:hAnsi="Times New Roman"/>
                <w:b w:val="0"/>
                <w:i w:val="0"/>
                <w:sz w:val="15"/>
              </w:rPr>
              <w:t>2,729,466</w:t>
            </w:r>
          </w:p>
        </w:tc>
        <w:tc>
          <w:tcPr>
            <w:tcW w:type="dxa" w:w="1728"/>
          </w:tcPr>
          <w:p>
            <w:pPr>
              <w:spacing w:before="20" w:after="20" w:line="240" w:lineRule="auto"/>
              <w:jc w:val="right"/>
            </w:pPr>
            <w:r/>
            <w:r>
              <w:rPr>
                <w:rFonts w:ascii="Times New Roman" w:hAnsi="Times New Roman"/>
                <w:b w:val="0"/>
                <w:i w:val="0"/>
                <w:sz w:val="15"/>
              </w:rPr>
              <w:t>2,850,000</w:t>
            </w:r>
          </w:p>
        </w:tc>
      </w:tr>
    </w:tbl>
    <w:p>
      <w:pPr>
        <w:spacing w:after="40" w:before="0"/>
      </w:pPr>
    </w:p>
    <w:p>
      <w:pPr>
        <w:spacing w:after="120"/>
        <w:ind w:left="0"/>
        <w:jc w:val="both"/>
      </w:pPr>
      <w:r>
        <w:rPr>
          <w:rFonts w:ascii="Times New Roman" w:hAnsi="Times New Roman"/>
          <w:b w:val="0"/>
          <w:i w:val="0"/>
          <w:sz w:val="19"/>
        </w:rPr>
        <w:t>Observation: the real value of the Breakpoint falls below the Year-1 Base Rent in nominal terms by Lease Year 86 and in real terms far earlier. A fixed breakpoint in a 99-year lease is a transfer of value, not a sharing of upside.</w:t>
      </w:r>
    </w:p>
    <w:p>
      <w:pPr>
        <w:spacing w:after="120"/>
        <w:ind w:left="0"/>
        <w:jc w:val="both"/>
      </w:pPr>
      <w:r>
        <w:rPr>
          <w:rFonts w:ascii="Times New Roman" w:hAnsi="Times New Roman"/>
          <w:b/>
          <w:i w:val="0"/>
          <w:sz w:val="19"/>
        </w:rPr>
        <w:t>A2.2  Reset step sensitivity.</w:t>
      </w:r>
      <w:r>
        <w:rPr>
          <w:rFonts w:ascii="Times New Roman" w:hAnsi="Times New Roman"/>
          <w:b w:val="0"/>
          <w:i w:val="0"/>
          <w:sz w:val="19"/>
        </w:rPr>
        <w:t xml:space="preserve"> Base Rent under Section 4.4 is flat within each ten-year band and steps to the full cumulative index at each Rent Reset Date. The step at Lease Year 16, for a range of long-run CPI assumptions:</w:t>
      </w:r>
    </w:p>
    <w:tbl>
      <w:tblPr>
        <w:tblStyle w:val="TableGrid"/>
        <w:tblW w:type="auto" w:w="0"/>
        <w:jc w:val="center"/>
        <w:tblLayout w:type="fixed"/>
        <w:tblLook w:firstColumn="1" w:firstRow="1" w:lastColumn="0" w:lastRow="0" w:noHBand="0" w:noVBand="1" w:val="04A0"/>
        <w:tblLayout w:type="fixed"/>
        <w:tblW w:type="dxa" w:w="7488"/>
        <w:tblCellMar>
          <w:top w:w="20" w:type="dxa"/>
          <w:left w:w="60" w:type="dxa"/>
          <w:bottom w:w="20" w:type="dxa"/>
          <w:right w:w="60" w:type="dxa"/>
        </w:tblCellMar>
      </w:tblPr>
      <w:tblGrid>
        <w:gridCol w:w="1584"/>
        <w:gridCol w:w="2304"/>
        <w:gridCol w:w="2304"/>
        <w:gridCol w:w="1296"/>
      </w:tblGrid>
      <w:tr>
        <w:trPr>
          <w:tblHeader w:val="true"/>
        </w:trPr>
        <w:tc>
          <w:tcPr>
            <w:tcW w:type="dxa" w:w="1584"/>
            <w:shd w:val="clear" w:color="auto" w:fill="D9D9D9"/>
          </w:tcPr>
          <w:p>
            <w:pPr>
              <w:spacing w:before="20" w:after="20" w:line="240" w:lineRule="auto"/>
            </w:pPr>
            <w:r/>
            <w:r>
              <w:rPr>
                <w:rFonts w:ascii="Times New Roman" w:hAnsi="Times New Roman"/>
                <w:b/>
                <w:i w:val="0"/>
                <w:sz w:val="16"/>
              </w:rPr>
              <w:t>Long-run CPI</w:t>
            </w:r>
          </w:p>
        </w:tc>
        <w:tc>
          <w:tcPr>
            <w:tcW w:type="dxa" w:w="2304"/>
            <w:shd w:val="clear" w:color="auto" w:fill="D9D9D9"/>
          </w:tcPr>
          <w:p>
            <w:pPr>
              <w:spacing w:before="20" w:after="20" w:line="240" w:lineRule="auto"/>
            </w:pPr>
            <w:r/>
            <w:r>
              <w:rPr>
                <w:rFonts w:ascii="Times New Roman" w:hAnsi="Times New Roman"/>
                <w:b/>
                <w:i w:val="0"/>
                <w:sz w:val="16"/>
              </w:rPr>
              <w:t>Lease Yr 15 Base Rent</w:t>
            </w:r>
          </w:p>
        </w:tc>
        <w:tc>
          <w:tcPr>
            <w:tcW w:type="dxa" w:w="2304"/>
            <w:shd w:val="clear" w:color="auto" w:fill="D9D9D9"/>
          </w:tcPr>
          <w:p>
            <w:pPr>
              <w:spacing w:before="20" w:after="20" w:line="240" w:lineRule="auto"/>
            </w:pPr>
            <w:r/>
            <w:r>
              <w:rPr>
                <w:rFonts w:ascii="Times New Roman" w:hAnsi="Times New Roman"/>
                <w:b/>
                <w:i w:val="0"/>
                <w:sz w:val="16"/>
              </w:rPr>
              <w:t>Lease Yr 16 Base Rent</w:t>
            </w:r>
          </w:p>
        </w:tc>
        <w:tc>
          <w:tcPr>
            <w:tcW w:type="dxa" w:w="1296"/>
            <w:shd w:val="clear" w:color="auto" w:fill="D9D9D9"/>
          </w:tcPr>
          <w:p>
            <w:pPr>
              <w:spacing w:before="20" w:after="20" w:line="240" w:lineRule="auto"/>
            </w:pPr>
            <w:r/>
            <w:r>
              <w:rPr>
                <w:rFonts w:ascii="Times New Roman" w:hAnsi="Times New Roman"/>
                <w:b/>
                <w:i w:val="0"/>
                <w:sz w:val="16"/>
              </w:rPr>
              <w:t>Step</w:t>
            </w:r>
          </w:p>
        </w:tc>
      </w:tr>
      <w:tr>
        <w:tc>
          <w:tcPr>
            <w:tcW w:type="dxa" w:w="1584"/>
          </w:tcPr>
          <w:p>
            <w:pPr>
              <w:spacing w:before="20" w:after="20" w:line="240" w:lineRule="auto"/>
            </w:pPr>
            <w:r/>
            <w:r>
              <w:rPr>
                <w:rFonts w:ascii="Times New Roman" w:hAnsi="Times New Roman"/>
                <w:b w:val="0"/>
                <w:i w:val="0"/>
                <w:sz w:val="16"/>
              </w:rPr>
              <w:t>2.0%</w:t>
            </w:r>
          </w:p>
        </w:tc>
        <w:tc>
          <w:tcPr>
            <w:tcW w:type="dxa" w:w="2304"/>
          </w:tcPr>
          <w:p>
            <w:pPr>
              <w:spacing w:before="20" w:after="20" w:line="240" w:lineRule="auto"/>
              <w:jc w:val="right"/>
            </w:pPr>
            <w:r/>
            <w:r>
              <w:rPr>
                <w:rFonts w:ascii="Times New Roman" w:hAnsi="Times New Roman"/>
                <w:b w:val="0"/>
                <w:i w:val="0"/>
                <w:sz w:val="16"/>
              </w:rPr>
              <w:t>3,648,241</w:t>
            </w:r>
          </w:p>
        </w:tc>
        <w:tc>
          <w:tcPr>
            <w:tcW w:type="dxa" w:w="2304"/>
          </w:tcPr>
          <w:p>
            <w:pPr>
              <w:spacing w:before="20" w:after="20" w:line="240" w:lineRule="auto"/>
              <w:jc w:val="right"/>
            </w:pPr>
            <w:r/>
            <w:r>
              <w:rPr>
                <w:rFonts w:ascii="Times New Roman" w:hAnsi="Times New Roman"/>
                <w:b w:val="0"/>
                <w:i w:val="0"/>
                <w:sz w:val="16"/>
              </w:rPr>
              <w:t>3,835,725</w:t>
            </w:r>
          </w:p>
        </w:tc>
        <w:tc>
          <w:tcPr>
            <w:tcW w:type="dxa" w:w="1296"/>
          </w:tcPr>
          <w:p>
            <w:pPr>
              <w:spacing w:before="20" w:after="20" w:line="240" w:lineRule="auto"/>
              <w:jc w:val="right"/>
            </w:pPr>
            <w:r/>
            <w:r>
              <w:rPr>
                <w:rFonts w:ascii="Times New Roman" w:hAnsi="Times New Roman"/>
                <w:b w:val="0"/>
                <w:i w:val="0"/>
                <w:sz w:val="16"/>
              </w:rPr>
              <w:t>+5.1%</w:t>
            </w:r>
          </w:p>
        </w:tc>
      </w:tr>
      <w:tr>
        <w:tc>
          <w:tcPr>
            <w:tcW w:type="dxa" w:w="1584"/>
          </w:tcPr>
          <w:p>
            <w:pPr>
              <w:spacing w:before="20" w:after="20" w:line="240" w:lineRule="auto"/>
            </w:pPr>
            <w:r/>
            <w:r>
              <w:rPr>
                <w:rFonts w:ascii="Times New Roman" w:hAnsi="Times New Roman"/>
                <w:b w:val="0"/>
                <w:i w:val="0"/>
                <w:sz w:val="16"/>
              </w:rPr>
              <w:t>2.5%</w:t>
            </w:r>
          </w:p>
        </w:tc>
        <w:tc>
          <w:tcPr>
            <w:tcW w:type="dxa" w:w="2304"/>
          </w:tcPr>
          <w:p>
            <w:pPr>
              <w:spacing w:before="20" w:after="20" w:line="240" w:lineRule="auto"/>
              <w:jc w:val="right"/>
            </w:pPr>
            <w:r/>
            <w:r>
              <w:rPr>
                <w:rFonts w:ascii="Times New Roman" w:hAnsi="Times New Roman"/>
                <w:b w:val="0"/>
                <w:i w:val="0"/>
                <w:sz w:val="16"/>
              </w:rPr>
              <w:t>3,648,241</w:t>
            </w:r>
          </w:p>
        </w:tc>
        <w:tc>
          <w:tcPr>
            <w:tcW w:type="dxa" w:w="2304"/>
          </w:tcPr>
          <w:p>
            <w:pPr>
              <w:spacing w:before="20" w:after="20" w:line="240" w:lineRule="auto"/>
              <w:jc w:val="right"/>
            </w:pPr>
            <w:r/>
            <w:r>
              <w:rPr>
                <w:rFonts w:ascii="Times New Roman" w:hAnsi="Times New Roman"/>
                <w:b w:val="0"/>
                <w:i w:val="0"/>
                <w:sz w:val="16"/>
              </w:rPr>
              <w:t>4,127,650</w:t>
            </w:r>
          </w:p>
        </w:tc>
        <w:tc>
          <w:tcPr>
            <w:tcW w:type="dxa" w:w="1296"/>
          </w:tcPr>
          <w:p>
            <w:pPr>
              <w:spacing w:before="20" w:after="20" w:line="240" w:lineRule="auto"/>
              <w:jc w:val="right"/>
            </w:pPr>
            <w:r/>
            <w:r>
              <w:rPr>
                <w:rFonts w:ascii="Times New Roman" w:hAnsi="Times New Roman"/>
                <w:b w:val="0"/>
                <w:i w:val="0"/>
                <w:sz w:val="16"/>
              </w:rPr>
              <w:t>+13.1%</w:t>
            </w:r>
          </w:p>
        </w:tc>
      </w:tr>
      <w:tr>
        <w:tc>
          <w:tcPr>
            <w:tcW w:type="dxa" w:w="1584"/>
          </w:tcPr>
          <w:p>
            <w:pPr>
              <w:spacing w:before="20" w:after="20" w:line="240" w:lineRule="auto"/>
            </w:pPr>
            <w:r/>
            <w:r>
              <w:rPr>
                <w:rFonts w:ascii="Times New Roman" w:hAnsi="Times New Roman"/>
                <w:b w:val="0"/>
                <w:i w:val="0"/>
                <w:sz w:val="16"/>
              </w:rPr>
              <w:t>3.0%</w:t>
            </w:r>
          </w:p>
        </w:tc>
        <w:tc>
          <w:tcPr>
            <w:tcW w:type="dxa" w:w="2304"/>
          </w:tcPr>
          <w:p>
            <w:pPr>
              <w:spacing w:before="20" w:after="20" w:line="240" w:lineRule="auto"/>
              <w:jc w:val="right"/>
            </w:pPr>
            <w:r/>
            <w:r>
              <w:rPr>
                <w:rFonts w:ascii="Times New Roman" w:hAnsi="Times New Roman"/>
                <w:b w:val="0"/>
                <w:i w:val="0"/>
                <w:sz w:val="16"/>
              </w:rPr>
              <w:t>3,648,241</w:t>
            </w:r>
          </w:p>
        </w:tc>
        <w:tc>
          <w:tcPr>
            <w:tcW w:type="dxa" w:w="2304"/>
          </w:tcPr>
          <w:p>
            <w:pPr>
              <w:spacing w:before="20" w:after="20" w:line="240" w:lineRule="auto"/>
              <w:jc w:val="right"/>
            </w:pPr>
            <w:r/>
            <w:r>
              <w:rPr>
                <w:rFonts w:ascii="Times New Roman" w:hAnsi="Times New Roman"/>
                <w:b w:val="0"/>
                <w:i w:val="0"/>
                <w:sz w:val="16"/>
              </w:rPr>
              <w:t>4,440,128</w:t>
            </w:r>
          </w:p>
        </w:tc>
        <w:tc>
          <w:tcPr>
            <w:tcW w:type="dxa" w:w="1296"/>
          </w:tcPr>
          <w:p>
            <w:pPr>
              <w:spacing w:before="20" w:after="20" w:line="240" w:lineRule="auto"/>
              <w:jc w:val="right"/>
            </w:pPr>
            <w:r/>
            <w:r>
              <w:rPr>
                <w:rFonts w:ascii="Times New Roman" w:hAnsi="Times New Roman"/>
                <w:b w:val="0"/>
                <w:i w:val="0"/>
                <w:sz w:val="16"/>
              </w:rPr>
              <w:t>+21.7%</w:t>
            </w:r>
          </w:p>
        </w:tc>
      </w:tr>
      <w:tr>
        <w:tc>
          <w:tcPr>
            <w:tcW w:type="dxa" w:w="1584"/>
          </w:tcPr>
          <w:p>
            <w:pPr>
              <w:spacing w:before="20" w:after="20" w:line="240" w:lineRule="auto"/>
            </w:pPr>
            <w:r/>
            <w:r>
              <w:rPr>
                <w:rFonts w:ascii="Times New Roman" w:hAnsi="Times New Roman"/>
                <w:b w:val="0"/>
                <w:i w:val="0"/>
                <w:sz w:val="16"/>
              </w:rPr>
              <w:t>3.5%</w:t>
            </w:r>
          </w:p>
        </w:tc>
        <w:tc>
          <w:tcPr>
            <w:tcW w:type="dxa" w:w="2304"/>
          </w:tcPr>
          <w:p>
            <w:pPr>
              <w:spacing w:before="20" w:after="20" w:line="240" w:lineRule="auto"/>
              <w:jc w:val="right"/>
            </w:pPr>
            <w:r/>
            <w:r>
              <w:rPr>
                <w:rFonts w:ascii="Times New Roman" w:hAnsi="Times New Roman"/>
                <w:b w:val="0"/>
                <w:i w:val="0"/>
                <w:sz w:val="16"/>
              </w:rPr>
              <w:t>3,648,241</w:t>
            </w:r>
          </w:p>
        </w:tc>
        <w:tc>
          <w:tcPr>
            <w:tcW w:type="dxa" w:w="2304"/>
          </w:tcPr>
          <w:p>
            <w:pPr>
              <w:spacing w:before="20" w:after="20" w:line="240" w:lineRule="auto"/>
              <w:jc w:val="right"/>
            </w:pPr>
            <w:r/>
            <w:r>
              <w:rPr>
                <w:rFonts w:ascii="Times New Roman" w:hAnsi="Times New Roman"/>
                <w:b w:val="0"/>
                <w:i w:val="0"/>
                <w:sz w:val="16"/>
              </w:rPr>
              <w:t>4,774,744</w:t>
            </w:r>
          </w:p>
        </w:tc>
        <w:tc>
          <w:tcPr>
            <w:tcW w:type="dxa" w:w="1296"/>
          </w:tcPr>
          <w:p>
            <w:pPr>
              <w:spacing w:before="20" w:after="20" w:line="240" w:lineRule="auto"/>
              <w:jc w:val="right"/>
            </w:pPr>
            <w:r/>
            <w:r>
              <w:rPr>
                <w:rFonts w:ascii="Times New Roman" w:hAnsi="Times New Roman"/>
                <w:b w:val="0"/>
                <w:i w:val="0"/>
                <w:sz w:val="16"/>
              </w:rPr>
              <w:t>+30.9%</w:t>
            </w:r>
          </w:p>
        </w:tc>
      </w:tr>
      <w:tr>
        <w:tc>
          <w:tcPr>
            <w:tcW w:type="dxa" w:w="1584"/>
          </w:tcPr>
          <w:p>
            <w:pPr>
              <w:spacing w:before="20" w:after="20" w:line="240" w:lineRule="auto"/>
            </w:pPr>
            <w:r/>
            <w:r>
              <w:rPr>
                <w:rFonts w:ascii="Times New Roman" w:hAnsi="Times New Roman"/>
                <w:b w:val="0"/>
                <w:i w:val="0"/>
                <w:sz w:val="16"/>
              </w:rPr>
              <w:t>4.5%</w:t>
            </w:r>
          </w:p>
        </w:tc>
        <w:tc>
          <w:tcPr>
            <w:tcW w:type="dxa" w:w="2304"/>
          </w:tcPr>
          <w:p>
            <w:pPr>
              <w:spacing w:before="20" w:after="20" w:line="240" w:lineRule="auto"/>
              <w:jc w:val="right"/>
            </w:pPr>
            <w:r/>
            <w:r>
              <w:rPr>
                <w:rFonts w:ascii="Times New Roman" w:hAnsi="Times New Roman"/>
                <w:b w:val="0"/>
                <w:i w:val="0"/>
                <w:sz w:val="16"/>
              </w:rPr>
              <w:t>3,648,241</w:t>
            </w:r>
          </w:p>
        </w:tc>
        <w:tc>
          <w:tcPr>
            <w:tcW w:type="dxa" w:w="2304"/>
          </w:tcPr>
          <w:p>
            <w:pPr>
              <w:spacing w:before="20" w:after="20" w:line="240" w:lineRule="auto"/>
              <w:jc w:val="right"/>
            </w:pPr>
            <w:r/>
            <w:r>
              <w:rPr>
                <w:rFonts w:ascii="Times New Roman" w:hAnsi="Times New Roman"/>
                <w:b w:val="0"/>
                <w:i w:val="0"/>
                <w:sz w:val="16"/>
              </w:rPr>
              <w:t>5,515,555</w:t>
            </w:r>
          </w:p>
        </w:tc>
        <w:tc>
          <w:tcPr>
            <w:tcW w:type="dxa" w:w="1296"/>
          </w:tcPr>
          <w:p>
            <w:pPr>
              <w:spacing w:before="20" w:after="20" w:line="240" w:lineRule="auto"/>
              <w:jc w:val="right"/>
            </w:pPr>
            <w:r/>
            <w:r>
              <w:rPr>
                <w:rFonts w:ascii="Times New Roman" w:hAnsi="Times New Roman"/>
                <w:b w:val="0"/>
                <w:i w:val="0"/>
                <w:sz w:val="16"/>
              </w:rPr>
              <w:t>+51.2%</w:t>
            </w:r>
          </w:p>
        </w:tc>
      </w:tr>
    </w:tbl>
    <w:p>
      <w:pPr>
        <w:spacing w:after="40" w:before="0"/>
      </w:pPr>
    </w:p>
    <w:p>
      <w:pPr>
        <w:spacing w:after="120"/>
        <w:ind w:left="0"/>
        <w:jc w:val="both"/>
      </w:pPr>
      <w:r>
        <w:rPr>
          <w:rFonts w:ascii="Times New Roman" w:hAnsi="Times New Roman"/>
          <w:b w:val="0"/>
          <w:i w:val="0"/>
          <w:sz w:val="19"/>
        </w:rPr>
        <w:t>After Lease Year 16, each subsequent reset produces a further step equal to ten years of index growth (28.0% at 2.5% CPI), because the formula recomputes from the original Base Rent rather than compounding the then-current rent.</w:t>
      </w:r>
    </w:p>
    <w:p>
      <w:pPr>
        <w:spacing w:after="120"/>
        <w:ind w:left="0"/>
        <w:jc w:val="both"/>
      </w:pPr>
      <w:r>
        <w:rPr>
          <w:rFonts w:ascii="Times New Roman" w:hAnsi="Times New Roman"/>
          <w:b/>
          <w:i w:val="0"/>
          <w:sz w:val="19"/>
        </w:rPr>
        <w:t>A2.3  Percentage Rent illustrations</w:t>
      </w:r>
      <w:r>
        <w:rPr>
          <w:rFonts w:ascii="Times New Roman" w:hAnsi="Times New Roman"/>
          <w:b w:val="0"/>
          <w:i w:val="0"/>
          <w:sz w:val="19"/>
        </w:rPr>
        <w:t xml:space="preserve"> (Breakpoint $28,500,000; rate 2.0%)</w:t>
      </w:r>
    </w:p>
    <w:tbl>
      <w:tblPr>
        <w:tblStyle w:val="TableGrid"/>
        <w:tblW w:type="auto" w:w="0"/>
        <w:jc w:val="center"/>
        <w:tblLayout w:type="fixed"/>
        <w:tblLook w:firstColumn="1" w:firstRow="1" w:lastColumn="0" w:lastRow="0" w:noHBand="0" w:noVBand="1" w:val="04A0"/>
        <w:tblLayout w:type="fixed"/>
        <w:tblW w:type="dxa" w:w="9360"/>
        <w:tblCellMar>
          <w:top w:w="20" w:type="dxa"/>
          <w:left w:w="60" w:type="dxa"/>
          <w:bottom w:w="20" w:type="dxa"/>
          <w:right w:w="60" w:type="dxa"/>
        </w:tblCellMar>
      </w:tblPr>
      <w:tblGrid>
        <w:gridCol w:w="1152"/>
        <w:gridCol w:w="1728"/>
        <w:gridCol w:w="1728"/>
        <w:gridCol w:w="1656"/>
        <w:gridCol w:w="1584"/>
        <w:gridCol w:w="1512"/>
      </w:tblGrid>
      <w:tr>
        <w:trPr>
          <w:tblHeader w:val="true"/>
        </w:trPr>
        <w:tc>
          <w:tcPr>
            <w:tcW w:type="dxa" w:w="1152"/>
            <w:shd w:val="clear" w:color="auto" w:fill="D9D9D9"/>
          </w:tcPr>
          <w:p>
            <w:pPr>
              <w:spacing w:before="20" w:after="20" w:line="240" w:lineRule="auto"/>
            </w:pPr>
            <w:r/>
            <w:r>
              <w:rPr>
                <w:rFonts w:ascii="Times New Roman" w:hAnsi="Times New Roman"/>
                <w:b/>
                <w:i w:val="0"/>
                <w:sz w:val="15"/>
              </w:rPr>
              <w:t>Lease Yr</w:t>
            </w:r>
          </w:p>
        </w:tc>
        <w:tc>
          <w:tcPr>
            <w:tcW w:type="dxa" w:w="1728"/>
            <w:shd w:val="clear" w:color="auto" w:fill="D9D9D9"/>
          </w:tcPr>
          <w:p>
            <w:pPr>
              <w:spacing w:before="20" w:after="20" w:line="240" w:lineRule="auto"/>
            </w:pPr>
            <w:r/>
            <w:r>
              <w:rPr>
                <w:rFonts w:ascii="Times New Roman" w:hAnsi="Times New Roman"/>
                <w:b/>
                <w:i w:val="0"/>
                <w:sz w:val="15"/>
              </w:rPr>
              <w:t>Gross Revenues</w:t>
            </w:r>
          </w:p>
        </w:tc>
        <w:tc>
          <w:tcPr>
            <w:tcW w:type="dxa" w:w="1728"/>
            <w:shd w:val="clear" w:color="auto" w:fill="D9D9D9"/>
          </w:tcPr>
          <w:p>
            <w:pPr>
              <w:spacing w:before="20" w:after="20" w:line="240" w:lineRule="auto"/>
            </w:pPr>
            <w:r/>
            <w:r>
              <w:rPr>
                <w:rFonts w:ascii="Times New Roman" w:hAnsi="Times New Roman"/>
                <w:b/>
                <w:i w:val="0"/>
                <w:sz w:val="15"/>
              </w:rPr>
              <w:t>Breakpoint</w:t>
            </w:r>
          </w:p>
        </w:tc>
        <w:tc>
          <w:tcPr>
            <w:tcW w:type="dxa" w:w="1656"/>
            <w:shd w:val="clear" w:color="auto" w:fill="D9D9D9"/>
          </w:tcPr>
          <w:p>
            <w:pPr>
              <w:spacing w:before="20" w:after="20" w:line="240" w:lineRule="auto"/>
            </w:pPr>
            <w:r/>
            <w:r>
              <w:rPr>
                <w:rFonts w:ascii="Times New Roman" w:hAnsi="Times New Roman"/>
                <w:b/>
                <w:i w:val="0"/>
                <w:sz w:val="15"/>
              </w:rPr>
              <w:t>Excess</w:t>
            </w:r>
          </w:p>
        </w:tc>
        <w:tc>
          <w:tcPr>
            <w:tcW w:type="dxa" w:w="1584"/>
            <w:shd w:val="clear" w:color="auto" w:fill="D9D9D9"/>
          </w:tcPr>
          <w:p>
            <w:pPr>
              <w:spacing w:before="20" w:after="20" w:line="240" w:lineRule="auto"/>
            </w:pPr>
            <w:r/>
            <w:r>
              <w:rPr>
                <w:rFonts w:ascii="Times New Roman" w:hAnsi="Times New Roman"/>
                <w:b/>
                <w:i w:val="0"/>
                <w:sz w:val="15"/>
              </w:rPr>
              <w:t>Percentage Rent</w:t>
            </w:r>
          </w:p>
        </w:tc>
        <w:tc>
          <w:tcPr>
            <w:tcW w:type="dxa" w:w="1512"/>
            <w:shd w:val="clear" w:color="auto" w:fill="D9D9D9"/>
          </w:tcPr>
          <w:p>
            <w:pPr>
              <w:spacing w:before="20" w:after="20" w:line="240" w:lineRule="auto"/>
            </w:pPr>
            <w:r/>
            <w:r>
              <w:rPr>
                <w:rFonts w:ascii="Times New Roman" w:hAnsi="Times New Roman"/>
                <w:b/>
                <w:i w:val="0"/>
                <w:sz w:val="15"/>
              </w:rPr>
              <w:t>% of Base Rent</w:t>
            </w:r>
          </w:p>
        </w:tc>
      </w:tr>
      <w:tr>
        <w:tc>
          <w:tcPr>
            <w:tcW w:type="dxa" w:w="1152"/>
          </w:tcPr>
          <w:p>
            <w:pPr>
              <w:spacing w:before="20" w:after="20" w:line="240" w:lineRule="auto"/>
            </w:pPr>
            <w:r/>
            <w:r>
              <w:rPr>
                <w:rFonts w:ascii="Times New Roman" w:hAnsi="Times New Roman"/>
                <w:b w:val="0"/>
                <w:i w:val="0"/>
                <w:sz w:val="15"/>
              </w:rPr>
              <w:t>6</w:t>
            </w:r>
          </w:p>
        </w:tc>
        <w:tc>
          <w:tcPr>
            <w:tcW w:type="dxa" w:w="1728"/>
          </w:tcPr>
          <w:p>
            <w:pPr>
              <w:spacing w:before="20" w:after="20" w:line="240" w:lineRule="auto"/>
              <w:jc w:val="right"/>
            </w:pPr>
            <w:r/>
            <w:r>
              <w:rPr>
                <w:rFonts w:ascii="Times New Roman" w:hAnsi="Times New Roman"/>
                <w:b w:val="0"/>
                <w:i w:val="0"/>
                <w:sz w:val="15"/>
              </w:rPr>
              <w:t>30,000,000</w:t>
            </w:r>
          </w:p>
        </w:tc>
        <w:tc>
          <w:tcPr>
            <w:tcW w:type="dxa" w:w="1728"/>
          </w:tcPr>
          <w:p>
            <w:pPr>
              <w:spacing w:before="20" w:after="20" w:line="240" w:lineRule="auto"/>
              <w:jc w:val="right"/>
            </w:pPr>
            <w:r/>
            <w:r>
              <w:rPr>
                <w:rFonts w:ascii="Times New Roman" w:hAnsi="Times New Roman"/>
                <w:b w:val="0"/>
                <w:i w:val="0"/>
                <w:sz w:val="15"/>
              </w:rPr>
              <w:t>28,500,000</w:t>
            </w:r>
          </w:p>
        </w:tc>
        <w:tc>
          <w:tcPr>
            <w:tcW w:type="dxa" w:w="1656"/>
          </w:tcPr>
          <w:p>
            <w:pPr>
              <w:spacing w:before="20" w:after="20" w:line="240" w:lineRule="auto"/>
              <w:jc w:val="right"/>
            </w:pPr>
            <w:r/>
            <w:r>
              <w:rPr>
                <w:rFonts w:ascii="Times New Roman" w:hAnsi="Times New Roman"/>
                <w:b w:val="0"/>
                <w:i w:val="0"/>
                <w:sz w:val="15"/>
              </w:rPr>
              <w:t>1,500,000</w:t>
            </w:r>
          </w:p>
        </w:tc>
        <w:tc>
          <w:tcPr>
            <w:tcW w:type="dxa" w:w="1584"/>
          </w:tcPr>
          <w:p>
            <w:pPr>
              <w:spacing w:before="20" w:after="20" w:line="240" w:lineRule="auto"/>
              <w:jc w:val="right"/>
            </w:pPr>
            <w:r/>
            <w:r>
              <w:rPr>
                <w:rFonts w:ascii="Times New Roman" w:hAnsi="Times New Roman"/>
                <w:b w:val="0"/>
                <w:i w:val="0"/>
                <w:sz w:val="15"/>
              </w:rPr>
              <w:t>30,000</w:t>
            </w:r>
          </w:p>
        </w:tc>
        <w:tc>
          <w:tcPr>
            <w:tcW w:type="dxa" w:w="1512"/>
          </w:tcPr>
          <w:p>
            <w:pPr>
              <w:spacing w:before="20" w:after="20" w:line="240" w:lineRule="auto"/>
              <w:jc w:val="right"/>
            </w:pPr>
            <w:r/>
            <w:r>
              <w:rPr>
                <w:rFonts w:ascii="Times New Roman" w:hAnsi="Times New Roman"/>
                <w:b w:val="0"/>
                <w:i w:val="0"/>
                <w:sz w:val="15"/>
              </w:rPr>
              <w:t>0.9%</w:t>
            </w:r>
          </w:p>
        </w:tc>
      </w:tr>
      <w:tr>
        <w:tc>
          <w:tcPr>
            <w:tcW w:type="dxa" w:w="1152"/>
          </w:tcPr>
          <w:p>
            <w:pPr>
              <w:spacing w:before="20" w:after="20" w:line="240" w:lineRule="auto"/>
            </w:pPr>
            <w:r/>
            <w:r>
              <w:rPr>
                <w:rFonts w:ascii="Times New Roman" w:hAnsi="Times New Roman"/>
                <w:b w:val="0"/>
                <w:i w:val="0"/>
                <w:sz w:val="15"/>
              </w:rPr>
              <w:t>6</w:t>
            </w:r>
          </w:p>
        </w:tc>
        <w:tc>
          <w:tcPr>
            <w:tcW w:type="dxa" w:w="1728"/>
          </w:tcPr>
          <w:p>
            <w:pPr>
              <w:spacing w:before="20" w:after="20" w:line="240" w:lineRule="auto"/>
              <w:jc w:val="right"/>
            </w:pPr>
            <w:r/>
            <w:r>
              <w:rPr>
                <w:rFonts w:ascii="Times New Roman" w:hAnsi="Times New Roman"/>
                <w:b w:val="0"/>
                <w:i w:val="0"/>
                <w:sz w:val="15"/>
              </w:rPr>
              <w:t>40,000,000</w:t>
            </w:r>
          </w:p>
        </w:tc>
        <w:tc>
          <w:tcPr>
            <w:tcW w:type="dxa" w:w="1728"/>
          </w:tcPr>
          <w:p>
            <w:pPr>
              <w:spacing w:before="20" w:after="20" w:line="240" w:lineRule="auto"/>
              <w:jc w:val="right"/>
            </w:pPr>
            <w:r/>
            <w:r>
              <w:rPr>
                <w:rFonts w:ascii="Times New Roman" w:hAnsi="Times New Roman"/>
                <w:b w:val="0"/>
                <w:i w:val="0"/>
                <w:sz w:val="15"/>
              </w:rPr>
              <w:t>28,500,000</w:t>
            </w:r>
          </w:p>
        </w:tc>
        <w:tc>
          <w:tcPr>
            <w:tcW w:type="dxa" w:w="1656"/>
          </w:tcPr>
          <w:p>
            <w:pPr>
              <w:spacing w:before="20" w:after="20" w:line="240" w:lineRule="auto"/>
              <w:jc w:val="right"/>
            </w:pPr>
            <w:r/>
            <w:r>
              <w:rPr>
                <w:rFonts w:ascii="Times New Roman" w:hAnsi="Times New Roman"/>
                <w:b w:val="0"/>
                <w:i w:val="0"/>
                <w:sz w:val="15"/>
              </w:rPr>
              <w:t>11,500,000</w:t>
            </w:r>
          </w:p>
        </w:tc>
        <w:tc>
          <w:tcPr>
            <w:tcW w:type="dxa" w:w="1584"/>
          </w:tcPr>
          <w:p>
            <w:pPr>
              <w:spacing w:before="20" w:after="20" w:line="240" w:lineRule="auto"/>
              <w:jc w:val="right"/>
            </w:pPr>
            <w:r/>
            <w:r>
              <w:rPr>
                <w:rFonts w:ascii="Times New Roman" w:hAnsi="Times New Roman"/>
                <w:b w:val="0"/>
                <w:i w:val="0"/>
                <w:sz w:val="15"/>
              </w:rPr>
              <w:t>230,000</w:t>
            </w:r>
          </w:p>
        </w:tc>
        <w:tc>
          <w:tcPr>
            <w:tcW w:type="dxa" w:w="1512"/>
          </w:tcPr>
          <w:p>
            <w:pPr>
              <w:spacing w:before="20" w:after="20" w:line="240" w:lineRule="auto"/>
              <w:jc w:val="right"/>
            </w:pPr>
            <w:r/>
            <w:r>
              <w:rPr>
                <w:rFonts w:ascii="Times New Roman" w:hAnsi="Times New Roman"/>
                <w:b w:val="0"/>
                <w:i w:val="0"/>
                <w:sz w:val="15"/>
              </w:rPr>
              <w:t>7.1%</w:t>
            </w:r>
          </w:p>
        </w:tc>
      </w:tr>
      <w:tr>
        <w:tc>
          <w:tcPr>
            <w:tcW w:type="dxa" w:w="1152"/>
          </w:tcPr>
          <w:p>
            <w:pPr>
              <w:spacing w:before="20" w:after="20" w:line="240" w:lineRule="auto"/>
            </w:pPr>
            <w:r/>
            <w:r>
              <w:rPr>
                <w:rFonts w:ascii="Times New Roman" w:hAnsi="Times New Roman"/>
                <w:b w:val="0"/>
                <w:i w:val="0"/>
                <w:sz w:val="15"/>
              </w:rPr>
              <w:t>6</w:t>
            </w:r>
          </w:p>
        </w:tc>
        <w:tc>
          <w:tcPr>
            <w:tcW w:type="dxa" w:w="1728"/>
          </w:tcPr>
          <w:p>
            <w:pPr>
              <w:spacing w:before="20" w:after="20" w:line="240" w:lineRule="auto"/>
              <w:jc w:val="right"/>
            </w:pPr>
            <w:r/>
            <w:r>
              <w:rPr>
                <w:rFonts w:ascii="Times New Roman" w:hAnsi="Times New Roman"/>
                <w:b w:val="0"/>
                <w:i w:val="0"/>
                <w:sz w:val="15"/>
              </w:rPr>
              <w:t>60,000,000</w:t>
            </w:r>
          </w:p>
        </w:tc>
        <w:tc>
          <w:tcPr>
            <w:tcW w:type="dxa" w:w="1728"/>
          </w:tcPr>
          <w:p>
            <w:pPr>
              <w:spacing w:before="20" w:after="20" w:line="240" w:lineRule="auto"/>
              <w:jc w:val="right"/>
            </w:pPr>
            <w:r/>
            <w:r>
              <w:rPr>
                <w:rFonts w:ascii="Times New Roman" w:hAnsi="Times New Roman"/>
                <w:b w:val="0"/>
                <w:i w:val="0"/>
                <w:sz w:val="15"/>
              </w:rPr>
              <w:t>28,500,000</w:t>
            </w:r>
          </w:p>
        </w:tc>
        <w:tc>
          <w:tcPr>
            <w:tcW w:type="dxa" w:w="1656"/>
          </w:tcPr>
          <w:p>
            <w:pPr>
              <w:spacing w:before="20" w:after="20" w:line="240" w:lineRule="auto"/>
              <w:jc w:val="right"/>
            </w:pPr>
            <w:r/>
            <w:r>
              <w:rPr>
                <w:rFonts w:ascii="Times New Roman" w:hAnsi="Times New Roman"/>
                <w:b w:val="0"/>
                <w:i w:val="0"/>
                <w:sz w:val="15"/>
              </w:rPr>
              <w:t>31,500,000</w:t>
            </w:r>
          </w:p>
        </w:tc>
        <w:tc>
          <w:tcPr>
            <w:tcW w:type="dxa" w:w="1584"/>
          </w:tcPr>
          <w:p>
            <w:pPr>
              <w:spacing w:before="20" w:after="20" w:line="240" w:lineRule="auto"/>
              <w:jc w:val="right"/>
            </w:pPr>
            <w:r/>
            <w:r>
              <w:rPr>
                <w:rFonts w:ascii="Times New Roman" w:hAnsi="Times New Roman"/>
                <w:b w:val="0"/>
                <w:i w:val="0"/>
                <w:sz w:val="15"/>
              </w:rPr>
              <w:t>630,000</w:t>
            </w:r>
          </w:p>
        </w:tc>
        <w:tc>
          <w:tcPr>
            <w:tcW w:type="dxa" w:w="1512"/>
          </w:tcPr>
          <w:p>
            <w:pPr>
              <w:spacing w:before="20" w:after="20" w:line="240" w:lineRule="auto"/>
              <w:jc w:val="right"/>
            </w:pPr>
            <w:r/>
            <w:r>
              <w:rPr>
                <w:rFonts w:ascii="Times New Roman" w:hAnsi="Times New Roman"/>
                <w:b w:val="0"/>
                <w:i w:val="0"/>
                <w:sz w:val="15"/>
              </w:rPr>
              <w:t>19.5%</w:t>
            </w:r>
          </w:p>
        </w:tc>
      </w:tr>
      <w:tr>
        <w:tc>
          <w:tcPr>
            <w:tcW w:type="dxa" w:w="1152"/>
          </w:tcPr>
          <w:p>
            <w:pPr>
              <w:spacing w:before="20" w:after="20" w:line="240" w:lineRule="auto"/>
            </w:pPr>
            <w:r/>
            <w:r>
              <w:rPr>
                <w:rFonts w:ascii="Times New Roman" w:hAnsi="Times New Roman"/>
                <w:b w:val="0"/>
                <w:i w:val="0"/>
                <w:sz w:val="15"/>
              </w:rPr>
              <w:t>6</w:t>
            </w:r>
          </w:p>
        </w:tc>
        <w:tc>
          <w:tcPr>
            <w:tcW w:type="dxa" w:w="1728"/>
          </w:tcPr>
          <w:p>
            <w:pPr>
              <w:spacing w:before="20" w:after="20" w:line="240" w:lineRule="auto"/>
              <w:jc w:val="right"/>
            </w:pPr>
            <w:r/>
            <w:r>
              <w:rPr>
                <w:rFonts w:ascii="Times New Roman" w:hAnsi="Times New Roman"/>
                <w:b w:val="0"/>
                <w:i w:val="0"/>
                <w:sz w:val="15"/>
              </w:rPr>
              <w:t>90,000,000</w:t>
            </w:r>
          </w:p>
        </w:tc>
        <w:tc>
          <w:tcPr>
            <w:tcW w:type="dxa" w:w="1728"/>
          </w:tcPr>
          <w:p>
            <w:pPr>
              <w:spacing w:before="20" w:after="20" w:line="240" w:lineRule="auto"/>
              <w:jc w:val="right"/>
            </w:pPr>
            <w:r/>
            <w:r>
              <w:rPr>
                <w:rFonts w:ascii="Times New Roman" w:hAnsi="Times New Roman"/>
                <w:b w:val="0"/>
                <w:i w:val="0"/>
                <w:sz w:val="15"/>
              </w:rPr>
              <w:t>28,500,000</w:t>
            </w:r>
          </w:p>
        </w:tc>
        <w:tc>
          <w:tcPr>
            <w:tcW w:type="dxa" w:w="1656"/>
          </w:tcPr>
          <w:p>
            <w:pPr>
              <w:spacing w:before="20" w:after="20" w:line="240" w:lineRule="auto"/>
              <w:jc w:val="right"/>
            </w:pPr>
            <w:r/>
            <w:r>
              <w:rPr>
                <w:rFonts w:ascii="Times New Roman" w:hAnsi="Times New Roman"/>
                <w:b w:val="0"/>
                <w:i w:val="0"/>
                <w:sz w:val="15"/>
              </w:rPr>
              <w:t>61,500,000</w:t>
            </w:r>
          </w:p>
        </w:tc>
        <w:tc>
          <w:tcPr>
            <w:tcW w:type="dxa" w:w="1584"/>
          </w:tcPr>
          <w:p>
            <w:pPr>
              <w:spacing w:before="20" w:after="20" w:line="240" w:lineRule="auto"/>
              <w:jc w:val="right"/>
            </w:pPr>
            <w:r/>
            <w:r>
              <w:rPr>
                <w:rFonts w:ascii="Times New Roman" w:hAnsi="Times New Roman"/>
                <w:b w:val="0"/>
                <w:i w:val="0"/>
                <w:sz w:val="15"/>
              </w:rPr>
              <w:t>1,230,000</w:t>
            </w:r>
          </w:p>
        </w:tc>
        <w:tc>
          <w:tcPr>
            <w:tcW w:type="dxa" w:w="1512"/>
          </w:tcPr>
          <w:p>
            <w:pPr>
              <w:spacing w:before="20" w:after="20" w:line="240" w:lineRule="auto"/>
              <w:jc w:val="right"/>
            </w:pPr>
            <w:r/>
            <w:r>
              <w:rPr>
                <w:rFonts w:ascii="Times New Roman" w:hAnsi="Times New Roman"/>
                <w:b w:val="0"/>
                <w:i w:val="0"/>
                <w:sz w:val="15"/>
              </w:rPr>
              <w:t>38.1%</w:t>
            </w:r>
          </w:p>
        </w:tc>
      </w:tr>
      <w:tr>
        <w:tc>
          <w:tcPr>
            <w:tcW w:type="dxa" w:w="1152"/>
          </w:tcPr>
          <w:p>
            <w:pPr>
              <w:spacing w:before="20" w:after="20" w:line="240" w:lineRule="auto"/>
            </w:pPr>
            <w:r/>
            <w:r>
              <w:rPr>
                <w:rFonts w:ascii="Times New Roman" w:hAnsi="Times New Roman"/>
                <w:b w:val="0"/>
                <w:i w:val="0"/>
                <w:sz w:val="15"/>
              </w:rPr>
              <w:t>96 (fixed BP)</w:t>
            </w:r>
          </w:p>
        </w:tc>
        <w:tc>
          <w:tcPr>
            <w:tcW w:type="dxa" w:w="1728"/>
          </w:tcPr>
          <w:p>
            <w:pPr>
              <w:spacing w:before="20" w:after="20" w:line="240" w:lineRule="auto"/>
              <w:jc w:val="right"/>
            </w:pPr>
            <w:r/>
            <w:r>
              <w:rPr>
                <w:rFonts w:ascii="Times New Roman" w:hAnsi="Times New Roman"/>
                <w:b w:val="0"/>
                <w:i w:val="0"/>
                <w:sz w:val="15"/>
              </w:rPr>
              <w:t>60,000,000</w:t>
            </w:r>
          </w:p>
        </w:tc>
        <w:tc>
          <w:tcPr>
            <w:tcW w:type="dxa" w:w="1728"/>
          </w:tcPr>
          <w:p>
            <w:pPr>
              <w:spacing w:before="20" w:after="20" w:line="240" w:lineRule="auto"/>
              <w:jc w:val="right"/>
            </w:pPr>
            <w:r/>
            <w:r>
              <w:rPr>
                <w:rFonts w:ascii="Times New Roman" w:hAnsi="Times New Roman"/>
                <w:b w:val="0"/>
                <w:i w:val="0"/>
                <w:sz w:val="15"/>
              </w:rPr>
              <w:t>28,500,000</w:t>
            </w:r>
          </w:p>
        </w:tc>
        <w:tc>
          <w:tcPr>
            <w:tcW w:type="dxa" w:w="1656"/>
          </w:tcPr>
          <w:p>
            <w:pPr>
              <w:spacing w:before="20" w:after="20" w:line="240" w:lineRule="auto"/>
              <w:jc w:val="right"/>
            </w:pPr>
            <w:r/>
            <w:r>
              <w:rPr>
                <w:rFonts w:ascii="Times New Roman" w:hAnsi="Times New Roman"/>
                <w:b w:val="0"/>
                <w:i w:val="0"/>
                <w:sz w:val="15"/>
              </w:rPr>
              <w:t>31,500,000</w:t>
            </w:r>
          </w:p>
        </w:tc>
        <w:tc>
          <w:tcPr>
            <w:tcW w:type="dxa" w:w="1584"/>
          </w:tcPr>
          <w:p>
            <w:pPr>
              <w:spacing w:before="20" w:after="20" w:line="240" w:lineRule="auto"/>
              <w:jc w:val="right"/>
            </w:pPr>
            <w:r/>
            <w:r>
              <w:rPr>
                <w:rFonts w:ascii="Times New Roman" w:hAnsi="Times New Roman"/>
                <w:b w:val="0"/>
                <w:i w:val="0"/>
                <w:sz w:val="15"/>
              </w:rPr>
              <w:t>630,000</w:t>
            </w:r>
          </w:p>
        </w:tc>
        <w:tc>
          <w:tcPr>
            <w:tcW w:type="dxa" w:w="1512"/>
          </w:tcPr>
          <w:p>
            <w:pPr>
              <w:spacing w:before="20" w:after="20" w:line="240" w:lineRule="auto"/>
              <w:jc w:val="right"/>
            </w:pPr>
            <w:r/>
            <w:r>
              <w:rPr>
                <w:rFonts w:ascii="Times New Roman" w:hAnsi="Times New Roman"/>
                <w:b w:val="0"/>
                <w:i w:val="0"/>
                <w:sz w:val="15"/>
              </w:rPr>
              <w:t>2.1%</w:t>
            </w:r>
          </w:p>
        </w:tc>
      </w:tr>
      <w:tr>
        <w:tc>
          <w:tcPr>
            <w:tcW w:type="dxa" w:w="1152"/>
          </w:tcPr>
          <w:p>
            <w:pPr>
              <w:spacing w:before="20" w:after="20" w:line="240" w:lineRule="auto"/>
            </w:pPr>
            <w:r/>
            <w:r>
              <w:rPr>
                <w:rFonts w:ascii="Times New Roman" w:hAnsi="Times New Roman"/>
                <w:b w:val="0"/>
                <w:i w:val="0"/>
                <w:sz w:val="15"/>
              </w:rPr>
              <w:t>96 (indexed BP)</w:t>
            </w:r>
          </w:p>
        </w:tc>
        <w:tc>
          <w:tcPr>
            <w:tcW w:type="dxa" w:w="1728"/>
          </w:tcPr>
          <w:p>
            <w:pPr>
              <w:spacing w:before="20" w:after="20" w:line="240" w:lineRule="auto"/>
              <w:jc w:val="right"/>
            </w:pPr>
            <w:r/>
            <w:r>
              <w:rPr>
                <w:rFonts w:ascii="Times New Roman" w:hAnsi="Times New Roman"/>
                <w:b w:val="0"/>
                <w:i w:val="0"/>
                <w:sz w:val="15"/>
              </w:rPr>
              <w:t>60,000,000</w:t>
            </w:r>
          </w:p>
        </w:tc>
        <w:tc>
          <w:tcPr>
            <w:tcW w:type="dxa" w:w="1728"/>
          </w:tcPr>
          <w:p>
            <w:pPr>
              <w:spacing w:before="20" w:after="20" w:line="240" w:lineRule="auto"/>
              <w:jc w:val="right"/>
            </w:pPr>
            <w:r/>
            <w:r>
              <w:rPr>
                <w:rFonts w:ascii="Times New Roman" w:hAnsi="Times New Roman"/>
                <w:b w:val="0"/>
                <w:i w:val="0"/>
                <w:sz w:val="15"/>
              </w:rPr>
              <w:t>262,986,000</w:t>
            </w:r>
          </w:p>
        </w:tc>
        <w:tc>
          <w:tcPr>
            <w:tcW w:type="dxa" w:w="1656"/>
          </w:tcPr>
          <w:p>
            <w:pPr>
              <w:spacing w:before="20" w:after="20" w:line="240" w:lineRule="auto"/>
              <w:jc w:val="right"/>
            </w:pPr>
            <w:r/>
            <w:r>
              <w:rPr>
                <w:rFonts w:ascii="Times New Roman" w:hAnsi="Times New Roman"/>
                <w:b w:val="0"/>
                <w:i w:val="0"/>
                <w:sz w:val="15"/>
              </w:rPr>
              <w:t>nil</w:t>
            </w:r>
          </w:p>
        </w:tc>
        <w:tc>
          <w:tcPr>
            <w:tcW w:type="dxa" w:w="1584"/>
          </w:tcPr>
          <w:p>
            <w:pPr>
              <w:spacing w:before="20" w:after="20" w:line="240" w:lineRule="auto"/>
              <w:jc w:val="right"/>
            </w:pPr>
            <w:r/>
            <w:r>
              <w:rPr>
                <w:rFonts w:ascii="Times New Roman" w:hAnsi="Times New Roman"/>
                <w:b w:val="0"/>
                <w:i w:val="0"/>
                <w:sz w:val="15"/>
              </w:rPr>
              <w:t>nil</w:t>
            </w:r>
          </w:p>
        </w:tc>
        <w:tc>
          <w:tcPr>
            <w:tcW w:type="dxa" w:w="1512"/>
          </w:tcPr>
          <w:p>
            <w:pPr>
              <w:spacing w:before="20" w:after="20" w:line="240" w:lineRule="auto"/>
              <w:jc w:val="right"/>
            </w:pPr>
            <w:r/>
            <w:r>
              <w:rPr>
                <w:rFonts w:ascii="Times New Roman" w:hAnsi="Times New Roman"/>
                <w:b w:val="0"/>
                <w:i w:val="0"/>
                <w:sz w:val="15"/>
              </w:rPr>
              <w:t>nil</w:t>
            </w:r>
          </w:p>
        </w:tc>
      </w:tr>
    </w:tbl>
    <w:p>
      <w:pPr>
        <w:spacing w:after="40" w:before="0"/>
      </w:pPr>
    </w:p>
    <w:p>
      <w:r>
        <w:br w:type="page"/>
      </w:r>
    </w:p>
    <w:p>
      <w:pPr>
        <w:spacing w:after="80"/>
        <w:jc w:val="center"/>
      </w:pPr>
      <w:r>
        <w:rPr>
          <w:rFonts w:ascii="Times New Roman" w:hAnsi="Times New Roman"/>
          <w:b/>
          <w:i w:val="0"/>
          <w:sz w:val="24"/>
        </w:rPr>
        <w:t>APPENDIX 3</w:t>
      </w:r>
    </w:p>
    <w:p>
      <w:pPr>
        <w:spacing w:after="200"/>
        <w:jc w:val="center"/>
      </w:pPr>
      <w:r>
        <w:rPr>
          <w:rFonts w:ascii="Times New Roman" w:hAnsi="Times New Roman"/>
          <w:b/>
          <w:i w:val="0"/>
          <w:sz w:val="22"/>
        </w:rPr>
        <w:t>RECOMPUTATION SCHEDULES</w:t>
      </w:r>
    </w:p>
    <w:p>
      <w:pPr>
        <w:spacing w:after="120"/>
        <w:ind w:left="0"/>
        <w:jc w:val="both"/>
      </w:pPr>
      <w:r>
        <w:rPr>
          <w:rFonts w:ascii="Times New Roman" w:hAnsi="Times New Roman"/>
          <w:b/>
          <w:i w:val="0"/>
          <w:sz w:val="19"/>
        </w:rPr>
        <w:t>A3.1  Base Rent and monthly installments</w:t>
      </w:r>
    </w:p>
    <w:tbl>
      <w:tblPr>
        <w:tblStyle w:val="TableGrid"/>
        <w:tblW w:type="auto" w:w="0"/>
        <w:jc w:val="center"/>
        <w:tblLayout w:type="fixed"/>
        <w:tblLook w:firstColumn="1" w:firstRow="1" w:lastColumn="0" w:lastRow="0" w:noHBand="0" w:noVBand="1" w:val="04A0"/>
        <w:tblLayout w:type="fixed"/>
        <w:tblW w:type="dxa" w:w="8640"/>
        <w:tblCellMar>
          <w:top w:w="20" w:type="dxa"/>
          <w:left w:w="60" w:type="dxa"/>
          <w:bottom w:w="20" w:type="dxa"/>
          <w:right w:w="60" w:type="dxa"/>
        </w:tblCellMar>
      </w:tblPr>
      <w:tblGrid>
        <w:gridCol w:w="1440"/>
        <w:gridCol w:w="2880"/>
        <w:gridCol w:w="2304"/>
        <w:gridCol w:w="2016"/>
      </w:tblGrid>
      <w:tr>
        <w:trPr>
          <w:tblHeader w:val="true"/>
        </w:trPr>
        <w:tc>
          <w:tcPr>
            <w:tcW w:type="dxa" w:w="1440"/>
            <w:shd w:val="clear" w:color="auto" w:fill="D9D9D9"/>
          </w:tcPr>
          <w:p>
            <w:pPr>
              <w:spacing w:before="20" w:after="20" w:line="240" w:lineRule="auto"/>
            </w:pPr>
            <w:r/>
            <w:r>
              <w:rPr>
                <w:rFonts w:ascii="Times New Roman" w:hAnsi="Times New Roman"/>
                <w:b/>
                <w:i w:val="0"/>
                <w:sz w:val="16"/>
              </w:rPr>
              <w:t>Lease Years</w:t>
            </w:r>
          </w:p>
        </w:tc>
        <w:tc>
          <w:tcPr>
            <w:tcW w:type="dxa" w:w="2880"/>
            <w:shd w:val="clear" w:color="auto" w:fill="D9D9D9"/>
          </w:tcPr>
          <w:p>
            <w:pPr>
              <w:spacing w:before="20" w:after="20" w:line="240" w:lineRule="auto"/>
            </w:pPr>
            <w:r/>
            <w:r>
              <w:rPr>
                <w:rFonts w:ascii="Times New Roman" w:hAnsi="Times New Roman"/>
                <w:b/>
                <w:i w:val="0"/>
                <w:sz w:val="16"/>
              </w:rPr>
              <w:t>Formula</w:t>
            </w:r>
          </w:p>
        </w:tc>
        <w:tc>
          <w:tcPr>
            <w:tcW w:type="dxa" w:w="2304"/>
            <w:shd w:val="clear" w:color="auto" w:fill="D9D9D9"/>
          </w:tcPr>
          <w:p>
            <w:pPr>
              <w:spacing w:before="20" w:after="20" w:line="240" w:lineRule="auto"/>
            </w:pPr>
            <w:r/>
            <w:r>
              <w:rPr>
                <w:rFonts w:ascii="Times New Roman" w:hAnsi="Times New Roman"/>
                <w:b/>
                <w:i w:val="0"/>
                <w:sz w:val="16"/>
              </w:rPr>
              <w:t>Annual</w:t>
            </w:r>
          </w:p>
        </w:tc>
        <w:tc>
          <w:tcPr>
            <w:tcW w:type="dxa" w:w="2016"/>
            <w:shd w:val="clear" w:color="auto" w:fill="D9D9D9"/>
          </w:tcPr>
          <w:p>
            <w:pPr>
              <w:spacing w:before="20" w:after="20" w:line="240" w:lineRule="auto"/>
            </w:pPr>
            <w:r/>
            <w:r>
              <w:rPr>
                <w:rFonts w:ascii="Times New Roman" w:hAnsi="Times New Roman"/>
                <w:b/>
                <w:i w:val="0"/>
                <w:sz w:val="16"/>
              </w:rPr>
              <w:t>Monthly</w:t>
            </w:r>
          </w:p>
        </w:tc>
      </w:tr>
      <w:tr>
        <w:tc>
          <w:tcPr>
            <w:tcW w:type="dxa" w:w="1440"/>
          </w:tcPr>
          <w:p>
            <w:pPr>
              <w:spacing w:before="20" w:after="20" w:line="240" w:lineRule="auto"/>
            </w:pPr>
            <w:r/>
            <w:r>
              <w:rPr>
                <w:rFonts w:ascii="Times New Roman" w:hAnsi="Times New Roman"/>
                <w:b w:val="0"/>
                <w:i w:val="0"/>
                <w:sz w:val="16"/>
              </w:rPr>
              <w:t>1–5</w:t>
            </w:r>
          </w:p>
        </w:tc>
        <w:tc>
          <w:tcPr>
            <w:tcW w:type="dxa" w:w="2880"/>
          </w:tcPr>
          <w:p>
            <w:pPr>
              <w:spacing w:before="20" w:after="20" w:line="240" w:lineRule="auto"/>
            </w:pPr>
            <w:r/>
            <w:r>
              <w:rPr>
                <w:rFonts w:ascii="Times New Roman" w:hAnsi="Times New Roman"/>
                <w:b w:val="0"/>
                <w:i w:val="0"/>
                <w:sz w:val="16"/>
              </w:rPr>
              <w:t>$2,850,000</w:t>
            </w:r>
          </w:p>
        </w:tc>
        <w:tc>
          <w:tcPr>
            <w:tcW w:type="dxa" w:w="2304"/>
          </w:tcPr>
          <w:p>
            <w:pPr>
              <w:spacing w:before="20" w:after="20" w:line="240" w:lineRule="auto"/>
              <w:jc w:val="right"/>
            </w:pPr>
            <w:r/>
            <w:r>
              <w:rPr>
                <w:rFonts w:ascii="Times New Roman" w:hAnsi="Times New Roman"/>
                <w:b w:val="0"/>
                <w:i w:val="0"/>
                <w:sz w:val="16"/>
              </w:rPr>
              <w:t>$2,850,000.00</w:t>
            </w:r>
          </w:p>
        </w:tc>
        <w:tc>
          <w:tcPr>
            <w:tcW w:type="dxa" w:w="2016"/>
          </w:tcPr>
          <w:p>
            <w:pPr>
              <w:spacing w:before="20" w:after="20" w:line="240" w:lineRule="auto"/>
              <w:jc w:val="right"/>
            </w:pPr>
            <w:r/>
            <w:r>
              <w:rPr>
                <w:rFonts w:ascii="Times New Roman" w:hAnsi="Times New Roman"/>
                <w:b w:val="0"/>
                <w:i w:val="0"/>
                <w:sz w:val="16"/>
              </w:rPr>
              <w:t>$237,500.00</w:t>
            </w:r>
          </w:p>
        </w:tc>
      </w:tr>
      <w:tr>
        <w:tc>
          <w:tcPr>
            <w:tcW w:type="dxa" w:w="1440"/>
          </w:tcPr>
          <w:p>
            <w:pPr>
              <w:spacing w:before="20" w:after="20" w:line="240" w:lineRule="auto"/>
            </w:pPr>
            <w:r/>
            <w:r>
              <w:rPr>
                <w:rFonts w:ascii="Times New Roman" w:hAnsi="Times New Roman"/>
                <w:b w:val="0"/>
                <w:i w:val="0"/>
                <w:sz w:val="16"/>
              </w:rPr>
              <w:t>6–10</w:t>
            </w:r>
          </w:p>
        </w:tc>
        <w:tc>
          <w:tcPr>
            <w:tcW w:type="dxa" w:w="2880"/>
          </w:tcPr>
          <w:p>
            <w:pPr>
              <w:spacing w:before="20" w:after="20" w:line="240" w:lineRule="auto"/>
            </w:pPr>
            <w:r/>
            <w:r>
              <w:rPr>
                <w:rFonts w:ascii="Times New Roman" w:hAnsi="Times New Roman"/>
                <w:b w:val="0"/>
                <w:i w:val="0"/>
                <w:sz w:val="16"/>
              </w:rPr>
              <w:t>$2,850,000 × 1.025^5</w:t>
            </w:r>
          </w:p>
        </w:tc>
        <w:tc>
          <w:tcPr>
            <w:tcW w:type="dxa" w:w="2304"/>
          </w:tcPr>
          <w:p>
            <w:pPr>
              <w:spacing w:before="20" w:after="20" w:line="240" w:lineRule="auto"/>
              <w:jc w:val="right"/>
            </w:pPr>
            <w:r/>
            <w:r>
              <w:rPr>
                <w:rFonts w:ascii="Times New Roman" w:hAnsi="Times New Roman"/>
                <w:b w:val="0"/>
                <w:i w:val="0"/>
                <w:sz w:val="16"/>
              </w:rPr>
              <w:t>$3,224,513.41</w:t>
            </w:r>
          </w:p>
        </w:tc>
        <w:tc>
          <w:tcPr>
            <w:tcW w:type="dxa" w:w="2016"/>
          </w:tcPr>
          <w:p>
            <w:pPr>
              <w:spacing w:before="20" w:after="20" w:line="240" w:lineRule="auto"/>
              <w:jc w:val="right"/>
            </w:pPr>
            <w:r/>
            <w:r>
              <w:rPr>
                <w:rFonts w:ascii="Times New Roman" w:hAnsi="Times New Roman"/>
                <w:b w:val="0"/>
                <w:i w:val="0"/>
                <w:sz w:val="16"/>
              </w:rPr>
              <w:t>$268,709.45</w:t>
            </w:r>
          </w:p>
        </w:tc>
      </w:tr>
      <w:tr>
        <w:tc>
          <w:tcPr>
            <w:tcW w:type="dxa" w:w="1440"/>
          </w:tcPr>
          <w:p>
            <w:pPr>
              <w:spacing w:before="20" w:after="20" w:line="240" w:lineRule="auto"/>
            </w:pPr>
            <w:r/>
            <w:r>
              <w:rPr>
                <w:rFonts w:ascii="Times New Roman" w:hAnsi="Times New Roman"/>
                <w:b w:val="0"/>
                <w:i w:val="0"/>
                <w:sz w:val="16"/>
              </w:rPr>
              <w:t>11–15</w:t>
            </w:r>
          </w:p>
        </w:tc>
        <w:tc>
          <w:tcPr>
            <w:tcW w:type="dxa" w:w="2880"/>
          </w:tcPr>
          <w:p>
            <w:pPr>
              <w:spacing w:before="20" w:after="20" w:line="240" w:lineRule="auto"/>
            </w:pPr>
            <w:r/>
            <w:r>
              <w:rPr>
                <w:rFonts w:ascii="Times New Roman" w:hAnsi="Times New Roman"/>
                <w:b w:val="0"/>
                <w:i w:val="0"/>
                <w:sz w:val="16"/>
              </w:rPr>
              <w:t>$2,850,000 × 1.025^10</w:t>
            </w:r>
          </w:p>
        </w:tc>
        <w:tc>
          <w:tcPr>
            <w:tcW w:type="dxa" w:w="2304"/>
          </w:tcPr>
          <w:p>
            <w:pPr>
              <w:spacing w:before="20" w:after="20" w:line="240" w:lineRule="auto"/>
              <w:jc w:val="right"/>
            </w:pPr>
            <w:r/>
            <w:r>
              <w:rPr>
                <w:rFonts w:ascii="Times New Roman" w:hAnsi="Times New Roman"/>
                <w:b w:val="0"/>
                <w:i w:val="0"/>
                <w:sz w:val="16"/>
              </w:rPr>
              <w:t>$3,648,240.95</w:t>
            </w:r>
          </w:p>
        </w:tc>
        <w:tc>
          <w:tcPr>
            <w:tcW w:type="dxa" w:w="2016"/>
          </w:tcPr>
          <w:p>
            <w:pPr>
              <w:spacing w:before="20" w:after="20" w:line="240" w:lineRule="auto"/>
              <w:jc w:val="right"/>
            </w:pPr>
            <w:r/>
            <w:r>
              <w:rPr>
                <w:rFonts w:ascii="Times New Roman" w:hAnsi="Times New Roman"/>
                <w:b w:val="0"/>
                <w:i w:val="0"/>
                <w:sz w:val="16"/>
              </w:rPr>
              <w:t>$304,020.08</w:t>
            </w:r>
          </w:p>
        </w:tc>
      </w:tr>
    </w:tbl>
    <w:p>
      <w:pPr>
        <w:spacing w:after="40" w:before="0"/>
      </w:pPr>
    </w:p>
    <w:p>
      <w:pPr>
        <w:spacing w:after="120"/>
        <w:ind w:left="0"/>
        <w:jc w:val="both"/>
      </w:pPr>
      <w:r>
        <w:rPr>
          <w:rFonts w:ascii="Times New Roman" w:hAnsi="Times New Roman"/>
          <w:b/>
          <w:i w:val="0"/>
          <w:sz w:val="19"/>
        </w:rPr>
        <w:t>A3.2  Tax schedule</w:t>
      </w:r>
      <w:r>
        <w:rPr>
          <w:rFonts w:ascii="Times New Roman" w:hAnsi="Times New Roman"/>
          <w:b w:val="0"/>
          <w:i w:val="0"/>
          <w:sz w:val="19"/>
        </w:rPr>
        <w:t xml:space="preserve"> (mill rate 34.75; projected assessed value $178,000,000)</w:t>
      </w:r>
    </w:p>
    <w:tbl>
      <w:tblPr>
        <w:tblStyle w:val="TableGrid"/>
        <w:tblW w:type="auto" w:w="0"/>
        <w:jc w:val="center"/>
        <w:tblLayout w:type="fixed"/>
        <w:tblLook w:firstColumn="1" w:firstRow="1" w:lastColumn="0" w:lastRow="0" w:noHBand="0" w:noVBand="1" w:val="04A0"/>
        <w:tblLayout w:type="fixed"/>
        <w:tblW w:type="dxa" w:w="8784"/>
        <w:tblCellMar>
          <w:top w:w="20" w:type="dxa"/>
          <w:left w:w="60" w:type="dxa"/>
          <w:bottom w:w="20" w:type="dxa"/>
          <w:right w:w="60" w:type="dxa"/>
        </w:tblCellMar>
      </w:tblPr>
      <w:tblGrid>
        <w:gridCol w:w="1368"/>
        <w:gridCol w:w="1872"/>
        <w:gridCol w:w="2160"/>
        <w:gridCol w:w="1728"/>
        <w:gridCol w:w="1656"/>
      </w:tblGrid>
      <w:tr>
        <w:trPr>
          <w:tblHeader w:val="true"/>
        </w:trPr>
        <w:tc>
          <w:tcPr>
            <w:tcW w:type="dxa" w:w="1368"/>
            <w:shd w:val="clear" w:color="auto" w:fill="D9D9D9"/>
          </w:tcPr>
          <w:p>
            <w:pPr>
              <w:spacing w:before="20" w:after="20" w:line="240" w:lineRule="auto"/>
            </w:pPr>
            <w:r/>
            <w:r>
              <w:rPr>
                <w:rFonts w:ascii="Times New Roman" w:hAnsi="Times New Roman"/>
                <w:b/>
                <w:i w:val="0"/>
                <w:sz w:val="16"/>
              </w:rPr>
              <w:t>Phase</w:t>
            </w:r>
          </w:p>
        </w:tc>
        <w:tc>
          <w:tcPr>
            <w:tcW w:type="dxa" w:w="1872"/>
            <w:shd w:val="clear" w:color="auto" w:fill="D9D9D9"/>
          </w:tcPr>
          <w:p>
            <w:pPr>
              <w:spacing w:before="20" w:after="20" w:line="240" w:lineRule="auto"/>
            </w:pPr>
            <w:r/>
            <w:r>
              <w:rPr>
                <w:rFonts w:ascii="Times New Roman" w:hAnsi="Times New Roman"/>
                <w:b/>
                <w:i w:val="0"/>
                <w:sz w:val="16"/>
              </w:rPr>
              <w:t>Percentage of assessed value</w:t>
            </w:r>
          </w:p>
        </w:tc>
        <w:tc>
          <w:tcPr>
            <w:tcW w:type="dxa" w:w="2160"/>
            <w:shd w:val="clear" w:color="auto" w:fill="D9D9D9"/>
          </w:tcPr>
          <w:p>
            <w:pPr>
              <w:spacing w:before="20" w:after="20" w:line="240" w:lineRule="auto"/>
            </w:pPr>
            <w:r/>
            <w:r>
              <w:rPr>
                <w:rFonts w:ascii="Times New Roman" w:hAnsi="Times New Roman"/>
                <w:b/>
                <w:i w:val="0"/>
                <w:sz w:val="16"/>
              </w:rPr>
              <w:t>Assessed value subject to tax</w:t>
            </w:r>
          </w:p>
        </w:tc>
        <w:tc>
          <w:tcPr>
            <w:tcW w:type="dxa" w:w="1728"/>
            <w:shd w:val="clear" w:color="auto" w:fill="D9D9D9"/>
          </w:tcPr>
          <w:p>
            <w:pPr>
              <w:spacing w:before="20" w:after="20" w:line="240" w:lineRule="auto"/>
            </w:pPr>
            <w:r/>
            <w:r>
              <w:rPr>
                <w:rFonts w:ascii="Times New Roman" w:hAnsi="Times New Roman"/>
                <w:b/>
                <w:i w:val="0"/>
                <w:sz w:val="16"/>
              </w:rPr>
              <w:t>Annual tax</w:t>
            </w:r>
          </w:p>
        </w:tc>
        <w:tc>
          <w:tcPr>
            <w:tcW w:type="dxa" w:w="1656"/>
            <w:shd w:val="clear" w:color="auto" w:fill="D9D9D9"/>
          </w:tcPr>
          <w:p>
            <w:pPr>
              <w:spacing w:before="20" w:after="20" w:line="240" w:lineRule="auto"/>
            </w:pPr>
            <w:r/>
            <w:r>
              <w:rPr>
                <w:rFonts w:ascii="Times New Roman" w:hAnsi="Times New Roman"/>
                <w:b/>
                <w:i w:val="0"/>
                <w:sz w:val="16"/>
              </w:rPr>
              <w:t>Annual saving vs full</w:t>
            </w:r>
          </w:p>
        </w:tc>
      </w:tr>
      <w:tr>
        <w:tc>
          <w:tcPr>
            <w:tcW w:type="dxa" w:w="1368"/>
          </w:tcPr>
          <w:p>
            <w:pPr>
              <w:spacing w:before="20" w:after="20" w:line="240" w:lineRule="auto"/>
            </w:pPr>
            <w:r/>
            <w:r>
              <w:rPr>
                <w:rFonts w:ascii="Times New Roman" w:hAnsi="Times New Roman"/>
                <w:b w:val="0"/>
                <w:i w:val="0"/>
                <w:sz w:val="16"/>
              </w:rPr>
              <w:t>Years 1–5</w:t>
            </w:r>
          </w:p>
        </w:tc>
        <w:tc>
          <w:tcPr>
            <w:tcW w:type="dxa" w:w="1872"/>
          </w:tcPr>
          <w:p>
            <w:pPr>
              <w:spacing w:before="20" w:after="20" w:line="240" w:lineRule="auto"/>
            </w:pPr>
            <w:r/>
            <w:r>
              <w:rPr>
                <w:rFonts w:ascii="Times New Roman" w:hAnsi="Times New Roman"/>
                <w:b w:val="0"/>
                <w:i w:val="0"/>
                <w:sz w:val="16"/>
              </w:rPr>
              <w:t>25%</w:t>
            </w:r>
          </w:p>
        </w:tc>
        <w:tc>
          <w:tcPr>
            <w:tcW w:type="dxa" w:w="2160"/>
          </w:tcPr>
          <w:p>
            <w:pPr>
              <w:spacing w:before="20" w:after="20" w:line="240" w:lineRule="auto"/>
              <w:jc w:val="right"/>
            </w:pPr>
            <w:r/>
            <w:r>
              <w:rPr>
                <w:rFonts w:ascii="Times New Roman" w:hAnsi="Times New Roman"/>
                <w:b w:val="0"/>
                <w:i w:val="0"/>
                <w:sz w:val="16"/>
              </w:rPr>
              <w:t>$44,500,000</w:t>
            </w:r>
          </w:p>
        </w:tc>
        <w:tc>
          <w:tcPr>
            <w:tcW w:type="dxa" w:w="1728"/>
          </w:tcPr>
          <w:p>
            <w:pPr>
              <w:spacing w:before="20" w:after="20" w:line="240" w:lineRule="auto"/>
              <w:jc w:val="right"/>
            </w:pPr>
            <w:r/>
            <w:r>
              <w:rPr>
                <w:rFonts w:ascii="Times New Roman" w:hAnsi="Times New Roman"/>
                <w:b w:val="0"/>
                <w:i w:val="0"/>
                <w:sz w:val="16"/>
              </w:rPr>
              <w:t>$1,546,375</w:t>
            </w:r>
          </w:p>
        </w:tc>
        <w:tc>
          <w:tcPr>
            <w:tcW w:type="dxa" w:w="1656"/>
          </w:tcPr>
          <w:p>
            <w:pPr>
              <w:spacing w:before="20" w:after="20" w:line="240" w:lineRule="auto"/>
              <w:jc w:val="right"/>
            </w:pPr>
            <w:r/>
            <w:r>
              <w:rPr>
                <w:rFonts w:ascii="Times New Roman" w:hAnsi="Times New Roman"/>
                <w:b w:val="0"/>
                <w:i w:val="0"/>
                <w:sz w:val="16"/>
              </w:rPr>
              <w:t>$4,639,125</w:t>
            </w:r>
          </w:p>
        </w:tc>
      </w:tr>
      <w:tr>
        <w:tc>
          <w:tcPr>
            <w:tcW w:type="dxa" w:w="1368"/>
          </w:tcPr>
          <w:p>
            <w:pPr>
              <w:spacing w:before="20" w:after="20" w:line="240" w:lineRule="auto"/>
            </w:pPr>
            <w:r/>
            <w:r>
              <w:rPr>
                <w:rFonts w:ascii="Times New Roman" w:hAnsi="Times New Roman"/>
                <w:b w:val="0"/>
                <w:i w:val="0"/>
                <w:sz w:val="16"/>
              </w:rPr>
              <w:t>Years 6–10</w:t>
            </w:r>
          </w:p>
        </w:tc>
        <w:tc>
          <w:tcPr>
            <w:tcW w:type="dxa" w:w="1872"/>
          </w:tcPr>
          <w:p>
            <w:pPr>
              <w:spacing w:before="20" w:after="20" w:line="240" w:lineRule="auto"/>
            </w:pPr>
            <w:r/>
            <w:r>
              <w:rPr>
                <w:rFonts w:ascii="Times New Roman" w:hAnsi="Times New Roman"/>
                <w:b w:val="0"/>
                <w:i w:val="0"/>
                <w:sz w:val="16"/>
              </w:rPr>
              <w:t>50%</w:t>
            </w:r>
          </w:p>
        </w:tc>
        <w:tc>
          <w:tcPr>
            <w:tcW w:type="dxa" w:w="2160"/>
          </w:tcPr>
          <w:p>
            <w:pPr>
              <w:spacing w:before="20" w:after="20" w:line="240" w:lineRule="auto"/>
              <w:jc w:val="right"/>
            </w:pPr>
            <w:r/>
            <w:r>
              <w:rPr>
                <w:rFonts w:ascii="Times New Roman" w:hAnsi="Times New Roman"/>
                <w:b w:val="0"/>
                <w:i w:val="0"/>
                <w:sz w:val="16"/>
              </w:rPr>
              <w:t>$89,000,000</w:t>
            </w:r>
          </w:p>
        </w:tc>
        <w:tc>
          <w:tcPr>
            <w:tcW w:type="dxa" w:w="1728"/>
          </w:tcPr>
          <w:p>
            <w:pPr>
              <w:spacing w:before="20" w:after="20" w:line="240" w:lineRule="auto"/>
              <w:jc w:val="right"/>
            </w:pPr>
            <w:r/>
            <w:r>
              <w:rPr>
                <w:rFonts w:ascii="Times New Roman" w:hAnsi="Times New Roman"/>
                <w:b w:val="0"/>
                <w:i w:val="0"/>
                <w:sz w:val="16"/>
              </w:rPr>
              <w:t>$3,092,750</w:t>
            </w:r>
          </w:p>
        </w:tc>
        <w:tc>
          <w:tcPr>
            <w:tcW w:type="dxa" w:w="1656"/>
          </w:tcPr>
          <w:p>
            <w:pPr>
              <w:spacing w:before="20" w:after="20" w:line="240" w:lineRule="auto"/>
              <w:jc w:val="right"/>
            </w:pPr>
            <w:r/>
            <w:r>
              <w:rPr>
                <w:rFonts w:ascii="Times New Roman" w:hAnsi="Times New Roman"/>
                <w:b w:val="0"/>
                <w:i w:val="0"/>
                <w:sz w:val="16"/>
              </w:rPr>
              <w:t>$3,092,750</w:t>
            </w:r>
          </w:p>
        </w:tc>
      </w:tr>
      <w:tr>
        <w:tc>
          <w:tcPr>
            <w:tcW w:type="dxa" w:w="1368"/>
          </w:tcPr>
          <w:p>
            <w:pPr>
              <w:spacing w:before="20" w:after="20" w:line="240" w:lineRule="auto"/>
            </w:pPr>
            <w:r/>
            <w:r>
              <w:rPr>
                <w:rFonts w:ascii="Times New Roman" w:hAnsi="Times New Roman"/>
                <w:b w:val="0"/>
                <w:i w:val="0"/>
                <w:sz w:val="16"/>
              </w:rPr>
              <w:t>Years 11–15</w:t>
            </w:r>
          </w:p>
        </w:tc>
        <w:tc>
          <w:tcPr>
            <w:tcW w:type="dxa" w:w="1872"/>
          </w:tcPr>
          <w:p>
            <w:pPr>
              <w:spacing w:before="20" w:after="20" w:line="240" w:lineRule="auto"/>
            </w:pPr>
            <w:r/>
            <w:r>
              <w:rPr>
                <w:rFonts w:ascii="Times New Roman" w:hAnsi="Times New Roman"/>
                <w:b w:val="0"/>
                <w:i w:val="0"/>
                <w:sz w:val="16"/>
              </w:rPr>
              <w:t>75%</w:t>
            </w:r>
          </w:p>
        </w:tc>
        <w:tc>
          <w:tcPr>
            <w:tcW w:type="dxa" w:w="2160"/>
          </w:tcPr>
          <w:p>
            <w:pPr>
              <w:spacing w:before="20" w:after="20" w:line="240" w:lineRule="auto"/>
              <w:jc w:val="right"/>
            </w:pPr>
            <w:r/>
            <w:r>
              <w:rPr>
                <w:rFonts w:ascii="Times New Roman" w:hAnsi="Times New Roman"/>
                <w:b w:val="0"/>
                <w:i w:val="0"/>
                <w:sz w:val="16"/>
              </w:rPr>
              <w:t>$133,500,000</w:t>
            </w:r>
          </w:p>
        </w:tc>
        <w:tc>
          <w:tcPr>
            <w:tcW w:type="dxa" w:w="1728"/>
          </w:tcPr>
          <w:p>
            <w:pPr>
              <w:spacing w:before="20" w:after="20" w:line="240" w:lineRule="auto"/>
              <w:jc w:val="right"/>
            </w:pPr>
            <w:r/>
            <w:r>
              <w:rPr>
                <w:rFonts w:ascii="Times New Roman" w:hAnsi="Times New Roman"/>
                <w:b w:val="0"/>
                <w:i w:val="0"/>
                <w:sz w:val="16"/>
              </w:rPr>
              <w:t>$4,639,125</w:t>
            </w:r>
          </w:p>
        </w:tc>
        <w:tc>
          <w:tcPr>
            <w:tcW w:type="dxa" w:w="1656"/>
          </w:tcPr>
          <w:p>
            <w:pPr>
              <w:spacing w:before="20" w:after="20" w:line="240" w:lineRule="auto"/>
              <w:jc w:val="right"/>
            </w:pPr>
            <w:r/>
            <w:r>
              <w:rPr>
                <w:rFonts w:ascii="Times New Roman" w:hAnsi="Times New Roman"/>
                <w:b w:val="0"/>
                <w:i w:val="0"/>
                <w:sz w:val="16"/>
              </w:rPr>
              <w:t>$1,546,375</w:t>
            </w:r>
          </w:p>
        </w:tc>
      </w:tr>
      <w:tr>
        <w:tc>
          <w:tcPr>
            <w:tcW w:type="dxa" w:w="1368"/>
          </w:tcPr>
          <w:p>
            <w:pPr>
              <w:spacing w:before="20" w:after="20" w:line="240" w:lineRule="auto"/>
            </w:pPr>
            <w:r/>
            <w:r>
              <w:rPr>
                <w:rFonts w:ascii="Times New Roman" w:hAnsi="Times New Roman"/>
                <w:b w:val="0"/>
                <w:i w:val="0"/>
                <w:sz w:val="16"/>
              </w:rPr>
              <w:t>Year 16+</w:t>
            </w:r>
          </w:p>
        </w:tc>
        <w:tc>
          <w:tcPr>
            <w:tcW w:type="dxa" w:w="1872"/>
          </w:tcPr>
          <w:p>
            <w:pPr>
              <w:spacing w:before="20" w:after="20" w:line="240" w:lineRule="auto"/>
            </w:pPr>
            <w:r/>
            <w:r>
              <w:rPr>
                <w:rFonts w:ascii="Times New Roman" w:hAnsi="Times New Roman"/>
                <w:b w:val="0"/>
                <w:i w:val="0"/>
                <w:sz w:val="16"/>
              </w:rPr>
              <w:t>100%</w:t>
            </w:r>
          </w:p>
        </w:tc>
        <w:tc>
          <w:tcPr>
            <w:tcW w:type="dxa" w:w="2160"/>
          </w:tcPr>
          <w:p>
            <w:pPr>
              <w:spacing w:before="20" w:after="20" w:line="240" w:lineRule="auto"/>
              <w:jc w:val="right"/>
            </w:pPr>
            <w:r/>
            <w:r>
              <w:rPr>
                <w:rFonts w:ascii="Times New Roman" w:hAnsi="Times New Roman"/>
                <w:b w:val="0"/>
                <w:i w:val="0"/>
                <w:sz w:val="16"/>
              </w:rPr>
              <w:t>$178,000,000</w:t>
            </w:r>
          </w:p>
        </w:tc>
        <w:tc>
          <w:tcPr>
            <w:tcW w:type="dxa" w:w="1728"/>
          </w:tcPr>
          <w:p>
            <w:pPr>
              <w:spacing w:before="20" w:after="20" w:line="240" w:lineRule="auto"/>
              <w:jc w:val="right"/>
            </w:pPr>
            <w:r/>
            <w:r>
              <w:rPr>
                <w:rFonts w:ascii="Times New Roman" w:hAnsi="Times New Roman"/>
                <w:b w:val="0"/>
                <w:i w:val="0"/>
                <w:sz w:val="16"/>
              </w:rPr>
              <w:t>$6,185,500</w:t>
            </w:r>
          </w:p>
        </w:tc>
        <w:tc>
          <w:tcPr>
            <w:tcW w:type="dxa" w:w="1656"/>
          </w:tcPr>
          <w:p>
            <w:pPr>
              <w:spacing w:before="20" w:after="20" w:line="240" w:lineRule="auto"/>
              <w:jc w:val="right"/>
            </w:pPr>
            <w:r/>
            <w:r>
              <w:rPr>
                <w:rFonts w:ascii="Times New Roman" w:hAnsi="Times New Roman"/>
                <w:b w:val="0"/>
                <w:i w:val="0"/>
                <w:sz w:val="16"/>
              </w:rPr>
              <w:t>nil</w:t>
            </w:r>
          </w:p>
        </w:tc>
      </w:tr>
      <w:tr>
        <w:tc>
          <w:tcPr>
            <w:tcW w:type="dxa" w:w="1368"/>
          </w:tcPr>
          <w:p>
            <w:pPr>
              <w:spacing w:before="20" w:after="20" w:line="240" w:lineRule="auto"/>
            </w:pPr>
            <w:r/>
            <w:r>
              <w:rPr>
                <w:rFonts w:ascii="Times New Roman" w:hAnsi="Times New Roman"/>
                <w:b/>
                <w:i w:val="0"/>
                <w:sz w:val="16"/>
              </w:rPr>
              <w:t>15-year total</w:t>
            </w:r>
          </w:p>
        </w:tc>
        <w:tc>
          <w:tcPr>
            <w:tcW w:type="dxa" w:w="1872"/>
          </w:tcPr>
          <w:p>
            <w:pPr>
              <w:spacing w:before="20" w:after="20" w:line="240" w:lineRule="auto"/>
            </w:pPr>
            <w:r/>
            <w:r>
              <w:rPr>
                <w:rFonts w:ascii="Times New Roman" w:hAnsi="Times New Roman"/>
                <w:b w:val="0"/>
                <w:i w:val="0"/>
                <w:sz w:val="16"/>
              </w:rPr>
              <w:t>—</w:t>
            </w:r>
          </w:p>
        </w:tc>
        <w:tc>
          <w:tcPr>
            <w:tcW w:type="dxa" w:w="2160"/>
          </w:tcPr>
          <w:p>
            <w:pPr>
              <w:spacing w:before="20" w:after="20" w:line="240" w:lineRule="auto"/>
              <w:jc w:val="right"/>
            </w:pPr>
            <w:r/>
            <w:r>
              <w:rPr>
                <w:rFonts w:ascii="Times New Roman" w:hAnsi="Times New Roman"/>
                <w:b w:val="0"/>
                <w:i w:val="0"/>
                <w:sz w:val="16"/>
              </w:rPr>
              <w:t>—</w:t>
            </w:r>
          </w:p>
        </w:tc>
        <w:tc>
          <w:tcPr>
            <w:tcW w:type="dxa" w:w="1728"/>
          </w:tcPr>
          <w:p>
            <w:pPr>
              <w:spacing w:before="20" w:after="20" w:line="240" w:lineRule="auto"/>
              <w:jc w:val="right"/>
            </w:pPr>
            <w:r/>
            <w:r>
              <w:rPr>
                <w:rFonts w:ascii="Times New Roman" w:hAnsi="Times New Roman"/>
                <w:b/>
                <w:i w:val="0"/>
                <w:sz w:val="16"/>
              </w:rPr>
              <w:t>$46,391,250 in savings</w:t>
            </w:r>
          </w:p>
        </w:tc>
        <w:tc>
          <w:tcPr>
            <w:tcW w:type="dxa" w:w="1656"/>
          </w:tcPr>
          <w:p>
            <w:pPr>
              <w:spacing w:before="20" w:after="20" w:line="240" w:lineRule="auto"/>
              <w:jc w:val="right"/>
            </w:pPr>
            <w:r/>
            <w:r>
              <w:rPr>
                <w:rFonts w:ascii="Times New Roman" w:hAnsi="Times New Roman"/>
                <w:b w:val="0"/>
                <w:i w:val="0"/>
                <w:sz w:val="16"/>
              </w:rPr>
              <w:t>—</w:t>
            </w:r>
          </w:p>
        </w:tc>
      </w:tr>
    </w:tbl>
    <w:p>
      <w:pPr>
        <w:spacing w:after="40" w:before="0"/>
      </w:pPr>
    </w:p>
    <w:p>
      <w:pPr>
        <w:spacing w:after="120"/>
        <w:ind w:left="0"/>
        <w:jc w:val="both"/>
      </w:pPr>
      <w:r>
        <w:rPr>
          <w:rFonts w:ascii="Times New Roman" w:hAnsi="Times New Roman"/>
          <w:b/>
          <w:i w:val="0"/>
          <w:sz w:val="19"/>
        </w:rPr>
        <w:t>A3.3  Remediation cost — stated vs. recomputed</w:t>
      </w:r>
    </w:p>
    <w:tbl>
      <w:tblPr>
        <w:tblStyle w:val="TableGrid"/>
        <w:tblW w:type="auto" w:w="0"/>
        <w:jc w:val="center"/>
        <w:tblLayout w:type="fixed"/>
        <w:tblLook w:firstColumn="1" w:firstRow="1" w:lastColumn="0" w:lastRow="0" w:noHBand="0" w:noVBand="1" w:val="04A0"/>
        <w:tblLayout w:type="fixed"/>
        <w:tblW w:type="dxa" w:w="8640"/>
        <w:tblCellMar>
          <w:top w:w="20" w:type="dxa"/>
          <w:left w:w="60" w:type="dxa"/>
          <w:bottom w:w="20" w:type="dxa"/>
          <w:right w:w="60" w:type="dxa"/>
        </w:tblCellMar>
      </w:tblPr>
      <w:tblGrid>
        <w:gridCol w:w="3384"/>
        <w:gridCol w:w="1656"/>
        <w:gridCol w:w="1656"/>
        <w:gridCol w:w="1944"/>
      </w:tblGrid>
      <w:tr>
        <w:trPr>
          <w:tblHeader w:val="true"/>
        </w:trPr>
        <w:tc>
          <w:tcPr>
            <w:tcW w:type="dxa" w:w="3384"/>
            <w:shd w:val="clear" w:color="auto" w:fill="D9D9D9"/>
          </w:tcPr>
          <w:p>
            <w:pPr>
              <w:spacing w:before="20" w:after="20" w:line="240" w:lineRule="auto"/>
            </w:pPr>
            <w:r/>
            <w:r>
              <w:rPr>
                <w:rFonts w:ascii="Times New Roman" w:hAnsi="Times New Roman"/>
                <w:b/>
                <w:i w:val="0"/>
                <w:sz w:val="16"/>
              </w:rPr>
              <w:t>Item</w:t>
            </w:r>
          </w:p>
        </w:tc>
        <w:tc>
          <w:tcPr>
            <w:tcW w:type="dxa" w:w="1656"/>
            <w:shd w:val="clear" w:color="auto" w:fill="D9D9D9"/>
          </w:tcPr>
          <w:p>
            <w:pPr>
              <w:spacing w:before="20" w:after="20" w:line="240" w:lineRule="auto"/>
            </w:pPr>
            <w:r/>
            <w:r>
              <w:rPr>
                <w:rFonts w:ascii="Times New Roman" w:hAnsi="Times New Roman"/>
                <w:b/>
                <w:i w:val="0"/>
                <w:sz w:val="16"/>
              </w:rPr>
              <w:t>Area 1</w:t>
            </w:r>
          </w:p>
        </w:tc>
        <w:tc>
          <w:tcPr>
            <w:tcW w:type="dxa" w:w="1656"/>
            <w:shd w:val="clear" w:color="auto" w:fill="D9D9D9"/>
          </w:tcPr>
          <w:p>
            <w:pPr>
              <w:spacing w:before="20" w:after="20" w:line="240" w:lineRule="auto"/>
            </w:pPr>
            <w:r/>
            <w:r>
              <w:rPr>
                <w:rFonts w:ascii="Times New Roman" w:hAnsi="Times New Roman"/>
                <w:b/>
                <w:i w:val="0"/>
                <w:sz w:val="16"/>
              </w:rPr>
              <w:t>Area 2</w:t>
            </w:r>
          </w:p>
        </w:tc>
        <w:tc>
          <w:tcPr>
            <w:tcW w:type="dxa" w:w="1944"/>
            <w:shd w:val="clear" w:color="auto" w:fill="D9D9D9"/>
          </w:tcPr>
          <w:p>
            <w:pPr>
              <w:spacing w:before="20" w:after="20" w:line="240" w:lineRule="auto"/>
            </w:pPr>
            <w:r/>
            <w:r>
              <w:rPr>
                <w:rFonts w:ascii="Times New Roman" w:hAnsi="Times New Roman"/>
                <w:b/>
                <w:i w:val="0"/>
                <w:sz w:val="16"/>
              </w:rPr>
              <w:t>Combined</w:t>
            </w:r>
          </w:p>
        </w:tc>
      </w:tr>
      <w:tr>
        <w:tc>
          <w:tcPr>
            <w:tcW w:type="dxa" w:w="3384"/>
          </w:tcPr>
          <w:p>
            <w:pPr>
              <w:spacing w:before="20" w:after="20" w:line="240" w:lineRule="auto"/>
            </w:pPr>
            <w:r/>
            <w:r>
              <w:rPr>
                <w:rFonts w:ascii="Times New Roman" w:hAnsi="Times New Roman"/>
                <w:b w:val="0"/>
                <w:i w:val="0"/>
                <w:sz w:val="16"/>
              </w:rPr>
              <w:t>Excavation and soil management</w:t>
            </w:r>
          </w:p>
        </w:tc>
        <w:tc>
          <w:tcPr>
            <w:tcW w:type="dxa" w:w="1656"/>
          </w:tcPr>
          <w:p>
            <w:pPr>
              <w:spacing w:before="20" w:after="20" w:line="240" w:lineRule="auto"/>
              <w:jc w:val="right"/>
            </w:pPr>
            <w:r/>
            <w:r>
              <w:rPr>
                <w:rFonts w:ascii="Times New Roman" w:hAnsi="Times New Roman"/>
                <w:b w:val="0"/>
                <w:i w:val="0"/>
                <w:sz w:val="16"/>
              </w:rPr>
              <w:t>$680,000</w:t>
            </w:r>
          </w:p>
        </w:tc>
        <w:tc>
          <w:tcPr>
            <w:tcW w:type="dxa" w:w="1656"/>
          </w:tcPr>
          <w:p>
            <w:pPr>
              <w:spacing w:before="20" w:after="20" w:line="240" w:lineRule="auto"/>
              <w:jc w:val="right"/>
            </w:pPr>
            <w:r/>
            <w:r>
              <w:rPr>
                <w:rFonts w:ascii="Times New Roman" w:hAnsi="Times New Roman"/>
                <w:b w:val="0"/>
                <w:i w:val="0"/>
                <w:sz w:val="16"/>
              </w:rPr>
              <w:t>$210,000</w:t>
            </w:r>
          </w:p>
        </w:tc>
        <w:tc>
          <w:tcPr>
            <w:tcW w:type="dxa" w:w="1944"/>
          </w:tcPr>
          <w:p>
            <w:pPr>
              <w:spacing w:before="20" w:after="20" w:line="240" w:lineRule="auto"/>
              <w:jc w:val="right"/>
            </w:pPr>
            <w:r/>
            <w:r>
              <w:rPr>
                <w:rFonts w:ascii="Times New Roman" w:hAnsi="Times New Roman"/>
                <w:b w:val="0"/>
                <w:i w:val="0"/>
                <w:sz w:val="16"/>
              </w:rPr>
              <w:t>$890,000</w:t>
            </w:r>
          </w:p>
        </w:tc>
      </w:tr>
      <w:tr>
        <w:tc>
          <w:tcPr>
            <w:tcW w:type="dxa" w:w="3384"/>
          </w:tcPr>
          <w:p>
            <w:pPr>
              <w:spacing w:before="20" w:after="20" w:line="240" w:lineRule="auto"/>
            </w:pPr>
            <w:r/>
            <w:r>
              <w:rPr>
                <w:rFonts w:ascii="Times New Roman" w:hAnsi="Times New Roman"/>
                <w:b w:val="0"/>
                <w:i w:val="0"/>
                <w:sz w:val="16"/>
              </w:rPr>
              <w:t>Transportation and disposal</w:t>
            </w:r>
          </w:p>
        </w:tc>
        <w:tc>
          <w:tcPr>
            <w:tcW w:type="dxa" w:w="1656"/>
          </w:tcPr>
          <w:p>
            <w:pPr>
              <w:spacing w:before="20" w:after="20" w:line="240" w:lineRule="auto"/>
              <w:jc w:val="right"/>
            </w:pPr>
            <w:r/>
            <w:r>
              <w:rPr>
                <w:rFonts w:ascii="Times New Roman" w:hAnsi="Times New Roman"/>
                <w:b w:val="0"/>
                <w:i w:val="0"/>
                <w:sz w:val="16"/>
              </w:rPr>
              <w:t>$520,000</w:t>
            </w:r>
          </w:p>
        </w:tc>
        <w:tc>
          <w:tcPr>
            <w:tcW w:type="dxa" w:w="1656"/>
          </w:tcPr>
          <w:p>
            <w:pPr>
              <w:spacing w:before="20" w:after="20" w:line="240" w:lineRule="auto"/>
              <w:jc w:val="right"/>
            </w:pPr>
            <w:r/>
            <w:r>
              <w:rPr>
                <w:rFonts w:ascii="Times New Roman" w:hAnsi="Times New Roman"/>
                <w:b w:val="0"/>
                <w:i w:val="0"/>
                <w:sz w:val="16"/>
              </w:rPr>
              <w:t>$145,000</w:t>
            </w:r>
          </w:p>
        </w:tc>
        <w:tc>
          <w:tcPr>
            <w:tcW w:type="dxa" w:w="1944"/>
          </w:tcPr>
          <w:p>
            <w:pPr>
              <w:spacing w:before="20" w:after="20" w:line="240" w:lineRule="auto"/>
              <w:jc w:val="right"/>
            </w:pPr>
            <w:r/>
            <w:r>
              <w:rPr>
                <w:rFonts w:ascii="Times New Roman" w:hAnsi="Times New Roman"/>
                <w:b w:val="0"/>
                <w:i w:val="0"/>
                <w:sz w:val="16"/>
              </w:rPr>
              <w:t>$665,000</w:t>
            </w:r>
          </w:p>
        </w:tc>
      </w:tr>
      <w:tr>
        <w:tc>
          <w:tcPr>
            <w:tcW w:type="dxa" w:w="3384"/>
          </w:tcPr>
          <w:p>
            <w:pPr>
              <w:spacing w:before="20" w:after="20" w:line="240" w:lineRule="auto"/>
            </w:pPr>
            <w:r/>
            <w:r>
              <w:rPr>
                <w:rFonts w:ascii="Times New Roman" w:hAnsi="Times New Roman"/>
                <w:b w:val="0"/>
                <w:i w:val="0"/>
                <w:sz w:val="16"/>
              </w:rPr>
              <w:t>Confirmation sampling and laboratory</w:t>
            </w:r>
          </w:p>
        </w:tc>
        <w:tc>
          <w:tcPr>
            <w:tcW w:type="dxa" w:w="1656"/>
          </w:tcPr>
          <w:p>
            <w:pPr>
              <w:spacing w:before="20" w:after="20" w:line="240" w:lineRule="auto"/>
              <w:jc w:val="right"/>
            </w:pPr>
            <w:r/>
            <w:r>
              <w:rPr>
                <w:rFonts w:ascii="Times New Roman" w:hAnsi="Times New Roman"/>
                <w:b w:val="0"/>
                <w:i w:val="0"/>
                <w:sz w:val="16"/>
              </w:rPr>
              <w:t>$85,000</w:t>
            </w:r>
          </w:p>
        </w:tc>
        <w:tc>
          <w:tcPr>
            <w:tcW w:type="dxa" w:w="1656"/>
          </w:tcPr>
          <w:p>
            <w:pPr>
              <w:spacing w:before="20" w:after="20" w:line="240" w:lineRule="auto"/>
              <w:jc w:val="right"/>
            </w:pPr>
            <w:r/>
            <w:r>
              <w:rPr>
                <w:rFonts w:ascii="Times New Roman" w:hAnsi="Times New Roman"/>
                <w:b w:val="0"/>
                <w:i w:val="0"/>
                <w:sz w:val="16"/>
              </w:rPr>
              <w:t>$40,000</w:t>
            </w:r>
          </w:p>
        </w:tc>
        <w:tc>
          <w:tcPr>
            <w:tcW w:type="dxa" w:w="1944"/>
          </w:tcPr>
          <w:p>
            <w:pPr>
              <w:spacing w:before="20" w:after="20" w:line="240" w:lineRule="auto"/>
              <w:jc w:val="right"/>
            </w:pPr>
            <w:r/>
            <w:r>
              <w:rPr>
                <w:rFonts w:ascii="Times New Roman" w:hAnsi="Times New Roman"/>
                <w:b w:val="0"/>
                <w:i w:val="0"/>
                <w:sz w:val="16"/>
              </w:rPr>
              <w:t>$125,000</w:t>
            </w:r>
          </w:p>
        </w:tc>
      </w:tr>
      <w:tr>
        <w:tc>
          <w:tcPr>
            <w:tcW w:type="dxa" w:w="3384"/>
          </w:tcPr>
          <w:p>
            <w:pPr>
              <w:spacing w:before="20" w:after="20" w:line="240" w:lineRule="auto"/>
            </w:pPr>
            <w:r/>
            <w:r>
              <w:rPr>
                <w:rFonts w:ascii="Times New Roman" w:hAnsi="Times New Roman"/>
                <w:b w:val="0"/>
                <w:i w:val="0"/>
                <w:sz w:val="16"/>
              </w:rPr>
              <w:t>Clean backfill procurement and placement</w:t>
            </w:r>
          </w:p>
        </w:tc>
        <w:tc>
          <w:tcPr>
            <w:tcW w:type="dxa" w:w="1656"/>
          </w:tcPr>
          <w:p>
            <w:pPr>
              <w:spacing w:before="20" w:after="20" w:line="240" w:lineRule="auto"/>
              <w:jc w:val="right"/>
            </w:pPr>
            <w:r/>
            <w:r>
              <w:rPr>
                <w:rFonts w:ascii="Times New Roman" w:hAnsi="Times New Roman"/>
                <w:b w:val="0"/>
                <w:i w:val="0"/>
                <w:sz w:val="16"/>
              </w:rPr>
              <w:t>$290,000</w:t>
            </w:r>
          </w:p>
        </w:tc>
        <w:tc>
          <w:tcPr>
            <w:tcW w:type="dxa" w:w="1656"/>
          </w:tcPr>
          <w:p>
            <w:pPr>
              <w:spacing w:before="20" w:after="20" w:line="240" w:lineRule="auto"/>
              <w:jc w:val="right"/>
            </w:pPr>
            <w:r/>
            <w:r>
              <w:rPr>
                <w:rFonts w:ascii="Times New Roman" w:hAnsi="Times New Roman"/>
                <w:b w:val="0"/>
                <w:i w:val="0"/>
                <w:sz w:val="16"/>
              </w:rPr>
              <w:t>$85,000</w:t>
            </w:r>
          </w:p>
        </w:tc>
        <w:tc>
          <w:tcPr>
            <w:tcW w:type="dxa" w:w="1944"/>
          </w:tcPr>
          <w:p>
            <w:pPr>
              <w:spacing w:before="20" w:after="20" w:line="240" w:lineRule="auto"/>
              <w:jc w:val="right"/>
            </w:pPr>
            <w:r/>
            <w:r>
              <w:rPr>
                <w:rFonts w:ascii="Times New Roman" w:hAnsi="Times New Roman"/>
                <w:b w:val="0"/>
                <w:i w:val="0"/>
                <w:sz w:val="16"/>
              </w:rPr>
              <w:t>$375,000</w:t>
            </w:r>
          </w:p>
        </w:tc>
      </w:tr>
      <w:tr>
        <w:tc>
          <w:tcPr>
            <w:tcW w:type="dxa" w:w="3384"/>
          </w:tcPr>
          <w:p>
            <w:pPr>
              <w:spacing w:before="20" w:after="20" w:line="240" w:lineRule="auto"/>
            </w:pPr>
            <w:r/>
            <w:r>
              <w:rPr>
                <w:rFonts w:ascii="Times New Roman" w:hAnsi="Times New Roman"/>
                <w:b w:val="0"/>
                <w:i w:val="0"/>
                <w:sz w:val="16"/>
              </w:rPr>
              <w:t>Environmental oversight and reporting</w:t>
            </w:r>
          </w:p>
        </w:tc>
        <w:tc>
          <w:tcPr>
            <w:tcW w:type="dxa" w:w="1656"/>
          </w:tcPr>
          <w:p>
            <w:pPr>
              <w:spacing w:before="20" w:after="20" w:line="240" w:lineRule="auto"/>
              <w:jc w:val="right"/>
            </w:pPr>
            <w:r/>
            <w:r>
              <w:rPr>
                <w:rFonts w:ascii="Times New Roman" w:hAnsi="Times New Roman"/>
                <w:b w:val="0"/>
                <w:i w:val="0"/>
                <w:sz w:val="16"/>
              </w:rPr>
              <w:t>$175,000</w:t>
            </w:r>
          </w:p>
        </w:tc>
        <w:tc>
          <w:tcPr>
            <w:tcW w:type="dxa" w:w="1656"/>
          </w:tcPr>
          <w:p>
            <w:pPr>
              <w:spacing w:before="20" w:after="20" w:line="240" w:lineRule="auto"/>
              <w:jc w:val="right"/>
            </w:pPr>
            <w:r/>
            <w:r>
              <w:rPr>
                <w:rFonts w:ascii="Times New Roman" w:hAnsi="Times New Roman"/>
                <w:b w:val="0"/>
                <w:i w:val="0"/>
                <w:sz w:val="16"/>
              </w:rPr>
              <w:t>$45,000</w:t>
            </w:r>
          </w:p>
        </w:tc>
        <w:tc>
          <w:tcPr>
            <w:tcW w:type="dxa" w:w="1944"/>
          </w:tcPr>
          <w:p>
            <w:pPr>
              <w:spacing w:before="20" w:after="20" w:line="240" w:lineRule="auto"/>
              <w:jc w:val="right"/>
            </w:pPr>
            <w:r/>
            <w:r>
              <w:rPr>
                <w:rFonts w:ascii="Times New Roman" w:hAnsi="Times New Roman"/>
                <w:b w:val="0"/>
                <w:i w:val="0"/>
                <w:sz w:val="16"/>
              </w:rPr>
              <w:t>$220,000</w:t>
            </w:r>
          </w:p>
        </w:tc>
      </w:tr>
      <w:tr>
        <w:tc>
          <w:tcPr>
            <w:tcW w:type="dxa" w:w="3384"/>
          </w:tcPr>
          <w:p>
            <w:pPr>
              <w:spacing w:before="20" w:after="20" w:line="240" w:lineRule="auto"/>
            </w:pPr>
            <w:r/>
            <w:r>
              <w:rPr>
                <w:rFonts w:ascii="Times New Roman" w:hAnsi="Times New Roman"/>
                <w:b w:val="0"/>
                <w:i w:val="0"/>
                <w:sz w:val="16"/>
              </w:rPr>
              <w:t>Subtotal</w:t>
            </w:r>
          </w:p>
        </w:tc>
        <w:tc>
          <w:tcPr>
            <w:tcW w:type="dxa" w:w="1656"/>
          </w:tcPr>
          <w:p>
            <w:pPr>
              <w:spacing w:before="20" w:after="20" w:line="240" w:lineRule="auto"/>
              <w:jc w:val="right"/>
            </w:pPr>
            <w:r/>
            <w:r>
              <w:rPr>
                <w:rFonts w:ascii="Times New Roman" w:hAnsi="Times New Roman"/>
                <w:b w:val="0"/>
                <w:i w:val="0"/>
                <w:sz w:val="16"/>
              </w:rPr>
              <w:t>$1,750,000</w:t>
            </w:r>
          </w:p>
        </w:tc>
        <w:tc>
          <w:tcPr>
            <w:tcW w:type="dxa" w:w="1656"/>
          </w:tcPr>
          <w:p>
            <w:pPr>
              <w:spacing w:before="20" w:after="20" w:line="240" w:lineRule="auto"/>
              <w:jc w:val="right"/>
            </w:pPr>
            <w:r/>
            <w:r>
              <w:rPr>
                <w:rFonts w:ascii="Times New Roman" w:hAnsi="Times New Roman"/>
                <w:b w:val="0"/>
                <w:i w:val="0"/>
                <w:sz w:val="16"/>
              </w:rPr>
              <w:t>$525,000</w:t>
            </w:r>
          </w:p>
        </w:tc>
        <w:tc>
          <w:tcPr>
            <w:tcW w:type="dxa" w:w="1944"/>
          </w:tcPr>
          <w:p>
            <w:pPr>
              <w:spacing w:before="20" w:after="20" w:line="240" w:lineRule="auto"/>
              <w:jc w:val="right"/>
            </w:pPr>
            <w:r/>
            <w:r>
              <w:rPr>
                <w:rFonts w:ascii="Times New Roman" w:hAnsi="Times New Roman"/>
                <w:b w:val="0"/>
                <w:i w:val="0"/>
                <w:sz w:val="16"/>
              </w:rPr>
              <w:t>$2,275,000</w:t>
            </w:r>
          </w:p>
        </w:tc>
      </w:tr>
      <w:tr>
        <w:tc>
          <w:tcPr>
            <w:tcW w:type="dxa" w:w="3384"/>
          </w:tcPr>
          <w:p>
            <w:pPr>
              <w:spacing w:before="20" w:after="20" w:line="240" w:lineRule="auto"/>
            </w:pPr>
            <w:r/>
            <w:r>
              <w:rPr>
                <w:rFonts w:ascii="Times New Roman" w:hAnsi="Times New Roman"/>
                <w:b w:val="0"/>
                <w:i w:val="0"/>
                <w:sz w:val="16"/>
              </w:rPr>
              <w:t>Stated contingency (labelled "10%")</w:t>
            </w:r>
          </w:p>
        </w:tc>
        <w:tc>
          <w:tcPr>
            <w:tcW w:type="dxa" w:w="1656"/>
          </w:tcPr>
          <w:p>
            <w:pPr>
              <w:spacing w:before="20" w:after="20" w:line="240" w:lineRule="auto"/>
              <w:jc w:val="right"/>
            </w:pPr>
            <w:r/>
            <w:r>
              <w:rPr>
                <w:rFonts w:ascii="Times New Roman" w:hAnsi="Times New Roman"/>
                <w:b w:val="0"/>
                <w:i w:val="0"/>
                <w:sz w:val="16"/>
              </w:rPr>
              <w:t>$100,000</w:t>
            </w:r>
          </w:p>
        </w:tc>
        <w:tc>
          <w:tcPr>
            <w:tcW w:type="dxa" w:w="1656"/>
          </w:tcPr>
          <w:p>
            <w:pPr>
              <w:spacing w:before="20" w:after="20" w:line="240" w:lineRule="auto"/>
              <w:jc w:val="right"/>
            </w:pPr>
            <w:r/>
            <w:r>
              <w:rPr>
                <w:rFonts w:ascii="Times New Roman" w:hAnsi="Times New Roman"/>
                <w:b w:val="0"/>
                <w:i w:val="0"/>
                <w:sz w:val="16"/>
              </w:rPr>
              <w:t>$25,000</w:t>
            </w:r>
          </w:p>
        </w:tc>
        <w:tc>
          <w:tcPr>
            <w:tcW w:type="dxa" w:w="1944"/>
          </w:tcPr>
          <w:p>
            <w:pPr>
              <w:spacing w:before="20" w:after="20" w:line="240" w:lineRule="auto"/>
              <w:jc w:val="right"/>
            </w:pPr>
            <w:r/>
            <w:r>
              <w:rPr>
                <w:rFonts w:ascii="Times New Roman" w:hAnsi="Times New Roman"/>
                <w:b w:val="0"/>
                <w:i w:val="0"/>
                <w:sz w:val="16"/>
              </w:rPr>
              <w:t>$125,000</w:t>
            </w:r>
          </w:p>
        </w:tc>
      </w:tr>
      <w:tr>
        <w:tc>
          <w:tcPr>
            <w:tcW w:type="dxa" w:w="3384"/>
          </w:tcPr>
          <w:p>
            <w:pPr>
              <w:spacing w:before="20" w:after="20" w:line="240" w:lineRule="auto"/>
            </w:pPr>
            <w:r/>
            <w:r>
              <w:rPr>
                <w:rFonts w:ascii="Times New Roman" w:hAnsi="Times New Roman"/>
                <w:b w:val="0"/>
                <w:i w:val="0"/>
                <w:sz w:val="16"/>
              </w:rPr>
              <w:t>Stated total</w:t>
            </w:r>
          </w:p>
        </w:tc>
        <w:tc>
          <w:tcPr>
            <w:tcW w:type="dxa" w:w="1656"/>
          </w:tcPr>
          <w:p>
            <w:pPr>
              <w:spacing w:before="20" w:after="20" w:line="240" w:lineRule="auto"/>
              <w:jc w:val="right"/>
            </w:pPr>
            <w:r/>
            <w:r>
              <w:rPr>
                <w:rFonts w:ascii="Times New Roman" w:hAnsi="Times New Roman"/>
                <w:b w:val="0"/>
                <w:i w:val="0"/>
                <w:sz w:val="16"/>
              </w:rPr>
              <w:t>$1,850,000</w:t>
            </w:r>
          </w:p>
        </w:tc>
        <w:tc>
          <w:tcPr>
            <w:tcW w:type="dxa" w:w="1656"/>
          </w:tcPr>
          <w:p>
            <w:pPr>
              <w:spacing w:before="20" w:after="20" w:line="240" w:lineRule="auto"/>
              <w:jc w:val="right"/>
            </w:pPr>
            <w:r/>
            <w:r>
              <w:rPr>
                <w:rFonts w:ascii="Times New Roman" w:hAnsi="Times New Roman"/>
                <w:b w:val="0"/>
                <w:i w:val="0"/>
                <w:sz w:val="16"/>
              </w:rPr>
              <w:t>$550,000</w:t>
            </w:r>
          </w:p>
        </w:tc>
        <w:tc>
          <w:tcPr>
            <w:tcW w:type="dxa" w:w="1944"/>
          </w:tcPr>
          <w:p>
            <w:pPr>
              <w:spacing w:before="20" w:after="20" w:line="240" w:lineRule="auto"/>
              <w:jc w:val="right"/>
            </w:pPr>
            <w:r/>
            <w:r>
              <w:rPr>
                <w:rFonts w:ascii="Times New Roman" w:hAnsi="Times New Roman"/>
                <w:b w:val="0"/>
                <w:i w:val="0"/>
                <w:sz w:val="16"/>
              </w:rPr>
              <w:t>$2,400,000</w:t>
            </w:r>
          </w:p>
        </w:tc>
      </w:tr>
      <w:tr>
        <w:tc>
          <w:tcPr>
            <w:tcW w:type="dxa" w:w="3384"/>
          </w:tcPr>
          <w:p>
            <w:pPr>
              <w:spacing w:before="20" w:after="20" w:line="240" w:lineRule="auto"/>
            </w:pPr>
            <w:r/>
            <w:r>
              <w:rPr>
                <w:rFonts w:ascii="Times New Roman" w:hAnsi="Times New Roman"/>
                <w:b w:val="0"/>
                <w:i w:val="0"/>
                <w:sz w:val="16"/>
              </w:rPr>
              <w:t>Effective contingency rate</w:t>
            </w:r>
          </w:p>
        </w:tc>
        <w:tc>
          <w:tcPr>
            <w:tcW w:type="dxa" w:w="1656"/>
          </w:tcPr>
          <w:p>
            <w:pPr>
              <w:spacing w:before="20" w:after="20" w:line="240" w:lineRule="auto"/>
              <w:jc w:val="right"/>
            </w:pPr>
            <w:r/>
            <w:r>
              <w:rPr>
                <w:rFonts w:ascii="Times New Roman" w:hAnsi="Times New Roman"/>
                <w:b w:val="0"/>
                <w:i w:val="0"/>
                <w:sz w:val="16"/>
              </w:rPr>
              <w:t>5.71%</w:t>
            </w:r>
          </w:p>
        </w:tc>
        <w:tc>
          <w:tcPr>
            <w:tcW w:type="dxa" w:w="1656"/>
          </w:tcPr>
          <w:p>
            <w:pPr>
              <w:spacing w:before="20" w:after="20" w:line="240" w:lineRule="auto"/>
              <w:jc w:val="right"/>
            </w:pPr>
            <w:r/>
            <w:r>
              <w:rPr>
                <w:rFonts w:ascii="Times New Roman" w:hAnsi="Times New Roman"/>
                <w:b w:val="0"/>
                <w:i w:val="0"/>
                <w:sz w:val="16"/>
              </w:rPr>
              <w:t>4.76%</w:t>
            </w:r>
          </w:p>
        </w:tc>
        <w:tc>
          <w:tcPr>
            <w:tcW w:type="dxa" w:w="1944"/>
          </w:tcPr>
          <w:p>
            <w:pPr>
              <w:spacing w:before="20" w:after="20" w:line="240" w:lineRule="auto"/>
              <w:jc w:val="right"/>
            </w:pPr>
            <w:r/>
            <w:r>
              <w:rPr>
                <w:rFonts w:ascii="Times New Roman" w:hAnsi="Times New Roman"/>
                <w:b w:val="0"/>
                <w:i w:val="0"/>
                <w:sz w:val="16"/>
              </w:rPr>
              <w:t>5.49%</w:t>
            </w:r>
          </w:p>
        </w:tc>
      </w:tr>
      <w:tr>
        <w:tc>
          <w:tcPr>
            <w:tcW w:type="dxa" w:w="3384"/>
          </w:tcPr>
          <w:p>
            <w:pPr>
              <w:spacing w:before="20" w:after="20" w:line="240" w:lineRule="auto"/>
            </w:pPr>
            <w:r/>
            <w:r>
              <w:rPr>
                <w:rFonts w:ascii="Times New Roman" w:hAnsi="Times New Roman"/>
                <w:b w:val="0"/>
                <w:i w:val="0"/>
                <w:sz w:val="16"/>
              </w:rPr>
              <w:t>Total if 10% is applied</w:t>
            </w:r>
          </w:p>
        </w:tc>
        <w:tc>
          <w:tcPr>
            <w:tcW w:type="dxa" w:w="1656"/>
          </w:tcPr>
          <w:p>
            <w:pPr>
              <w:spacing w:before="20" w:after="20" w:line="240" w:lineRule="auto"/>
              <w:jc w:val="right"/>
            </w:pPr>
            <w:r/>
            <w:r>
              <w:rPr>
                <w:rFonts w:ascii="Times New Roman" w:hAnsi="Times New Roman"/>
                <w:b w:val="0"/>
                <w:i w:val="0"/>
                <w:sz w:val="16"/>
              </w:rPr>
              <w:t>$1,925,000</w:t>
            </w:r>
          </w:p>
        </w:tc>
        <w:tc>
          <w:tcPr>
            <w:tcW w:type="dxa" w:w="1656"/>
          </w:tcPr>
          <w:p>
            <w:pPr>
              <w:spacing w:before="20" w:after="20" w:line="240" w:lineRule="auto"/>
              <w:jc w:val="right"/>
            </w:pPr>
            <w:r/>
            <w:r>
              <w:rPr>
                <w:rFonts w:ascii="Times New Roman" w:hAnsi="Times New Roman"/>
                <w:b w:val="0"/>
                <w:i w:val="0"/>
                <w:sz w:val="16"/>
              </w:rPr>
              <w:t>$577,500</w:t>
            </w:r>
          </w:p>
        </w:tc>
        <w:tc>
          <w:tcPr>
            <w:tcW w:type="dxa" w:w="1944"/>
          </w:tcPr>
          <w:p>
            <w:pPr>
              <w:spacing w:before="20" w:after="20" w:line="240" w:lineRule="auto"/>
              <w:jc w:val="right"/>
            </w:pPr>
            <w:r/>
            <w:r>
              <w:rPr>
                <w:rFonts w:ascii="Times New Roman" w:hAnsi="Times New Roman"/>
                <w:b w:val="0"/>
                <w:i w:val="0"/>
                <w:sz w:val="16"/>
              </w:rPr>
              <w:t>$2,502,500</w:t>
            </w:r>
          </w:p>
        </w:tc>
      </w:tr>
      <w:tr>
        <w:tc>
          <w:tcPr>
            <w:tcW w:type="dxa" w:w="3384"/>
          </w:tcPr>
          <w:p>
            <w:pPr>
              <w:spacing w:before="20" w:after="20" w:line="240" w:lineRule="auto"/>
            </w:pPr>
            <w:r/>
            <w:r>
              <w:rPr>
                <w:rFonts w:ascii="Times New Roman" w:hAnsi="Times New Roman"/>
                <w:b w:val="0"/>
                <w:i w:val="0"/>
                <w:sz w:val="16"/>
              </w:rPr>
              <w:t>Tenant residual at stated total</w:t>
            </w:r>
          </w:p>
        </w:tc>
        <w:tc>
          <w:tcPr>
            <w:tcW w:type="dxa" w:w="1656"/>
          </w:tcPr>
          <w:p>
            <w:pPr>
              <w:spacing w:before="20" w:after="20" w:line="240" w:lineRule="auto"/>
              <w:jc w:val="right"/>
            </w:pPr>
            <w:r/>
            <w:r>
              <w:rPr>
                <w:rFonts w:ascii="Times New Roman" w:hAnsi="Times New Roman"/>
                <w:b w:val="0"/>
                <w:i w:val="0"/>
                <w:sz w:val="16"/>
              </w:rPr>
              <w:t>—</w:t>
            </w:r>
          </w:p>
        </w:tc>
        <w:tc>
          <w:tcPr>
            <w:tcW w:type="dxa" w:w="1656"/>
          </w:tcPr>
          <w:p>
            <w:pPr>
              <w:spacing w:before="20" w:after="20" w:line="240" w:lineRule="auto"/>
              <w:jc w:val="right"/>
            </w:pPr>
            <w:r/>
            <w:r>
              <w:rPr>
                <w:rFonts w:ascii="Times New Roman" w:hAnsi="Times New Roman"/>
                <w:b w:val="0"/>
                <w:i w:val="0"/>
                <w:sz w:val="16"/>
              </w:rPr>
              <w:t>—</w:t>
            </w:r>
          </w:p>
        </w:tc>
        <w:tc>
          <w:tcPr>
            <w:tcW w:type="dxa" w:w="1944"/>
          </w:tcPr>
          <w:p>
            <w:pPr>
              <w:spacing w:before="20" w:after="20" w:line="240" w:lineRule="auto"/>
              <w:jc w:val="right"/>
            </w:pPr>
            <w:r/>
            <w:r>
              <w:rPr>
                <w:rFonts w:ascii="Times New Roman" w:hAnsi="Times New Roman"/>
                <w:b w:val="0"/>
                <w:i w:val="0"/>
                <w:sz w:val="16"/>
              </w:rPr>
              <w:t>$600,000</w:t>
            </w:r>
          </w:p>
        </w:tc>
      </w:tr>
      <w:tr>
        <w:tc>
          <w:tcPr>
            <w:tcW w:type="dxa" w:w="3384"/>
          </w:tcPr>
          <w:p>
            <w:pPr>
              <w:spacing w:before="20" w:after="20" w:line="240" w:lineRule="auto"/>
            </w:pPr>
            <w:r/>
            <w:r>
              <w:rPr>
                <w:rFonts w:ascii="Times New Roman" w:hAnsi="Times New Roman"/>
                <w:b w:val="0"/>
                <w:i w:val="0"/>
                <w:sz w:val="16"/>
              </w:rPr>
              <w:t>Tenant residual if 10% applied</w:t>
            </w:r>
          </w:p>
        </w:tc>
        <w:tc>
          <w:tcPr>
            <w:tcW w:type="dxa" w:w="1656"/>
          </w:tcPr>
          <w:p>
            <w:pPr>
              <w:spacing w:before="20" w:after="20" w:line="240" w:lineRule="auto"/>
              <w:jc w:val="right"/>
            </w:pPr>
            <w:r/>
            <w:r>
              <w:rPr>
                <w:rFonts w:ascii="Times New Roman" w:hAnsi="Times New Roman"/>
                <w:b w:val="0"/>
                <w:i w:val="0"/>
                <w:sz w:val="16"/>
              </w:rPr>
              <w:t>—</w:t>
            </w:r>
          </w:p>
        </w:tc>
        <w:tc>
          <w:tcPr>
            <w:tcW w:type="dxa" w:w="1656"/>
          </w:tcPr>
          <w:p>
            <w:pPr>
              <w:spacing w:before="20" w:after="20" w:line="240" w:lineRule="auto"/>
              <w:jc w:val="right"/>
            </w:pPr>
            <w:r/>
            <w:r>
              <w:rPr>
                <w:rFonts w:ascii="Times New Roman" w:hAnsi="Times New Roman"/>
                <w:b w:val="0"/>
                <w:i w:val="0"/>
                <w:sz w:val="16"/>
              </w:rPr>
              <w:t>—</w:t>
            </w:r>
          </w:p>
        </w:tc>
        <w:tc>
          <w:tcPr>
            <w:tcW w:type="dxa" w:w="1944"/>
          </w:tcPr>
          <w:p>
            <w:pPr>
              <w:spacing w:before="20" w:after="20" w:line="240" w:lineRule="auto"/>
              <w:jc w:val="right"/>
            </w:pPr>
            <w:r/>
            <w:r>
              <w:rPr>
                <w:rFonts w:ascii="Times New Roman" w:hAnsi="Times New Roman"/>
                <w:b w:val="0"/>
                <w:i w:val="0"/>
                <w:sz w:val="16"/>
              </w:rPr>
              <w:t>$702,500</w:t>
            </w:r>
          </w:p>
        </w:tc>
      </w:tr>
    </w:tbl>
    <w:p>
      <w:pPr>
        <w:spacing w:after="40" w:before="0"/>
      </w:pPr>
    </w:p>
    <w:p>
      <w:pPr>
        <w:spacing w:after="120"/>
        <w:ind w:left="0"/>
        <w:jc w:val="both"/>
      </w:pPr>
      <w:r>
        <w:rPr>
          <w:rFonts w:ascii="Times New Roman" w:hAnsi="Times New Roman"/>
          <w:b/>
          <w:i w:val="0"/>
          <w:sz w:val="19"/>
        </w:rPr>
        <w:t>A3.4  Capital stack and uses</w:t>
      </w:r>
    </w:p>
    <w:tbl>
      <w:tblPr>
        <w:tblStyle w:val="TableGrid"/>
        <w:tblW w:type="auto" w:w="0"/>
        <w:jc w:val="center"/>
        <w:tblLayout w:type="fixed"/>
        <w:tblLook w:firstColumn="1" w:firstRow="1" w:lastColumn="0" w:lastRow="0" w:noHBand="0" w:noVBand="1" w:val="04A0"/>
        <w:tblLayout w:type="fixed"/>
        <w:tblW w:type="dxa" w:w="9216"/>
        <w:tblCellMar>
          <w:top w:w="20" w:type="dxa"/>
          <w:left w:w="60" w:type="dxa"/>
          <w:bottom w:w="20" w:type="dxa"/>
          <w:right w:w="60" w:type="dxa"/>
        </w:tblCellMar>
      </w:tblPr>
      <w:tblGrid>
        <w:gridCol w:w="2736"/>
        <w:gridCol w:w="1728"/>
        <w:gridCol w:w="2880"/>
        <w:gridCol w:w="1872"/>
      </w:tblGrid>
      <w:tr>
        <w:trPr>
          <w:tblHeader w:val="true"/>
        </w:trPr>
        <w:tc>
          <w:tcPr>
            <w:tcW w:type="dxa" w:w="2736"/>
            <w:shd w:val="clear" w:color="auto" w:fill="D9D9D9"/>
          </w:tcPr>
          <w:p>
            <w:pPr>
              <w:spacing w:before="20" w:after="20" w:line="240" w:lineRule="auto"/>
            </w:pPr>
            <w:r/>
            <w:r>
              <w:rPr>
                <w:rFonts w:ascii="Times New Roman" w:hAnsi="Times New Roman"/>
                <w:b/>
                <w:i w:val="0"/>
                <w:sz w:val="16"/>
              </w:rPr>
              <w:t>Sources</w:t>
            </w:r>
          </w:p>
        </w:tc>
        <w:tc>
          <w:tcPr>
            <w:tcW w:type="dxa" w:w="1728"/>
            <w:shd w:val="clear" w:color="auto" w:fill="D9D9D9"/>
          </w:tcPr>
          <w:p>
            <w:pPr>
              <w:spacing w:before="20" w:after="20" w:line="240" w:lineRule="auto"/>
            </w:pPr>
            <w:r/>
            <w:r>
              <w:rPr>
                <w:rFonts w:ascii="Times New Roman" w:hAnsi="Times New Roman"/>
                <w:b/>
                <w:i w:val="0"/>
                <w:sz w:val="16"/>
              </w:rPr>
              <w:t>Amount</w:t>
            </w:r>
          </w:p>
        </w:tc>
        <w:tc>
          <w:tcPr>
            <w:tcW w:type="dxa" w:w="2880"/>
            <w:shd w:val="clear" w:color="auto" w:fill="D9D9D9"/>
          </w:tcPr>
          <w:p>
            <w:pPr>
              <w:spacing w:before="20" w:after="20" w:line="240" w:lineRule="auto"/>
            </w:pPr>
            <w:r/>
            <w:r>
              <w:rPr>
                <w:rFonts w:ascii="Times New Roman" w:hAnsi="Times New Roman"/>
                <w:b/>
                <w:i w:val="0"/>
                <w:sz w:val="16"/>
              </w:rPr>
              <w:t>Uses</w:t>
            </w:r>
          </w:p>
        </w:tc>
        <w:tc>
          <w:tcPr>
            <w:tcW w:type="dxa" w:w="1872"/>
            <w:shd w:val="clear" w:color="auto" w:fill="D9D9D9"/>
          </w:tcPr>
          <w:p>
            <w:pPr>
              <w:spacing w:before="20" w:after="20" w:line="240" w:lineRule="auto"/>
            </w:pPr>
            <w:r/>
            <w:r>
              <w:rPr>
                <w:rFonts w:ascii="Times New Roman" w:hAnsi="Times New Roman"/>
                <w:b/>
                <w:i w:val="0"/>
                <w:sz w:val="16"/>
              </w:rPr>
              <w:t>Amount</w:t>
            </w:r>
          </w:p>
        </w:tc>
      </w:tr>
      <w:tr>
        <w:tc>
          <w:tcPr>
            <w:tcW w:type="dxa" w:w="2736"/>
          </w:tcPr>
          <w:p>
            <w:pPr>
              <w:spacing w:before="20" w:after="20" w:line="240" w:lineRule="auto"/>
            </w:pPr>
            <w:r/>
            <w:r>
              <w:rPr>
                <w:rFonts w:ascii="Times New Roman" w:hAnsi="Times New Roman"/>
                <w:b w:val="0"/>
                <w:i w:val="0"/>
                <w:sz w:val="16"/>
              </w:rPr>
              <w:t>Construction loan (Bayside)</w:t>
            </w:r>
          </w:p>
        </w:tc>
        <w:tc>
          <w:tcPr>
            <w:tcW w:type="dxa" w:w="1728"/>
          </w:tcPr>
          <w:p>
            <w:pPr>
              <w:spacing w:before="20" w:after="20" w:line="240" w:lineRule="auto"/>
              <w:jc w:val="right"/>
            </w:pPr>
            <w:r/>
            <w:r>
              <w:rPr>
                <w:rFonts w:ascii="Times New Roman" w:hAnsi="Times New Roman"/>
                <w:b w:val="0"/>
                <w:i w:val="0"/>
                <w:sz w:val="16"/>
              </w:rPr>
              <w:t>$285,000,000</w:t>
            </w:r>
          </w:p>
        </w:tc>
        <w:tc>
          <w:tcPr>
            <w:tcW w:type="dxa" w:w="2880"/>
          </w:tcPr>
          <w:p>
            <w:pPr>
              <w:spacing w:before="20" w:after="20" w:line="240" w:lineRule="auto"/>
            </w:pPr>
            <w:r/>
            <w:r>
              <w:rPr>
                <w:rFonts w:ascii="Times New Roman" w:hAnsi="Times New Roman"/>
                <w:b w:val="0"/>
                <w:i w:val="0"/>
                <w:sz w:val="16"/>
              </w:rPr>
              <w:t>Hard costs</w:t>
            </w:r>
          </w:p>
        </w:tc>
        <w:tc>
          <w:tcPr>
            <w:tcW w:type="dxa" w:w="1872"/>
          </w:tcPr>
          <w:p>
            <w:pPr>
              <w:spacing w:before="20" w:after="20" w:line="240" w:lineRule="auto"/>
              <w:jc w:val="right"/>
            </w:pPr>
            <w:r/>
            <w:r>
              <w:rPr>
                <w:rFonts w:ascii="Times New Roman" w:hAnsi="Times New Roman"/>
                <w:b w:val="0"/>
                <w:i w:val="0"/>
                <w:sz w:val="16"/>
              </w:rPr>
              <w:t>$352,000,000</w:t>
            </w:r>
          </w:p>
        </w:tc>
      </w:tr>
      <w:tr>
        <w:tc>
          <w:tcPr>
            <w:tcW w:type="dxa" w:w="2736"/>
          </w:tcPr>
          <w:p>
            <w:pPr>
              <w:spacing w:before="20" w:after="20" w:line="240" w:lineRule="auto"/>
            </w:pPr>
            <w:r/>
            <w:r>
              <w:rPr>
                <w:rFonts w:ascii="Times New Roman" w:hAnsi="Times New Roman"/>
                <w:b w:val="0"/>
                <w:i w:val="0"/>
                <w:sz w:val="16"/>
              </w:rPr>
              <w:t>Preferred equity (Coventry)</w:t>
            </w:r>
          </w:p>
        </w:tc>
        <w:tc>
          <w:tcPr>
            <w:tcW w:type="dxa" w:w="1728"/>
          </w:tcPr>
          <w:p>
            <w:pPr>
              <w:spacing w:before="20" w:after="20" w:line="240" w:lineRule="auto"/>
              <w:jc w:val="right"/>
            </w:pPr>
            <w:r/>
            <w:r>
              <w:rPr>
                <w:rFonts w:ascii="Times New Roman" w:hAnsi="Times New Roman"/>
                <w:b w:val="0"/>
                <w:i w:val="0"/>
                <w:sz w:val="16"/>
              </w:rPr>
              <w:t>$95,000,000</w:t>
            </w:r>
          </w:p>
        </w:tc>
        <w:tc>
          <w:tcPr>
            <w:tcW w:type="dxa" w:w="2880"/>
          </w:tcPr>
          <w:p>
            <w:pPr>
              <w:spacing w:before="20" w:after="20" w:line="240" w:lineRule="auto"/>
            </w:pPr>
            <w:r/>
            <w:r>
              <w:rPr>
                <w:rFonts w:ascii="Times New Roman" w:hAnsi="Times New Roman"/>
                <w:b w:val="0"/>
                <w:i w:val="0"/>
                <w:sz w:val="16"/>
              </w:rPr>
              <w:t>Soft costs</w:t>
            </w:r>
          </w:p>
        </w:tc>
        <w:tc>
          <w:tcPr>
            <w:tcW w:type="dxa" w:w="1872"/>
          </w:tcPr>
          <w:p>
            <w:pPr>
              <w:spacing w:before="20" w:after="20" w:line="240" w:lineRule="auto"/>
              <w:jc w:val="right"/>
            </w:pPr>
            <w:r/>
            <w:r>
              <w:rPr>
                <w:rFonts w:ascii="Times New Roman" w:hAnsi="Times New Roman"/>
                <w:b w:val="0"/>
                <w:i w:val="0"/>
                <w:sz w:val="16"/>
              </w:rPr>
              <w:t>$38,500,000</w:t>
            </w:r>
          </w:p>
        </w:tc>
      </w:tr>
      <w:tr>
        <w:tc>
          <w:tcPr>
            <w:tcW w:type="dxa" w:w="2736"/>
          </w:tcPr>
          <w:p>
            <w:pPr>
              <w:spacing w:before="20" w:after="20" w:line="240" w:lineRule="auto"/>
            </w:pPr>
            <w:r/>
            <w:r>
              <w:rPr>
                <w:rFonts w:ascii="Times New Roman" w:hAnsi="Times New Roman"/>
                <w:b w:val="0"/>
                <w:i w:val="0"/>
                <w:sz w:val="16"/>
              </w:rPr>
              <w:t>Co-invest (Meridian)</w:t>
            </w:r>
          </w:p>
        </w:tc>
        <w:tc>
          <w:tcPr>
            <w:tcW w:type="dxa" w:w="1728"/>
          </w:tcPr>
          <w:p>
            <w:pPr>
              <w:spacing w:before="20" w:after="20" w:line="240" w:lineRule="auto"/>
              <w:jc w:val="right"/>
            </w:pPr>
            <w:r/>
            <w:r>
              <w:rPr>
                <w:rFonts w:ascii="Times New Roman" w:hAnsi="Times New Roman"/>
                <w:b w:val="0"/>
                <w:i w:val="0"/>
                <w:sz w:val="16"/>
              </w:rPr>
              <w:t>$45,000,000</w:t>
            </w:r>
          </w:p>
        </w:tc>
        <w:tc>
          <w:tcPr>
            <w:tcW w:type="dxa" w:w="2880"/>
          </w:tcPr>
          <w:p>
            <w:pPr>
              <w:spacing w:before="20" w:after="20" w:line="240" w:lineRule="auto"/>
            </w:pPr>
            <w:r/>
            <w:r>
              <w:rPr>
                <w:rFonts w:ascii="Times New Roman" w:hAnsi="Times New Roman"/>
                <w:b w:val="0"/>
                <w:i w:val="0"/>
                <w:sz w:val="16"/>
              </w:rPr>
              <w:t>Contingency</w:t>
            </w:r>
          </w:p>
        </w:tc>
        <w:tc>
          <w:tcPr>
            <w:tcW w:type="dxa" w:w="1872"/>
          </w:tcPr>
          <w:p>
            <w:pPr>
              <w:spacing w:before="20" w:after="20" w:line="240" w:lineRule="auto"/>
              <w:jc w:val="right"/>
            </w:pPr>
            <w:r/>
            <w:r>
              <w:rPr>
                <w:rFonts w:ascii="Times New Roman" w:hAnsi="Times New Roman"/>
                <w:b w:val="0"/>
                <w:i w:val="0"/>
                <w:sz w:val="16"/>
              </w:rPr>
              <w:t>$34,500,000</w:t>
            </w:r>
          </w:p>
        </w:tc>
      </w:tr>
      <w:tr>
        <w:tc>
          <w:tcPr>
            <w:tcW w:type="dxa" w:w="2736"/>
          </w:tcPr>
          <w:p>
            <w:pPr>
              <w:spacing w:before="20" w:after="20" w:line="240" w:lineRule="auto"/>
            </w:pPr>
            <w:r/>
            <w:r>
              <w:rPr>
                <w:rFonts w:ascii="Times New Roman" w:hAnsi="Times New Roman"/>
                <w:b/>
                <w:i w:val="0"/>
                <w:sz w:val="16"/>
              </w:rPr>
              <w:t>Total sources</w:t>
            </w:r>
          </w:p>
        </w:tc>
        <w:tc>
          <w:tcPr>
            <w:tcW w:type="dxa" w:w="1728"/>
          </w:tcPr>
          <w:p>
            <w:pPr>
              <w:spacing w:before="20" w:after="20" w:line="240" w:lineRule="auto"/>
              <w:jc w:val="right"/>
            </w:pPr>
            <w:r/>
            <w:r>
              <w:rPr>
                <w:rFonts w:ascii="Times New Roman" w:hAnsi="Times New Roman"/>
                <w:b/>
                <w:i w:val="0"/>
                <w:sz w:val="16"/>
              </w:rPr>
              <w:t>$425,000,000</w:t>
            </w:r>
          </w:p>
        </w:tc>
        <w:tc>
          <w:tcPr>
            <w:tcW w:type="dxa" w:w="2880"/>
          </w:tcPr>
          <w:p>
            <w:pPr>
              <w:spacing w:before="20" w:after="20" w:line="240" w:lineRule="auto"/>
            </w:pPr>
            <w:r/>
            <w:r>
              <w:rPr>
                <w:rFonts w:ascii="Times New Roman" w:hAnsi="Times New Roman"/>
                <w:b/>
                <w:i w:val="0"/>
                <w:sz w:val="16"/>
              </w:rPr>
              <w:t>Total uses</w:t>
            </w:r>
          </w:p>
        </w:tc>
        <w:tc>
          <w:tcPr>
            <w:tcW w:type="dxa" w:w="1872"/>
          </w:tcPr>
          <w:p>
            <w:pPr>
              <w:spacing w:before="20" w:after="20" w:line="240" w:lineRule="auto"/>
              <w:jc w:val="right"/>
            </w:pPr>
            <w:r/>
            <w:r>
              <w:rPr>
                <w:rFonts w:ascii="Times New Roman" w:hAnsi="Times New Roman"/>
                <w:b/>
                <w:i w:val="0"/>
                <w:sz w:val="16"/>
              </w:rPr>
              <w:t>$425,000,000</w:t>
            </w:r>
          </w:p>
        </w:tc>
      </w:tr>
      <w:tr>
        <w:tc>
          <w:tcPr>
            <w:tcW w:type="dxa" w:w="2736"/>
          </w:tcPr>
          <w:p>
            <w:pPr>
              <w:spacing w:before="20" w:after="20" w:line="240" w:lineRule="auto"/>
            </w:pPr>
            <w:r/>
            <w:r>
              <w:rPr>
                <w:rFonts w:ascii="Times New Roman" w:hAnsi="Times New Roman"/>
                <w:b w:val="0"/>
                <w:i w:val="0"/>
                <w:sz w:val="16"/>
              </w:rPr>
              <w:t>Loan-to-cost</w:t>
            </w:r>
          </w:p>
        </w:tc>
        <w:tc>
          <w:tcPr>
            <w:tcW w:type="dxa" w:w="1728"/>
          </w:tcPr>
          <w:p>
            <w:pPr>
              <w:spacing w:before="20" w:after="20" w:line="240" w:lineRule="auto"/>
              <w:jc w:val="right"/>
            </w:pPr>
            <w:r/>
            <w:r>
              <w:rPr>
                <w:rFonts w:ascii="Times New Roman" w:hAnsi="Times New Roman"/>
                <w:b w:val="0"/>
                <w:i w:val="0"/>
                <w:sz w:val="16"/>
              </w:rPr>
              <w:t>67.06%</w:t>
            </w:r>
          </w:p>
        </w:tc>
        <w:tc>
          <w:tcPr>
            <w:tcW w:type="dxa" w:w="2880"/>
          </w:tcPr>
          <w:p>
            <w:pPr>
              <w:spacing w:before="20" w:after="20" w:line="240" w:lineRule="auto"/>
            </w:pPr>
            <w:r/>
            <w:r>
              <w:rPr>
                <w:rFonts w:ascii="Times New Roman" w:hAnsi="Times New Roman"/>
                <w:b w:val="0"/>
                <w:i w:val="0"/>
                <w:sz w:val="16"/>
              </w:rPr>
              <w:t>Origination fee (1.00%)</w:t>
            </w:r>
          </w:p>
        </w:tc>
        <w:tc>
          <w:tcPr>
            <w:tcW w:type="dxa" w:w="1872"/>
          </w:tcPr>
          <w:p>
            <w:pPr>
              <w:spacing w:before="20" w:after="20" w:line="240" w:lineRule="auto"/>
              <w:jc w:val="right"/>
            </w:pPr>
            <w:r/>
            <w:r>
              <w:rPr>
                <w:rFonts w:ascii="Times New Roman" w:hAnsi="Times New Roman"/>
                <w:b w:val="0"/>
                <w:i w:val="0"/>
                <w:sz w:val="16"/>
              </w:rPr>
              <w:t>$2,850,000</w:t>
            </w:r>
          </w:p>
        </w:tc>
      </w:tr>
      <w:tr>
        <w:tc>
          <w:tcPr>
            <w:tcW w:type="dxa" w:w="2736"/>
          </w:tcPr>
          <w:p>
            <w:pPr>
              <w:spacing w:before="20" w:after="20" w:line="240" w:lineRule="auto"/>
            </w:pPr>
            <w:r/>
          </w:p>
        </w:tc>
        <w:tc>
          <w:tcPr>
            <w:tcW w:type="dxa" w:w="1728"/>
          </w:tcPr>
          <w:p>
            <w:pPr>
              <w:spacing w:before="20" w:after="20" w:line="240" w:lineRule="auto"/>
              <w:jc w:val="right"/>
            </w:pPr>
            <w:r/>
          </w:p>
        </w:tc>
        <w:tc>
          <w:tcPr>
            <w:tcW w:type="dxa" w:w="2880"/>
          </w:tcPr>
          <w:p>
            <w:pPr>
              <w:spacing w:before="20" w:after="20" w:line="240" w:lineRule="auto"/>
            </w:pPr>
            <w:r/>
            <w:r>
              <w:rPr>
                <w:rFonts w:ascii="Times New Roman" w:hAnsi="Times New Roman"/>
                <w:b w:val="0"/>
                <w:i w:val="0"/>
                <w:sz w:val="16"/>
              </w:rPr>
              <w:t>Remediation (not budgeted)</w:t>
            </w:r>
          </w:p>
        </w:tc>
        <w:tc>
          <w:tcPr>
            <w:tcW w:type="dxa" w:w="1872"/>
          </w:tcPr>
          <w:p>
            <w:pPr>
              <w:spacing w:before="20" w:after="20" w:line="240" w:lineRule="auto"/>
              <w:jc w:val="right"/>
            </w:pPr>
            <w:r/>
            <w:r>
              <w:rPr>
                <w:rFonts w:ascii="Times New Roman" w:hAnsi="Times New Roman"/>
                <w:b w:val="0"/>
                <w:i w:val="0"/>
                <w:sz w:val="16"/>
              </w:rPr>
              <w:t>$2,400,000</w:t>
            </w:r>
          </w:p>
        </w:tc>
      </w:tr>
      <w:tr>
        <w:tc>
          <w:tcPr>
            <w:tcW w:type="dxa" w:w="2736"/>
          </w:tcPr>
          <w:p>
            <w:pPr>
              <w:spacing w:before="20" w:after="20" w:line="240" w:lineRule="auto"/>
            </w:pPr>
            <w:r/>
          </w:p>
        </w:tc>
        <w:tc>
          <w:tcPr>
            <w:tcW w:type="dxa" w:w="1728"/>
          </w:tcPr>
          <w:p>
            <w:pPr>
              <w:spacing w:before="20" w:after="20" w:line="240" w:lineRule="auto"/>
              <w:jc w:val="right"/>
            </w:pPr>
            <w:r/>
          </w:p>
        </w:tc>
        <w:tc>
          <w:tcPr>
            <w:tcW w:type="dxa" w:w="2880"/>
          </w:tcPr>
          <w:p>
            <w:pPr>
              <w:spacing w:before="20" w:after="20" w:line="240" w:lineRule="auto"/>
            </w:pPr>
            <w:r/>
            <w:r>
              <w:rPr>
                <w:rFonts w:ascii="Times New Roman" w:hAnsi="Times New Roman"/>
                <w:b w:val="0"/>
                <w:i w:val="0"/>
                <w:sz w:val="16"/>
              </w:rPr>
              <w:t>Bulkhead (not budgeted, unquantified)</w:t>
            </w:r>
          </w:p>
        </w:tc>
        <w:tc>
          <w:tcPr>
            <w:tcW w:type="dxa" w:w="1872"/>
          </w:tcPr>
          <w:p>
            <w:pPr>
              <w:spacing w:before="20" w:after="20" w:line="240" w:lineRule="auto"/>
              <w:jc w:val="right"/>
            </w:pPr>
            <w:r/>
            <w:r>
              <w:rPr>
                <w:rFonts w:ascii="Times New Roman" w:hAnsi="Times New Roman"/>
                <w:b w:val="0"/>
                <w:i w:val="0"/>
                <w:sz w:val="16"/>
              </w:rPr>
              <w:t>TBD</w:t>
            </w:r>
          </w:p>
        </w:tc>
      </w:tr>
    </w:tbl>
    <w:p>
      <w:pPr>
        <w:spacing w:after="40" w:before="0"/>
      </w:pPr>
    </w:p>
    <w:p>
      <w:r>
        <w:br w:type="page"/>
      </w:r>
    </w:p>
    <w:p>
      <w:pPr>
        <w:spacing w:after="80"/>
        <w:jc w:val="center"/>
      </w:pPr>
      <w:r>
        <w:rPr>
          <w:rFonts w:ascii="Times New Roman" w:hAnsi="Times New Roman"/>
          <w:b/>
          <w:i w:val="0"/>
          <w:sz w:val="24"/>
        </w:rPr>
        <w:t>APPENDIX 4</w:t>
      </w:r>
    </w:p>
    <w:p>
      <w:pPr>
        <w:spacing w:after="200"/>
        <w:jc w:val="center"/>
      </w:pPr>
      <w:r>
        <w:rPr>
          <w:rFonts w:ascii="Times New Roman" w:hAnsi="Times New Roman"/>
          <w:b/>
          <w:i w:val="0"/>
          <w:sz w:val="22"/>
        </w:rPr>
        <w:t>OPEN ITEMS CHECKLIST</w:t>
      </w:r>
    </w:p>
    <w:tbl>
      <w:tblPr>
        <w:tblStyle w:val="TableGrid"/>
        <w:tblW w:type="auto" w:w="0"/>
        <w:jc w:val="center"/>
        <w:tblLayout w:type="fixed"/>
        <w:tblLook w:firstColumn="1" w:firstRow="1" w:lastColumn="0" w:lastRow="0" w:noHBand="0" w:noVBand="1" w:val="04A0"/>
        <w:tblLayout w:type="fixed"/>
        <w:tblW w:type="dxa" w:w="9216"/>
        <w:tblCellMar>
          <w:top w:w="20" w:type="dxa"/>
          <w:left w:w="60" w:type="dxa"/>
          <w:bottom w:w="20" w:type="dxa"/>
          <w:right w:w="60" w:type="dxa"/>
        </w:tblCellMar>
      </w:tblPr>
      <w:tblGrid>
        <w:gridCol w:w="504"/>
        <w:gridCol w:w="4392"/>
        <w:gridCol w:w="1224"/>
        <w:gridCol w:w="1872"/>
        <w:gridCol w:w="1224"/>
      </w:tblGrid>
      <w:tr>
        <w:trPr>
          <w:tblHeader w:val="true"/>
        </w:trPr>
        <w:tc>
          <w:tcPr>
            <w:tcW w:type="dxa" w:w="504"/>
            <w:shd w:val="clear" w:color="auto" w:fill="D9D9D9"/>
          </w:tcPr>
          <w:p>
            <w:pPr>
              <w:spacing w:before="20" w:after="20" w:line="240" w:lineRule="auto"/>
            </w:pPr>
            <w:r/>
            <w:r>
              <w:rPr>
                <w:rFonts w:ascii="Times New Roman" w:hAnsi="Times New Roman"/>
                <w:b/>
                <w:i w:val="0"/>
                <w:sz w:val="15"/>
              </w:rPr>
              <w:t>#</w:t>
            </w:r>
          </w:p>
        </w:tc>
        <w:tc>
          <w:tcPr>
            <w:tcW w:type="dxa" w:w="4392"/>
            <w:shd w:val="clear" w:color="auto" w:fill="D9D9D9"/>
          </w:tcPr>
          <w:p>
            <w:pPr>
              <w:spacing w:before="20" w:after="20" w:line="240" w:lineRule="auto"/>
            </w:pPr>
            <w:r/>
            <w:r>
              <w:rPr>
                <w:rFonts w:ascii="Times New Roman" w:hAnsi="Times New Roman"/>
                <w:b/>
                <w:i w:val="0"/>
                <w:sz w:val="15"/>
              </w:rPr>
              <w:t>Item</w:t>
            </w:r>
          </w:p>
        </w:tc>
        <w:tc>
          <w:tcPr>
            <w:tcW w:type="dxa" w:w="1224"/>
            <w:shd w:val="clear" w:color="auto" w:fill="D9D9D9"/>
          </w:tcPr>
          <w:p>
            <w:pPr>
              <w:spacing w:before="20" w:after="20" w:line="240" w:lineRule="auto"/>
            </w:pPr>
            <w:r/>
            <w:r>
              <w:rPr>
                <w:rFonts w:ascii="Times New Roman" w:hAnsi="Times New Roman"/>
                <w:b/>
                <w:i w:val="0"/>
                <w:sz w:val="15"/>
              </w:rPr>
              <w:t>Type</w:t>
            </w:r>
          </w:p>
        </w:tc>
        <w:tc>
          <w:tcPr>
            <w:tcW w:type="dxa" w:w="1872"/>
            <w:shd w:val="clear" w:color="auto" w:fill="D9D9D9"/>
          </w:tcPr>
          <w:p>
            <w:pPr>
              <w:spacing w:before="20" w:after="20" w:line="240" w:lineRule="auto"/>
            </w:pPr>
            <w:r/>
            <w:r>
              <w:rPr>
                <w:rFonts w:ascii="Times New Roman" w:hAnsi="Times New Roman"/>
                <w:b/>
                <w:i w:val="0"/>
                <w:sz w:val="15"/>
              </w:rPr>
              <w:t>Owner</w:t>
            </w:r>
          </w:p>
        </w:tc>
        <w:tc>
          <w:tcPr>
            <w:tcW w:type="dxa" w:w="1224"/>
            <w:shd w:val="clear" w:color="auto" w:fill="D9D9D9"/>
          </w:tcPr>
          <w:p>
            <w:pPr>
              <w:spacing w:before="20" w:after="20" w:line="240" w:lineRule="auto"/>
            </w:pPr>
            <w:r/>
            <w:r>
              <w:rPr>
                <w:rFonts w:ascii="Times New Roman" w:hAnsi="Times New Roman"/>
                <w:b/>
                <w:i w:val="0"/>
                <w:sz w:val="15"/>
              </w:rPr>
              <w:t>Target</w:t>
            </w:r>
          </w:p>
        </w:tc>
      </w:tr>
      <w:tr>
        <w:tc>
          <w:tcPr>
            <w:tcW w:type="dxa" w:w="504"/>
          </w:tcPr>
          <w:p>
            <w:pPr>
              <w:spacing w:before="20" w:after="20" w:line="240" w:lineRule="auto"/>
            </w:pPr>
            <w:r/>
            <w:r>
              <w:rPr>
                <w:rFonts w:ascii="Times New Roman" w:hAnsi="Times New Roman"/>
                <w:b w:val="0"/>
                <w:i w:val="0"/>
                <w:sz w:val="15"/>
              </w:rPr>
              <w:t>1</w:t>
            </w:r>
          </w:p>
        </w:tc>
        <w:tc>
          <w:tcPr>
            <w:tcW w:type="dxa" w:w="4392"/>
          </w:tcPr>
          <w:p>
            <w:pPr>
              <w:spacing w:before="20" w:after="20" w:line="240" w:lineRule="auto"/>
            </w:pPr>
            <w:r/>
            <w:r>
              <w:rPr>
                <w:rFonts w:ascii="Times New Roman" w:hAnsi="Times New Roman"/>
                <w:b w:val="0"/>
                <w:i w:val="0"/>
                <w:sz w:val="15"/>
              </w:rPr>
              <w:t>Confirm bracketed policy items in Part 11 (extension option; rent figures; freeboard; damages cap; cash deposit)</w:t>
            </w:r>
          </w:p>
        </w:tc>
        <w:tc>
          <w:tcPr>
            <w:tcW w:type="dxa" w:w="1224"/>
          </w:tcPr>
          <w:p>
            <w:pPr>
              <w:spacing w:before="20" w:after="20" w:line="240" w:lineRule="auto"/>
            </w:pPr>
            <w:r/>
            <w:r>
              <w:rPr>
                <w:rFonts w:ascii="Times New Roman" w:hAnsi="Times New Roman"/>
                <w:b w:val="0"/>
                <w:i w:val="0"/>
                <w:sz w:val="15"/>
              </w:rPr>
              <w:t>Instruction</w:t>
            </w:r>
          </w:p>
        </w:tc>
        <w:tc>
          <w:tcPr>
            <w:tcW w:type="dxa" w:w="1872"/>
          </w:tcPr>
          <w:p>
            <w:pPr>
              <w:spacing w:before="20" w:after="20" w:line="240" w:lineRule="auto"/>
            </w:pPr>
            <w:r/>
            <w:r>
              <w:rPr>
                <w:rFonts w:ascii="Times New Roman" w:hAnsi="Times New Roman"/>
                <w:b w:val="0"/>
                <w:i w:val="0"/>
                <w:sz w:val="15"/>
              </w:rPr>
              <w:t>M. Ellison</w:t>
            </w:r>
          </w:p>
        </w:tc>
        <w:tc>
          <w:tcPr>
            <w:tcW w:type="dxa" w:w="1224"/>
          </w:tcPr>
          <w:p>
            <w:pPr>
              <w:spacing w:before="20" w:after="20" w:line="240" w:lineRule="auto"/>
            </w:pPr>
            <w:r/>
            <w:r>
              <w:rPr>
                <w:rFonts w:ascii="Times New Roman" w:hAnsi="Times New Roman"/>
                <w:b w:val="0"/>
                <w:i w:val="0"/>
                <w:sz w:val="15"/>
              </w:rPr>
              <w:t>June 24</w:t>
            </w:r>
          </w:p>
        </w:tc>
      </w:tr>
      <w:tr>
        <w:tc>
          <w:tcPr>
            <w:tcW w:type="dxa" w:w="504"/>
          </w:tcPr>
          <w:p>
            <w:pPr>
              <w:spacing w:before="20" w:after="20" w:line="240" w:lineRule="auto"/>
            </w:pPr>
            <w:r/>
            <w:r>
              <w:rPr>
                <w:rFonts w:ascii="Times New Roman" w:hAnsi="Times New Roman"/>
                <w:b w:val="0"/>
                <w:i w:val="0"/>
                <w:sz w:val="15"/>
              </w:rPr>
              <w:t>2</w:t>
            </w:r>
          </w:p>
        </w:tc>
        <w:tc>
          <w:tcPr>
            <w:tcW w:type="dxa" w:w="4392"/>
          </w:tcPr>
          <w:p>
            <w:pPr>
              <w:spacing w:before="20" w:after="20" w:line="240" w:lineRule="auto"/>
            </w:pPr>
            <w:r/>
            <w:r>
              <w:rPr>
                <w:rFonts w:ascii="Times New Roman" w:hAnsi="Times New Roman"/>
                <w:b w:val="0"/>
                <w:i w:val="0"/>
                <w:sz w:val="15"/>
              </w:rPr>
              <w:t>Confirm Bayside term sheet executed; obtain lender's ground lease and SNDA checklists</w:t>
            </w:r>
          </w:p>
        </w:tc>
        <w:tc>
          <w:tcPr>
            <w:tcW w:type="dxa" w:w="1224"/>
          </w:tcPr>
          <w:p>
            <w:pPr>
              <w:spacing w:before="20" w:after="20" w:line="240" w:lineRule="auto"/>
            </w:pPr>
            <w:r/>
            <w:r>
              <w:rPr>
                <w:rFonts w:ascii="Times New Roman" w:hAnsi="Times New Roman"/>
                <w:b w:val="0"/>
                <w:i w:val="0"/>
                <w:sz w:val="15"/>
              </w:rPr>
              <w:t>Diligence</w:t>
            </w:r>
          </w:p>
        </w:tc>
        <w:tc>
          <w:tcPr>
            <w:tcW w:type="dxa" w:w="1872"/>
          </w:tcPr>
          <w:p>
            <w:pPr>
              <w:spacing w:before="20" w:after="20" w:line="240" w:lineRule="auto"/>
            </w:pPr>
            <w:r/>
            <w:r>
              <w:rPr>
                <w:rFonts w:ascii="Times New Roman" w:hAnsi="Times New Roman"/>
                <w:b w:val="0"/>
                <w:i w:val="0"/>
                <w:sz w:val="15"/>
              </w:rPr>
              <w:t>M. Ellison / S. Milliken</w:t>
            </w:r>
          </w:p>
        </w:tc>
        <w:tc>
          <w:tcPr>
            <w:tcW w:type="dxa" w:w="1224"/>
          </w:tcPr>
          <w:p>
            <w:pPr>
              <w:spacing w:before="20" w:after="20" w:line="240" w:lineRule="auto"/>
            </w:pPr>
            <w:r/>
            <w:r>
              <w:rPr>
                <w:rFonts w:ascii="Times New Roman" w:hAnsi="Times New Roman"/>
                <w:b w:val="0"/>
                <w:i w:val="0"/>
                <w:sz w:val="15"/>
              </w:rPr>
              <w:t>June 27</w:t>
            </w:r>
          </w:p>
        </w:tc>
      </w:tr>
      <w:tr>
        <w:tc>
          <w:tcPr>
            <w:tcW w:type="dxa" w:w="504"/>
          </w:tcPr>
          <w:p>
            <w:pPr>
              <w:spacing w:before="20" w:after="20" w:line="240" w:lineRule="auto"/>
            </w:pPr>
            <w:r/>
            <w:r>
              <w:rPr>
                <w:rFonts w:ascii="Times New Roman" w:hAnsi="Times New Roman"/>
                <w:b w:val="0"/>
                <w:i w:val="0"/>
                <w:sz w:val="15"/>
              </w:rPr>
              <w:t>3</w:t>
            </w:r>
          </w:p>
        </w:tc>
        <w:tc>
          <w:tcPr>
            <w:tcW w:type="dxa" w:w="4392"/>
          </w:tcPr>
          <w:p>
            <w:pPr>
              <w:spacing w:before="20" w:after="20" w:line="240" w:lineRule="auto"/>
            </w:pPr>
            <w:r/>
            <w:r>
              <w:rPr>
                <w:rFonts w:ascii="Times New Roman" w:hAnsi="Times New Roman"/>
                <w:b w:val="0"/>
                <w:i w:val="0"/>
                <w:sz w:val="15"/>
              </w:rPr>
              <w:t>Request survey plat and re-certification; obtain CLS-2025-0321 if it exists</w:t>
            </w:r>
          </w:p>
        </w:tc>
        <w:tc>
          <w:tcPr>
            <w:tcW w:type="dxa" w:w="1224"/>
          </w:tcPr>
          <w:p>
            <w:pPr>
              <w:spacing w:before="20" w:after="20" w:line="240" w:lineRule="auto"/>
            </w:pPr>
            <w:r/>
            <w:r>
              <w:rPr>
                <w:rFonts w:ascii="Times New Roman" w:hAnsi="Times New Roman"/>
                <w:b w:val="0"/>
                <w:i w:val="0"/>
                <w:sz w:val="15"/>
              </w:rPr>
              <w:t>Diligence</w:t>
            </w:r>
          </w:p>
        </w:tc>
        <w:tc>
          <w:tcPr>
            <w:tcW w:type="dxa" w:w="1872"/>
          </w:tcPr>
          <w:p>
            <w:pPr>
              <w:spacing w:before="20" w:after="20" w:line="240" w:lineRule="auto"/>
            </w:pPr>
            <w:r/>
            <w:r>
              <w:rPr>
                <w:rFonts w:ascii="Times New Roman" w:hAnsi="Times New Roman"/>
                <w:b w:val="0"/>
                <w:i w:val="0"/>
                <w:sz w:val="15"/>
              </w:rPr>
              <w:t>J. Abernathy</w:t>
            </w:r>
          </w:p>
        </w:tc>
        <w:tc>
          <w:tcPr>
            <w:tcW w:type="dxa" w:w="1224"/>
          </w:tcPr>
          <w:p>
            <w:pPr>
              <w:spacing w:before="20" w:after="20" w:line="240" w:lineRule="auto"/>
            </w:pPr>
            <w:r/>
            <w:r>
              <w:rPr>
                <w:rFonts w:ascii="Times New Roman" w:hAnsi="Times New Roman"/>
                <w:b w:val="0"/>
                <w:i w:val="0"/>
                <w:sz w:val="15"/>
              </w:rPr>
              <w:t>June 27</w:t>
            </w:r>
          </w:p>
        </w:tc>
      </w:tr>
      <w:tr>
        <w:tc>
          <w:tcPr>
            <w:tcW w:type="dxa" w:w="504"/>
          </w:tcPr>
          <w:p>
            <w:pPr>
              <w:spacing w:before="20" w:after="20" w:line="240" w:lineRule="auto"/>
            </w:pPr>
            <w:r/>
            <w:r>
              <w:rPr>
                <w:rFonts w:ascii="Times New Roman" w:hAnsi="Times New Roman"/>
                <w:b w:val="0"/>
                <w:i w:val="0"/>
                <w:sz w:val="15"/>
              </w:rPr>
              <w:t>4</w:t>
            </w:r>
          </w:p>
        </w:tc>
        <w:tc>
          <w:tcPr>
            <w:tcW w:type="dxa" w:w="4392"/>
          </w:tcPr>
          <w:p>
            <w:pPr>
              <w:spacing w:before="20" w:after="20" w:line="240" w:lineRule="auto"/>
            </w:pPr>
            <w:r/>
            <w:r>
              <w:rPr>
                <w:rFonts w:ascii="Times New Roman" w:hAnsi="Times New Roman"/>
                <w:b w:val="0"/>
                <w:i w:val="0"/>
                <w:sz w:val="15"/>
              </w:rPr>
              <w:t>Request Phase II full report, Appendices A–J, ELUR instrument and EMP</w:t>
            </w:r>
          </w:p>
        </w:tc>
        <w:tc>
          <w:tcPr>
            <w:tcW w:type="dxa" w:w="1224"/>
          </w:tcPr>
          <w:p>
            <w:pPr>
              <w:spacing w:before="20" w:after="20" w:line="240" w:lineRule="auto"/>
            </w:pPr>
            <w:r/>
            <w:r>
              <w:rPr>
                <w:rFonts w:ascii="Times New Roman" w:hAnsi="Times New Roman"/>
                <w:b w:val="0"/>
                <w:i w:val="0"/>
                <w:sz w:val="15"/>
              </w:rPr>
              <w:t>Diligence</w:t>
            </w:r>
          </w:p>
        </w:tc>
        <w:tc>
          <w:tcPr>
            <w:tcW w:type="dxa" w:w="1872"/>
          </w:tcPr>
          <w:p>
            <w:pPr>
              <w:spacing w:before="20" w:after="20" w:line="240" w:lineRule="auto"/>
            </w:pPr>
            <w:r/>
            <w:r>
              <w:rPr>
                <w:rFonts w:ascii="Times New Roman" w:hAnsi="Times New Roman"/>
                <w:b w:val="0"/>
                <w:i w:val="0"/>
                <w:sz w:val="15"/>
              </w:rPr>
              <w:t>J. Abernathy</w:t>
            </w:r>
          </w:p>
        </w:tc>
        <w:tc>
          <w:tcPr>
            <w:tcW w:type="dxa" w:w="1224"/>
          </w:tcPr>
          <w:p>
            <w:pPr>
              <w:spacing w:before="20" w:after="20" w:line="240" w:lineRule="auto"/>
            </w:pPr>
            <w:r/>
            <w:r>
              <w:rPr>
                <w:rFonts w:ascii="Times New Roman" w:hAnsi="Times New Roman"/>
                <w:b w:val="0"/>
                <w:i w:val="0"/>
                <w:sz w:val="15"/>
              </w:rPr>
              <w:t>June 27</w:t>
            </w:r>
          </w:p>
        </w:tc>
      </w:tr>
      <w:tr>
        <w:tc>
          <w:tcPr>
            <w:tcW w:type="dxa" w:w="504"/>
          </w:tcPr>
          <w:p>
            <w:pPr>
              <w:spacing w:before="20" w:after="20" w:line="240" w:lineRule="auto"/>
            </w:pPr>
            <w:r/>
            <w:r>
              <w:rPr>
                <w:rFonts w:ascii="Times New Roman" w:hAnsi="Times New Roman"/>
                <w:b w:val="0"/>
                <w:i w:val="0"/>
                <w:sz w:val="15"/>
              </w:rPr>
              <w:t>5</w:t>
            </w:r>
          </w:p>
        </w:tc>
        <w:tc>
          <w:tcPr>
            <w:tcW w:type="dxa" w:w="4392"/>
          </w:tcPr>
          <w:p>
            <w:pPr>
              <w:spacing w:before="20" w:after="20" w:line="240" w:lineRule="auto"/>
            </w:pPr>
            <w:r/>
            <w:r>
              <w:rPr>
                <w:rFonts w:ascii="Times New Roman" w:hAnsi="Times New Roman"/>
                <w:b w:val="0"/>
                <w:i w:val="0"/>
                <w:sz w:val="15"/>
              </w:rPr>
              <w:t>Request recorded 2019 declarations (ROFR and affordable covenant)</w:t>
            </w:r>
          </w:p>
        </w:tc>
        <w:tc>
          <w:tcPr>
            <w:tcW w:type="dxa" w:w="1224"/>
          </w:tcPr>
          <w:p>
            <w:pPr>
              <w:spacing w:before="20" w:after="20" w:line="240" w:lineRule="auto"/>
            </w:pPr>
            <w:r/>
            <w:r>
              <w:rPr>
                <w:rFonts w:ascii="Times New Roman" w:hAnsi="Times New Roman"/>
                <w:b w:val="0"/>
                <w:i w:val="0"/>
                <w:sz w:val="15"/>
              </w:rPr>
              <w:t>Diligence</w:t>
            </w:r>
          </w:p>
        </w:tc>
        <w:tc>
          <w:tcPr>
            <w:tcW w:type="dxa" w:w="1872"/>
          </w:tcPr>
          <w:p>
            <w:pPr>
              <w:spacing w:before="20" w:after="20" w:line="240" w:lineRule="auto"/>
            </w:pPr>
            <w:r/>
            <w:r>
              <w:rPr>
                <w:rFonts w:ascii="Times New Roman" w:hAnsi="Times New Roman"/>
                <w:b w:val="0"/>
                <w:i w:val="0"/>
                <w:sz w:val="15"/>
              </w:rPr>
              <w:t>J. Abernathy</w:t>
            </w:r>
          </w:p>
        </w:tc>
        <w:tc>
          <w:tcPr>
            <w:tcW w:type="dxa" w:w="1224"/>
          </w:tcPr>
          <w:p>
            <w:pPr>
              <w:spacing w:before="20" w:after="20" w:line="240" w:lineRule="auto"/>
            </w:pPr>
            <w:r/>
            <w:r>
              <w:rPr>
                <w:rFonts w:ascii="Times New Roman" w:hAnsi="Times New Roman"/>
                <w:b w:val="0"/>
                <w:i w:val="0"/>
                <w:sz w:val="15"/>
              </w:rPr>
              <w:t>June 27</w:t>
            </w:r>
          </w:p>
        </w:tc>
      </w:tr>
      <w:tr>
        <w:tc>
          <w:tcPr>
            <w:tcW w:type="dxa" w:w="504"/>
          </w:tcPr>
          <w:p>
            <w:pPr>
              <w:spacing w:before="20" w:after="20" w:line="240" w:lineRule="auto"/>
            </w:pPr>
            <w:r/>
            <w:r>
              <w:rPr>
                <w:rFonts w:ascii="Times New Roman" w:hAnsi="Times New Roman"/>
                <w:b w:val="0"/>
                <w:i w:val="0"/>
                <w:sz w:val="15"/>
              </w:rPr>
              <w:t>6</w:t>
            </w:r>
          </w:p>
        </w:tc>
        <w:tc>
          <w:tcPr>
            <w:tcW w:type="dxa" w:w="4392"/>
          </w:tcPr>
          <w:p>
            <w:pPr>
              <w:spacing w:before="20" w:after="20" w:line="240" w:lineRule="auto"/>
            </w:pPr>
            <w:r/>
            <w:r>
              <w:rPr>
                <w:rFonts w:ascii="Times New Roman" w:hAnsi="Times New Roman"/>
                <w:b w:val="0"/>
                <w:i w:val="0"/>
                <w:sz w:val="15"/>
              </w:rPr>
              <w:t>Commission the bulkhead structural assessment</w:t>
            </w:r>
          </w:p>
        </w:tc>
        <w:tc>
          <w:tcPr>
            <w:tcW w:type="dxa" w:w="1224"/>
          </w:tcPr>
          <w:p>
            <w:pPr>
              <w:spacing w:before="20" w:after="20" w:line="240" w:lineRule="auto"/>
            </w:pPr>
            <w:r/>
            <w:r>
              <w:rPr>
                <w:rFonts w:ascii="Times New Roman" w:hAnsi="Times New Roman"/>
                <w:b w:val="0"/>
                <w:i w:val="0"/>
                <w:sz w:val="15"/>
              </w:rPr>
              <w:t>Action</w:t>
            </w:r>
          </w:p>
        </w:tc>
        <w:tc>
          <w:tcPr>
            <w:tcW w:type="dxa" w:w="1872"/>
          </w:tcPr>
          <w:p>
            <w:pPr>
              <w:spacing w:before="20" w:after="20" w:line="240" w:lineRule="auto"/>
            </w:pPr>
            <w:r/>
            <w:r>
              <w:rPr>
                <w:rFonts w:ascii="Times New Roman" w:hAnsi="Times New Roman"/>
                <w:b w:val="0"/>
                <w:i w:val="0"/>
                <w:sz w:val="15"/>
              </w:rPr>
              <w:t>Authority / Meridian</w:t>
            </w:r>
          </w:p>
        </w:tc>
        <w:tc>
          <w:tcPr>
            <w:tcW w:type="dxa" w:w="1224"/>
          </w:tcPr>
          <w:p>
            <w:pPr>
              <w:spacing w:before="20" w:after="20" w:line="240" w:lineRule="auto"/>
            </w:pPr>
            <w:r/>
            <w:r>
              <w:rPr>
                <w:rFonts w:ascii="Times New Roman" w:hAnsi="Times New Roman"/>
                <w:b w:val="0"/>
                <w:i w:val="0"/>
                <w:sz w:val="15"/>
              </w:rPr>
              <w:t>June 30</w:t>
            </w:r>
          </w:p>
        </w:tc>
      </w:tr>
      <w:tr>
        <w:tc>
          <w:tcPr>
            <w:tcW w:type="dxa" w:w="504"/>
          </w:tcPr>
          <w:p>
            <w:pPr>
              <w:spacing w:before="20" w:after="20" w:line="240" w:lineRule="auto"/>
            </w:pPr>
            <w:r/>
            <w:r>
              <w:rPr>
                <w:rFonts w:ascii="Times New Roman" w:hAnsi="Times New Roman"/>
                <w:b w:val="0"/>
                <w:i w:val="0"/>
                <w:sz w:val="15"/>
              </w:rPr>
              <w:t>7</w:t>
            </w:r>
          </w:p>
        </w:tc>
        <w:tc>
          <w:tcPr>
            <w:tcW w:type="dxa" w:w="4392"/>
          </w:tcPr>
          <w:p>
            <w:pPr>
              <w:spacing w:before="20" w:after="20" w:line="240" w:lineRule="auto"/>
            </w:pPr>
            <w:r/>
            <w:r>
              <w:rPr>
                <w:rFonts w:ascii="Times New Roman" w:hAnsi="Times New Roman"/>
                <w:b w:val="0"/>
                <w:i w:val="0"/>
                <w:sz w:val="15"/>
              </w:rPr>
              <w:t>Obtain Bayside consent to disclose its term sheet terms to the Authority and its counsel</w:t>
            </w:r>
          </w:p>
        </w:tc>
        <w:tc>
          <w:tcPr>
            <w:tcW w:type="dxa" w:w="1224"/>
          </w:tcPr>
          <w:p>
            <w:pPr>
              <w:spacing w:before="20" w:after="20" w:line="240" w:lineRule="auto"/>
            </w:pPr>
            <w:r/>
            <w:r>
              <w:rPr>
                <w:rFonts w:ascii="Times New Roman" w:hAnsi="Times New Roman"/>
                <w:b w:val="0"/>
                <w:i w:val="0"/>
                <w:sz w:val="15"/>
              </w:rPr>
              <w:t>Action</w:t>
            </w:r>
          </w:p>
        </w:tc>
        <w:tc>
          <w:tcPr>
            <w:tcW w:type="dxa" w:w="1872"/>
          </w:tcPr>
          <w:p>
            <w:pPr>
              <w:spacing w:before="20" w:after="20" w:line="240" w:lineRule="auto"/>
            </w:pPr>
            <w:r/>
            <w:r>
              <w:rPr>
                <w:rFonts w:ascii="Times New Roman" w:hAnsi="Times New Roman"/>
                <w:b w:val="0"/>
                <w:i w:val="0"/>
                <w:sz w:val="15"/>
              </w:rPr>
              <w:t>R. Tsang</w:t>
            </w:r>
          </w:p>
        </w:tc>
        <w:tc>
          <w:tcPr>
            <w:tcW w:type="dxa" w:w="1224"/>
          </w:tcPr>
          <w:p>
            <w:pPr>
              <w:spacing w:before="20" w:after="20" w:line="240" w:lineRule="auto"/>
            </w:pPr>
            <w:r/>
            <w:r>
              <w:rPr>
                <w:rFonts w:ascii="Times New Roman" w:hAnsi="Times New Roman"/>
                <w:b w:val="0"/>
                <w:i w:val="0"/>
                <w:sz w:val="15"/>
              </w:rPr>
              <w:t>July 3</w:t>
            </w:r>
          </w:p>
        </w:tc>
      </w:tr>
      <w:tr>
        <w:tc>
          <w:tcPr>
            <w:tcW w:type="dxa" w:w="504"/>
          </w:tcPr>
          <w:p>
            <w:pPr>
              <w:spacing w:before="20" w:after="20" w:line="240" w:lineRule="auto"/>
            </w:pPr>
            <w:r/>
            <w:r>
              <w:rPr>
                <w:rFonts w:ascii="Times New Roman" w:hAnsi="Times New Roman"/>
                <w:b w:val="0"/>
                <w:i w:val="0"/>
                <w:sz w:val="15"/>
              </w:rPr>
              <w:t>8</w:t>
            </w:r>
          </w:p>
        </w:tc>
        <w:tc>
          <w:tcPr>
            <w:tcW w:type="dxa" w:w="4392"/>
          </w:tcPr>
          <w:p>
            <w:pPr>
              <w:spacing w:before="20" w:after="20" w:line="240" w:lineRule="auto"/>
            </w:pPr>
            <w:r/>
            <w:r>
              <w:rPr>
                <w:rFonts w:ascii="Times New Roman" w:hAnsi="Times New Roman"/>
                <w:b w:val="0"/>
                <w:i w:val="0"/>
                <w:sz w:val="15"/>
              </w:rPr>
              <w:t>DEEP pre-application meeting on the ELUR ground-floor interpretation</w:t>
            </w:r>
          </w:p>
        </w:tc>
        <w:tc>
          <w:tcPr>
            <w:tcW w:type="dxa" w:w="1224"/>
          </w:tcPr>
          <w:p>
            <w:pPr>
              <w:spacing w:before="20" w:after="20" w:line="240" w:lineRule="auto"/>
            </w:pPr>
            <w:r/>
            <w:r>
              <w:rPr>
                <w:rFonts w:ascii="Times New Roman" w:hAnsi="Times New Roman"/>
                <w:b w:val="0"/>
                <w:i w:val="0"/>
                <w:sz w:val="15"/>
              </w:rPr>
              <w:t>Action</w:t>
            </w:r>
          </w:p>
        </w:tc>
        <w:tc>
          <w:tcPr>
            <w:tcW w:type="dxa" w:w="1872"/>
          </w:tcPr>
          <w:p>
            <w:pPr>
              <w:spacing w:before="20" w:after="20" w:line="240" w:lineRule="auto"/>
            </w:pPr>
            <w:r/>
            <w:r>
              <w:rPr>
                <w:rFonts w:ascii="Times New Roman" w:hAnsi="Times New Roman"/>
                <w:b w:val="0"/>
                <w:i w:val="0"/>
                <w:sz w:val="15"/>
              </w:rPr>
              <w:t>Halcyon / Meridian</w:t>
            </w:r>
          </w:p>
        </w:tc>
        <w:tc>
          <w:tcPr>
            <w:tcW w:type="dxa" w:w="1224"/>
          </w:tcPr>
          <w:p>
            <w:pPr>
              <w:spacing w:before="20" w:after="20" w:line="240" w:lineRule="auto"/>
            </w:pPr>
            <w:r/>
            <w:r>
              <w:rPr>
                <w:rFonts w:ascii="Times New Roman" w:hAnsi="Times New Roman"/>
                <w:b w:val="0"/>
                <w:i w:val="0"/>
                <w:sz w:val="15"/>
              </w:rPr>
              <w:t>July 15</w:t>
            </w:r>
          </w:p>
        </w:tc>
      </w:tr>
      <w:tr>
        <w:tc>
          <w:tcPr>
            <w:tcW w:type="dxa" w:w="504"/>
          </w:tcPr>
          <w:p>
            <w:pPr>
              <w:spacing w:before="20" w:after="20" w:line="240" w:lineRule="auto"/>
            </w:pPr>
            <w:r/>
            <w:r>
              <w:rPr>
                <w:rFonts w:ascii="Times New Roman" w:hAnsi="Times New Roman"/>
                <w:b w:val="0"/>
                <w:i w:val="0"/>
                <w:sz w:val="15"/>
              </w:rPr>
              <w:t>9</w:t>
            </w:r>
          </w:p>
        </w:tc>
        <w:tc>
          <w:tcPr>
            <w:tcW w:type="dxa" w:w="4392"/>
          </w:tcPr>
          <w:p>
            <w:pPr>
              <w:spacing w:before="20" w:after="20" w:line="240" w:lineRule="auto"/>
            </w:pPr>
            <w:r/>
            <w:r>
              <w:rPr>
                <w:rFonts w:ascii="Times New Roman" w:hAnsi="Times New Roman"/>
                <w:b w:val="0"/>
                <w:i w:val="0"/>
                <w:sz w:val="15"/>
              </w:rPr>
              <w:t>Verify City's statutory authority for the 15-year abatement; confirm hearing requirements</w:t>
            </w:r>
          </w:p>
        </w:tc>
        <w:tc>
          <w:tcPr>
            <w:tcW w:type="dxa" w:w="1224"/>
          </w:tcPr>
          <w:p>
            <w:pPr>
              <w:spacing w:before="20" w:after="20" w:line="240" w:lineRule="auto"/>
            </w:pPr>
            <w:r/>
            <w:r>
              <w:rPr>
                <w:rFonts w:ascii="Times New Roman" w:hAnsi="Times New Roman"/>
                <w:b w:val="0"/>
                <w:i w:val="0"/>
                <w:sz w:val="15"/>
              </w:rPr>
              <w:t>Legal research</w:t>
            </w:r>
          </w:p>
        </w:tc>
        <w:tc>
          <w:tcPr>
            <w:tcW w:type="dxa" w:w="1872"/>
          </w:tcPr>
          <w:p>
            <w:pPr>
              <w:spacing w:before="20" w:after="20" w:line="240" w:lineRule="auto"/>
            </w:pPr>
            <w:r/>
            <w:r>
              <w:rPr>
                <w:rFonts w:ascii="Times New Roman" w:hAnsi="Times New Roman"/>
                <w:b w:val="0"/>
                <w:i w:val="0"/>
                <w:sz w:val="15"/>
              </w:rPr>
              <w:t>R. Tsang</w:t>
            </w:r>
          </w:p>
        </w:tc>
        <w:tc>
          <w:tcPr>
            <w:tcW w:type="dxa" w:w="1224"/>
          </w:tcPr>
          <w:p>
            <w:pPr>
              <w:spacing w:before="20" w:after="20" w:line="240" w:lineRule="auto"/>
            </w:pPr>
            <w:r/>
            <w:r>
              <w:rPr>
                <w:rFonts w:ascii="Times New Roman" w:hAnsi="Times New Roman"/>
                <w:b w:val="0"/>
                <w:i w:val="0"/>
                <w:sz w:val="15"/>
              </w:rPr>
              <w:t>July 18</w:t>
            </w:r>
          </w:p>
        </w:tc>
      </w:tr>
      <w:tr>
        <w:tc>
          <w:tcPr>
            <w:tcW w:type="dxa" w:w="504"/>
          </w:tcPr>
          <w:p>
            <w:pPr>
              <w:spacing w:before="20" w:after="20" w:line="240" w:lineRule="auto"/>
            </w:pPr>
            <w:r/>
            <w:r>
              <w:rPr>
                <w:rFonts w:ascii="Times New Roman" w:hAnsi="Times New Roman"/>
                <w:b w:val="0"/>
                <w:i w:val="0"/>
                <w:sz w:val="15"/>
              </w:rPr>
              <w:t>10</w:t>
            </w:r>
          </w:p>
        </w:tc>
        <w:tc>
          <w:tcPr>
            <w:tcW w:type="dxa" w:w="4392"/>
          </w:tcPr>
          <w:p>
            <w:pPr>
              <w:spacing w:before="20" w:after="20" w:line="240" w:lineRule="auto"/>
            </w:pPr>
            <w:r/>
            <w:r>
              <w:rPr>
                <w:rFonts w:ascii="Times New Roman" w:hAnsi="Times New Roman"/>
                <w:b w:val="0"/>
                <w:i w:val="0"/>
                <w:sz w:val="15"/>
              </w:rPr>
              <w:t>Complete Connecticut research on penalty/forfeiture, New Lease enforceability, municipal arbitration, and mechanics' liens on public property</w:t>
            </w:r>
          </w:p>
        </w:tc>
        <w:tc>
          <w:tcPr>
            <w:tcW w:type="dxa" w:w="1224"/>
          </w:tcPr>
          <w:p>
            <w:pPr>
              <w:spacing w:before="20" w:after="20" w:line="240" w:lineRule="auto"/>
            </w:pPr>
            <w:r/>
            <w:r>
              <w:rPr>
                <w:rFonts w:ascii="Times New Roman" w:hAnsi="Times New Roman"/>
                <w:b w:val="0"/>
                <w:i w:val="0"/>
                <w:sz w:val="15"/>
              </w:rPr>
              <w:t>Legal research</w:t>
            </w:r>
          </w:p>
        </w:tc>
        <w:tc>
          <w:tcPr>
            <w:tcW w:type="dxa" w:w="1872"/>
          </w:tcPr>
          <w:p>
            <w:pPr>
              <w:spacing w:before="20" w:after="20" w:line="240" w:lineRule="auto"/>
            </w:pPr>
            <w:r/>
            <w:r>
              <w:rPr>
                <w:rFonts w:ascii="Times New Roman" w:hAnsi="Times New Roman"/>
                <w:b w:val="0"/>
                <w:i w:val="0"/>
                <w:sz w:val="15"/>
              </w:rPr>
              <w:t>R. Tsang / J. Abernathy</w:t>
            </w:r>
          </w:p>
        </w:tc>
        <w:tc>
          <w:tcPr>
            <w:tcW w:type="dxa" w:w="1224"/>
          </w:tcPr>
          <w:p>
            <w:pPr>
              <w:spacing w:before="20" w:after="20" w:line="240" w:lineRule="auto"/>
            </w:pPr>
            <w:r/>
            <w:r>
              <w:rPr>
                <w:rFonts w:ascii="Times New Roman" w:hAnsi="Times New Roman"/>
                <w:b w:val="0"/>
                <w:i w:val="0"/>
                <w:sz w:val="15"/>
              </w:rPr>
              <w:t>July 25</w:t>
            </w:r>
          </w:p>
        </w:tc>
      </w:tr>
      <w:tr>
        <w:tc>
          <w:tcPr>
            <w:tcW w:type="dxa" w:w="504"/>
          </w:tcPr>
          <w:p>
            <w:pPr>
              <w:spacing w:before="20" w:after="20" w:line="240" w:lineRule="auto"/>
            </w:pPr>
            <w:r/>
            <w:r>
              <w:rPr>
                <w:rFonts w:ascii="Times New Roman" w:hAnsi="Times New Roman"/>
                <w:b w:val="0"/>
                <w:i w:val="0"/>
                <w:sz w:val="15"/>
              </w:rPr>
              <w:t>11</w:t>
            </w:r>
          </w:p>
        </w:tc>
        <w:tc>
          <w:tcPr>
            <w:tcW w:type="dxa" w:w="4392"/>
          </w:tcPr>
          <w:p>
            <w:pPr>
              <w:spacing w:before="20" w:after="20" w:line="240" w:lineRule="auto"/>
            </w:pPr>
            <w:r/>
            <w:r>
              <w:rPr>
                <w:rFonts w:ascii="Times New Roman" w:hAnsi="Times New Roman"/>
                <w:b w:val="0"/>
                <w:i w:val="0"/>
                <w:sz w:val="15"/>
              </w:rPr>
              <w:t>Draft the amendment to the recorded ROFR for Authority counsel</w:t>
            </w:r>
          </w:p>
        </w:tc>
        <w:tc>
          <w:tcPr>
            <w:tcW w:type="dxa" w:w="1224"/>
          </w:tcPr>
          <w:p>
            <w:pPr>
              <w:spacing w:before="20" w:after="20" w:line="240" w:lineRule="auto"/>
            </w:pPr>
            <w:r/>
            <w:r>
              <w:rPr>
                <w:rFonts w:ascii="Times New Roman" w:hAnsi="Times New Roman"/>
                <w:b w:val="0"/>
                <w:i w:val="0"/>
                <w:sz w:val="15"/>
              </w:rPr>
              <w:t>Drafting</w:t>
            </w:r>
          </w:p>
        </w:tc>
        <w:tc>
          <w:tcPr>
            <w:tcW w:type="dxa" w:w="1872"/>
          </w:tcPr>
          <w:p>
            <w:pPr>
              <w:spacing w:before="20" w:after="20" w:line="240" w:lineRule="auto"/>
            </w:pPr>
            <w:r/>
            <w:r>
              <w:rPr>
                <w:rFonts w:ascii="Times New Roman" w:hAnsi="Times New Roman"/>
                <w:b w:val="0"/>
                <w:i w:val="0"/>
                <w:sz w:val="15"/>
              </w:rPr>
              <w:t>R. Tsang</w:t>
            </w:r>
          </w:p>
        </w:tc>
        <w:tc>
          <w:tcPr>
            <w:tcW w:type="dxa" w:w="1224"/>
          </w:tcPr>
          <w:p>
            <w:pPr>
              <w:spacing w:before="20" w:after="20" w:line="240" w:lineRule="auto"/>
            </w:pPr>
            <w:r/>
            <w:r>
              <w:rPr>
                <w:rFonts w:ascii="Times New Roman" w:hAnsi="Times New Roman"/>
                <w:b w:val="0"/>
                <w:i w:val="0"/>
                <w:sz w:val="15"/>
              </w:rPr>
              <w:t>July 25</w:t>
            </w:r>
          </w:p>
        </w:tc>
      </w:tr>
      <w:tr>
        <w:tc>
          <w:tcPr>
            <w:tcW w:type="dxa" w:w="504"/>
          </w:tcPr>
          <w:p>
            <w:pPr>
              <w:spacing w:before="20" w:after="20" w:line="240" w:lineRule="auto"/>
            </w:pPr>
            <w:r/>
            <w:r>
              <w:rPr>
                <w:rFonts w:ascii="Times New Roman" w:hAnsi="Times New Roman"/>
                <w:b w:val="0"/>
                <w:i w:val="0"/>
                <w:sz w:val="15"/>
              </w:rPr>
              <w:t>12</w:t>
            </w:r>
          </w:p>
        </w:tc>
        <w:tc>
          <w:tcPr>
            <w:tcW w:type="dxa" w:w="4392"/>
          </w:tcPr>
          <w:p>
            <w:pPr>
              <w:spacing w:before="20" w:after="20" w:line="240" w:lineRule="auto"/>
            </w:pPr>
            <w:r/>
            <w:r>
              <w:rPr>
                <w:rFonts w:ascii="Times New Roman" w:hAnsi="Times New Roman"/>
                <w:b w:val="0"/>
                <w:i w:val="0"/>
                <w:sz w:val="15"/>
              </w:rPr>
              <w:t>Obtain zoning/site-plan analysis confirming the 28-story program is buildable as of right</w:t>
            </w:r>
          </w:p>
        </w:tc>
        <w:tc>
          <w:tcPr>
            <w:tcW w:type="dxa" w:w="1224"/>
          </w:tcPr>
          <w:p>
            <w:pPr>
              <w:spacing w:before="20" w:after="20" w:line="240" w:lineRule="auto"/>
            </w:pPr>
            <w:r/>
            <w:r>
              <w:rPr>
                <w:rFonts w:ascii="Times New Roman" w:hAnsi="Times New Roman"/>
                <w:b w:val="0"/>
                <w:i w:val="0"/>
                <w:sz w:val="15"/>
              </w:rPr>
              <w:t>Diligence</w:t>
            </w:r>
          </w:p>
        </w:tc>
        <w:tc>
          <w:tcPr>
            <w:tcW w:type="dxa" w:w="1872"/>
          </w:tcPr>
          <w:p>
            <w:pPr>
              <w:spacing w:before="20" w:after="20" w:line="240" w:lineRule="auto"/>
            </w:pPr>
            <w:r/>
            <w:r>
              <w:rPr>
                <w:rFonts w:ascii="Times New Roman" w:hAnsi="Times New Roman"/>
                <w:b w:val="0"/>
                <w:i w:val="0"/>
                <w:sz w:val="15"/>
              </w:rPr>
              <w:t>Meridian / architect</w:t>
            </w:r>
          </w:p>
        </w:tc>
        <w:tc>
          <w:tcPr>
            <w:tcW w:type="dxa" w:w="1224"/>
          </w:tcPr>
          <w:p>
            <w:pPr>
              <w:spacing w:before="20" w:after="20" w:line="240" w:lineRule="auto"/>
            </w:pPr>
            <w:r/>
            <w:r>
              <w:rPr>
                <w:rFonts w:ascii="Times New Roman" w:hAnsi="Times New Roman"/>
                <w:b w:val="0"/>
                <w:i w:val="0"/>
                <w:sz w:val="15"/>
              </w:rPr>
              <w:t>July 31</w:t>
            </w:r>
          </w:p>
        </w:tc>
      </w:tr>
      <w:tr>
        <w:tc>
          <w:tcPr>
            <w:tcW w:type="dxa" w:w="504"/>
          </w:tcPr>
          <w:p>
            <w:pPr>
              <w:spacing w:before="20" w:after="20" w:line="240" w:lineRule="auto"/>
            </w:pPr>
            <w:r/>
            <w:r>
              <w:rPr>
                <w:rFonts w:ascii="Times New Roman" w:hAnsi="Times New Roman"/>
                <w:b w:val="0"/>
                <w:i w:val="0"/>
                <w:sz w:val="15"/>
              </w:rPr>
              <w:t>13</w:t>
            </w:r>
          </w:p>
        </w:tc>
        <w:tc>
          <w:tcPr>
            <w:tcW w:type="dxa" w:w="4392"/>
          </w:tcPr>
          <w:p>
            <w:pPr>
              <w:spacing w:before="20" w:after="20" w:line="240" w:lineRule="auto"/>
            </w:pPr>
            <w:r/>
            <w:r>
              <w:rPr>
                <w:rFonts w:ascii="Times New Roman" w:hAnsi="Times New Roman"/>
                <w:b w:val="0"/>
                <w:i w:val="0"/>
                <w:sz w:val="15"/>
              </w:rPr>
              <w:t>Confirm remediation contingency (5.5% or 10%) with Halcyon and correct the figures if needed</w:t>
            </w:r>
          </w:p>
        </w:tc>
        <w:tc>
          <w:tcPr>
            <w:tcW w:type="dxa" w:w="1224"/>
          </w:tcPr>
          <w:p>
            <w:pPr>
              <w:spacing w:before="20" w:after="20" w:line="240" w:lineRule="auto"/>
            </w:pPr>
            <w:r/>
            <w:r>
              <w:rPr>
                <w:rFonts w:ascii="Times New Roman" w:hAnsi="Times New Roman"/>
                <w:b w:val="0"/>
                <w:i w:val="0"/>
                <w:sz w:val="15"/>
              </w:rPr>
              <w:t>Instruction</w:t>
            </w:r>
          </w:p>
        </w:tc>
        <w:tc>
          <w:tcPr>
            <w:tcW w:type="dxa" w:w="1872"/>
          </w:tcPr>
          <w:p>
            <w:pPr>
              <w:spacing w:before="20" w:after="20" w:line="240" w:lineRule="auto"/>
            </w:pPr>
            <w:r/>
            <w:r>
              <w:rPr>
                <w:rFonts w:ascii="Times New Roman" w:hAnsi="Times New Roman"/>
                <w:b w:val="0"/>
                <w:i w:val="0"/>
                <w:sz w:val="15"/>
              </w:rPr>
              <w:t>Meridian</w:t>
            </w:r>
          </w:p>
        </w:tc>
        <w:tc>
          <w:tcPr>
            <w:tcW w:type="dxa" w:w="1224"/>
          </w:tcPr>
          <w:p>
            <w:pPr>
              <w:spacing w:before="20" w:after="20" w:line="240" w:lineRule="auto"/>
            </w:pPr>
            <w:r/>
            <w:r>
              <w:rPr>
                <w:rFonts w:ascii="Times New Roman" w:hAnsi="Times New Roman"/>
                <w:b w:val="0"/>
                <w:i w:val="0"/>
                <w:sz w:val="15"/>
              </w:rPr>
              <w:t>July 11</w:t>
            </w:r>
          </w:p>
        </w:tc>
      </w:tr>
      <w:tr>
        <w:tc>
          <w:tcPr>
            <w:tcW w:type="dxa" w:w="504"/>
          </w:tcPr>
          <w:p>
            <w:pPr>
              <w:spacing w:before="20" w:after="20" w:line="240" w:lineRule="auto"/>
            </w:pPr>
            <w:r/>
            <w:r>
              <w:rPr>
                <w:rFonts w:ascii="Times New Roman" w:hAnsi="Times New Roman"/>
                <w:b w:val="0"/>
                <w:i w:val="0"/>
                <w:sz w:val="15"/>
              </w:rPr>
              <w:t>14</w:t>
            </w:r>
          </w:p>
        </w:tc>
        <w:tc>
          <w:tcPr>
            <w:tcW w:type="dxa" w:w="4392"/>
          </w:tcPr>
          <w:p>
            <w:pPr>
              <w:spacing w:before="20" w:after="20" w:line="240" w:lineRule="auto"/>
            </w:pPr>
            <w:r/>
            <w:r>
              <w:rPr>
                <w:rFonts w:ascii="Times New Roman" w:hAnsi="Times New Roman"/>
                <w:b w:val="0"/>
                <w:i w:val="0"/>
                <w:sz w:val="15"/>
              </w:rPr>
              <w:t>Confirm AMI geography with HUD and conform the Term Sheet, title exception and survey</w:t>
            </w:r>
          </w:p>
        </w:tc>
        <w:tc>
          <w:tcPr>
            <w:tcW w:type="dxa" w:w="1224"/>
          </w:tcPr>
          <w:p>
            <w:pPr>
              <w:spacing w:before="20" w:after="20" w:line="240" w:lineRule="auto"/>
            </w:pPr>
            <w:r/>
            <w:r>
              <w:rPr>
                <w:rFonts w:ascii="Times New Roman" w:hAnsi="Times New Roman"/>
                <w:b w:val="0"/>
                <w:i w:val="0"/>
                <w:sz w:val="15"/>
              </w:rPr>
              <w:t>Diligence</w:t>
            </w:r>
          </w:p>
        </w:tc>
        <w:tc>
          <w:tcPr>
            <w:tcW w:type="dxa" w:w="1872"/>
          </w:tcPr>
          <w:p>
            <w:pPr>
              <w:spacing w:before="20" w:after="20" w:line="240" w:lineRule="auto"/>
            </w:pPr>
            <w:r/>
            <w:r>
              <w:rPr>
                <w:rFonts w:ascii="Times New Roman" w:hAnsi="Times New Roman"/>
                <w:b w:val="0"/>
                <w:i w:val="0"/>
                <w:sz w:val="15"/>
              </w:rPr>
              <w:t>J. Abernathy</w:t>
            </w:r>
          </w:p>
        </w:tc>
        <w:tc>
          <w:tcPr>
            <w:tcW w:type="dxa" w:w="1224"/>
          </w:tcPr>
          <w:p>
            <w:pPr>
              <w:spacing w:before="20" w:after="20" w:line="240" w:lineRule="auto"/>
            </w:pPr>
            <w:r/>
            <w:r>
              <w:rPr>
                <w:rFonts w:ascii="Times New Roman" w:hAnsi="Times New Roman"/>
                <w:b w:val="0"/>
                <w:i w:val="0"/>
                <w:sz w:val="15"/>
              </w:rPr>
              <w:t>July 11</w:t>
            </w:r>
          </w:p>
        </w:tc>
      </w:tr>
      <w:tr>
        <w:tc>
          <w:tcPr>
            <w:tcW w:type="dxa" w:w="504"/>
          </w:tcPr>
          <w:p>
            <w:pPr>
              <w:spacing w:before="20" w:after="20" w:line="240" w:lineRule="auto"/>
            </w:pPr>
            <w:r/>
            <w:r>
              <w:rPr>
                <w:rFonts w:ascii="Times New Roman" w:hAnsi="Times New Roman"/>
                <w:b w:val="0"/>
                <w:i w:val="0"/>
                <w:sz w:val="15"/>
              </w:rPr>
              <w:t>15</w:t>
            </w:r>
          </w:p>
        </w:tc>
        <w:tc>
          <w:tcPr>
            <w:tcW w:type="dxa" w:w="4392"/>
          </w:tcPr>
          <w:p>
            <w:pPr>
              <w:spacing w:before="20" w:after="20" w:line="240" w:lineRule="auto"/>
            </w:pPr>
            <w:r/>
            <w:r>
              <w:rPr>
                <w:rFonts w:ascii="Times New Roman" w:hAnsi="Times New Roman"/>
                <w:b w:val="0"/>
                <w:i w:val="0"/>
                <w:sz w:val="15"/>
              </w:rPr>
              <w:t>Request special Authority Board meeting date for the second week of September</w:t>
            </w:r>
          </w:p>
        </w:tc>
        <w:tc>
          <w:tcPr>
            <w:tcW w:type="dxa" w:w="1224"/>
          </w:tcPr>
          <w:p>
            <w:pPr>
              <w:spacing w:before="20" w:after="20" w:line="240" w:lineRule="auto"/>
            </w:pPr>
            <w:r/>
            <w:r>
              <w:rPr>
                <w:rFonts w:ascii="Times New Roman" w:hAnsi="Times New Roman"/>
                <w:b w:val="0"/>
                <w:i w:val="0"/>
                <w:sz w:val="15"/>
              </w:rPr>
              <w:t>Action</w:t>
            </w:r>
          </w:p>
        </w:tc>
        <w:tc>
          <w:tcPr>
            <w:tcW w:type="dxa" w:w="1872"/>
          </w:tcPr>
          <w:p>
            <w:pPr>
              <w:spacing w:before="20" w:after="20" w:line="240" w:lineRule="auto"/>
            </w:pPr>
            <w:r/>
            <w:r>
              <w:rPr>
                <w:rFonts w:ascii="Times New Roman" w:hAnsi="Times New Roman"/>
                <w:b w:val="0"/>
                <w:i w:val="0"/>
                <w:sz w:val="15"/>
              </w:rPr>
              <w:t>R. Tsang to H. Koss</w:t>
            </w:r>
          </w:p>
        </w:tc>
        <w:tc>
          <w:tcPr>
            <w:tcW w:type="dxa" w:w="1224"/>
          </w:tcPr>
          <w:p>
            <w:pPr>
              <w:spacing w:before="20" w:after="20" w:line="240" w:lineRule="auto"/>
            </w:pPr>
            <w:r/>
            <w:r>
              <w:rPr>
                <w:rFonts w:ascii="Times New Roman" w:hAnsi="Times New Roman"/>
                <w:b w:val="0"/>
                <w:i w:val="0"/>
                <w:sz w:val="15"/>
              </w:rPr>
              <w:t>June 27</w:t>
            </w:r>
          </w:p>
        </w:tc>
      </w:tr>
      <w:tr>
        <w:tc>
          <w:tcPr>
            <w:tcW w:type="dxa" w:w="504"/>
          </w:tcPr>
          <w:p>
            <w:pPr>
              <w:spacing w:before="20" w:after="20" w:line="240" w:lineRule="auto"/>
            </w:pPr>
            <w:r/>
            <w:r>
              <w:rPr>
                <w:rFonts w:ascii="Times New Roman" w:hAnsi="Times New Roman"/>
                <w:b w:val="0"/>
                <w:i w:val="0"/>
                <w:sz w:val="15"/>
              </w:rPr>
              <w:t>16</w:t>
            </w:r>
          </w:p>
        </w:tc>
        <w:tc>
          <w:tcPr>
            <w:tcW w:type="dxa" w:w="4392"/>
          </w:tcPr>
          <w:p>
            <w:pPr>
              <w:spacing w:before="20" w:after="20" w:line="240" w:lineRule="auto"/>
            </w:pPr>
            <w:r/>
            <w:r>
              <w:rPr>
                <w:rFonts w:ascii="Times New Roman" w:hAnsi="Times New Roman"/>
                <w:b w:val="0"/>
                <w:i w:val="0"/>
                <w:sz w:val="15"/>
              </w:rPr>
              <w:t>Confirm that a separate ROFR-amendment resolution is required and calendared</w:t>
            </w:r>
          </w:p>
        </w:tc>
        <w:tc>
          <w:tcPr>
            <w:tcW w:type="dxa" w:w="1224"/>
          </w:tcPr>
          <w:p>
            <w:pPr>
              <w:spacing w:before="20" w:after="20" w:line="240" w:lineRule="auto"/>
            </w:pPr>
            <w:r/>
            <w:r>
              <w:rPr>
                <w:rFonts w:ascii="Times New Roman" w:hAnsi="Times New Roman"/>
                <w:b w:val="0"/>
                <w:i w:val="0"/>
                <w:sz w:val="15"/>
              </w:rPr>
              <w:t>Action</w:t>
            </w:r>
          </w:p>
        </w:tc>
        <w:tc>
          <w:tcPr>
            <w:tcW w:type="dxa" w:w="1872"/>
          </w:tcPr>
          <w:p>
            <w:pPr>
              <w:spacing w:before="20" w:after="20" w:line="240" w:lineRule="auto"/>
            </w:pPr>
            <w:r/>
            <w:r>
              <w:rPr>
                <w:rFonts w:ascii="Times New Roman" w:hAnsi="Times New Roman"/>
                <w:b w:val="0"/>
                <w:i w:val="0"/>
                <w:sz w:val="15"/>
              </w:rPr>
              <w:t>Authority counsel</w:t>
            </w:r>
          </w:p>
        </w:tc>
        <w:tc>
          <w:tcPr>
            <w:tcW w:type="dxa" w:w="1224"/>
          </w:tcPr>
          <w:p>
            <w:pPr>
              <w:spacing w:before="20" w:after="20" w:line="240" w:lineRule="auto"/>
            </w:pPr>
            <w:r/>
            <w:r>
              <w:rPr>
                <w:rFonts w:ascii="Times New Roman" w:hAnsi="Times New Roman"/>
                <w:b w:val="0"/>
                <w:i w:val="0"/>
                <w:sz w:val="15"/>
              </w:rPr>
              <w:t>July 18</w:t>
            </w:r>
          </w:p>
        </w:tc>
      </w:tr>
      <w:tr>
        <w:tc>
          <w:tcPr>
            <w:tcW w:type="dxa" w:w="504"/>
          </w:tcPr>
          <w:p>
            <w:pPr>
              <w:spacing w:before="20" w:after="20" w:line="240" w:lineRule="auto"/>
            </w:pPr>
            <w:r/>
            <w:r>
              <w:rPr>
                <w:rFonts w:ascii="Times New Roman" w:hAnsi="Times New Roman"/>
                <w:b w:val="0"/>
                <w:i w:val="0"/>
                <w:sz w:val="15"/>
              </w:rPr>
              <w:t>17</w:t>
            </w:r>
          </w:p>
        </w:tc>
        <w:tc>
          <w:tcPr>
            <w:tcW w:type="dxa" w:w="4392"/>
          </w:tcPr>
          <w:p>
            <w:pPr>
              <w:spacing w:before="20" w:after="20" w:line="240" w:lineRule="auto"/>
            </w:pPr>
            <w:r/>
            <w:r>
              <w:rPr>
                <w:rFonts w:ascii="Times New Roman" w:hAnsi="Times New Roman"/>
                <w:b w:val="0"/>
                <w:i w:val="0"/>
                <w:sz w:val="15"/>
              </w:rPr>
              <w:t>Obtain City counsel's confirmation on the tax abatement agreement timeline and fiscal-year constraints</w:t>
            </w:r>
          </w:p>
        </w:tc>
        <w:tc>
          <w:tcPr>
            <w:tcW w:type="dxa" w:w="1224"/>
          </w:tcPr>
          <w:p>
            <w:pPr>
              <w:spacing w:before="20" w:after="20" w:line="240" w:lineRule="auto"/>
            </w:pPr>
            <w:r/>
            <w:r>
              <w:rPr>
                <w:rFonts w:ascii="Times New Roman" w:hAnsi="Times New Roman"/>
                <w:b w:val="0"/>
                <w:i w:val="0"/>
                <w:sz w:val="15"/>
              </w:rPr>
              <w:t>Action</w:t>
            </w:r>
          </w:p>
        </w:tc>
        <w:tc>
          <w:tcPr>
            <w:tcW w:type="dxa" w:w="1872"/>
          </w:tcPr>
          <w:p>
            <w:pPr>
              <w:spacing w:before="20" w:after="20" w:line="240" w:lineRule="auto"/>
            </w:pPr>
            <w:r/>
            <w:r>
              <w:rPr>
                <w:rFonts w:ascii="Times New Roman" w:hAnsi="Times New Roman"/>
                <w:b w:val="0"/>
                <w:i w:val="0"/>
                <w:sz w:val="15"/>
              </w:rPr>
              <w:t>Authority / City</w:t>
            </w:r>
          </w:p>
        </w:tc>
        <w:tc>
          <w:tcPr>
            <w:tcW w:type="dxa" w:w="1224"/>
          </w:tcPr>
          <w:p>
            <w:pPr>
              <w:spacing w:before="20" w:after="20" w:line="240" w:lineRule="auto"/>
            </w:pPr>
            <w:r/>
            <w:r>
              <w:rPr>
                <w:rFonts w:ascii="Times New Roman" w:hAnsi="Times New Roman"/>
                <w:b w:val="0"/>
                <w:i w:val="0"/>
                <w:sz w:val="15"/>
              </w:rPr>
              <w:t>August 8</w:t>
            </w:r>
          </w:p>
        </w:tc>
      </w:tr>
      <w:tr>
        <w:tc>
          <w:tcPr>
            <w:tcW w:type="dxa" w:w="504"/>
          </w:tcPr>
          <w:p>
            <w:pPr>
              <w:spacing w:before="20" w:after="20" w:line="240" w:lineRule="auto"/>
            </w:pPr>
            <w:r/>
            <w:r>
              <w:rPr>
                <w:rFonts w:ascii="Times New Roman" w:hAnsi="Times New Roman"/>
                <w:b w:val="0"/>
                <w:i w:val="0"/>
                <w:sz w:val="15"/>
              </w:rPr>
              <w:t>18</w:t>
            </w:r>
          </w:p>
        </w:tc>
        <w:tc>
          <w:tcPr>
            <w:tcW w:type="dxa" w:w="4392"/>
          </w:tcPr>
          <w:p>
            <w:pPr>
              <w:spacing w:before="20" w:after="20" w:line="240" w:lineRule="auto"/>
            </w:pPr>
            <w:r/>
            <w:r>
              <w:rPr>
                <w:rFonts w:ascii="Times New Roman" w:hAnsi="Times New Roman"/>
                <w:b w:val="0"/>
                <w:i w:val="0"/>
                <w:sz w:val="15"/>
              </w:rPr>
              <w:t>Reconcile the 480 ft / 320.47 ft bulkhead length and conform Sections 2.9 and 14.3</w:t>
            </w:r>
          </w:p>
        </w:tc>
        <w:tc>
          <w:tcPr>
            <w:tcW w:type="dxa" w:w="1224"/>
          </w:tcPr>
          <w:p>
            <w:pPr>
              <w:spacing w:before="20" w:after="20" w:line="240" w:lineRule="auto"/>
            </w:pPr>
            <w:r/>
            <w:r>
              <w:rPr>
                <w:rFonts w:ascii="Times New Roman" w:hAnsi="Times New Roman"/>
                <w:b w:val="0"/>
                <w:i w:val="0"/>
                <w:sz w:val="15"/>
              </w:rPr>
              <w:t>Drafting</w:t>
            </w:r>
          </w:p>
        </w:tc>
        <w:tc>
          <w:tcPr>
            <w:tcW w:type="dxa" w:w="1872"/>
          </w:tcPr>
          <w:p>
            <w:pPr>
              <w:spacing w:before="20" w:after="20" w:line="240" w:lineRule="auto"/>
            </w:pPr>
            <w:r/>
            <w:r>
              <w:rPr>
                <w:rFonts w:ascii="Times New Roman" w:hAnsi="Times New Roman"/>
                <w:b w:val="0"/>
                <w:i w:val="0"/>
                <w:sz w:val="15"/>
              </w:rPr>
              <w:t>J. Abernathy</w:t>
            </w:r>
          </w:p>
        </w:tc>
        <w:tc>
          <w:tcPr>
            <w:tcW w:type="dxa" w:w="1224"/>
          </w:tcPr>
          <w:p>
            <w:pPr>
              <w:spacing w:before="20" w:after="20" w:line="240" w:lineRule="auto"/>
            </w:pPr>
            <w:r/>
            <w:r>
              <w:rPr>
                <w:rFonts w:ascii="Times New Roman" w:hAnsi="Times New Roman"/>
                <w:b w:val="0"/>
                <w:i w:val="0"/>
                <w:sz w:val="15"/>
              </w:rPr>
              <w:t>After survey plat</w:t>
            </w:r>
          </w:p>
        </w:tc>
      </w:tr>
    </w:tbl>
    <w:p>
      <w:pPr>
        <w:spacing w:after="40" w:before="0"/>
      </w:pPr>
    </w:p>
    <w:p>
      <w:pPr>
        <w:spacing w:after="120"/>
        <w:ind w:left="0"/>
        <w:jc w:val="both"/>
      </w:pPr>
      <w:r>
        <w:rPr>
          <w:rFonts w:ascii="Times New Roman" w:hAnsi="Times New Roman"/>
          <w:b/>
          <w:i w:val="0"/>
          <w:sz w:val="17"/>
        </w:rPr>
        <w:t>Legend.</w:t>
      </w:r>
      <w:r>
        <w:rPr>
          <w:rFonts w:ascii="Times New Roman" w:hAnsi="Times New Roman"/>
          <w:b w:val="0"/>
          <w:i w:val="0"/>
          <w:sz w:val="17"/>
        </w:rPr>
        <w:t xml:space="preserve"> </w:t>
      </w:r>
      <w:r>
        <w:rPr>
          <w:rFonts w:ascii="Times New Roman" w:hAnsi="Times New Roman"/>
          <w:b w:val="0"/>
          <w:i/>
          <w:sz w:val="17"/>
        </w:rPr>
        <w:t>Instruction</w:t>
      </w:r>
      <w:r>
        <w:rPr>
          <w:rFonts w:ascii="Times New Roman" w:hAnsi="Times New Roman"/>
          <w:b w:val="0"/>
          <w:i w:val="0"/>
          <w:sz w:val="17"/>
        </w:rPr>
        <w:t xml:space="preserve"> — requires a decision from the client. </w:t>
      </w:r>
      <w:r>
        <w:rPr>
          <w:rFonts w:ascii="Times New Roman" w:hAnsi="Times New Roman"/>
          <w:b w:val="0"/>
          <w:i/>
          <w:sz w:val="17"/>
        </w:rPr>
        <w:t>Diligence</w:t>
      </w:r>
      <w:r>
        <w:rPr>
          <w:rFonts w:ascii="Times New Roman" w:hAnsi="Times New Roman"/>
          <w:b w:val="0"/>
          <w:i w:val="0"/>
          <w:sz w:val="17"/>
        </w:rPr>
        <w:t xml:space="preserve"> — requires a third party's document. </w:t>
      </w:r>
      <w:r>
        <w:rPr>
          <w:rFonts w:ascii="Times New Roman" w:hAnsi="Times New Roman"/>
          <w:b w:val="0"/>
          <w:i/>
          <w:sz w:val="17"/>
        </w:rPr>
        <w:t>Action</w:t>
      </w:r>
      <w:r>
        <w:rPr>
          <w:rFonts w:ascii="Times New Roman" w:hAnsi="Times New Roman"/>
          <w:b w:val="0"/>
          <w:i w:val="0"/>
          <w:sz w:val="17"/>
        </w:rPr>
        <w:t xml:space="preserve"> — requires a third party's cooperation or performance. </w:t>
      </w:r>
      <w:r>
        <w:rPr>
          <w:rFonts w:ascii="Times New Roman" w:hAnsi="Times New Roman"/>
          <w:b w:val="0"/>
          <w:i/>
          <w:sz w:val="17"/>
        </w:rPr>
        <w:t>Legal research</w:t>
      </w:r>
      <w:r>
        <w:rPr>
          <w:rFonts w:ascii="Times New Roman" w:hAnsi="Times New Roman"/>
          <w:b w:val="0"/>
          <w:i w:val="0"/>
          <w:sz w:val="17"/>
        </w:rPr>
        <w:t xml:space="preserve"> — requires completion before the position is used externally. </w:t>
      </w:r>
      <w:r>
        <w:rPr>
          <w:rFonts w:ascii="Times New Roman" w:hAnsi="Times New Roman"/>
          <w:b w:val="0"/>
          <w:i/>
          <w:sz w:val="17"/>
        </w:rPr>
        <w:t>Drafting</w:t>
      </w:r>
      <w:r>
        <w:rPr>
          <w:rFonts w:ascii="Times New Roman" w:hAnsi="Times New Roman"/>
          <w:b w:val="0"/>
          <w:i w:val="0"/>
          <w:sz w:val="17"/>
        </w:rPr>
        <w:t xml:space="preserve"> — within our control.</w:t>
      </w:r>
    </w:p>
    <w:p>
      <w:pPr>
        <w:spacing w:after="200"/>
        <w:ind w:left="0" w:firstLine="0"/>
        <w:jc w:val="both"/>
      </w:pPr>
    </w:p>
    <w:p>
      <w:pPr>
        <w:spacing w:after="120"/>
        <w:ind w:left="0"/>
        <w:jc w:val="both"/>
      </w:pPr>
      <w:r>
        <w:rPr>
          <w:rFonts w:ascii="Times New Roman" w:hAnsi="Times New Roman"/>
          <w:b w:val="0"/>
          <w:i/>
          <w:sz w:val="17"/>
        </w:rPr>
        <w:t>This memorandum is a privileged and confidential attorney–client communication prepared in anticipation of litigation and for the purpose of rendering legal advice. It is based solely on the documents identified in Part 1 and Appendix 1, which we have assumed to be genuine, complete and accurate. We have not independently investigated the Premises, the title, the environmental conditions, the financial projections or the parties' authority except as expressly stated. Nothing in this memorandum constitutes an opinion of Connecticut law on the questions identified in Part 7, which remain subject to confirmation.</w:t>
      </w:r>
    </w:p>
    <w:sectPr w:rsidR="00FC693F" w:rsidRPr="0006063C" w:rsidSect="00034616">
      <w:headerReference w:type="default" r:id="rId9"/>
      <w:footerReference w:type="default" r:id="rId10"/>
      <w:pgSz w:w="12240" w:h="15840"/>
      <w:pgMar w:top="1224"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b w:val="0"/>
        <w:i/>
        <w:sz w:val="16"/>
      </w:rPr>
      <w:t xml:space="preserve">Drafting Issues Memorandum — Ground Lease, 10–30 Pier Street — June 20, 2025    |    </w:t>
    </w:r>
    <w:r>
      <w:rPr>
        <w:rFonts w:ascii="Times New Roman" w:hAnsi="Times New Roman"/>
        <w:b w:val="0"/>
        <w:i w:val="0"/>
        <w:sz w:val="16"/>
      </w:rPr>
      <w:t xml:space="preserve">Page </w:t>
    </w:r>
    <w:r>
      <w:fldChar w:fldCharType="begin"/>
      <w:instrText xml:space="preserve">PAGE</w:instrText>
      <w:fldChar w:fldCharType="separate"/>
      <w:t>1</w:t>
      <w:fldChar w:fldCharType="end"/>
    </w:r>
    <w:r>
      <w:rPr>
        <w:rFonts w:ascii="Times New Roman" w:hAnsi="Times New Roman"/>
        <w:b w:val="0"/>
        <w:i w:val="0"/>
        <w:sz w:val="16"/>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808080"/>
      </w:pBdr>
    </w:pPr>
    <w:r/>
    <w:r>
      <w:rPr>
        <w:rFonts w:ascii="Times New Roman" w:hAnsi="Times New Roman"/>
        <w:b w:val="0"/>
        <w:i/>
        <w:sz w:val="16"/>
      </w:rPr>
      <w:t>Hargrove &amp; Linden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40"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Drafting Issues Memorandum — Ground Lease, 10–30 Pier Street, Port Calloway, CT</dc:title>
  <dc:subject>Source-grounded review of Term Sheet, Bayside loan term sheet, Title Commitment, Phase II ESA, survey and Board Resolution</dc:subject>
  <dc:creator>Hargrove &amp; Linden LLP (Tenant's Counsel)</dc:creator>
  <cp:keywords/>
  <dc:description>PRIVILEGED AND CONFIDENTIAL — ATTORNEY WORK PRODUCT. June 20, 2025.</dc:description>
  <cp:lastModifiedBy/>
  <cp:revision>1</cp:revision>
  <dcterms:created xsi:type="dcterms:W3CDTF">2013-12-23T23:15:00Z</dcterms:created>
  <dcterms:modified xsi:type="dcterms:W3CDTF">2013-12-23T23:15:00Z</dcterms:modified>
  <cp:category>Ground Lease</cp:category>
</cp:coreProperties>
</file>