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1"/>
        </w:rPr>
        <w:t>PRIVILEGED AND CONFIDENTIAL — ATTORNEY WORK PRODUCT — ATTORNEY-CLIENT COMMUNICATION</w:t>
      </w:r>
    </w:p>
    <w:p>
      <w:pPr>
        <w:spacing w:after="40"/>
        <w:pBdr>
          <w:bottom w:val="single" w:sz="6" w:space="1" w:color="000000"/>
        </w:pBdr>
      </w:pPr>
    </w:p>
    <w:p>
      <w:pPr>
        <w:spacing w:before="0" w:after="200"/>
        <w:jc w:val="center"/>
      </w:pPr>
      <w:r>
        <w:rPr>
          <w:rFonts w:ascii="Times New Roman" w:hAnsi="Times New Roman"/>
          <w:b/>
          <w:i w:val="0"/>
          <w:sz w:val="32"/>
        </w:rPr>
        <w:t>MEMORANDUM</w:t>
      </w:r>
    </w:p>
    <w:p>
      <w:pPr>
        <w:tabs>
          <w:tab w:pos="1224" w:val="left"/>
        </w:tabs>
        <w:spacing w:after="60"/>
        <w:jc w:val="left"/>
      </w:pPr>
      <w:r>
        <w:rPr>
          <w:rFonts w:ascii="Times New Roman" w:hAnsi="Times New Roman"/>
          <w:b/>
          <w:sz w:val="21"/>
        </w:rPr>
        <w:t>TO:</w:t>
        <w:tab/>
      </w:r>
      <w:r>
        <w:rPr>
          <w:rFonts w:ascii="Times New Roman" w:hAnsi="Times New Roman"/>
          <w:b w:val="0"/>
          <w:i w:val="0"/>
          <w:sz w:val="21"/>
        </w:rPr>
        <w:t>Marcus Ellison, Managing Member, Meridian Gateway Holdings LLC</w:t>
      </w:r>
    </w:p>
    <w:p>
      <w:pPr>
        <w:tabs>
          <w:tab w:pos="1224" w:val="left"/>
        </w:tabs>
        <w:spacing w:after="60"/>
        <w:jc w:val="left"/>
      </w:pPr>
      <w:r>
        <w:rPr>
          <w:rFonts w:ascii="Times New Roman" w:hAnsi="Times New Roman"/>
          <w:b/>
          <w:sz w:val="21"/>
        </w:rPr>
        <w:t>FROM:</w:t>
        <w:tab/>
      </w:r>
      <w:r>
        <w:rPr>
          <w:rFonts w:ascii="Times New Roman" w:hAnsi="Times New Roman"/>
          <w:b w:val="0"/>
          <w:i w:val="0"/>
          <w:sz w:val="21"/>
        </w:rPr>
        <w:t>Hargrove &amp; Linden LLP — Rebecca Tsang, Lead Partner; Jordan Abernathy, Associate</w:t>
      </w:r>
    </w:p>
    <w:p>
      <w:pPr>
        <w:tabs>
          <w:tab w:pos="1224" w:val="left"/>
        </w:tabs>
        <w:spacing w:after="60"/>
        <w:jc w:val="left"/>
      </w:pPr>
      <w:r>
        <w:rPr>
          <w:rFonts w:ascii="Times New Roman" w:hAnsi="Times New Roman"/>
          <w:b/>
          <w:sz w:val="21"/>
        </w:rPr>
        <w:t>CC:</w:t>
        <w:tab/>
      </w:r>
      <w:r>
        <w:rPr>
          <w:rFonts w:ascii="Times New Roman" w:hAnsi="Times New Roman"/>
          <w:b w:val="0"/>
          <w:i w:val="0"/>
          <w:sz w:val="21"/>
        </w:rPr>
        <w:t>Ansel Coventry III, Coventry Capital Partners LP</w:t>
      </w:r>
    </w:p>
    <w:p>
      <w:pPr>
        <w:tabs>
          <w:tab w:pos="1224" w:val="left"/>
        </w:tabs>
        <w:spacing w:after="60"/>
        <w:jc w:val="left"/>
      </w:pPr>
      <w:r>
        <w:rPr>
          <w:rFonts w:ascii="Times New Roman" w:hAnsi="Times New Roman"/>
          <w:b/>
          <w:sz w:val="21"/>
        </w:rPr>
        <w:t>DATE:</w:t>
        <w:tab/>
      </w:r>
      <w:r>
        <w:rPr>
          <w:rFonts w:ascii="Times New Roman" w:hAnsi="Times New Roman"/>
          <w:b w:val="0"/>
          <w:i w:val="0"/>
          <w:sz w:val="21"/>
        </w:rPr>
        <w:t>June 20, 2025</w:t>
      </w:r>
    </w:p>
    <w:p>
      <w:pPr>
        <w:tabs>
          <w:tab w:pos="1224" w:val="left"/>
        </w:tabs>
        <w:spacing w:after="60"/>
        <w:jc w:val="left"/>
      </w:pPr>
      <w:r>
        <w:rPr>
          <w:rFonts w:ascii="Times New Roman" w:hAnsi="Times New Roman"/>
          <w:b/>
          <w:sz w:val="21"/>
        </w:rPr>
        <w:t>RE:</w:t>
        <w:tab/>
      </w:r>
      <w:r>
        <w:rPr>
          <w:rFonts w:ascii="Times New Roman" w:hAnsi="Times New Roman"/>
          <w:b w:val="0"/>
          <w:i w:val="0"/>
          <w:sz w:val="21"/>
        </w:rPr>
        <w:t>Ground Lease — 10-30 Pier Street, Port Calloway, Connecticut (APN 127-003-0045): Drafting Issues, Cross-Document Conflicts, Gaps, and Recommended Positions</w:t>
      </w:r>
    </w:p>
    <w:p>
      <w:pPr>
        <w:spacing w:after="40"/>
        <w:pBdr>
          <w:bottom w:val="single" w:sz="6" w:space="1" w:color="000000"/>
        </w:pBdr>
      </w:pPr>
    </w:p>
    <w:p>
      <w:pPr>
        <w:keepNext/>
        <w:spacing w:before="200" w:after="80"/>
        <w:jc w:val="left"/>
      </w:pPr>
      <w:r>
        <w:rPr>
          <w:rFonts w:ascii="Times New Roman" w:hAnsi="Times New Roman"/>
          <w:b/>
          <w:i w:val="0"/>
          <w:sz w:val="21"/>
        </w:rPr>
        <w:t>Contents:</w:t>
        <w:tab/>
        <w:t>I. Executive Summary and Top-Risk Register · II. Scope, Record, and Limitations · III. The Six Critical Issues · IV. Independent Recomputation of Figures, Dates, and Areas · V. Cross-Document Conflict Register · VI. Connecticut Law: Forfeiture, Penalties, and Remedies · VII. Issue Register (47 items) · VIII. Recommended Next Steps · Appendix A — Source-to-Issue Log · Appendix B — Departures from the Term Sheet</w:t>
      </w:r>
    </w:p>
    <w:p>
      <w:pPr>
        <w:spacing w:after="40"/>
        <w:pBdr>
          <w:bottom w:val="single" w:sz="6" w:space="1" w:color="000000"/>
        </w:pBdr>
      </w:pPr>
    </w:p>
    <w:p>
      <w:pPr>
        <w:keepNext/>
        <w:spacing w:before="320" w:after="200"/>
        <w:jc w:val="center"/>
      </w:pPr>
      <w:r>
        <w:rPr>
          <w:rFonts w:ascii="Times New Roman" w:hAnsi="Times New Roman"/>
          <w:b/>
          <w:i w:val="0"/>
          <w:sz w:val="21"/>
        </w:rPr>
        <w:t>I. EXECUTIVE SUMMARY</w:t>
      </w:r>
    </w:p>
    <w:p>
      <w:pPr>
        <w:jc w:val="both"/>
      </w:pPr>
      <w:r>
        <w:rPr>
          <w:rFonts w:ascii="Times New Roman" w:hAnsi="Times New Roman"/>
          <w:b w:val="0"/>
          <w:i w:val="0"/>
          <w:sz w:val="21"/>
        </w:rPr>
        <w:t>We have reviewed the executed Term Sheet dated June 10, 2025, the Bayside Federal Lending Corp. construction loan term sheet dated May 28, 2025, Title Commitment No. TC-2025-07821 effective June 1, 2025, the Halcyon Phase II Environmental Site Assessment executive summary dated May 2, 2025, the ALTA/NSPS survey narrative and legal description dated April 20/28, 2025, and Resolution No. 2025-047 of the Authority's Board of Commissioners adopted June 5, 2025. We have also delivered to you a first draft of the Ground Lease Agreement, which implements the business terms of the Term Sheet and the positions described in this memorandum.</w:t>
      </w:r>
    </w:p>
    <w:p>
      <w:pPr>
        <w:jc w:val="both"/>
      </w:pPr>
      <w:r>
        <w:rPr>
          <w:rFonts w:ascii="Times New Roman" w:hAnsi="Times New Roman"/>
          <w:b w:val="0"/>
          <w:i w:val="0"/>
          <w:sz w:val="21"/>
        </w:rPr>
        <w:t>This memorandum does three things. First, it identifies the twelve issues that we believe carry the greatest risk to closing, to financeability, or to the value of your leasehold. Second, it reconciles every figure, date, area, and cross-reference in the record against an independent computation, and records every conflict between documents. Third, it sets out an issue register of forty-seven items with a recommended drafting response for each, tied to the section of the draft Ground Lease in which the response appears.</w:t>
      </w:r>
    </w:p>
    <w:p>
      <w:pPr>
        <w:jc w:val="both"/>
      </w:pPr>
      <w:r>
        <w:rPr>
          <w:rFonts w:ascii="Times New Roman" w:hAnsi="Times New Roman"/>
          <w:b w:val="0"/>
          <w:i w:val="0"/>
          <w:sz w:val="21"/>
        </w:rPr>
        <w:t>Our overall assessment is that the Term Sheet is a workable business deal, but that it is not yet bankable, and that three provisions as drafted are unacceptable in their current form: the milestone reverter (Term Sheet Section 9), the fixed percentage-rent breakpoint (Section 6), and the tax abatement commencement date (Section 10). Two further items are prerequisites to closing that are not presently in hand: a corrected legal description, and a recorded amendment to the 2019 right of first refusal so that it does not reach a leasehold mortgagee's foreclosure. If those five items are not resolved, we do not believe Bayside Federal will close, and we do not believe the deal survives a lender's credit committee.</w:t>
      </w:r>
    </w:p>
    <w:p>
      <w:pPr>
        <w:keepNext/>
        <w:spacing w:before="200" w:after="80"/>
        <w:jc w:val="left"/>
      </w:pPr>
      <w:r>
        <w:rPr>
          <w:rFonts w:ascii="Times New Roman" w:hAnsi="Times New Roman"/>
          <w:b/>
          <w:i w:val="0"/>
          <w:sz w:val="21"/>
        </w:rPr>
        <w:t>Top-Risk Register</w:t>
      </w:r>
    </w:p>
    <w:tbl>
      <w:tblPr>
        <w:tblStyle w:val="TableGrid"/>
        <w:tblW w:type="dxa" w:w="9360"/>
        <w:jc w:val="center"/>
        <w:tblLayout w:type="fixed"/>
        <w:tblLook w:firstColumn="1" w:firstRow="1" w:lastColumn="0" w:lastRow="0" w:noHBand="0" w:noVBand="1" w:val="04A0"/>
        <w:tblLayout w:type="fixed"/>
      </w:tblPr>
      <w:tblGrid>
        <w:gridCol w:w="503"/>
        <w:gridCol w:w="4176"/>
        <w:gridCol w:w="3384"/>
        <w:gridCol w:w="1296"/>
      </w:tblGrid>
      <w:tr>
        <w:trPr>
          <w:tblHeader/>
        </w:trPr>
        <w:tc>
          <w:tcPr>
            <w:tcW w:type="dxa" w:w="503"/>
            <w:shd w:val="clear" w:color="auto" w:fill="E8E8E8"/>
          </w:tcPr>
          <w:p>
            <w:pPr>
              <w:spacing w:after="40"/>
            </w:pPr>
            <w:r>
              <w:rPr>
                <w:rFonts w:ascii="Times New Roman" w:hAnsi="Times New Roman"/>
                <w:b/>
                <w:i w:val="0"/>
                <w:sz w:val="17"/>
              </w:rPr>
              <w:t>#</w:t>
            </w:r>
          </w:p>
        </w:tc>
        <w:tc>
          <w:tcPr>
            <w:tcW w:type="dxa" w:w="4176"/>
            <w:shd w:val="clear" w:color="auto" w:fill="E8E8E8"/>
          </w:tcPr>
          <w:p>
            <w:pPr>
              <w:spacing w:after="40"/>
            </w:pPr>
            <w:r>
              <w:rPr>
                <w:rFonts w:ascii="Times New Roman" w:hAnsi="Times New Roman"/>
                <w:b/>
                <w:i w:val="0"/>
                <w:sz w:val="17"/>
              </w:rPr>
              <w:t>Risk</w:t>
            </w:r>
          </w:p>
        </w:tc>
        <w:tc>
          <w:tcPr>
            <w:tcW w:type="dxa" w:w="3384"/>
            <w:shd w:val="clear" w:color="auto" w:fill="E8E8E8"/>
          </w:tcPr>
          <w:p>
            <w:pPr>
              <w:spacing w:after="40"/>
            </w:pPr>
            <w:r>
              <w:rPr>
                <w:rFonts w:ascii="Times New Roman" w:hAnsi="Times New Roman"/>
                <w:b/>
                <w:i w:val="0"/>
                <w:sz w:val="17"/>
              </w:rPr>
              <w:t>Why it matters</w:t>
            </w:r>
          </w:p>
        </w:tc>
        <w:tc>
          <w:tcPr>
            <w:tcW w:type="dxa" w:w="1296"/>
            <w:shd w:val="clear" w:color="auto" w:fill="E8E8E8"/>
          </w:tcPr>
          <w:p>
            <w:pPr>
              <w:spacing w:after="40"/>
            </w:pPr>
            <w:r>
              <w:rPr>
                <w:rFonts w:ascii="Times New Roman" w:hAnsi="Times New Roman"/>
                <w:b/>
                <w:i w:val="0"/>
                <w:sz w:val="17"/>
              </w:rPr>
              <w:t>Memo Item</w:t>
            </w:r>
          </w:p>
        </w:tc>
      </w:tr>
      <w:tr>
        <w:trPr>
          <w:cantSplit/>
        </w:trPr>
        <w:tc>
          <w:tcPr>
            <w:tcW w:type="dxa" w:w="503"/>
          </w:tcPr>
          <w:p>
            <w:pPr>
              <w:spacing w:after="40"/>
            </w:pPr>
            <w:r>
              <w:rPr>
                <w:rFonts w:ascii="Times New Roman" w:hAnsi="Times New Roman"/>
                <w:b w:val="0"/>
                <w:i w:val="0"/>
                <w:sz w:val="17"/>
              </w:rPr>
              <w:t>1</w:t>
            </w:r>
          </w:p>
        </w:tc>
        <w:tc>
          <w:tcPr>
            <w:tcW w:type="dxa" w:w="4176"/>
          </w:tcPr>
          <w:p>
            <w:pPr>
              <w:spacing w:after="40"/>
            </w:pPr>
            <w:r>
              <w:rPr>
                <w:rFonts w:ascii="Times New Roman" w:hAnsi="Times New Roman"/>
                <w:b w:val="0"/>
                <w:i w:val="0"/>
                <w:sz w:val="17"/>
              </w:rPr>
              <w:t>Reverter forfeits all improvements without compensation on a missed Milestone 1 or 3</w:t>
            </w:r>
          </w:p>
        </w:tc>
        <w:tc>
          <w:tcPr>
            <w:tcW w:type="dxa" w:w="3384"/>
          </w:tcPr>
          <w:p>
            <w:pPr>
              <w:spacing w:after="40"/>
            </w:pPr>
            <w:r>
              <w:rPr>
                <w:rFonts w:ascii="Times New Roman" w:hAnsi="Times New Roman"/>
                <w:b w:val="0"/>
                <w:i w:val="0"/>
                <w:sz w:val="17"/>
              </w:rPr>
              <w:t>At Milestone 3 the Improvements will be worth $300M+; forfeiture for a delay of months is a penalty, not a remedy, and no lender will accept it</w:t>
            </w:r>
          </w:p>
        </w:tc>
        <w:tc>
          <w:tcPr>
            <w:tcW w:type="dxa" w:w="1296"/>
          </w:tcPr>
          <w:p>
            <w:pPr>
              <w:spacing w:after="40"/>
            </w:pPr>
            <w:r>
              <w:rPr>
                <w:rFonts w:ascii="Times New Roman" w:hAnsi="Times New Roman"/>
                <w:b w:val="0"/>
                <w:i w:val="0"/>
                <w:sz w:val="17"/>
              </w:rPr>
              <w:t>1</w:t>
            </w:r>
          </w:p>
        </w:tc>
      </w:tr>
      <w:tr>
        <w:trPr>
          <w:cantSplit/>
        </w:trPr>
        <w:tc>
          <w:tcPr>
            <w:tcW w:type="dxa" w:w="503"/>
          </w:tcPr>
          <w:p>
            <w:pPr>
              <w:spacing w:after="40"/>
            </w:pPr>
            <w:r>
              <w:rPr>
                <w:rFonts w:ascii="Times New Roman" w:hAnsi="Times New Roman"/>
                <w:b w:val="0"/>
                <w:i w:val="0"/>
                <w:sz w:val="17"/>
              </w:rPr>
              <w:t>2</w:t>
            </w:r>
          </w:p>
        </w:tc>
        <w:tc>
          <w:tcPr>
            <w:tcW w:type="dxa" w:w="4176"/>
          </w:tcPr>
          <w:p>
            <w:pPr>
              <w:spacing w:after="40"/>
            </w:pPr>
            <w:r>
              <w:rPr>
                <w:rFonts w:ascii="Times New Roman" w:hAnsi="Times New Roman"/>
                <w:b w:val="0"/>
                <w:i w:val="0"/>
                <w:sz w:val="17"/>
              </w:rPr>
              <w:t>Reverter is not subordinate to the leasehold mortgage; no independent lender cure for milestone defaults</w:t>
            </w:r>
          </w:p>
        </w:tc>
        <w:tc>
          <w:tcPr>
            <w:tcW w:type="dxa" w:w="3384"/>
          </w:tcPr>
          <w:p>
            <w:pPr>
              <w:spacing w:after="40"/>
            </w:pPr>
            <w:r>
              <w:rPr>
                <w:rFonts w:ascii="Times New Roman" w:hAnsi="Times New Roman"/>
                <w:b w:val="0"/>
                <w:i w:val="0"/>
                <w:sz w:val="17"/>
              </w:rPr>
              <w:t>Bayside requires this as a condition of closing (Loan TS §5.3–5.4); the Term Sheet's New Lease right is materially narrower</w:t>
            </w:r>
          </w:p>
        </w:tc>
        <w:tc>
          <w:tcPr>
            <w:tcW w:type="dxa" w:w="1296"/>
          </w:tcPr>
          <w:p>
            <w:pPr>
              <w:spacing w:after="40"/>
            </w:pPr>
            <w:r>
              <w:rPr>
                <w:rFonts w:ascii="Times New Roman" w:hAnsi="Times New Roman"/>
                <w:b w:val="0"/>
                <w:i w:val="0"/>
                <w:sz w:val="17"/>
              </w:rPr>
              <w:t>2</w:t>
            </w:r>
          </w:p>
        </w:tc>
      </w:tr>
      <w:tr>
        <w:trPr>
          <w:cantSplit/>
        </w:trPr>
        <w:tc>
          <w:tcPr>
            <w:tcW w:type="dxa" w:w="503"/>
          </w:tcPr>
          <w:p>
            <w:pPr>
              <w:spacing w:after="40"/>
            </w:pPr>
            <w:r>
              <w:rPr>
                <w:rFonts w:ascii="Times New Roman" w:hAnsi="Times New Roman"/>
                <w:b w:val="0"/>
                <w:i w:val="0"/>
                <w:sz w:val="17"/>
              </w:rPr>
              <w:t>3</w:t>
            </w:r>
          </w:p>
        </w:tc>
        <w:tc>
          <w:tcPr>
            <w:tcW w:type="dxa" w:w="4176"/>
          </w:tcPr>
          <w:p>
            <w:pPr>
              <w:spacing w:after="40"/>
            </w:pPr>
            <w:r>
              <w:rPr>
                <w:rFonts w:ascii="Times New Roman" w:hAnsi="Times New Roman"/>
                <w:b w:val="0"/>
                <w:i w:val="0"/>
                <w:sz w:val="17"/>
              </w:rPr>
              <w:t>Tax abatement starts on the Lease Commencement Date, not the Rent Commencement Date</w:t>
            </w:r>
          </w:p>
        </w:tc>
        <w:tc>
          <w:tcPr>
            <w:tcW w:type="dxa" w:w="3384"/>
          </w:tcPr>
          <w:p>
            <w:pPr>
              <w:spacing w:after="40"/>
            </w:pPr>
            <w:r>
              <w:rPr>
                <w:rFonts w:ascii="Times New Roman" w:hAnsi="Times New Roman"/>
                <w:b w:val="0"/>
                <w:i w:val="0"/>
                <w:sz w:val="17"/>
              </w:rPr>
              <w:t>Costs roughly $18.1M in nominal taxes through 2043 and burns three abatement years during construction; also contradicts the City's own implementation vehicle</w:t>
            </w:r>
          </w:p>
        </w:tc>
        <w:tc>
          <w:tcPr>
            <w:tcW w:type="dxa" w:w="1296"/>
          </w:tcPr>
          <w:p>
            <w:pPr>
              <w:spacing w:after="40"/>
            </w:pPr>
            <w:r>
              <w:rPr>
                <w:rFonts w:ascii="Times New Roman" w:hAnsi="Times New Roman"/>
                <w:b w:val="0"/>
                <w:i w:val="0"/>
                <w:sz w:val="17"/>
              </w:rPr>
              <w:t>3</w:t>
            </w:r>
          </w:p>
        </w:tc>
      </w:tr>
      <w:tr>
        <w:trPr>
          <w:cantSplit/>
        </w:trPr>
        <w:tc>
          <w:tcPr>
            <w:tcW w:type="dxa" w:w="503"/>
          </w:tcPr>
          <w:p>
            <w:pPr>
              <w:spacing w:after="40"/>
            </w:pPr>
            <w:r>
              <w:rPr>
                <w:rFonts w:ascii="Times New Roman" w:hAnsi="Times New Roman"/>
                <w:b w:val="0"/>
                <w:i w:val="0"/>
                <w:sz w:val="17"/>
              </w:rPr>
              <w:t>4</w:t>
            </w:r>
          </w:p>
        </w:tc>
        <w:tc>
          <w:tcPr>
            <w:tcW w:type="dxa" w:w="4176"/>
          </w:tcPr>
          <w:p>
            <w:pPr>
              <w:spacing w:after="40"/>
            </w:pPr>
            <w:r>
              <w:rPr>
                <w:rFonts w:ascii="Times New Roman" w:hAnsi="Times New Roman"/>
                <w:b w:val="0"/>
                <w:i w:val="0"/>
                <w:sz w:val="17"/>
              </w:rPr>
              <w:t>No binding City commitment to the tax abatement</w:t>
            </w:r>
          </w:p>
        </w:tc>
        <w:tc>
          <w:tcPr>
            <w:tcW w:type="dxa" w:w="3384"/>
          </w:tcPr>
          <w:p>
            <w:pPr>
              <w:spacing w:after="40"/>
            </w:pPr>
            <w:r>
              <w:rPr>
                <w:rFonts w:ascii="Times New Roman" w:hAnsi="Times New Roman"/>
                <w:b w:val="0"/>
                <w:i w:val="0"/>
                <w:sz w:val="17"/>
              </w:rPr>
              <w:t>The Authority is not the City and cannot bind it; under a triple-net lease the Tenant bears 100% of tax risk</w:t>
            </w:r>
          </w:p>
        </w:tc>
        <w:tc>
          <w:tcPr>
            <w:tcW w:type="dxa" w:w="1296"/>
          </w:tcPr>
          <w:p>
            <w:pPr>
              <w:spacing w:after="40"/>
            </w:pPr>
            <w:r>
              <w:rPr>
                <w:rFonts w:ascii="Times New Roman" w:hAnsi="Times New Roman"/>
                <w:b w:val="0"/>
                <w:i w:val="0"/>
                <w:sz w:val="17"/>
              </w:rPr>
              <w:t>3</w:t>
            </w:r>
          </w:p>
        </w:tc>
      </w:tr>
      <w:tr>
        <w:trPr>
          <w:cantSplit/>
        </w:trPr>
        <w:tc>
          <w:tcPr>
            <w:tcW w:type="dxa" w:w="503"/>
          </w:tcPr>
          <w:p>
            <w:pPr>
              <w:spacing w:after="40"/>
            </w:pPr>
            <w:r>
              <w:rPr>
                <w:rFonts w:ascii="Times New Roman" w:hAnsi="Times New Roman"/>
                <w:b w:val="0"/>
                <w:i w:val="0"/>
                <w:sz w:val="17"/>
              </w:rPr>
              <w:t>5</w:t>
            </w:r>
          </w:p>
        </w:tc>
        <w:tc>
          <w:tcPr>
            <w:tcW w:type="dxa" w:w="4176"/>
          </w:tcPr>
          <w:p>
            <w:pPr>
              <w:spacing w:after="40"/>
            </w:pPr>
            <w:r>
              <w:rPr>
                <w:rFonts w:ascii="Times New Roman" w:hAnsi="Times New Roman"/>
                <w:b w:val="0"/>
                <w:i w:val="0"/>
                <w:sz w:val="17"/>
              </w:rPr>
              <w:t>Percentage rent breakpoint fixed at $28.5M for 99 years</w:t>
            </w:r>
          </w:p>
        </w:tc>
        <w:tc>
          <w:tcPr>
            <w:tcW w:type="dxa" w:w="3384"/>
          </w:tcPr>
          <w:p>
            <w:pPr>
              <w:spacing w:after="40"/>
            </w:pPr>
            <w:r>
              <w:rPr>
                <w:rFonts w:ascii="Times New Roman" w:hAnsi="Times New Roman"/>
                <w:b w:val="0"/>
                <w:i w:val="0"/>
                <w:sz w:val="17"/>
              </w:rPr>
              <w:t>Converts a negotiated participation into an escalating share of gross receipts; at 3% revenue growth the percentage rent rises from $30,000 to $8.0M a year over the Term</w:t>
            </w:r>
          </w:p>
        </w:tc>
        <w:tc>
          <w:tcPr>
            <w:tcW w:type="dxa" w:w="1296"/>
          </w:tcPr>
          <w:p>
            <w:pPr>
              <w:spacing w:after="40"/>
            </w:pPr>
            <w:r>
              <w:rPr>
                <w:rFonts w:ascii="Times New Roman" w:hAnsi="Times New Roman"/>
                <w:b w:val="0"/>
                <w:i w:val="0"/>
                <w:sz w:val="17"/>
              </w:rPr>
              <w:t>4</w:t>
            </w:r>
          </w:p>
        </w:tc>
      </w:tr>
      <w:tr>
        <w:trPr>
          <w:cantSplit/>
        </w:trPr>
        <w:tc>
          <w:tcPr>
            <w:tcW w:type="dxa" w:w="503"/>
          </w:tcPr>
          <w:p>
            <w:pPr>
              <w:spacing w:after="40"/>
            </w:pPr>
            <w:r>
              <w:rPr>
                <w:rFonts w:ascii="Times New Roman" w:hAnsi="Times New Roman"/>
                <w:b w:val="0"/>
                <w:i w:val="0"/>
                <w:sz w:val="17"/>
              </w:rPr>
              <w:t>6</w:t>
            </w:r>
          </w:p>
        </w:tc>
        <w:tc>
          <w:tcPr>
            <w:tcW w:type="dxa" w:w="4176"/>
          </w:tcPr>
          <w:p>
            <w:pPr>
              <w:spacing w:after="40"/>
            </w:pPr>
            <w:r>
              <w:rPr>
                <w:rFonts w:ascii="Times New Roman" w:hAnsi="Times New Roman"/>
                <w:b w:val="0"/>
                <w:i w:val="0"/>
                <w:sz w:val="17"/>
              </w:rPr>
              <w:t>Legally defective legal description in the Title Commitment</w:t>
            </w:r>
          </w:p>
        </w:tc>
        <w:tc>
          <w:tcPr>
            <w:tcW w:type="dxa" w:w="3384"/>
          </w:tcPr>
          <w:p>
            <w:pPr>
              <w:spacing w:after="40"/>
            </w:pPr>
            <w:r>
              <w:rPr>
                <w:rFonts w:ascii="Times New Roman" w:hAnsi="Times New Roman"/>
                <w:b w:val="0"/>
                <w:i w:val="0"/>
                <w:sz w:val="17"/>
              </w:rPr>
              <w:t>Exhibit A computes to 279,535 SF (6.417 acres) while reciting 139,392 SF (3.2 acres); it is approximately double the surveyed parcel and cannot be used</w:t>
            </w:r>
          </w:p>
        </w:tc>
        <w:tc>
          <w:tcPr>
            <w:tcW w:type="dxa" w:w="1296"/>
          </w:tcPr>
          <w:p>
            <w:pPr>
              <w:spacing w:after="40"/>
            </w:pPr>
            <w:r>
              <w:rPr>
                <w:rFonts w:ascii="Times New Roman" w:hAnsi="Times New Roman"/>
                <w:b w:val="0"/>
                <w:i w:val="0"/>
                <w:sz w:val="17"/>
              </w:rPr>
              <w:t>5</w:t>
            </w:r>
          </w:p>
        </w:tc>
      </w:tr>
      <w:tr>
        <w:trPr>
          <w:cantSplit/>
        </w:trPr>
        <w:tc>
          <w:tcPr>
            <w:tcW w:type="dxa" w:w="503"/>
          </w:tcPr>
          <w:p>
            <w:pPr>
              <w:spacing w:after="40"/>
            </w:pPr>
            <w:r>
              <w:rPr>
                <w:rFonts w:ascii="Times New Roman" w:hAnsi="Times New Roman"/>
                <w:b w:val="0"/>
                <w:i w:val="0"/>
                <w:sz w:val="17"/>
              </w:rPr>
              <w:t>7</w:t>
            </w:r>
          </w:p>
        </w:tc>
        <w:tc>
          <w:tcPr>
            <w:tcW w:type="dxa" w:w="4176"/>
          </w:tcPr>
          <w:p>
            <w:pPr>
              <w:spacing w:after="40"/>
            </w:pPr>
            <w:r>
              <w:rPr>
                <w:rFonts w:ascii="Times New Roman" w:hAnsi="Times New Roman"/>
                <w:b w:val="0"/>
                <w:i w:val="0"/>
                <w:sz w:val="17"/>
              </w:rPr>
              <w:t>Recorded 2019 right of first refusal has no foreclosure or mortgagee carve-out</w:t>
            </w:r>
          </w:p>
        </w:tc>
        <w:tc>
          <w:tcPr>
            <w:tcW w:type="dxa" w:w="3384"/>
          </w:tcPr>
          <w:p>
            <w:pPr>
              <w:spacing w:after="40"/>
            </w:pPr>
            <w:r>
              <w:rPr>
                <w:rFonts w:ascii="Times New Roman" w:hAnsi="Times New Roman"/>
                <w:b w:val="0"/>
                <w:i w:val="0"/>
                <w:sz w:val="17"/>
              </w:rPr>
              <w:t>Directly conflicts with Bayside's requirement (§5.6) that the Lender may foreclose and assign without Landlord consent</w:t>
            </w:r>
          </w:p>
        </w:tc>
        <w:tc>
          <w:tcPr>
            <w:tcW w:type="dxa" w:w="1296"/>
          </w:tcPr>
          <w:p>
            <w:pPr>
              <w:spacing w:after="40"/>
            </w:pPr>
            <w:r>
              <w:rPr>
                <w:rFonts w:ascii="Times New Roman" w:hAnsi="Times New Roman"/>
                <w:b w:val="0"/>
                <w:i w:val="0"/>
                <w:sz w:val="17"/>
              </w:rPr>
              <w:t>6</w:t>
            </w:r>
          </w:p>
        </w:tc>
      </w:tr>
      <w:tr>
        <w:trPr>
          <w:cantSplit/>
        </w:trPr>
        <w:tc>
          <w:tcPr>
            <w:tcW w:type="dxa" w:w="503"/>
          </w:tcPr>
          <w:p>
            <w:pPr>
              <w:spacing w:after="40"/>
            </w:pPr>
            <w:r>
              <w:rPr>
                <w:rFonts w:ascii="Times New Roman" w:hAnsi="Times New Roman"/>
                <w:b w:val="0"/>
                <w:i w:val="0"/>
                <w:sz w:val="17"/>
              </w:rPr>
              <w:t>8</w:t>
            </w:r>
          </w:p>
        </w:tc>
        <w:tc>
          <w:tcPr>
            <w:tcW w:type="dxa" w:w="4176"/>
          </w:tcPr>
          <w:p>
            <w:pPr>
              <w:spacing w:after="40"/>
            </w:pPr>
            <w:r>
              <w:rPr>
                <w:rFonts w:ascii="Times New Roman" w:hAnsi="Times New Roman"/>
                <w:b w:val="0"/>
                <w:i w:val="0"/>
                <w:sz w:val="17"/>
              </w:rPr>
              <w:t>Remediation credit is capped while the Tenant's remediation exposure is uncapped</w:t>
            </w:r>
          </w:p>
        </w:tc>
        <w:tc>
          <w:tcPr>
            <w:tcW w:type="dxa" w:w="3384"/>
          </w:tcPr>
          <w:p>
            <w:pPr>
              <w:spacing w:after="40"/>
            </w:pPr>
            <w:r>
              <w:rPr>
                <w:rFonts w:ascii="Times New Roman" w:hAnsi="Times New Roman"/>
                <w:b w:val="0"/>
                <w:i w:val="0"/>
                <w:sz w:val="17"/>
              </w:rPr>
              <w:t>The Term Sheet's own arithmetic implies a 75/25 cost share; as drafted, $1.8M is fixed and every dollar of overrun is yours</w:t>
            </w:r>
          </w:p>
        </w:tc>
        <w:tc>
          <w:tcPr>
            <w:tcW w:type="dxa" w:w="1296"/>
          </w:tcPr>
          <w:p>
            <w:pPr>
              <w:spacing w:after="40"/>
            </w:pPr>
            <w:r>
              <w:rPr>
                <w:rFonts w:ascii="Times New Roman" w:hAnsi="Times New Roman"/>
                <w:b w:val="0"/>
                <w:i w:val="0"/>
                <w:sz w:val="17"/>
              </w:rPr>
              <w:t>7</w:t>
            </w:r>
          </w:p>
        </w:tc>
      </w:tr>
      <w:tr>
        <w:trPr>
          <w:cantSplit/>
        </w:trPr>
        <w:tc>
          <w:tcPr>
            <w:tcW w:type="dxa" w:w="503"/>
          </w:tcPr>
          <w:p>
            <w:pPr>
              <w:spacing w:after="40"/>
            </w:pPr>
            <w:r>
              <w:rPr>
                <w:rFonts w:ascii="Times New Roman" w:hAnsi="Times New Roman"/>
                <w:b w:val="0"/>
                <w:i w:val="0"/>
                <w:sz w:val="17"/>
              </w:rPr>
              <w:t>9</w:t>
            </w:r>
          </w:p>
        </w:tc>
        <w:tc>
          <w:tcPr>
            <w:tcW w:type="dxa" w:w="4176"/>
          </w:tcPr>
          <w:p>
            <w:pPr>
              <w:spacing w:after="40"/>
            </w:pPr>
            <w:r>
              <w:rPr>
                <w:rFonts w:ascii="Times New Roman" w:hAnsi="Times New Roman"/>
                <w:b w:val="0"/>
                <w:i w:val="0"/>
                <w:sz w:val="17"/>
              </w:rPr>
              <w:t>ELUR prohibits ground-floor residential use while the program includes a ground-floor residential lobby and amenities</w:t>
            </w:r>
          </w:p>
        </w:tc>
        <w:tc>
          <w:tcPr>
            <w:tcW w:type="dxa" w:w="3384"/>
          </w:tcPr>
          <w:p>
            <w:pPr>
              <w:spacing w:after="40"/>
            </w:pPr>
            <w:r>
              <w:rPr>
                <w:rFonts w:ascii="Times New Roman" w:hAnsi="Times New Roman"/>
                <w:b w:val="0"/>
                <w:i w:val="0"/>
                <w:sz w:val="17"/>
              </w:rPr>
              <w:t>Undisclosed enforcement risk, and it constrains where affordable units can go</w:t>
            </w:r>
          </w:p>
        </w:tc>
        <w:tc>
          <w:tcPr>
            <w:tcW w:type="dxa" w:w="1296"/>
          </w:tcPr>
          <w:p>
            <w:pPr>
              <w:spacing w:after="40"/>
            </w:pPr>
            <w:r>
              <w:rPr>
                <w:rFonts w:ascii="Times New Roman" w:hAnsi="Times New Roman"/>
                <w:b w:val="0"/>
                <w:i w:val="0"/>
                <w:sz w:val="17"/>
              </w:rPr>
              <w:t>8</w:t>
            </w:r>
          </w:p>
        </w:tc>
      </w:tr>
      <w:tr>
        <w:trPr>
          <w:cantSplit/>
        </w:trPr>
        <w:tc>
          <w:tcPr>
            <w:tcW w:type="dxa" w:w="503"/>
          </w:tcPr>
          <w:p>
            <w:pPr>
              <w:spacing w:after="40"/>
            </w:pPr>
            <w:r>
              <w:rPr>
                <w:rFonts w:ascii="Times New Roman" w:hAnsi="Times New Roman"/>
                <w:b w:val="0"/>
                <w:i w:val="0"/>
                <w:sz w:val="17"/>
              </w:rPr>
              <w:t>10</w:t>
            </w:r>
          </w:p>
        </w:tc>
        <w:tc>
          <w:tcPr>
            <w:tcW w:type="dxa" w:w="4176"/>
          </w:tcPr>
          <w:p>
            <w:pPr>
              <w:spacing w:after="40"/>
            </w:pPr>
            <w:r>
              <w:rPr>
                <w:rFonts w:ascii="Times New Roman" w:hAnsi="Times New Roman"/>
                <w:b w:val="0"/>
                <w:i w:val="0"/>
                <w:sz w:val="17"/>
              </w:rPr>
              <w:t>Rent Commencement is triggered by a certificate of occupancy for "any portion of the Project"</w:t>
            </w:r>
          </w:p>
        </w:tc>
        <w:tc>
          <w:tcPr>
            <w:tcW w:type="dxa" w:w="3384"/>
          </w:tcPr>
          <w:p>
            <w:pPr>
              <w:spacing w:after="40"/>
            </w:pPr>
            <w:r>
              <w:rPr>
                <w:rFonts w:ascii="Times New Roman" w:hAnsi="Times New Roman"/>
                <w:b w:val="0"/>
                <w:i w:val="0"/>
                <w:sz w:val="17"/>
              </w:rPr>
              <w:t>A single retail suite or model unit would start $2.85M a year of Base Rent</w:t>
            </w:r>
          </w:p>
        </w:tc>
        <w:tc>
          <w:tcPr>
            <w:tcW w:type="dxa" w:w="1296"/>
          </w:tcPr>
          <w:p>
            <w:pPr>
              <w:spacing w:after="40"/>
            </w:pPr>
            <w:r>
              <w:rPr>
                <w:rFonts w:ascii="Times New Roman" w:hAnsi="Times New Roman"/>
                <w:b w:val="0"/>
                <w:i w:val="0"/>
                <w:sz w:val="17"/>
              </w:rPr>
              <w:t>9</w:t>
            </w:r>
          </w:p>
        </w:tc>
      </w:tr>
      <w:tr>
        <w:trPr>
          <w:cantSplit/>
        </w:trPr>
        <w:tc>
          <w:tcPr>
            <w:tcW w:type="dxa" w:w="503"/>
          </w:tcPr>
          <w:p>
            <w:pPr>
              <w:spacing w:after="40"/>
            </w:pPr>
            <w:r>
              <w:rPr>
                <w:rFonts w:ascii="Times New Roman" w:hAnsi="Times New Roman"/>
                <w:b w:val="0"/>
                <w:i w:val="0"/>
                <w:sz w:val="17"/>
              </w:rPr>
              <w:t>11</w:t>
            </w:r>
          </w:p>
        </w:tc>
        <w:tc>
          <w:tcPr>
            <w:tcW w:type="dxa" w:w="4176"/>
          </w:tcPr>
          <w:p>
            <w:pPr>
              <w:spacing w:after="40"/>
            </w:pPr>
            <w:r>
              <w:rPr>
                <w:rFonts w:ascii="Times New Roman" w:hAnsi="Times New Roman"/>
                <w:b w:val="0"/>
                <w:i w:val="0"/>
                <w:sz w:val="17"/>
              </w:rPr>
              <w:t>Construction loan matures before Phase 2 is complete; completion guaranty is impossible as written</w:t>
            </w:r>
          </w:p>
        </w:tc>
        <w:tc>
          <w:tcPr>
            <w:tcW w:type="dxa" w:w="3384"/>
          </w:tcPr>
          <w:p>
            <w:pPr>
              <w:spacing w:after="40"/>
            </w:pPr>
            <w:r>
              <w:rPr>
                <w:rFonts w:ascii="Times New Roman" w:hAnsi="Times New Roman"/>
                <w:b w:val="0"/>
                <w:i w:val="0"/>
                <w:sz w:val="17"/>
              </w:rPr>
              <w:t>Loan maturity (Oct 2029, or Oct 2030 extended) precedes Milestone 4 (Oct 2032); the guaranty runs to the Initial Maturity Date</w:t>
            </w:r>
          </w:p>
        </w:tc>
        <w:tc>
          <w:tcPr>
            <w:tcW w:type="dxa" w:w="1296"/>
          </w:tcPr>
          <w:p>
            <w:pPr>
              <w:spacing w:after="40"/>
            </w:pPr>
            <w:r>
              <w:rPr>
                <w:rFonts w:ascii="Times New Roman" w:hAnsi="Times New Roman"/>
                <w:b w:val="0"/>
                <w:i w:val="0"/>
                <w:sz w:val="17"/>
              </w:rPr>
              <w:t>10</w:t>
            </w:r>
          </w:p>
        </w:tc>
      </w:tr>
      <w:tr>
        <w:trPr>
          <w:cantSplit/>
        </w:trPr>
        <w:tc>
          <w:tcPr>
            <w:tcW w:type="dxa" w:w="503"/>
          </w:tcPr>
          <w:p>
            <w:pPr>
              <w:spacing w:after="40"/>
            </w:pPr>
            <w:r>
              <w:rPr>
                <w:rFonts w:ascii="Times New Roman" w:hAnsi="Times New Roman"/>
                <w:b w:val="0"/>
                <w:i w:val="0"/>
                <w:sz w:val="17"/>
              </w:rPr>
              <w:t>12</w:t>
            </w:r>
          </w:p>
        </w:tc>
        <w:tc>
          <w:tcPr>
            <w:tcW w:type="dxa" w:w="4176"/>
          </w:tcPr>
          <w:p>
            <w:pPr>
              <w:spacing w:after="40"/>
            </w:pPr>
            <w:r>
              <w:rPr>
                <w:rFonts w:ascii="Times New Roman" w:hAnsi="Times New Roman"/>
                <w:b w:val="0"/>
                <w:i w:val="0"/>
                <w:sz w:val="17"/>
              </w:rPr>
              <w:t>The $187,500 mechanics' lien is treated as a Permitted Exception</w:t>
            </w:r>
          </w:p>
        </w:tc>
        <w:tc>
          <w:tcPr>
            <w:tcW w:type="dxa" w:w="3384"/>
          </w:tcPr>
          <w:p>
            <w:pPr>
              <w:spacing w:after="40"/>
            </w:pPr>
            <w:r>
              <w:rPr>
                <w:rFonts w:ascii="Times New Roman" w:hAnsi="Times New Roman"/>
                <w:b w:val="0"/>
                <w:i w:val="0"/>
                <w:sz w:val="17"/>
              </w:rPr>
              <w:t>The Title Company will not issue the policy while it is of record; it arises from the fee owner's own contractor</w:t>
            </w:r>
          </w:p>
        </w:tc>
        <w:tc>
          <w:tcPr>
            <w:tcW w:type="dxa" w:w="1296"/>
          </w:tcPr>
          <w:p>
            <w:pPr>
              <w:spacing w:after="40"/>
            </w:pPr>
            <w:r>
              <w:rPr>
                <w:rFonts w:ascii="Times New Roman" w:hAnsi="Times New Roman"/>
                <w:b w:val="0"/>
                <w:i w:val="0"/>
                <w:sz w:val="17"/>
              </w:rPr>
              <w:t>11</w:t>
            </w:r>
          </w:p>
        </w:tc>
      </w:tr>
    </w:tbl>
    <w:p>
      <w:pPr>
        <w:spacing w:after="40"/>
      </w:pPr>
    </w:p>
    <w:p>
      <w:pPr>
        <w:keepNext/>
        <w:spacing w:before="320" w:after="200"/>
        <w:jc w:val="center"/>
      </w:pPr>
      <w:r>
        <w:rPr>
          <w:rFonts w:ascii="Times New Roman" w:hAnsi="Times New Roman"/>
          <w:b/>
          <w:i w:val="0"/>
          <w:sz w:val="21"/>
        </w:rPr>
        <w:t>II. SCOPE, RECORD, AND LIMITATIONS</w:t>
      </w:r>
    </w:p>
    <w:p>
      <w:pPr>
        <w:keepNext/>
        <w:spacing w:before="200" w:after="80"/>
        <w:jc w:val="left"/>
      </w:pPr>
      <w:r>
        <w:rPr>
          <w:rFonts w:ascii="Times New Roman" w:hAnsi="Times New Roman"/>
          <w:b/>
          <w:i w:val="0"/>
          <w:sz w:val="21"/>
        </w:rPr>
        <w:t>2.1 Documents Reviewed</w:t>
      </w:r>
    </w:p>
    <w:tbl>
      <w:tblPr>
        <w:tblStyle w:val="TableGrid"/>
        <w:tblW w:type="dxa" w:w="9360"/>
        <w:jc w:val="center"/>
        <w:tblLayout w:type="fixed"/>
        <w:tblLook w:firstColumn="1" w:firstRow="1" w:lastColumn="0" w:lastRow="0" w:noHBand="0" w:noVBand="1" w:val="04A0"/>
        <w:tblLayout w:type="fixed"/>
      </w:tblPr>
      <w:tblGrid>
        <w:gridCol w:w="3311"/>
        <w:gridCol w:w="1152"/>
        <w:gridCol w:w="2592"/>
        <w:gridCol w:w="2304"/>
      </w:tblGrid>
      <w:tr>
        <w:trPr>
          <w:tblHeader/>
        </w:trPr>
        <w:tc>
          <w:tcPr>
            <w:tcW w:type="dxa" w:w="3311"/>
            <w:shd w:val="clear" w:color="auto" w:fill="E8E8E8"/>
          </w:tcPr>
          <w:p>
            <w:pPr>
              <w:spacing w:after="40"/>
            </w:pPr>
            <w:r>
              <w:rPr>
                <w:rFonts w:ascii="Times New Roman" w:hAnsi="Times New Roman"/>
                <w:b/>
                <w:i w:val="0"/>
                <w:sz w:val="17"/>
              </w:rPr>
              <w:t>Document</w:t>
            </w:r>
          </w:p>
        </w:tc>
        <w:tc>
          <w:tcPr>
            <w:tcW w:type="dxa" w:w="1152"/>
            <w:shd w:val="clear" w:color="auto" w:fill="E8E8E8"/>
          </w:tcPr>
          <w:p>
            <w:pPr>
              <w:spacing w:after="40"/>
            </w:pPr>
            <w:r>
              <w:rPr>
                <w:rFonts w:ascii="Times New Roman" w:hAnsi="Times New Roman"/>
                <w:b/>
                <w:i w:val="0"/>
                <w:sz w:val="17"/>
              </w:rPr>
              <w:t>Date</w:t>
            </w:r>
          </w:p>
        </w:tc>
        <w:tc>
          <w:tcPr>
            <w:tcW w:type="dxa" w:w="2592"/>
            <w:shd w:val="clear" w:color="auto" w:fill="E8E8E8"/>
          </w:tcPr>
          <w:p>
            <w:pPr>
              <w:spacing w:after="40"/>
            </w:pPr>
            <w:r>
              <w:rPr>
                <w:rFonts w:ascii="Times New Roman" w:hAnsi="Times New Roman"/>
                <w:b/>
                <w:i w:val="0"/>
                <w:sz w:val="17"/>
              </w:rPr>
              <w:t>Prepared by / Issued to</w:t>
            </w:r>
          </w:p>
        </w:tc>
        <w:tc>
          <w:tcPr>
            <w:tcW w:type="dxa" w:w="2304"/>
            <w:shd w:val="clear" w:color="auto" w:fill="E8E8E8"/>
          </w:tcPr>
          <w:p>
            <w:pPr>
              <w:spacing w:after="40"/>
            </w:pPr>
            <w:r>
              <w:rPr>
                <w:rFonts w:ascii="Times New Roman" w:hAnsi="Times New Roman"/>
                <w:b/>
                <w:i w:val="0"/>
                <w:sz w:val="17"/>
              </w:rPr>
              <w:t>Status in Record</w:t>
            </w:r>
          </w:p>
        </w:tc>
      </w:tr>
      <w:tr>
        <w:trPr>
          <w:cantSplit/>
        </w:trPr>
        <w:tc>
          <w:tcPr>
            <w:tcW w:type="dxa" w:w="3311"/>
          </w:tcPr>
          <w:p>
            <w:pPr>
              <w:spacing w:after="40"/>
            </w:pPr>
            <w:r>
              <w:rPr>
                <w:rFonts w:ascii="Times New Roman" w:hAnsi="Times New Roman"/>
                <w:b w:val="0"/>
                <w:i w:val="0"/>
                <w:sz w:val="17"/>
              </w:rPr>
              <w:t>Long-Term Ground Lease Term Sheet (executed)</w:t>
            </w:r>
          </w:p>
        </w:tc>
        <w:tc>
          <w:tcPr>
            <w:tcW w:type="dxa" w:w="1152"/>
          </w:tcPr>
          <w:p>
            <w:pPr>
              <w:spacing w:after="40"/>
            </w:pPr>
            <w:r>
              <w:rPr>
                <w:rFonts w:ascii="Times New Roman" w:hAnsi="Times New Roman"/>
                <w:b w:val="0"/>
                <w:i w:val="0"/>
                <w:sz w:val="17"/>
              </w:rPr>
              <w:t>June 10, 2025</w:t>
            </w:r>
          </w:p>
        </w:tc>
        <w:tc>
          <w:tcPr>
            <w:tcW w:type="dxa" w:w="2592"/>
          </w:tcPr>
          <w:p>
            <w:pPr>
              <w:spacing w:after="40"/>
            </w:pPr>
            <w:r>
              <w:rPr>
                <w:rFonts w:ascii="Times New Roman" w:hAnsi="Times New Roman"/>
                <w:b w:val="0"/>
                <w:i w:val="0"/>
                <w:sz w:val="17"/>
              </w:rPr>
              <w:t>Authority and Meridian; negotiated by Hargrove &amp; Linden and Pryor Whitfield &amp; Koss</w:t>
            </w:r>
          </w:p>
        </w:tc>
        <w:tc>
          <w:tcPr>
            <w:tcW w:type="dxa" w:w="2304"/>
          </w:tcPr>
          <w:p>
            <w:pPr>
              <w:spacing w:after="40"/>
            </w:pPr>
            <w:r>
              <w:rPr>
                <w:rFonts w:ascii="Times New Roman" w:hAnsi="Times New Roman"/>
                <w:b w:val="0"/>
                <w:i w:val="0"/>
                <w:sz w:val="17"/>
              </w:rPr>
              <w:t>Complete</w:t>
            </w:r>
          </w:p>
        </w:tc>
      </w:tr>
      <w:tr>
        <w:trPr>
          <w:cantSplit/>
        </w:trPr>
        <w:tc>
          <w:tcPr>
            <w:tcW w:type="dxa" w:w="3311"/>
          </w:tcPr>
          <w:p>
            <w:pPr>
              <w:spacing w:after="40"/>
            </w:pPr>
            <w:r>
              <w:rPr>
                <w:rFonts w:ascii="Times New Roman" w:hAnsi="Times New Roman"/>
                <w:b w:val="0"/>
                <w:i w:val="0"/>
                <w:sz w:val="17"/>
              </w:rPr>
              <w:t>Construction Loan Term Sheet</w:t>
            </w:r>
          </w:p>
        </w:tc>
        <w:tc>
          <w:tcPr>
            <w:tcW w:type="dxa" w:w="1152"/>
          </w:tcPr>
          <w:p>
            <w:pPr>
              <w:spacing w:after="40"/>
            </w:pPr>
            <w:r>
              <w:rPr>
                <w:rFonts w:ascii="Times New Roman" w:hAnsi="Times New Roman"/>
                <w:b w:val="0"/>
                <w:i w:val="0"/>
                <w:sz w:val="17"/>
              </w:rPr>
              <w:t>May 28, 2025</w:t>
            </w:r>
          </w:p>
        </w:tc>
        <w:tc>
          <w:tcPr>
            <w:tcW w:type="dxa" w:w="2592"/>
          </w:tcPr>
          <w:p>
            <w:pPr>
              <w:spacing w:after="40"/>
            </w:pPr>
            <w:r>
              <w:rPr>
                <w:rFonts w:ascii="Times New Roman" w:hAnsi="Times New Roman"/>
                <w:b w:val="0"/>
                <w:i w:val="0"/>
                <w:sz w:val="17"/>
              </w:rPr>
              <w:t>Bayside Federal Lending Corp.; unsigned by Borrower</w:t>
            </w:r>
          </w:p>
        </w:tc>
        <w:tc>
          <w:tcPr>
            <w:tcW w:type="dxa" w:w="2304"/>
          </w:tcPr>
          <w:p>
            <w:pPr>
              <w:spacing w:after="40"/>
            </w:pPr>
            <w:r>
              <w:rPr>
                <w:rFonts w:ascii="Times New Roman" w:hAnsi="Times New Roman"/>
                <w:b w:val="0"/>
                <w:i w:val="0"/>
                <w:sz w:val="17"/>
              </w:rPr>
              <w:t>Complete, unsigned</w:t>
            </w:r>
          </w:p>
        </w:tc>
      </w:tr>
      <w:tr>
        <w:trPr>
          <w:cantSplit/>
        </w:trPr>
        <w:tc>
          <w:tcPr>
            <w:tcW w:type="dxa" w:w="3311"/>
          </w:tcPr>
          <w:p>
            <w:pPr>
              <w:spacing w:after="40"/>
            </w:pPr>
            <w:r>
              <w:rPr>
                <w:rFonts w:ascii="Times New Roman" w:hAnsi="Times New Roman"/>
                <w:b w:val="0"/>
                <w:i w:val="0"/>
                <w:sz w:val="17"/>
              </w:rPr>
              <w:t>Commitment for Title Insurance No. TC-2025-07821</w:t>
            </w:r>
          </w:p>
        </w:tc>
        <w:tc>
          <w:tcPr>
            <w:tcW w:type="dxa" w:w="1152"/>
          </w:tcPr>
          <w:p>
            <w:pPr>
              <w:spacing w:after="40"/>
            </w:pPr>
            <w:r>
              <w:rPr>
                <w:rFonts w:ascii="Times New Roman" w:hAnsi="Times New Roman"/>
                <w:b w:val="0"/>
                <w:i w:val="0"/>
                <w:sz w:val="17"/>
              </w:rPr>
              <w:t>Effective June 1, 2025</w:t>
            </w:r>
          </w:p>
        </w:tc>
        <w:tc>
          <w:tcPr>
            <w:tcW w:type="dxa" w:w="2592"/>
          </w:tcPr>
          <w:p>
            <w:pPr>
              <w:spacing w:after="40"/>
            </w:pPr>
            <w:r>
              <w:rPr>
                <w:rFonts w:ascii="Times New Roman" w:hAnsi="Times New Roman"/>
                <w:b w:val="0"/>
                <w:i w:val="0"/>
                <w:sz w:val="17"/>
              </w:rPr>
              <w:t>Ridgepoint Title &amp; Escrow Co. (agent for Continental Hartleigh)</w:t>
            </w:r>
          </w:p>
        </w:tc>
        <w:tc>
          <w:tcPr>
            <w:tcW w:type="dxa" w:w="2304"/>
          </w:tcPr>
          <w:p>
            <w:pPr>
              <w:spacing w:after="40"/>
            </w:pPr>
            <w:r>
              <w:rPr>
                <w:rFonts w:ascii="Times New Roman" w:hAnsi="Times New Roman"/>
                <w:b w:val="0"/>
                <w:i w:val="0"/>
                <w:sz w:val="17"/>
              </w:rPr>
              <w:t>Complete</w:t>
            </w:r>
          </w:p>
        </w:tc>
      </w:tr>
      <w:tr>
        <w:trPr>
          <w:cantSplit/>
        </w:trPr>
        <w:tc>
          <w:tcPr>
            <w:tcW w:type="dxa" w:w="3311"/>
          </w:tcPr>
          <w:p>
            <w:pPr>
              <w:spacing w:after="40"/>
            </w:pPr>
            <w:r>
              <w:rPr>
                <w:rFonts w:ascii="Times New Roman" w:hAnsi="Times New Roman"/>
                <w:b w:val="0"/>
                <w:i w:val="0"/>
                <w:sz w:val="17"/>
              </w:rPr>
              <w:t>Phase II ESA — Executive Summary (HEC-2025-0412)</w:t>
            </w:r>
          </w:p>
        </w:tc>
        <w:tc>
          <w:tcPr>
            <w:tcW w:type="dxa" w:w="1152"/>
          </w:tcPr>
          <w:p>
            <w:pPr>
              <w:spacing w:after="40"/>
            </w:pPr>
            <w:r>
              <w:rPr>
                <w:rFonts w:ascii="Times New Roman" w:hAnsi="Times New Roman"/>
                <w:b w:val="0"/>
                <w:i w:val="0"/>
                <w:sz w:val="17"/>
              </w:rPr>
              <w:t>May 2, 2025</w:t>
            </w:r>
          </w:p>
        </w:tc>
        <w:tc>
          <w:tcPr>
            <w:tcW w:type="dxa" w:w="2592"/>
          </w:tcPr>
          <w:p>
            <w:pPr>
              <w:spacing w:after="40"/>
            </w:pPr>
            <w:r>
              <w:rPr>
                <w:rFonts w:ascii="Times New Roman" w:hAnsi="Times New Roman"/>
                <w:b w:val="0"/>
                <w:i w:val="0"/>
                <w:sz w:val="17"/>
              </w:rPr>
              <w:t>Halcyon Environmental Consultants Inc. (Dr. Lena Okafor, LEP-2241)</w:t>
            </w:r>
          </w:p>
        </w:tc>
        <w:tc>
          <w:tcPr>
            <w:tcW w:type="dxa" w:w="2304"/>
          </w:tcPr>
          <w:p>
            <w:pPr>
              <w:spacing w:after="40"/>
            </w:pPr>
            <w:r>
              <w:rPr>
                <w:rFonts w:ascii="Times New Roman" w:hAnsi="Times New Roman"/>
                <w:b w:val="0"/>
                <w:i w:val="0"/>
                <w:sz w:val="17"/>
              </w:rPr>
              <w:t>Executive summary only; appendices not produced</w:t>
            </w:r>
          </w:p>
        </w:tc>
      </w:tr>
      <w:tr>
        <w:trPr>
          <w:cantSplit/>
        </w:trPr>
        <w:tc>
          <w:tcPr>
            <w:tcW w:type="dxa" w:w="3311"/>
          </w:tcPr>
          <w:p>
            <w:pPr>
              <w:spacing w:after="40"/>
            </w:pPr>
            <w:r>
              <w:rPr>
                <w:rFonts w:ascii="Times New Roman" w:hAnsi="Times New Roman"/>
                <w:b w:val="0"/>
                <w:i w:val="0"/>
                <w:sz w:val="17"/>
              </w:rPr>
              <w:t>ALTA/NSPS Land Title Survey — narrative and legal description (CLS-2025-0417)</w:t>
            </w:r>
          </w:p>
        </w:tc>
        <w:tc>
          <w:tcPr>
            <w:tcW w:type="dxa" w:w="1152"/>
          </w:tcPr>
          <w:p>
            <w:pPr>
              <w:spacing w:after="40"/>
            </w:pPr>
            <w:r>
              <w:rPr>
                <w:rFonts w:ascii="Times New Roman" w:hAnsi="Times New Roman"/>
                <w:b w:val="0"/>
                <w:i w:val="0"/>
                <w:sz w:val="17"/>
              </w:rPr>
              <w:t>Field Apr. 20, 2025; plat Apr. 28, 2025</w:t>
            </w:r>
          </w:p>
        </w:tc>
        <w:tc>
          <w:tcPr>
            <w:tcW w:type="dxa" w:w="2592"/>
          </w:tcPr>
          <w:p>
            <w:pPr>
              <w:spacing w:after="40"/>
            </w:pPr>
            <w:r>
              <w:rPr>
                <w:rFonts w:ascii="Times New Roman" w:hAnsi="Times New Roman"/>
                <w:b w:val="0"/>
                <w:i w:val="0"/>
                <w:sz w:val="17"/>
              </w:rPr>
              <w:t>Calloway Land Surveyors LLC (T.R. Pellegrino, PLS-008741)</w:t>
            </w:r>
          </w:p>
        </w:tc>
        <w:tc>
          <w:tcPr>
            <w:tcW w:type="dxa" w:w="2304"/>
          </w:tcPr>
          <w:p>
            <w:pPr>
              <w:spacing w:after="40"/>
            </w:pPr>
            <w:r>
              <w:rPr>
                <w:rFonts w:ascii="Times New Roman" w:hAnsi="Times New Roman"/>
                <w:b w:val="0"/>
                <w:i w:val="0"/>
                <w:sz w:val="17"/>
              </w:rPr>
              <w:t>Narrative only; plat sheets not produced</w:t>
            </w:r>
          </w:p>
        </w:tc>
      </w:tr>
      <w:tr>
        <w:trPr>
          <w:cantSplit/>
        </w:trPr>
        <w:tc>
          <w:tcPr>
            <w:tcW w:type="dxa" w:w="3311"/>
          </w:tcPr>
          <w:p>
            <w:pPr>
              <w:spacing w:after="40"/>
            </w:pPr>
            <w:r>
              <w:rPr>
                <w:rFonts w:ascii="Times New Roman" w:hAnsi="Times New Roman"/>
                <w:b w:val="0"/>
                <w:i w:val="0"/>
                <w:sz w:val="17"/>
              </w:rPr>
              <w:t>Resolution No. 2025-047 of the Board of Commissioners</w:t>
            </w:r>
          </w:p>
        </w:tc>
        <w:tc>
          <w:tcPr>
            <w:tcW w:type="dxa" w:w="1152"/>
          </w:tcPr>
          <w:p>
            <w:pPr>
              <w:spacing w:after="40"/>
            </w:pPr>
            <w:r>
              <w:rPr>
                <w:rFonts w:ascii="Times New Roman" w:hAnsi="Times New Roman"/>
                <w:b w:val="0"/>
                <w:i w:val="0"/>
                <w:sz w:val="17"/>
              </w:rPr>
              <w:t>June 5, 2025</w:t>
            </w:r>
          </w:p>
        </w:tc>
        <w:tc>
          <w:tcPr>
            <w:tcW w:type="dxa" w:w="2592"/>
          </w:tcPr>
          <w:p>
            <w:pPr>
              <w:spacing w:after="40"/>
            </w:pPr>
            <w:r>
              <w:rPr>
                <w:rFonts w:ascii="Times New Roman" w:hAnsi="Times New Roman"/>
                <w:b w:val="0"/>
                <w:i w:val="0"/>
                <w:sz w:val="17"/>
              </w:rPr>
              <w:t>City of Port Calloway Redevelopment Authority</w:t>
            </w:r>
          </w:p>
        </w:tc>
        <w:tc>
          <w:tcPr>
            <w:tcW w:type="dxa" w:w="2304"/>
          </w:tcPr>
          <w:p>
            <w:pPr>
              <w:spacing w:after="40"/>
            </w:pPr>
            <w:r>
              <w:rPr>
                <w:rFonts w:ascii="Times New Roman" w:hAnsi="Times New Roman"/>
                <w:b w:val="0"/>
                <w:i w:val="0"/>
                <w:sz w:val="17"/>
              </w:rPr>
              <w:t>Complete; certification page blank</w:t>
            </w:r>
          </w:p>
        </w:tc>
      </w:tr>
      <w:tr>
        <w:trPr>
          <w:cantSplit/>
        </w:trPr>
        <w:tc>
          <w:tcPr>
            <w:tcW w:type="dxa" w:w="3311"/>
          </w:tcPr>
          <w:p>
            <w:pPr>
              <w:spacing w:after="40"/>
            </w:pPr>
            <w:r>
              <w:rPr>
                <w:rFonts w:ascii="Times New Roman" w:hAnsi="Times New Roman"/>
                <w:b w:val="0"/>
                <w:i w:val="0"/>
                <w:sz w:val="17"/>
              </w:rPr>
              <w:t>Client instructions (email)</w:t>
            </w:r>
          </w:p>
        </w:tc>
        <w:tc>
          <w:tcPr>
            <w:tcW w:type="dxa" w:w="1152"/>
          </w:tcPr>
          <w:p>
            <w:pPr>
              <w:spacing w:after="40"/>
            </w:pPr>
            <w:r>
              <w:rPr>
                <w:rFonts w:ascii="Times New Roman" w:hAnsi="Times New Roman"/>
                <w:b w:val="0"/>
                <w:i w:val="0"/>
                <w:sz w:val="17"/>
              </w:rPr>
              <w:t>June 15, 2025</w:t>
            </w:r>
          </w:p>
        </w:tc>
        <w:tc>
          <w:tcPr>
            <w:tcW w:type="dxa" w:w="2592"/>
          </w:tcPr>
          <w:p>
            <w:pPr>
              <w:spacing w:after="40"/>
            </w:pPr>
            <w:r>
              <w:rPr>
                <w:rFonts w:ascii="Times New Roman" w:hAnsi="Times New Roman"/>
                <w:b w:val="0"/>
                <w:i w:val="0"/>
                <w:sz w:val="17"/>
              </w:rPr>
              <w:t>M. Ellison to R. Tsang</w:t>
            </w:r>
          </w:p>
        </w:tc>
        <w:tc>
          <w:tcPr>
            <w:tcW w:type="dxa" w:w="2304"/>
          </w:tcPr>
          <w:p>
            <w:pPr>
              <w:spacing w:after="40"/>
            </w:pPr>
            <w:r>
              <w:rPr>
                <w:rFonts w:ascii="Times New Roman" w:hAnsi="Times New Roman"/>
                <w:b w:val="0"/>
                <w:i w:val="0"/>
                <w:sz w:val="17"/>
              </w:rPr>
              <w:t>Complete</w:t>
            </w:r>
          </w:p>
        </w:tc>
      </w:tr>
    </w:tbl>
    <w:p>
      <w:pPr>
        <w:spacing w:after="40"/>
      </w:pPr>
    </w:p>
    <w:p>
      <w:pPr>
        <w:keepNext/>
        <w:spacing w:before="200" w:after="80"/>
        <w:jc w:val="left"/>
      </w:pPr>
      <w:r>
        <w:rPr>
          <w:rFonts w:ascii="Times New Roman" w:hAnsi="Times New Roman"/>
          <w:b/>
          <w:i w:val="0"/>
          <w:sz w:val="21"/>
        </w:rPr>
        <w:t>2.2 Documents Referenced but Not in the Record</w:t>
      </w:r>
    </w:p>
    <w:p>
      <w:pPr>
        <w:jc w:val="both"/>
      </w:pPr>
      <w:r>
        <w:rPr>
          <w:rFonts w:ascii="Times New Roman" w:hAnsi="Times New Roman"/>
          <w:b w:val="0"/>
          <w:i w:val="0"/>
          <w:sz w:val="21"/>
        </w:rPr>
        <w:t>The following instruments are referred to in the record but were not produced. Each is material, and each should be obtained before the draft is circulated to Pryor Whitfield &amp; Koss or to Bayside's counsel.</w:t>
      </w:r>
    </w:p>
    <w:p>
      <w:pPr>
        <w:spacing w:after="80"/>
        <w:ind w:left="504"/>
        <w:jc w:val="both"/>
      </w:pPr>
      <w:r>
        <w:rPr>
          <w:rFonts w:ascii="Times New Roman" w:hAnsi="Times New Roman"/>
          <w:b w:val="0"/>
          <w:i w:val="0"/>
          <w:sz w:val="21"/>
        </w:rPr>
        <w:t xml:space="preserve">(a) The </w:t>
      </w:r>
      <w:r>
        <w:rPr>
          <w:rFonts w:ascii="Times New Roman" w:hAnsi="Times New Roman"/>
          <w:b/>
          <w:i w:val="0"/>
          <w:sz w:val="21"/>
        </w:rPr>
        <w:t>Environmental Land Use Restriction</w:t>
      </w:r>
      <w:r>
        <w:rPr>
          <w:rFonts w:ascii="Times New Roman" w:hAnsi="Times New Roman"/>
          <w:b w:val="0"/>
          <w:i w:val="0"/>
          <w:sz w:val="21"/>
        </w:rPr>
        <w:t xml:space="preserve"> recorded March 22, 2018 at Volume 412, Page 88 — the operative restrictions (including the definition of "residential use" and the activity and use limitations) must be read in full. The Phase II summary paraphrases it, and the paraphrase itself flags undefined terms.</w:t>
      </w:r>
    </w:p>
    <w:p>
      <w:pPr>
        <w:spacing w:after="80"/>
        <w:ind w:left="504"/>
        <w:jc w:val="both"/>
      </w:pPr>
      <w:r>
        <w:rPr>
          <w:rFonts w:ascii="Times New Roman" w:hAnsi="Times New Roman"/>
          <w:b w:val="0"/>
          <w:i w:val="0"/>
          <w:sz w:val="21"/>
        </w:rPr>
        <w:t xml:space="preserve">(b) The </w:t>
      </w:r>
      <w:r>
        <w:rPr>
          <w:rFonts w:ascii="Times New Roman" w:hAnsi="Times New Roman"/>
          <w:b/>
          <w:i w:val="0"/>
          <w:sz w:val="21"/>
        </w:rPr>
        <w:t>Declaration of Right of First Refusal</w:t>
      </w:r>
      <w:r>
        <w:rPr>
          <w:rFonts w:ascii="Times New Roman" w:hAnsi="Times New Roman"/>
          <w:b w:val="0"/>
          <w:i w:val="0"/>
          <w:sz w:val="21"/>
        </w:rPr>
        <w:t xml:space="preserve"> dated September 8, 2019, recorded Volume 405, Page 55 — the Title Commitment describes it but does not reproduce it; the amendment we require cannot be drafted without it.</w:t>
      </w:r>
    </w:p>
    <w:p>
      <w:pPr>
        <w:spacing w:after="80"/>
        <w:ind w:left="504"/>
        <w:jc w:val="both"/>
      </w:pPr>
      <w:r>
        <w:rPr>
          <w:rFonts w:ascii="Times New Roman" w:hAnsi="Times New Roman"/>
          <w:b w:val="0"/>
          <w:i w:val="0"/>
          <w:sz w:val="21"/>
        </w:rPr>
        <w:t xml:space="preserve">(c) The </w:t>
      </w:r>
      <w:r>
        <w:rPr>
          <w:rFonts w:ascii="Times New Roman" w:hAnsi="Times New Roman"/>
          <w:b/>
          <w:i w:val="0"/>
          <w:sz w:val="21"/>
        </w:rPr>
        <w:t>Declaration of Restrictive Covenants</w:t>
      </w:r>
      <w:r>
        <w:rPr>
          <w:rFonts w:ascii="Times New Roman" w:hAnsi="Times New Roman"/>
          <w:b w:val="0"/>
          <w:i w:val="0"/>
          <w:sz w:val="21"/>
        </w:rPr>
        <w:t xml:space="preserve"> dated November 15, 2019, recorded Volume 408, Page 230 (affordable housing).</w:t>
      </w:r>
    </w:p>
    <w:p>
      <w:pPr>
        <w:spacing w:after="80"/>
        <w:ind w:left="504"/>
        <w:jc w:val="both"/>
      </w:pPr>
      <w:r>
        <w:rPr>
          <w:rFonts w:ascii="Times New Roman" w:hAnsi="Times New Roman"/>
          <w:b w:val="0"/>
          <w:i w:val="0"/>
          <w:sz w:val="21"/>
        </w:rPr>
        <w:t xml:space="preserve">(d) The </w:t>
      </w:r>
      <w:r>
        <w:rPr>
          <w:rFonts w:ascii="Times New Roman" w:hAnsi="Times New Roman"/>
          <w:b/>
          <w:i w:val="0"/>
          <w:sz w:val="21"/>
        </w:rPr>
        <w:t>Final Judgment (Order) of Condemnation</w:t>
      </w:r>
      <w:r>
        <w:rPr>
          <w:rFonts w:ascii="Times New Roman" w:hAnsi="Times New Roman"/>
          <w:b w:val="0"/>
          <w:i w:val="0"/>
          <w:sz w:val="21"/>
        </w:rPr>
        <w:t xml:space="preserve"> by which the Authority acquired the fee in 2012.</w:t>
      </w:r>
    </w:p>
    <w:p>
      <w:pPr>
        <w:spacing w:after="80"/>
        <w:ind w:left="504"/>
        <w:jc w:val="both"/>
      </w:pPr>
      <w:r>
        <w:rPr>
          <w:rFonts w:ascii="Times New Roman" w:hAnsi="Times New Roman"/>
          <w:b w:val="0"/>
          <w:i w:val="0"/>
          <w:sz w:val="21"/>
        </w:rPr>
        <w:t xml:space="preserve">(e) The </w:t>
      </w:r>
      <w:r>
        <w:rPr>
          <w:rFonts w:ascii="Times New Roman" w:hAnsi="Times New Roman"/>
          <w:b/>
          <w:i w:val="0"/>
          <w:sz w:val="21"/>
        </w:rPr>
        <w:t>Phase I ESA</w:t>
      </w:r>
      <w:r>
        <w:rPr>
          <w:rFonts w:ascii="Times New Roman" w:hAnsi="Times New Roman"/>
          <w:b w:val="0"/>
          <w:i w:val="0"/>
          <w:sz w:val="21"/>
        </w:rPr>
        <w:t xml:space="preserve"> dated March 15, 2025 (HEC-2025-0318) and the full Phase II report with Appendices A–J.</w:t>
      </w:r>
    </w:p>
    <w:p>
      <w:pPr>
        <w:spacing w:after="80"/>
        <w:ind w:left="504"/>
        <w:jc w:val="both"/>
      </w:pPr>
      <w:r>
        <w:rPr>
          <w:rFonts w:ascii="Times New Roman" w:hAnsi="Times New Roman"/>
          <w:b w:val="0"/>
          <w:i w:val="0"/>
          <w:sz w:val="21"/>
        </w:rPr>
        <w:t xml:space="preserve">(f) The </w:t>
      </w:r>
      <w:r>
        <w:rPr>
          <w:rFonts w:ascii="Times New Roman" w:hAnsi="Times New Roman"/>
          <w:b/>
          <w:i w:val="0"/>
          <w:sz w:val="21"/>
        </w:rPr>
        <w:t>survey plat</w:t>
      </w:r>
      <w:r>
        <w:rPr>
          <w:rFonts w:ascii="Times New Roman" w:hAnsi="Times New Roman"/>
          <w:b w:val="0"/>
          <w:i w:val="0"/>
          <w:sz w:val="21"/>
        </w:rPr>
        <w:t xml:space="preserve"> (Sheets 1 and 2).</w:t>
      </w:r>
    </w:p>
    <w:p>
      <w:pPr>
        <w:spacing w:after="80"/>
        <w:ind w:left="504"/>
        <w:jc w:val="both"/>
      </w:pPr>
      <w:r>
        <w:rPr>
          <w:rFonts w:ascii="Times New Roman" w:hAnsi="Times New Roman"/>
          <w:b w:val="0"/>
          <w:i w:val="0"/>
          <w:sz w:val="21"/>
        </w:rPr>
        <w:t xml:space="preserve">(g) The </w:t>
      </w:r>
      <w:r>
        <w:rPr>
          <w:rFonts w:ascii="Times New Roman" w:hAnsi="Times New Roman"/>
          <w:b/>
          <w:i w:val="0"/>
          <w:sz w:val="21"/>
        </w:rPr>
        <w:t>Coventry Capital Partners LP preferred equity documents</w:t>
      </w:r>
      <w:r>
        <w:rPr>
          <w:rFonts w:ascii="Times New Roman" w:hAnsi="Times New Roman"/>
          <w:b w:val="0"/>
          <w:i w:val="0"/>
          <w:sz w:val="21"/>
        </w:rPr>
        <w:t xml:space="preserve"> (11% preferred return; 70/30 promote above a 15% IRR hurdle) — these are not incorporated into the ground lease but they drive consent, transfer, and pledge requirements.</w:t>
      </w:r>
    </w:p>
    <w:p>
      <w:pPr>
        <w:spacing w:after="80"/>
        <w:ind w:left="504"/>
        <w:jc w:val="both"/>
      </w:pPr>
      <w:r>
        <w:rPr>
          <w:rFonts w:ascii="Times New Roman" w:hAnsi="Times New Roman"/>
          <w:b w:val="0"/>
          <w:i w:val="0"/>
          <w:sz w:val="21"/>
        </w:rPr>
        <w:t xml:space="preserve">(h) The </w:t>
      </w:r>
      <w:r>
        <w:rPr>
          <w:rFonts w:ascii="Times New Roman" w:hAnsi="Times New Roman"/>
          <w:b/>
          <w:i w:val="0"/>
          <w:sz w:val="21"/>
        </w:rPr>
        <w:t>construction contract, GMP, budget, and schedule</w:t>
      </w:r>
      <w:r>
        <w:rPr>
          <w:rFonts w:ascii="Times New Roman" w:hAnsi="Times New Roman"/>
          <w:b w:val="0"/>
          <w:i w:val="0"/>
          <w:sz w:val="21"/>
        </w:rPr>
        <w:t>.</w:t>
      </w:r>
    </w:p>
    <w:p>
      <w:pPr>
        <w:spacing w:after="80"/>
        <w:ind w:left="504"/>
        <w:jc w:val="both"/>
      </w:pPr>
      <w:r>
        <w:rPr>
          <w:rFonts w:ascii="Times New Roman" w:hAnsi="Times New Roman"/>
          <w:b w:val="0"/>
          <w:i w:val="0"/>
          <w:sz w:val="21"/>
        </w:rPr>
        <w:t xml:space="preserve">(i) The </w:t>
      </w:r>
      <w:r>
        <w:rPr>
          <w:rFonts w:ascii="Times New Roman" w:hAnsi="Times New Roman"/>
          <w:b/>
          <w:i w:val="0"/>
          <w:sz w:val="21"/>
        </w:rPr>
        <w:t>revenue pro forma</w:t>
      </w:r>
      <w:r>
        <w:rPr>
          <w:rFonts w:ascii="Times New Roman" w:hAnsi="Times New Roman"/>
          <w:b w:val="0"/>
          <w:i w:val="0"/>
          <w:sz w:val="21"/>
        </w:rPr>
        <w:t xml:space="preserve"> supporting the $28,500,000 percentage-rent breakpoint. There is no revenue projection anywhere in the record; we therefore cannot test whether the breakpoint is set at, below, or above stabilized revenue.</w:t>
      </w:r>
    </w:p>
    <w:p>
      <w:pPr>
        <w:spacing w:after="80"/>
        <w:ind w:left="504"/>
        <w:jc w:val="both"/>
      </w:pPr>
      <w:r>
        <w:rPr>
          <w:rFonts w:ascii="Times New Roman" w:hAnsi="Times New Roman"/>
          <w:b w:val="0"/>
          <w:i w:val="0"/>
          <w:sz w:val="21"/>
        </w:rPr>
        <w:t xml:space="preserve">(j) The </w:t>
      </w:r>
      <w:r>
        <w:rPr>
          <w:rFonts w:ascii="Times New Roman" w:hAnsi="Times New Roman"/>
          <w:b/>
          <w:i w:val="0"/>
          <w:sz w:val="21"/>
        </w:rPr>
        <w:t>project program</w:t>
      </w:r>
      <w:r>
        <w:rPr>
          <w:rFonts w:ascii="Times New Roman" w:hAnsi="Times New Roman"/>
          <w:b w:val="0"/>
          <w:i w:val="0"/>
          <w:sz w:val="21"/>
        </w:rPr>
        <w:t xml:space="preserve"> — unit count, gross floor area, parking count, and the affordable unit schedule. The Term Sheet describes the Residential Tower as containing "a number of residential dwelling units to be determined and specified in the Definitive Lease." The 15% affordable obligation, the percentage-rent analysis, and the occupancy tests all depend on a number that does not exist in the record.</w:t>
      </w:r>
    </w:p>
    <w:p>
      <w:pPr>
        <w:spacing w:after="80"/>
        <w:ind w:left="504"/>
        <w:jc w:val="both"/>
      </w:pPr>
      <w:r>
        <w:rPr>
          <w:rFonts w:ascii="Times New Roman" w:hAnsi="Times New Roman"/>
          <w:b w:val="0"/>
          <w:i w:val="0"/>
          <w:sz w:val="21"/>
        </w:rPr>
        <w:t xml:space="preserve">(k) The Authority's </w:t>
      </w:r>
      <w:r>
        <w:rPr>
          <w:rFonts w:ascii="Times New Roman" w:hAnsi="Times New Roman"/>
          <w:b/>
          <w:i w:val="0"/>
          <w:sz w:val="21"/>
        </w:rPr>
        <w:t>enabling legislation, bylaws, and waterfront revitalization plan</w:t>
      </w:r>
      <w:r>
        <w:rPr>
          <w:rFonts w:ascii="Times New Roman" w:hAnsi="Times New Roman"/>
          <w:b w:val="0"/>
          <w:i w:val="0"/>
          <w:sz w:val="21"/>
        </w:rPr>
        <w:t xml:space="preserve"> (as amended and readopted in 2022), and any municipal ordinance governing the disposition or lease of Authority real property.</w:t>
      </w:r>
    </w:p>
    <w:p>
      <w:pPr>
        <w:spacing w:after="80"/>
        <w:ind w:left="504"/>
        <w:jc w:val="both"/>
      </w:pPr>
      <w:r>
        <w:rPr>
          <w:rFonts w:ascii="Times New Roman" w:hAnsi="Times New Roman"/>
          <w:b w:val="0"/>
          <w:i w:val="0"/>
          <w:sz w:val="21"/>
        </w:rPr>
        <w:t xml:space="preserve">(l) Evidence of </w:t>
      </w:r>
      <w:r>
        <w:rPr>
          <w:rFonts w:ascii="Times New Roman" w:hAnsi="Times New Roman"/>
          <w:b/>
          <w:i w:val="0"/>
          <w:sz w:val="21"/>
        </w:rPr>
        <w:t>execution of the Bayside term sheet</w:t>
      </w:r>
      <w:r>
        <w:rPr>
          <w:rFonts w:ascii="Times New Roman" w:hAnsi="Times New Roman"/>
          <w:b w:val="0"/>
          <w:i w:val="0"/>
          <w:sz w:val="21"/>
        </w:rPr>
        <w:t xml:space="preserve"> by Borrower. The copy in the record is unsigned, and by its terms it expired if not executed and returned on or before June 27, 2025. As of this memorandum the record does not establish that Meridian has a live term sheet, let alone a loan commitment.</w:t>
      </w:r>
    </w:p>
    <w:p>
      <w:pPr>
        <w:keepNext/>
        <w:spacing w:before="200" w:after="80"/>
        <w:jc w:val="left"/>
      </w:pPr>
      <w:r>
        <w:rPr>
          <w:rFonts w:ascii="Times New Roman" w:hAnsi="Times New Roman"/>
          <w:b/>
          <w:i w:val="0"/>
          <w:sz w:val="21"/>
        </w:rPr>
        <w:t>2.3 Limitations</w:t>
      </w:r>
    </w:p>
    <w:p>
      <w:pPr>
        <w:jc w:val="both"/>
      </w:pPr>
      <w:r>
        <w:rPr>
          <w:rFonts w:ascii="Times New Roman" w:hAnsi="Times New Roman"/>
          <w:b w:val="0"/>
          <w:i w:val="0"/>
          <w:sz w:val="21"/>
        </w:rPr>
        <w:t>This memorandum is prepared on the documents listed in Section 2.1 and does not address the matters listed in Section 2.2, which we have not seen. Our legal analysis in Section VI is a doctrinal summary prepared for negotiation purposes; the individual authorities should be confirmed by citator and by a Connecticut litigation partner before any of it is used in correspondence, a demand, or a brief. We have not verified the record title ourselves (we have relied on the Title Commitment), we have not performed an independent environmental investigation (we have relied on the Phase II executive summary), and we have not performed an independent survey (we have checked the surveyor's mathematics, which we discuss in Section IV).</w:t>
      </w:r>
    </w:p>
    <w:p>
      <w:pPr>
        <w:keepNext/>
        <w:spacing w:before="320" w:after="200"/>
        <w:jc w:val="center"/>
      </w:pPr>
      <w:r>
        <w:rPr>
          <w:rFonts w:ascii="Times New Roman" w:hAnsi="Times New Roman"/>
          <w:b/>
          <w:i w:val="0"/>
          <w:sz w:val="21"/>
        </w:rPr>
        <w:t>III. THE SIX CRITICAL ISSUES</w:t>
      </w:r>
    </w:p>
    <w:p>
      <w:pPr>
        <w:keepNext/>
        <w:spacing w:before="200" w:after="80"/>
        <w:jc w:val="left"/>
      </w:pPr>
      <w:r>
        <w:rPr>
          <w:rFonts w:ascii="Times New Roman" w:hAnsi="Times New Roman"/>
          <w:b/>
          <w:i w:val="0"/>
          <w:sz w:val="21"/>
        </w:rPr>
        <w:t>A. The Reverter Right (Item 1)</w:t>
      </w:r>
    </w:p>
    <w:p>
      <w:pPr>
        <w:keepNext/>
        <w:spacing w:before="160" w:after="60"/>
        <w:jc w:val="left"/>
      </w:pPr>
      <w:r>
        <w:rPr>
          <w:rFonts w:ascii="Times New Roman" w:hAnsi="Times New Roman"/>
          <w:b/>
          <w:i/>
          <w:sz w:val="21"/>
        </w:rPr>
        <w:t>1. What the Term Sheet does</w:t>
      </w:r>
    </w:p>
    <w:p>
      <w:pPr>
        <w:jc w:val="both"/>
      </w:pPr>
      <w:r>
        <w:rPr>
          <w:rFonts w:ascii="Times New Roman" w:hAnsi="Times New Roman"/>
          <w:b w:val="0"/>
          <w:i w:val="0"/>
          <w:sz w:val="21"/>
        </w:rPr>
        <w:t>Section 9 provides that if Tenant fails to achieve Milestone 1 (commencement of construction by April 1, 2027) or Milestone 3 (substantial completion of Phase 1 by October 1, 2030), the Authority may deliver a notice specifying the failure; Tenant then has 180 days to cure; and if it does not, "the Lease shall automatically terminate upon the expiration of such period," whereupon (a) Tenant forfeits the $5,700,000 letter of credit, which the Authority "shall be entitled to draw in full," and (b) "[a]ll improvements, structures, and fixtures constructed, installed, or placed on the Premises by Tenant... shall immediately revert to and become the sole property of the Landlord, free and clear of any claims by Tenant, without any payment, compensation, or reimbursement to Tenant."</w:t>
      </w:r>
    </w:p>
    <w:p>
      <w:pPr>
        <w:keepNext/>
        <w:spacing w:before="160" w:after="60"/>
        <w:jc w:val="left"/>
      </w:pPr>
      <w:r>
        <w:rPr>
          <w:rFonts w:ascii="Times New Roman" w:hAnsi="Times New Roman"/>
          <w:b/>
          <w:i/>
          <w:sz w:val="21"/>
        </w:rPr>
        <w:t>2. Why it fails as a matter of economics</w:t>
      </w:r>
    </w:p>
    <w:p>
      <w:pPr>
        <w:jc w:val="both"/>
      </w:pPr>
      <w:r>
        <w:rPr>
          <w:rFonts w:ascii="Times New Roman" w:hAnsi="Times New Roman"/>
          <w:b w:val="0"/>
          <w:i w:val="0"/>
          <w:sz w:val="21"/>
        </w:rPr>
        <w:t>The disparity is not merely large; it is inverted, and that is the point we would press with the Authority. Total hard construction cost is $352,000,000 (Loan Term Sheet Section 3). At Milestone 1, in April 2027, the Improvements will consist of footings and little else, so the forfeiture has almost no value and the Authority's injury — a year-and-a-half delay in the entire project — is at its greatest. At Milestone 3, in October 2030, the position reverses. If the milestone is missed at 90% completion, the value transferred to the Authority is on the order of $317,000,000. But by then Base Rent has been running for two years (the Rent Commencement Date is October 1, 2028), Percentage Rent does not begin until Rent Year 6 (October 2033) in any event, and the Improvements are on the tax roll subject only to the abatement phase-in. The Authority's monetary loss from a further delay is therefore at or near its lowest precisely at the moment when the forfeiture would be at its highest.</w:t>
      </w:r>
    </w:p>
    <w:p>
      <w:pPr>
        <w:jc w:val="both"/>
      </w:pPr>
      <w:r>
        <w:rPr>
          <w:rFonts w:ascii="Times New Roman" w:hAnsi="Times New Roman"/>
          <w:b w:val="0"/>
          <w:i w:val="0"/>
          <w:sz w:val="21"/>
        </w:rPr>
        <w:t>Taking the Authority's claim at its highest — a full year of Base Rent forgone, $2,850,000 — the ratio at Milestone 3 is roughly 111:1. Add the $5,700,000 letter of credit, which is forfeited in addition, and the ratio exceeds 113:1. If the Authority's loss is measured correctly (the delay in tax receipts as the Improvements come onto the roll, and the deferral of the residual value of the Improvements at the end of a ninety-nine-year Term), the ratio is larger still. A remedy that is at its most severe where the injury is at its least is the definition of a penalty.</w:t>
      </w:r>
    </w:p>
    <w:p>
      <w:pPr>
        <w:jc w:val="both"/>
      </w:pPr>
      <w:r>
        <w:rPr>
          <w:rFonts w:ascii="Times New Roman" w:hAnsi="Times New Roman"/>
          <w:b w:val="0"/>
          <w:i w:val="0"/>
          <w:sz w:val="21"/>
        </w:rPr>
        <w:t>The comparison to the Authority's actual damages is not merely an argument we would make after the fact. It is the test a court would apply, and it is the test that matters for negotiation, because a lender will not underwrite a collateral package whose value turns on a clause that a court might or might not reform after eighteen months of litigation.</w:t>
      </w:r>
    </w:p>
    <w:p>
      <w:pPr>
        <w:keepNext/>
        <w:spacing w:before="160" w:after="60"/>
        <w:jc w:val="left"/>
      </w:pPr>
      <w:r>
        <w:rPr>
          <w:rFonts w:ascii="Times New Roman" w:hAnsi="Times New Roman"/>
          <w:b/>
          <w:i/>
          <w:sz w:val="21"/>
        </w:rPr>
        <w:t>3. What the Term Sheet already gives away</w:t>
      </w:r>
    </w:p>
    <w:p>
      <w:pPr>
        <w:jc w:val="both"/>
      </w:pPr>
      <w:r>
        <w:rPr>
          <w:rFonts w:ascii="Times New Roman" w:hAnsi="Times New Roman"/>
          <w:b w:val="0"/>
          <w:i w:val="0"/>
          <w:sz w:val="21"/>
        </w:rPr>
        <w:t>Two features of Section 9 make the position worse than it appears on first reading. First, the reverter is triggered by a delay "even if Meridian is 95% complete," as you put it, because there is no completion threshold, no materiality qualifier, and no requirement that Tenant have abandoned the project. Second, the trigger is objective: a missed date, not a failure to perform. A permitting holdup at the Building Department, a supply-chain interruption in curtain wall, or a DEEP objection to the ELUR would all produce a missed date without any fault on Meridian's part.</w:t>
      </w:r>
    </w:p>
    <w:p>
      <w:pPr>
        <w:keepNext/>
        <w:spacing w:before="160" w:after="60"/>
        <w:jc w:val="left"/>
      </w:pPr>
      <w:r>
        <w:rPr>
          <w:rFonts w:ascii="Times New Roman" w:hAnsi="Times New Roman"/>
          <w:b/>
          <w:i/>
          <w:sz w:val="21"/>
        </w:rPr>
        <w:t>4. Our position</w:t>
      </w:r>
    </w:p>
    <w:p>
      <w:pPr>
        <w:jc w:val="both"/>
      </w:pPr>
      <w:r>
        <w:rPr>
          <w:rFonts w:ascii="Times New Roman" w:hAnsi="Times New Roman"/>
          <w:b w:val="0"/>
          <w:i w:val="0"/>
          <w:sz w:val="21"/>
        </w:rPr>
        <w:t>We have drafted Article 9 to preserve a reverter in form, because the Authority's Board has resolved that the Lease include "reverter rights in favor of the Authority" (Resolution No. 2025-047, Section 2(a)) and because we do not think the Authority will abandon the concept at the first draft. But we have surrounded it with six conditions precedent, each of which independently defeats it: (a) the improvements cannot vest in the Authority unless and until the Authority pays a Purchase Price; (b) the Purchase Price is the greater of the appraised Fair Market Value of the Improvements and Tenant's Unreimbursed Hard Costs, net only of insurance, Landlord's documented damages, and third-party recoveries; (c) Tenant may elect the Fair Market Value measure and extinguish any Landlord damages claim; (d) if the Authority does not pay, the termination is void, the Lease continues, and the Milestone is deemed satisfied; (e) there is no forfeiture of the security deposit, which is limited to actual documented loss; and (f) the reverter is unavailable altogether if the work is 90% or more complete (measured by hard costs), in which case the Authority's remedies are specific performance and damages only.</w:t>
      </w:r>
    </w:p>
    <w:p>
      <w:pPr>
        <w:jc w:val="both"/>
      </w:pPr>
      <w:r>
        <w:rPr>
          <w:rFonts w:ascii="Times New Roman" w:hAnsi="Times New Roman"/>
          <w:b w:val="0"/>
          <w:i w:val="0"/>
          <w:sz w:val="21"/>
        </w:rPr>
        <w:t>Separately, we have deleted the "automatic termination" language. Automatic termination is not merely harsh; it is structurally incompatible with the lender protections the same section purports to grant, because a lease that terminates by operation of its own terms cannot be cured, and because the New Lease right depends on there being an identifiable termination event and a notice to the Lender.</w:t>
      </w:r>
    </w:p>
    <w:p>
      <w:pPr>
        <w:keepNext/>
        <w:spacing w:before="160" w:after="60"/>
        <w:jc w:val="left"/>
      </w:pPr>
      <w:r>
        <w:rPr>
          <w:rFonts w:ascii="Times New Roman" w:hAnsi="Times New Roman"/>
          <w:b/>
          <w:i/>
          <w:sz w:val="21"/>
        </w:rPr>
        <w:t>5. Conditions to the reverter that are not currently in the Term Sheet</w:t>
      </w:r>
    </w:p>
    <w:p>
      <w:pPr>
        <w:jc w:val="both"/>
      </w:pPr>
      <w:r>
        <w:rPr>
          <w:rFonts w:ascii="Times New Roman" w:hAnsi="Times New Roman"/>
          <w:b w:val="0"/>
          <w:i w:val="0"/>
          <w:sz w:val="21"/>
        </w:rPr>
        <w:t>The draft adds four conditions that the Term Sheet omits and that we regard as non-negotiable: no reverter if the failure is attributable to Force Majeure, to Landlord or City delay, to any unmet condition precedent, or to a DEEP review of the ELUR; no reverter unless Tenant has ceased work for 180 consecutive days; no reverter until every Leasehold Mortgagee has exhausted its cure rights and declined a New Lease; and no reverter without a compliant Reverter Notice specifying the Milestone Date as extended. Each of those is drafted as a condition precedent rather than a covenant, because a covenant gives rise to damages while a condition defeats the power.</w:t>
      </w:r>
    </w:p>
    <w:p>
      <w:pPr>
        <w:keepNext/>
        <w:spacing w:before="200" w:after="80"/>
        <w:jc w:val="left"/>
      </w:pPr>
      <w:r>
        <w:rPr>
          <w:rFonts w:ascii="Times New Roman" w:hAnsi="Times New Roman"/>
          <w:b/>
          <w:i w:val="0"/>
          <w:sz w:val="21"/>
        </w:rPr>
        <w:t>B. Lender Protections and the New Lease Right (Item 2)</w:t>
      </w:r>
    </w:p>
    <w:p>
      <w:pPr>
        <w:jc w:val="both"/>
      </w:pPr>
      <w:r>
        <w:rPr>
          <w:rFonts w:ascii="Times New Roman" w:hAnsi="Times New Roman"/>
          <w:b w:val="0"/>
          <w:i w:val="0"/>
          <w:sz w:val="21"/>
        </w:rPr>
        <w:t>The gap between what the Term Sheet grants and what Bayside requires is wider than it first appears. The Term Sheet's lender protections (Section 9) are a fair summary, but Bayside's Loan Term Sheet Section 5 is a checklist, every element of which is a condition precedent to closing (Section 6(a)). The differences are material:</w:t>
      </w:r>
    </w:p>
    <w:tbl>
      <w:tblPr>
        <w:tblStyle w:val="TableGrid"/>
        <w:tblW w:type="dxa" w:w="9360"/>
        <w:jc w:val="center"/>
        <w:tblLayout w:type="fixed"/>
        <w:tblLook w:firstColumn="1" w:firstRow="1" w:lastColumn="0" w:lastRow="0" w:noHBand="0" w:noVBand="1" w:val="04A0"/>
        <w:tblLayout w:type="fixed"/>
      </w:tblPr>
      <w:tblGrid>
        <w:gridCol w:w="3456"/>
        <w:gridCol w:w="3024"/>
        <w:gridCol w:w="2880"/>
      </w:tblGrid>
      <w:tr>
        <w:trPr>
          <w:tblHeader/>
        </w:trPr>
        <w:tc>
          <w:tcPr>
            <w:tcW w:type="dxa" w:w="3456"/>
            <w:shd w:val="clear" w:color="auto" w:fill="E8E8E8"/>
          </w:tcPr>
          <w:p>
            <w:pPr>
              <w:spacing w:after="40"/>
            </w:pPr>
            <w:r>
              <w:rPr>
                <w:rFonts w:ascii="Times New Roman" w:hAnsi="Times New Roman"/>
                <w:b/>
                <w:i w:val="0"/>
                <w:sz w:val="17"/>
              </w:rPr>
              <w:t>Topic</w:t>
            </w:r>
          </w:p>
        </w:tc>
        <w:tc>
          <w:tcPr>
            <w:tcW w:type="dxa" w:w="3024"/>
            <w:shd w:val="clear" w:color="auto" w:fill="E8E8E8"/>
          </w:tcPr>
          <w:p>
            <w:pPr>
              <w:spacing w:after="40"/>
            </w:pPr>
            <w:r>
              <w:rPr>
                <w:rFonts w:ascii="Times New Roman" w:hAnsi="Times New Roman"/>
                <w:b/>
                <w:i w:val="0"/>
                <w:sz w:val="17"/>
              </w:rPr>
              <w:t>Term Sheet</w:t>
            </w:r>
          </w:p>
        </w:tc>
        <w:tc>
          <w:tcPr>
            <w:tcW w:type="dxa" w:w="2880"/>
            <w:shd w:val="clear" w:color="auto" w:fill="E8E8E8"/>
          </w:tcPr>
          <w:p>
            <w:pPr>
              <w:spacing w:after="40"/>
            </w:pPr>
            <w:r>
              <w:rPr>
                <w:rFonts w:ascii="Times New Roman" w:hAnsi="Times New Roman"/>
                <w:b/>
                <w:i w:val="0"/>
                <w:sz w:val="17"/>
              </w:rPr>
              <w:t>Bayside Requirement</w:t>
            </w:r>
          </w:p>
        </w:tc>
      </w:tr>
      <w:tr>
        <w:trPr>
          <w:cantSplit/>
        </w:trPr>
        <w:tc>
          <w:tcPr>
            <w:tcW w:type="dxa" w:w="3456"/>
          </w:tcPr>
          <w:p>
            <w:pPr>
              <w:spacing w:after="40"/>
            </w:pPr>
            <w:r>
              <w:rPr>
                <w:rFonts w:ascii="Times New Roman" w:hAnsi="Times New Roman"/>
                <w:b w:val="0"/>
                <w:i w:val="0"/>
                <w:sz w:val="17"/>
              </w:rPr>
              <w:t>Leasehold mortgage consent</w:t>
            </w:r>
          </w:p>
        </w:tc>
        <w:tc>
          <w:tcPr>
            <w:tcW w:type="dxa" w:w="3024"/>
          </w:tcPr>
          <w:p>
            <w:pPr>
              <w:spacing w:after="40"/>
            </w:pPr>
            <w:r>
              <w:rPr>
                <w:rFonts w:ascii="Times New Roman" w:hAnsi="Times New Roman"/>
                <w:b w:val="0"/>
                <w:i w:val="0"/>
                <w:sz w:val="17"/>
              </w:rPr>
              <w:t>Permitted, "subject to the terms and conditions of the Definitive Lease"</w:t>
            </w:r>
          </w:p>
        </w:tc>
        <w:tc>
          <w:tcPr>
            <w:tcW w:type="dxa" w:w="2880"/>
          </w:tcPr>
          <w:p>
            <w:pPr>
              <w:spacing w:after="40"/>
            </w:pPr>
            <w:r>
              <w:rPr>
                <w:rFonts w:ascii="Times New Roman" w:hAnsi="Times New Roman"/>
                <w:b w:val="0"/>
                <w:i w:val="0"/>
                <w:sz w:val="17"/>
              </w:rPr>
              <w:t>Expressly permitted "without the prior consent, approval, or joinder of Landlord and without the payment of any consent fee," and no Landlord condition on recording, enforcement, or foreclosure</w:t>
            </w:r>
          </w:p>
        </w:tc>
      </w:tr>
      <w:tr>
        <w:trPr>
          <w:cantSplit/>
        </w:trPr>
        <w:tc>
          <w:tcPr>
            <w:tcW w:type="dxa" w:w="3456"/>
          </w:tcPr>
          <w:p>
            <w:pPr>
              <w:spacing w:after="40"/>
            </w:pPr>
            <w:r>
              <w:rPr>
                <w:rFonts w:ascii="Times New Roman" w:hAnsi="Times New Roman"/>
                <w:b w:val="0"/>
                <w:i w:val="0"/>
                <w:sz w:val="17"/>
              </w:rPr>
              <w:t>Trigger for New Lease</w:t>
            </w:r>
          </w:p>
        </w:tc>
        <w:tc>
          <w:tcPr>
            <w:tcW w:type="dxa" w:w="3024"/>
          </w:tcPr>
          <w:p>
            <w:pPr>
              <w:spacing w:after="40"/>
            </w:pPr>
            <w:r>
              <w:rPr>
                <w:rFonts w:ascii="Times New Roman" w:hAnsi="Times New Roman"/>
                <w:b w:val="0"/>
                <w:i w:val="0"/>
                <w:sz w:val="17"/>
              </w:rPr>
              <w:t>"In the event the Lease is terminated due to an Event of Default by Tenant"</w:t>
            </w:r>
          </w:p>
        </w:tc>
        <w:tc>
          <w:tcPr>
            <w:tcW w:type="dxa" w:w="2880"/>
          </w:tcPr>
          <w:p>
            <w:pPr>
              <w:spacing w:after="40"/>
            </w:pPr>
            <w:r>
              <w:rPr>
                <w:rFonts w:ascii="Times New Roman" w:hAnsi="Times New Roman"/>
                <w:b w:val="0"/>
                <w:i w:val="0"/>
                <w:sz w:val="17"/>
              </w:rPr>
              <w:t>Termination "for any reason whatsoever," including surrender, rejection in bankruptcy, and operation of law</w:t>
            </w:r>
          </w:p>
        </w:tc>
      </w:tr>
      <w:tr>
        <w:trPr>
          <w:cantSplit/>
        </w:trPr>
        <w:tc>
          <w:tcPr>
            <w:tcW w:type="dxa" w:w="3456"/>
          </w:tcPr>
          <w:p>
            <w:pPr>
              <w:spacing w:after="40"/>
            </w:pPr>
            <w:r>
              <w:rPr>
                <w:rFonts w:ascii="Times New Roman" w:hAnsi="Times New Roman"/>
                <w:b w:val="0"/>
                <w:i w:val="0"/>
                <w:sz w:val="17"/>
              </w:rPr>
              <w:t>Request window</w:t>
            </w:r>
          </w:p>
        </w:tc>
        <w:tc>
          <w:tcPr>
            <w:tcW w:type="dxa" w:w="3024"/>
          </w:tcPr>
          <w:p>
            <w:pPr>
              <w:spacing w:after="40"/>
            </w:pPr>
            <w:r>
              <w:rPr>
                <w:rFonts w:ascii="Times New Roman" w:hAnsi="Times New Roman"/>
                <w:b w:val="0"/>
                <w:i w:val="0"/>
                <w:sz w:val="17"/>
              </w:rPr>
              <w:t>Not specified</w:t>
            </w:r>
          </w:p>
        </w:tc>
        <w:tc>
          <w:tcPr>
            <w:tcW w:type="dxa" w:w="2880"/>
          </w:tcPr>
          <w:p>
            <w:pPr>
              <w:spacing w:after="40"/>
            </w:pPr>
            <w:r>
              <w:rPr>
                <w:rFonts w:ascii="Times New Roman" w:hAnsi="Times New Roman"/>
                <w:b w:val="0"/>
                <w:i w:val="0"/>
                <w:sz w:val="17"/>
              </w:rPr>
              <w:t>Written request within 60 days after Lender's receipt of notice of termination</w:t>
            </w:r>
          </w:p>
        </w:tc>
      </w:tr>
      <w:tr>
        <w:trPr>
          <w:cantSplit/>
        </w:trPr>
        <w:tc>
          <w:tcPr>
            <w:tcW w:type="dxa" w:w="3456"/>
          </w:tcPr>
          <w:p>
            <w:pPr>
              <w:spacing w:after="40"/>
            </w:pPr>
            <w:r>
              <w:rPr>
                <w:rFonts w:ascii="Times New Roman" w:hAnsi="Times New Roman"/>
                <w:b w:val="0"/>
                <w:i w:val="0"/>
                <w:sz w:val="17"/>
              </w:rPr>
              <w:t>Cure deadlines</w:t>
            </w:r>
          </w:p>
        </w:tc>
        <w:tc>
          <w:tcPr>
            <w:tcW w:type="dxa" w:w="3024"/>
          </w:tcPr>
          <w:p>
            <w:pPr>
              <w:spacing w:after="40"/>
            </w:pPr>
            <w:r>
              <w:rPr>
                <w:rFonts w:ascii="Times New Roman" w:hAnsi="Times New Roman"/>
                <w:b w:val="0"/>
                <w:i w:val="0"/>
                <w:sz w:val="17"/>
              </w:rPr>
              <w:t>Monetary 60 days and non-monetary 90 days, each measured from the date of termination</w:t>
            </w:r>
          </w:p>
        </w:tc>
        <w:tc>
          <w:tcPr>
            <w:tcW w:type="dxa" w:w="2880"/>
          </w:tcPr>
          <w:p>
            <w:pPr>
              <w:spacing w:after="40"/>
            </w:pPr>
            <w:r>
              <w:rPr>
                <w:rFonts w:ascii="Times New Roman" w:hAnsi="Times New Roman"/>
                <w:b w:val="0"/>
                <w:i w:val="0"/>
                <w:sz w:val="17"/>
              </w:rPr>
              <w:t>Monetary 60 days and non-monetary 90 days, each measured from the effective date of the New Lease, with a 180-day long-stop</w:t>
            </w:r>
          </w:p>
        </w:tc>
      </w:tr>
      <w:tr>
        <w:trPr>
          <w:cantSplit/>
        </w:trPr>
        <w:tc>
          <w:tcPr>
            <w:tcW w:type="dxa" w:w="3456"/>
          </w:tcPr>
          <w:p>
            <w:pPr>
              <w:spacing w:after="40"/>
            </w:pPr>
            <w:r>
              <w:rPr>
                <w:rFonts w:ascii="Times New Roman" w:hAnsi="Times New Roman"/>
                <w:b w:val="0"/>
                <w:i w:val="0"/>
                <w:sz w:val="17"/>
              </w:rPr>
              <w:t>Execution</w:t>
            </w:r>
          </w:p>
        </w:tc>
        <w:tc>
          <w:tcPr>
            <w:tcW w:type="dxa" w:w="3024"/>
          </w:tcPr>
          <w:p>
            <w:pPr>
              <w:spacing w:after="40"/>
            </w:pPr>
            <w:r>
              <w:rPr>
                <w:rFonts w:ascii="Times New Roman" w:hAnsi="Times New Roman"/>
                <w:b w:val="0"/>
                <w:i w:val="0"/>
                <w:sz w:val="17"/>
              </w:rPr>
              <w:t>Not specified</w:t>
            </w:r>
          </w:p>
        </w:tc>
        <w:tc>
          <w:tcPr>
            <w:tcW w:type="dxa" w:w="2880"/>
          </w:tcPr>
          <w:p>
            <w:pPr>
              <w:spacing w:after="40"/>
            </w:pPr>
            <w:r>
              <w:rPr>
                <w:rFonts w:ascii="Times New Roman" w:hAnsi="Times New Roman"/>
                <w:b w:val="0"/>
                <w:i w:val="0"/>
                <w:sz w:val="17"/>
              </w:rPr>
              <w:t>Landlord must execute within 30 days; New Lease effective as of the termination date; equal priority; all subleases recognized</w:t>
            </w:r>
          </w:p>
        </w:tc>
      </w:tr>
      <w:tr>
        <w:trPr>
          <w:cantSplit/>
        </w:trPr>
        <w:tc>
          <w:tcPr>
            <w:tcW w:type="dxa" w:w="3456"/>
          </w:tcPr>
          <w:p>
            <w:pPr>
              <w:spacing w:after="40"/>
            </w:pPr>
            <w:r>
              <w:rPr>
                <w:rFonts w:ascii="Times New Roman" w:hAnsi="Times New Roman"/>
                <w:b w:val="0"/>
                <w:i w:val="0"/>
                <w:sz w:val="17"/>
              </w:rPr>
              <w:t>Lender cure periods</w:t>
            </w:r>
          </w:p>
        </w:tc>
        <w:tc>
          <w:tcPr>
            <w:tcW w:type="dxa" w:w="3024"/>
          </w:tcPr>
          <w:p>
            <w:pPr>
              <w:spacing w:after="40"/>
            </w:pPr>
            <w:r>
              <w:rPr>
                <w:rFonts w:ascii="Times New Roman" w:hAnsi="Times New Roman"/>
                <w:b w:val="0"/>
                <w:i w:val="0"/>
                <w:sz w:val="17"/>
              </w:rPr>
              <w:t>No independent lender cure period for milestone defaults</w:t>
            </w:r>
          </w:p>
        </w:tc>
        <w:tc>
          <w:tcPr>
            <w:tcW w:type="dxa" w:w="2880"/>
          </w:tcPr>
          <w:p>
            <w:pPr>
              <w:spacing w:after="40"/>
            </w:pPr>
            <w:r>
              <w:rPr>
                <w:rFonts w:ascii="Times New Roman" w:hAnsi="Times New Roman"/>
                <w:b w:val="0"/>
                <w:i w:val="0"/>
                <w:sz w:val="17"/>
              </w:rPr>
              <w:t>Cure periods "in addition to, and not concurrent with" Tenant's; monetary 60 days, non-monetary 90 days</w:t>
            </w:r>
          </w:p>
        </w:tc>
      </w:tr>
      <w:tr>
        <w:trPr>
          <w:cantSplit/>
        </w:trPr>
        <w:tc>
          <w:tcPr>
            <w:tcW w:type="dxa" w:w="3456"/>
          </w:tcPr>
          <w:p>
            <w:pPr>
              <w:spacing w:after="40"/>
            </w:pPr>
            <w:r>
              <w:rPr>
                <w:rFonts w:ascii="Times New Roman" w:hAnsi="Times New Roman"/>
                <w:b w:val="0"/>
                <w:i w:val="0"/>
                <w:sz w:val="17"/>
              </w:rPr>
              <w:t>Subordination of reverter</w:t>
            </w:r>
          </w:p>
        </w:tc>
        <w:tc>
          <w:tcPr>
            <w:tcW w:type="dxa" w:w="3024"/>
          </w:tcPr>
          <w:p>
            <w:pPr>
              <w:spacing w:after="40"/>
            </w:pPr>
            <w:r>
              <w:rPr>
                <w:rFonts w:ascii="Times New Roman" w:hAnsi="Times New Roman"/>
                <w:b w:val="0"/>
                <w:i w:val="0"/>
                <w:sz w:val="17"/>
              </w:rPr>
              <w:t>Not addressed</w:t>
            </w:r>
          </w:p>
        </w:tc>
        <w:tc>
          <w:tcPr>
            <w:tcW w:type="dxa" w:w="2880"/>
          </w:tcPr>
          <w:p>
            <w:pPr>
              <w:spacing w:after="40"/>
            </w:pPr>
            <w:r>
              <w:rPr>
                <w:rFonts w:ascii="Times New Roman" w:hAnsi="Times New Roman"/>
                <w:b w:val="0"/>
                <w:i w:val="0"/>
                <w:sz w:val="17"/>
              </w:rPr>
              <w:t>Implied by §5.3 and §5.4; must be express (our position)</w:t>
            </w:r>
          </w:p>
        </w:tc>
      </w:tr>
      <w:tr>
        <w:trPr>
          <w:cantSplit/>
        </w:trPr>
        <w:tc>
          <w:tcPr>
            <w:tcW w:type="dxa" w:w="3456"/>
          </w:tcPr>
          <w:p>
            <w:pPr>
              <w:spacing w:after="40"/>
            </w:pPr>
            <w:r>
              <w:rPr>
                <w:rFonts w:ascii="Times New Roman" w:hAnsi="Times New Roman"/>
                <w:b w:val="0"/>
                <w:i w:val="0"/>
                <w:sz w:val="17"/>
              </w:rPr>
              <w:t>Modification/surrender</w:t>
            </w:r>
          </w:p>
        </w:tc>
        <w:tc>
          <w:tcPr>
            <w:tcW w:type="dxa" w:w="3024"/>
          </w:tcPr>
          <w:p>
            <w:pPr>
              <w:spacing w:after="40"/>
            </w:pPr>
            <w:r>
              <w:rPr>
                <w:rFonts w:ascii="Times New Roman" w:hAnsi="Times New Roman"/>
                <w:b w:val="0"/>
                <w:i w:val="0"/>
                <w:sz w:val="17"/>
              </w:rPr>
              <w:t>Consent required</w:t>
            </w:r>
          </w:p>
        </w:tc>
        <w:tc>
          <w:tcPr>
            <w:tcW w:type="dxa" w:w="2880"/>
          </w:tcPr>
          <w:p>
            <w:pPr>
              <w:spacing w:after="40"/>
            </w:pPr>
            <w:r>
              <w:rPr>
                <w:rFonts w:ascii="Times New Roman" w:hAnsi="Times New Roman"/>
                <w:b w:val="0"/>
                <w:i w:val="0"/>
                <w:sz w:val="17"/>
              </w:rPr>
              <w:t>Consent required; any purported action "void and of no force or effect as against Lender"</w:t>
            </w:r>
          </w:p>
        </w:tc>
      </w:tr>
      <w:tr>
        <w:trPr>
          <w:cantSplit/>
        </w:trPr>
        <w:tc>
          <w:tcPr>
            <w:tcW w:type="dxa" w:w="3456"/>
          </w:tcPr>
          <w:p>
            <w:pPr>
              <w:spacing w:after="40"/>
            </w:pPr>
            <w:r>
              <w:rPr>
                <w:rFonts w:ascii="Times New Roman" w:hAnsi="Times New Roman"/>
                <w:b w:val="0"/>
                <w:i w:val="0"/>
                <w:sz w:val="17"/>
              </w:rPr>
              <w:t>Foreclosure and assignment</w:t>
            </w:r>
          </w:p>
        </w:tc>
        <w:tc>
          <w:tcPr>
            <w:tcW w:type="dxa" w:w="3024"/>
          </w:tcPr>
          <w:p>
            <w:pPr>
              <w:spacing w:after="40"/>
            </w:pPr>
            <w:r>
              <w:rPr>
                <w:rFonts w:ascii="Times New Roman" w:hAnsi="Times New Roman"/>
                <w:b w:val="0"/>
                <w:i w:val="0"/>
                <w:sz w:val="17"/>
              </w:rPr>
              <w:t>Permitted to a "qualified transferee"</w:t>
            </w:r>
          </w:p>
        </w:tc>
        <w:tc>
          <w:tcPr>
            <w:tcW w:type="dxa" w:w="2880"/>
          </w:tcPr>
          <w:p>
            <w:pPr>
              <w:spacing w:after="40"/>
            </w:pPr>
            <w:r>
              <w:rPr>
                <w:rFonts w:ascii="Times New Roman" w:hAnsi="Times New Roman"/>
                <w:b w:val="0"/>
                <w:i w:val="0"/>
                <w:sz w:val="17"/>
              </w:rPr>
              <w:t>Unconditional, without Landlord consent, and Landlord "shall not unreasonably withhold... recognition"</w:t>
            </w:r>
          </w:p>
        </w:tc>
      </w:tr>
      <w:tr>
        <w:trPr>
          <w:cantSplit/>
        </w:trPr>
        <w:tc>
          <w:tcPr>
            <w:tcW w:type="dxa" w:w="3456"/>
          </w:tcPr>
          <w:p>
            <w:pPr>
              <w:spacing w:after="40"/>
            </w:pPr>
            <w:r>
              <w:rPr>
                <w:rFonts w:ascii="Times New Roman" w:hAnsi="Times New Roman"/>
                <w:b w:val="0"/>
                <w:i w:val="0"/>
                <w:sz w:val="17"/>
              </w:rPr>
              <w:t>Bankruptcy</w:t>
            </w:r>
          </w:p>
        </w:tc>
        <w:tc>
          <w:tcPr>
            <w:tcW w:type="dxa" w:w="3024"/>
          </w:tcPr>
          <w:p>
            <w:pPr>
              <w:spacing w:after="40"/>
            </w:pPr>
            <w:r>
              <w:rPr>
                <w:rFonts w:ascii="Times New Roman" w:hAnsi="Times New Roman"/>
                <w:b w:val="0"/>
                <w:i w:val="0"/>
                <w:sz w:val="17"/>
              </w:rPr>
              <w:t>Not addressed</w:t>
            </w:r>
          </w:p>
        </w:tc>
        <w:tc>
          <w:tcPr>
            <w:tcW w:type="dxa" w:w="2880"/>
          </w:tcPr>
          <w:p>
            <w:pPr>
              <w:spacing w:after="40"/>
            </w:pPr>
            <w:r>
              <w:rPr>
                <w:rFonts w:ascii="Times New Roman" w:hAnsi="Times New Roman"/>
                <w:b w:val="0"/>
                <w:i w:val="0"/>
                <w:sz w:val="17"/>
              </w:rPr>
              <w:t>Express survival of the New Lease right on rejection (11 U.S.C. §365)</w:t>
            </w:r>
          </w:p>
        </w:tc>
      </w:tr>
    </w:tbl>
    <w:p>
      <w:pPr>
        <w:spacing w:after="40"/>
      </w:pPr>
    </w:p>
    <w:p>
      <w:pPr>
        <w:jc w:val="both"/>
      </w:pPr>
      <w:r>
        <w:rPr>
          <w:rFonts w:ascii="Times New Roman" w:hAnsi="Times New Roman"/>
          <w:b w:val="0"/>
          <w:i w:val="0"/>
          <w:sz w:val="21"/>
        </w:rPr>
        <w:t>The most consequential omission is the independent lender cure period for milestone defaults. A milestone failure is a non-monetary default, so under Bayside's Section 5.4 the Lender gets 90 days from its own receipt of notice, running after Tenant's period — a total of roughly 270 days before the Authority can act. Your instruction asks for at least 180 days from the Lender's receipt of notice. We have drafted the longer of the two (180 days in Section 10.3(c)), which satisfies Bayside's floor and your instruction, and we have added the Lender's express right to install a replacement developer, general contractor, or property manager, which is the mechanism by which a lender actually cures a construction milestone.</w:t>
      </w:r>
    </w:p>
    <w:p>
      <w:pPr>
        <w:jc w:val="both"/>
      </w:pPr>
      <w:r>
        <w:rPr>
          <w:rFonts w:ascii="Times New Roman" w:hAnsi="Times New Roman"/>
          <w:b w:val="0"/>
          <w:i w:val="0"/>
          <w:sz w:val="21"/>
        </w:rPr>
        <w:t>Two related points. First, the Term Sheet gives the Leasehold Mortgagee a New Lease right only on a Tenant default; Bayside requires it on any termination, including the reverter. We have drafted the broader right (Section 10.5) and, in Section 9.9, made the reverter expressly subordinate to it. Second, the Term Sheet provides no mechanism for the Landlord to deliver an SNDA, estoppel, or recognition agreement on a refinancing. Over ninety-nine years you will refinance repeatedly, and each refinancing will require the Authority's cooperation. Section 10.9 imposes a ten-business-day deadline with a self-help remedy and permits the Tenant to deliver the instrument on the Landlord's behalf on certification of failure.</w:t>
      </w:r>
    </w:p>
    <w:p>
      <w:pPr>
        <w:keepNext/>
        <w:spacing w:before="200" w:after="80"/>
        <w:jc w:val="left"/>
      </w:pPr>
      <w:r>
        <w:rPr>
          <w:rFonts w:ascii="Times New Roman" w:hAnsi="Times New Roman"/>
          <w:b/>
          <w:i w:val="0"/>
          <w:sz w:val="21"/>
        </w:rPr>
        <w:t>C. The Tax Abatement: Timing, and Who Is Bound (Item 3)</w:t>
      </w:r>
    </w:p>
    <w:p>
      <w:pPr>
        <w:keepNext/>
        <w:spacing w:before="160" w:after="60"/>
        <w:jc w:val="left"/>
      </w:pPr>
      <w:r>
        <w:rPr>
          <w:rFonts w:ascii="Times New Roman" w:hAnsi="Times New Roman"/>
          <w:b/>
          <w:i/>
          <w:sz w:val="21"/>
        </w:rPr>
        <w:t>1. The timing problem</w:t>
      </w:r>
    </w:p>
    <w:p>
      <w:pPr>
        <w:jc w:val="both"/>
      </w:pPr>
      <w:r>
        <w:rPr>
          <w:rFonts w:ascii="Times New Roman" w:hAnsi="Times New Roman"/>
          <w:b w:val="0"/>
          <w:i w:val="0"/>
          <w:sz w:val="21"/>
        </w:rPr>
        <w:t>Term Sheet Section 10 provides that the abatement period "shall commence on the Lease Commencement Date." The Lease Commencement Date is October 1, 2025. The Rent Commencement Date is thirty-six months later (October 1, 2028) or earlier on a certificate of occupancy. The consequence is that three of the fifteen Abatement Years are consumed before the Project produces a dollar of revenue.</w:t>
      </w:r>
    </w:p>
    <w:p>
      <w:pPr>
        <w:jc w:val="both"/>
      </w:pPr>
      <w:r>
        <w:rPr>
          <w:rFonts w:ascii="Times New Roman" w:hAnsi="Times New Roman"/>
          <w:b w:val="0"/>
          <w:i w:val="0"/>
          <w:sz w:val="21"/>
        </w:rPr>
        <w:t xml:space="preserve">There is a second and worse consequence, which we do not believe was intended. The Abatement Years 1–5 phase is defined as twenty-five percent of the </w:t>
      </w:r>
      <w:r>
        <w:rPr>
          <w:rFonts w:ascii="Times New Roman" w:hAnsi="Times New Roman"/>
          <w:b/>
          <w:i w:val="0"/>
          <w:sz w:val="21"/>
        </w:rPr>
        <w:t>full post-development assessed value</w:t>
      </w:r>
      <w:r>
        <w:rPr>
          <w:rFonts w:ascii="Times New Roman" w:hAnsi="Times New Roman"/>
          <w:b w:val="0"/>
          <w:i w:val="0"/>
          <w:sz w:val="21"/>
        </w:rPr>
        <w:t xml:space="preserve"> — that is, twenty-five percent of $178,000,000, or $44,500,000 of assessed value, producing $1,546,375 of tax in each of the first five years. But during construction the Premises are assessed as land only at $4,200,000, producing $145,950. Applied literally, the "abatement" would </w:t>
      </w:r>
      <w:r>
        <w:rPr>
          <w:rFonts w:ascii="Times New Roman" w:hAnsi="Times New Roman"/>
          <w:b/>
          <w:i w:val="0"/>
          <w:sz w:val="21"/>
        </w:rPr>
        <w:t>increase</w:t>
      </w:r>
      <w:r>
        <w:rPr>
          <w:rFonts w:ascii="Times New Roman" w:hAnsi="Times New Roman"/>
          <w:b w:val="0"/>
          <w:i w:val="0"/>
          <w:sz w:val="21"/>
        </w:rPr>
        <w:t xml:space="preserve"> your tax bill during construction from approximately $145,950 to $1,546,375 — an increase of $1,400,425 per year, or $4,201,275 over the three-year construction period. An abatement should not operate as a surcharge.</w:t>
      </w:r>
    </w:p>
    <w:p>
      <w:pPr>
        <w:jc w:val="both"/>
      </w:pPr>
      <w:r>
        <w:rPr>
          <w:rFonts w:ascii="Times New Roman" w:hAnsi="Times New Roman"/>
          <w:b w:val="0"/>
          <w:i w:val="0"/>
          <w:sz w:val="21"/>
        </w:rPr>
        <w:t>The aggregate effect is material. Computed on the Term Sheet structure, taxes from 2025 through 2043 total approximately $71.1 million in nominal terms. Computed with the abatement period beginning on the Rent Commencement Date, and with Construction Period taxes based on the actual land assessment, the same period totals approximately $53.0 million — a difference of approximately $18.1 million, and a delay of the first full-assessment year from 2040 to 2043. The tables in Section IV set out the computation.</w:t>
      </w:r>
    </w:p>
    <w:p>
      <w:pPr>
        <w:keepNext/>
        <w:spacing w:before="160" w:after="60"/>
        <w:jc w:val="left"/>
      </w:pPr>
      <w:r>
        <w:rPr>
          <w:rFonts w:ascii="Times New Roman" w:hAnsi="Times New Roman"/>
          <w:b/>
          <w:i/>
          <w:sz w:val="21"/>
        </w:rPr>
        <w:t>2. The authority problem — this is the more serious of the two</w:t>
      </w:r>
    </w:p>
    <w:p>
      <w:pPr>
        <w:jc w:val="both"/>
      </w:pPr>
      <w:r>
        <w:rPr>
          <w:rFonts w:ascii="Times New Roman" w:hAnsi="Times New Roman"/>
          <w:b w:val="0"/>
          <w:i w:val="0"/>
          <w:sz w:val="21"/>
        </w:rPr>
        <w:t>The Abatement Program is not something the Authority can grant. It is an assessment phase-in that must be implemented by the City of Port Calloway, through the Board of Finance and possibly the Office of Policy and Management (Term Sheet Section 10 correctly refers to "any required action by the Port Calloway Board of Finance or the Connecticut Office of Policy and Management"). The Authority's own Resolution No. 2025-047 confirms this: it "supports" a fifteen-year abatement "to be implemented through a separate tax abatement agreement between Meridian and the City of Port Calloway" (Recital) and authorizes the Executive Director to execute "any tax abatement agreement with the City of Port Calloway" (Section 3(d)). The Authority is not the City. It cannot bind the City, and the City is not a party to either the Term Sheet or the ground lease.</w:t>
      </w:r>
    </w:p>
    <w:p>
      <w:pPr>
        <w:jc w:val="both"/>
      </w:pPr>
      <w:r>
        <w:rPr>
          <w:rFonts w:ascii="Times New Roman" w:hAnsi="Times New Roman"/>
          <w:b w:val="0"/>
          <w:i w:val="0"/>
          <w:sz w:val="21"/>
        </w:rPr>
        <w:t>Meanwhile the lease is triple net: "Tenant shall be solely responsible for the payment of all real property taxes... and other impositions of every kind." So the ground lease gives you an unqualified obligation to pay whatever the City assesses, and no enforceable right to the abatement that makes the pro forma work. Coventry's underwriting assumes the full fifteen-year abatement during the income-producing years (your instruction, Item 4). As drafted, that assumption is unsupported by any binding instrument in the record.</w:t>
      </w:r>
    </w:p>
    <w:p>
      <w:pPr>
        <w:keepNext/>
        <w:spacing w:before="160" w:after="60"/>
        <w:jc w:val="left"/>
      </w:pPr>
      <w:r>
        <w:rPr>
          <w:rFonts w:ascii="Times New Roman" w:hAnsi="Times New Roman"/>
          <w:b/>
          <w:i/>
          <w:sz w:val="21"/>
        </w:rPr>
        <w:t>3. Our position</w:t>
      </w:r>
    </w:p>
    <w:p>
      <w:pPr>
        <w:jc w:val="both"/>
      </w:pPr>
      <w:r>
        <w:rPr>
          <w:rFonts w:ascii="Times New Roman" w:hAnsi="Times New Roman"/>
          <w:b w:val="0"/>
          <w:i w:val="0"/>
          <w:sz w:val="21"/>
        </w:rPr>
        <w:t>We have made the abatement three things in the draft. First, an express condition precedent to the Commencement Date: the City must have executed a binding abatement agreement, with evidence of the required approvals (Section 2.7(e)). Second, a covenant of the Landlord to use its best efforts to cause the City to adopt and maintain the program (Section 6.2(c)). Third, a self-executing economic remedy: if the program is not implemented or lapses, Tenant may offset against Base Rent the excess taxes it actually pays, with interest, and the Landlord must confirm to the Lender that the offset is permitted (Section 6.2(d)). We have also moved the abatement period to the Rent Commencement Date, based Construction Period taxes on the actual land assessment, and added a re-opener if the post-development assessed value exceeds the projection by more than 20% (Section 6.6).</w:t>
      </w:r>
    </w:p>
    <w:p>
      <w:pPr>
        <w:jc w:val="both"/>
      </w:pPr>
      <w:r>
        <w:rPr>
          <w:rFonts w:ascii="Times New Roman" w:hAnsi="Times New Roman"/>
          <w:b w:val="0"/>
          <w:i w:val="0"/>
          <w:sz w:val="21"/>
        </w:rPr>
        <w:t>Practically: the abatement agreement with the City needs to be on the closing checklist now, not in the lease negotiation. We recommend a separate workstream with the City's corporation counsel, running in parallel with the lease.</w:t>
      </w:r>
    </w:p>
    <w:p>
      <w:pPr>
        <w:keepNext/>
        <w:spacing w:before="200" w:after="80"/>
        <w:jc w:val="left"/>
      </w:pPr>
      <w:r>
        <w:rPr>
          <w:rFonts w:ascii="Times New Roman" w:hAnsi="Times New Roman"/>
          <w:b/>
          <w:i w:val="0"/>
          <w:sz w:val="21"/>
        </w:rPr>
        <w:t>D. Percentage Rent Over Ninety-Nine Years (Item 4)</w:t>
      </w:r>
    </w:p>
    <w:p>
      <w:pPr>
        <w:jc w:val="both"/>
      </w:pPr>
      <w:r>
        <w:rPr>
          <w:rFonts w:ascii="Times New Roman" w:hAnsi="Times New Roman"/>
          <w:b w:val="0"/>
          <w:i w:val="0"/>
          <w:sz w:val="21"/>
        </w:rPr>
        <w:t>The mechanism is 2.0% of Gross Revenues above a $28,500,000 annual breakpoint, beginning in Lease Year 6. Term Sheet Section 6 states that the breakpoint "is a fixed dollar amount and shall remain unchanged for the duration of the Lease Term." Over a term of ninety-nine years that is not a participation; it is a permanent share of gross receipts that grows without limit as a share of revenue.</w:t>
      </w:r>
    </w:p>
    <w:p>
      <w:pPr>
        <w:jc w:val="both"/>
      </w:pPr>
      <w:r>
        <w:rPr>
          <w:rFonts w:ascii="Times New Roman" w:hAnsi="Times New Roman"/>
          <w:b w:val="0"/>
          <w:i w:val="0"/>
          <w:sz w:val="21"/>
        </w:rPr>
        <w:t>The arithmetic is stark. Assume stabilized revenue of $30,000,000 in Rent Year 6 and revenue growth of 3% per annum. On a fixed breakpoint, percentage rent rises from $30,000 in Rent Year 6 to $236,350 in Rent Year 16, $886,357 in Rent Year 36, $2,964,962 in Rent Year 66, and $8,010,280 in Rent Year 96. If the breakpoint instead grew at the same 3%, percentage rent would remain constant in real terms at approximately $30,000. The difference over the Term is on the order of $60 million in nominal dollars, and it arises entirely from the failure to index a number that was set by reference to 2025 rents and 2025 occupancy.</w:t>
      </w:r>
    </w:p>
    <w:p>
      <w:pPr>
        <w:jc w:val="both"/>
      </w:pPr>
      <w:r>
        <w:rPr>
          <w:rFonts w:ascii="Times New Roman" w:hAnsi="Times New Roman"/>
          <w:b w:val="0"/>
          <w:i w:val="0"/>
          <w:sz w:val="21"/>
        </w:rPr>
        <w:t>Our primary position (Section 5.3) is that the Breakpoint for each Rent Year equals $28,500,000 multiplied by Base Rent for that Rent Year divided by Initial Base Rent. That preserves the 10:1 relationship between the Breakpoint and Base Rent that the parties struck, keeps the mechanism a participation rather than a tax, and is administratively trivial. Our fallback positions, in order of preference: (i) index the Breakpoint by CPI from the Rent Commencement Date, with a floor of $28,500,000; (ii) index by 50% of CPI; (iii) reset the Breakpoint to the greater of the fixed number and 85% of stabilized revenue at each tenth Rent Year; and (iv) in exchange for a fixed Breakpoint, cap aggregate Percentage Rent at $2,000,000 per Rent Year. We would not accept the fixed Breakpoint without at least one of these.</w:t>
      </w:r>
    </w:p>
    <w:p>
      <w:pPr>
        <w:jc w:val="both"/>
      </w:pPr>
      <w:r>
        <w:rPr>
          <w:rFonts w:ascii="Times New Roman" w:hAnsi="Times New Roman"/>
          <w:b w:val="0"/>
          <w:i w:val="0"/>
          <w:sz w:val="21"/>
        </w:rPr>
        <w:t>We have also tightened Gross Revenues (Section 5.2) in the manner you asked. The Term Sheet's list of exclusions is "such as security deposits not applied to rent, proceeds of insurance claims, condemnation awards, and similar items" — an open-ended illustration with no guidance. Our definition contains fifteen specific exclusions, including utility reimbursements, common area maintenance recoveries, real estate tax and insurance pass-throughs, capital contributions, financing proceeds, interest income, retroactive adjustments, contractor recoveries, bad debt, and amounts attributable to periods before the Rent Commencement Date. It also requires the reduction of Gross Revenues for rent concessions, so that free rent cannot be counted as revenue in one year and as a concession in another.</w:t>
      </w:r>
    </w:p>
    <w:p>
      <w:pPr>
        <w:keepNext/>
        <w:spacing w:before="200" w:after="80"/>
        <w:jc w:val="left"/>
      </w:pPr>
      <w:r>
        <w:rPr>
          <w:rFonts w:ascii="Times New Roman" w:hAnsi="Times New Roman"/>
          <w:b/>
          <w:i w:val="0"/>
          <w:sz w:val="21"/>
        </w:rPr>
        <w:t>E. The Legal Description and Survey (Items 5, 12)</w:t>
      </w:r>
    </w:p>
    <w:p>
      <w:pPr>
        <w:jc w:val="both"/>
      </w:pPr>
      <w:r>
        <w:rPr>
          <w:rFonts w:ascii="Times New Roman" w:hAnsi="Times New Roman"/>
          <w:b w:val="0"/>
          <w:i w:val="0"/>
          <w:sz w:val="21"/>
        </w:rPr>
        <w:t xml:space="preserve">This is the item most likely to be missed and most likely to cause a closing failure, because it does not look like a problem. The Title Commitment's Exhibit A recites a metes-and-bounds description and states "[c]ontaining 3.2 acres (139,392 square feet), more or less." We ran the traverse. It closes (to within approximately 1.1 feet) and it computes to </w:t>
      </w:r>
      <w:r>
        <w:rPr>
          <w:rFonts w:ascii="Times New Roman" w:hAnsi="Times New Roman"/>
          <w:b/>
          <w:i w:val="0"/>
          <w:sz w:val="21"/>
        </w:rPr>
        <w:t>279,535 square feet, or 6.417 acres</w:t>
      </w:r>
      <w:r>
        <w:rPr>
          <w:rFonts w:ascii="Times New Roman" w:hAnsi="Times New Roman"/>
          <w:b w:val="0"/>
          <w:i w:val="0"/>
          <w:sz w:val="21"/>
        </w:rPr>
        <w:t xml:space="preserve"> — approximately 2.006 times the recited area.</w:t>
      </w:r>
    </w:p>
    <w:p>
      <w:pPr>
        <w:jc w:val="both"/>
      </w:pPr>
      <w:r>
        <w:rPr>
          <w:rFonts w:ascii="Times New Roman" w:hAnsi="Times New Roman"/>
          <w:b w:val="0"/>
          <w:i w:val="0"/>
          <w:sz w:val="21"/>
        </w:rPr>
        <w:t>The dimensions tell the same story on their face: the Title Commitment describes 580.00 feet along Pier Street and 480.00 feet along the waterfront, which is a parcel of roughly 278,400 square feet. The surveyor, by contrast, measured 435.22 feet along Pier Street and 320.47 feet along the waterfront, which is 139,475 square feet. The Title Commitment's description is a different, larger parcel. It also bears a different set of bearings (North 72°15'30" East on the street line, as against the surveyor's South 78°15'30" East) and cites a different surveyor: "J. Michael Ferreira, P.L.S., Connecticut License No. 12847... Drawing No. CLS-2025-0321, dated April 20, 2025, and last revised May 15, 2025." The survey in the record is by Thomas R. Pellegrino, PLS-008741, Survey Job No. CLS-2025-0417, plat dated April 28, 2025. The Title Commitment is also inconsistent with itself: it cites the 2012 condemnation as recorded at Volume 367, Page 44, while the surveyor cites Volume 375, Page 44.</w:t>
      </w:r>
    </w:p>
    <w:p>
      <w:pPr>
        <w:jc w:val="both"/>
      </w:pPr>
      <w:r>
        <w:rPr>
          <w:rFonts w:ascii="Times New Roman" w:hAnsi="Times New Roman"/>
          <w:b w:val="0"/>
          <w:i w:val="0"/>
          <w:sz w:val="21"/>
        </w:rPr>
        <w:t>We have used the surveyor's description as Exhibit A to the Lease, verified that it closes exactly (closure error 0.00 feet), and specified in Section 2.1 that it supersedes the Title Commitment's Exhibit A. We have also made Base Rent a flat dollar amount rather than a per-square-foot amount, so that the 82.95 square foot (0.06%) difference between the surveyor's computed area (139,474.95) and the Assessor's figure (139,392) cannot be used to re-open rent. If the parties ever "corrected" the legal description to the Title Commitment's version, the per-square-foot rent would drop from $20.45 to $10.19, which is presumably not what either side intends.</w:t>
      </w:r>
    </w:p>
    <w:p>
      <w:pPr>
        <w:jc w:val="both"/>
      </w:pPr>
      <w:r>
        <w:rPr>
          <w:rFonts w:ascii="Times New Roman" w:hAnsi="Times New Roman"/>
          <w:b w:val="0"/>
          <w:i w:val="0"/>
          <w:sz w:val="21"/>
        </w:rPr>
        <w:t>There is a related inconsistency that we should resolve before the survey is re-certified. Every document in the record describes "approximately 480 linear feet of bulkhead" along the eastern boundary. The surveyor's own east line is 320.47 feet. The surveyor also states that the pedestrian easement area is "approximately 7,200 square feet (15 feet in width × approximately 480 feet of waterfront frontage)," but 15 feet times 320.47 feet is 4,807 square feet. The 480-foot figure appears to have been carried forward from the Title Commitment's erroneous description. This matters for three things: the scope and cost of bulkhead rehabilitation, the area of the public pedestrian easement, and the calculation of the 8,000 square foot Public Open Space requirement. Either the east line is 480 feet or the bulkhead is 320 feet; both cannot be true, and the surveyor and the Authority's own field records should be reconciled before the survey is certified to the Lender.</w:t>
      </w:r>
    </w:p>
    <w:p>
      <w:pPr>
        <w:keepNext/>
        <w:spacing w:before="200" w:after="80"/>
        <w:jc w:val="left"/>
      </w:pPr>
      <w:r>
        <w:rPr>
          <w:rFonts w:ascii="Times New Roman" w:hAnsi="Times New Roman"/>
          <w:b/>
          <w:i w:val="0"/>
          <w:sz w:val="21"/>
        </w:rPr>
        <w:t>F. Remediation Allocation and the ELUR (Items 6, 7, 8)</w:t>
      </w:r>
    </w:p>
    <w:p>
      <w:pPr>
        <w:keepNext/>
        <w:spacing w:before="160" w:after="60"/>
        <w:jc w:val="left"/>
      </w:pPr>
      <w:r>
        <w:rPr>
          <w:rFonts w:ascii="Times New Roman" w:hAnsi="Times New Roman"/>
          <w:b/>
          <w:i/>
          <w:sz w:val="21"/>
        </w:rPr>
        <w:t>1. The credit is capped; the exposure is not</w:t>
      </w:r>
    </w:p>
    <w:p>
      <w:pPr>
        <w:jc w:val="both"/>
      </w:pPr>
      <w:r>
        <w:rPr>
          <w:rFonts w:ascii="Times New Roman" w:hAnsi="Times New Roman"/>
          <w:b w:val="0"/>
          <w:i w:val="0"/>
          <w:sz w:val="21"/>
        </w:rPr>
        <w:t>Term Sheet Section 7 grants a fixed $1,800,000 credit against Base Rent and then makes Tenant responsible for "any actual remediation costs in excess of the $2,400,000 estimate." Read with the Phase II cost estimate, the parties' evident intent is a 75/25 split: total estimated cost $2,400,000, of which the Authority funds $1,800,000 (75%) and Meridian funds $600,000 (25%). Your instruction describes it the same way: "Meridian's share of the total $2.4 million remediation cost is $600,000 (the $1.8M credit offsets the balance)."</w:t>
      </w:r>
    </w:p>
    <w:p>
      <w:pPr>
        <w:jc w:val="both"/>
      </w:pPr>
      <w:r>
        <w:rPr>
          <w:rFonts w:ascii="Times New Roman" w:hAnsi="Times New Roman"/>
          <w:b w:val="0"/>
          <w:i w:val="0"/>
          <w:sz w:val="21"/>
        </w:rPr>
        <w:t>But a fixed dollar credit does not implement a percentage split. It caps the Authority's contribution and leaves 100% of the overrun with you. The Phase II report is explicit that costs "could increase materially if contamination is found to extend beyond the delineated areas during excavation, if unanticipated contaminants are encountered, or if groundwater dewatering and on-site treatment are required." Every one of those contingencies is a real risk on a former shipyard with a filled dry dock and two removed underground storage tanks whose closure documentation is "closure pending/incomplete" in the DEEP LUST database.</w:t>
      </w:r>
    </w:p>
    <w:p>
      <w:pPr>
        <w:jc w:val="both"/>
      </w:pPr>
      <w:r>
        <w:rPr>
          <w:rFonts w:ascii="Times New Roman" w:hAnsi="Times New Roman"/>
          <w:b w:val="0"/>
          <w:i w:val="0"/>
          <w:sz w:val="21"/>
        </w:rPr>
        <w:t>Worse, the $2,400,000 estimate excludes, by its own terms, "the cost of maintaining or modifying the existing ELUR, obtaining any necessary CT DEEP approvals or permits, preparing the required Remedial Action Plan and post-remediation Verification Report, or any legal or consulting fees associated with ELUR compliance," and it excludes bulkhead repair entirely. Those excluded categories are not incidental: they are the categories most likely to arise, and the ELUR modification is likely to be required given the ground-floor use issue discussed below.</w:t>
      </w:r>
    </w:p>
    <w:p>
      <w:pPr>
        <w:jc w:val="both"/>
      </w:pPr>
      <w:r>
        <w:rPr>
          <w:rFonts w:ascii="Times New Roman" w:hAnsi="Times New Roman"/>
          <w:b w:val="0"/>
          <w:i w:val="0"/>
          <w:sz w:val="21"/>
        </w:rPr>
        <w:t>We have drafted Section 8.3 to implement the 75/25 split across the whole range of Remediation Costs ($600,000 cap for Tenant up to the estimate; 75/25 sharing between 100% and 150% of the estimate; 100% to Landlord above that), and Section 8.3(d) to place 100% of off-site migration, undisclosed pre-existing conditions, groundwater contamination, and pre-Commencement regulatory directives with the Authority. We have also made the Remediation Credit assignable, non-refundable, available to a Leasehold Mortgagee and to a New Lease tenant, deferrable at Tenant's election, and payable in cash if unapplied (Section 8.4).</w:t>
      </w:r>
    </w:p>
    <w:p>
      <w:pPr>
        <w:keepNext/>
        <w:spacing w:before="160" w:after="60"/>
        <w:jc w:val="left"/>
      </w:pPr>
      <w:r>
        <w:rPr>
          <w:rFonts w:ascii="Times New Roman" w:hAnsi="Times New Roman"/>
          <w:b/>
          <w:i/>
          <w:sz w:val="21"/>
        </w:rPr>
        <w:t>2. The ELUR and the ground floor</w:t>
      </w:r>
    </w:p>
    <w:p>
      <w:pPr>
        <w:jc w:val="both"/>
      </w:pPr>
      <w:r>
        <w:rPr>
          <w:rFonts w:ascii="Times New Roman" w:hAnsi="Times New Roman"/>
          <w:b w:val="0"/>
          <w:i w:val="0"/>
          <w:sz w:val="21"/>
        </w:rPr>
        <w:t>The ELUR prohibits "residential use on the ground floor of any structure erected on the land." The Phase II report then observes that the ELUR defines "residential use" as "habitable space at or below finished grade elevation intended for residential dwelling, sleeping, cooking, or eating purposes," and that it "does not... expressly define whether ancillary residential spaces — such as building lobbies, resident amenity rooms, fitness centers, package rooms, and leasing offices that serve a residential tower but do not themselves contain dwelling units — constitute 'residential use.'"</w:t>
      </w:r>
    </w:p>
    <w:p>
      <w:pPr>
        <w:jc w:val="both"/>
      </w:pPr>
      <w:r>
        <w:rPr>
          <w:rFonts w:ascii="Times New Roman" w:hAnsi="Times New Roman"/>
          <w:b w:val="0"/>
          <w:i w:val="0"/>
          <w:sz w:val="21"/>
        </w:rPr>
        <w:t>The Term Sheet, in Section 4(a), describes the Residential Tower as including "ground-floor residential lobby and amenity spaces (fitness center, package room, resident lounge, and leasing office)" — and in the very same section acknowledges the ELUR restriction and requires compliance. The document is internally inconsistent on a point on which the project's design depends. The Phase II report warns that this "creates a significant interpretive ambiguity that could expose the Client to potential enforcement action by CT DEEP."</w:t>
      </w:r>
    </w:p>
    <w:p>
      <w:pPr>
        <w:jc w:val="both"/>
      </w:pPr>
      <w:r>
        <w:rPr>
          <w:rFonts w:ascii="Times New Roman" w:hAnsi="Times New Roman"/>
          <w:b w:val="0"/>
          <w:i w:val="0"/>
          <w:sz w:val="21"/>
        </w:rPr>
        <w:t>This is a diligence item, not a drafting item, but it has drafting consequences. We have made a written DEEP interpretation or a modification of the ELUR a condition precedent to the Commencement Date (Section 2.7(j)); required the Authority to fund and prosecute any modification at its sole cost, as the party that recorded the ELUR (Section 3.9(c)); and extended the Milestone Dates day-for-day for any DEEP review, with an express statement that no such delay is a default or a basis for the reverter (Sections 3.9(c) and 9.3(c)). We have also drafted the affordable housing covenant so that affordable units are located above the ground floor (Section 3.6(c)), consistent with the Phase II recommendation.</w:t>
      </w:r>
    </w:p>
    <w:p>
      <w:pPr>
        <w:jc w:val="both"/>
      </w:pPr>
      <w:r>
        <w:rPr>
          <w:rFonts w:ascii="Times New Roman" w:hAnsi="Times New Roman"/>
          <w:b w:val="0"/>
          <w:i w:val="0"/>
          <w:sz w:val="21"/>
        </w:rPr>
        <w:t>One design note: the 15-foot finished floor elevation required for flood compliance (BFE 12 feet NAVD88 plus three feet of freeboard) may assist the argument that ground-floor ancillary space is not "at or below finished grade," but it does not resolve how "finished grade" is measured under the ELUR. We would not rely on it without DEEP's written concurrence.</w:t>
      </w:r>
    </w:p>
    <w:p>
      <w:pPr>
        <w:keepNext/>
        <w:spacing w:before="160" w:after="60"/>
        <w:jc w:val="left"/>
      </w:pPr>
      <w:r>
        <w:rPr>
          <w:rFonts w:ascii="Times New Roman" w:hAnsi="Times New Roman"/>
          <w:b/>
          <w:i/>
          <w:sz w:val="21"/>
        </w:rPr>
        <w:t>3. The bulkhead</w:t>
      </w:r>
    </w:p>
    <w:p>
      <w:pPr>
        <w:jc w:val="both"/>
      </w:pPr>
      <w:r>
        <w:rPr>
          <w:rFonts w:ascii="Times New Roman" w:hAnsi="Times New Roman"/>
          <w:b w:val="0"/>
          <w:i w:val="0"/>
          <w:sz w:val="21"/>
        </w:rPr>
        <w:t>The bulkhead is in "fair to poor" condition (Phase II), with "spalling of the concrete cap and corrosion of the sheet piling" and, in the north-central section, "removal of approximately 40 linear feet of concrete cap and disturbance of the underlying sheet piling" consistent with the work for which Calloway Marine Demolition Inc. filed its lien (survey). Bulkhead repair is expressly excluded from the remediation estimate, has not been costed anywhere in the record, and Phase II recommends an independent structural assessment that has not been performed.</w:t>
      </w:r>
    </w:p>
    <w:p>
      <w:pPr>
        <w:jc w:val="both"/>
      </w:pPr>
      <w:r>
        <w:rPr>
          <w:rFonts w:ascii="Times New Roman" w:hAnsi="Times New Roman"/>
          <w:b w:val="0"/>
          <w:i w:val="0"/>
          <w:sz w:val="21"/>
        </w:rPr>
        <w:t>We have required the assessment at the Authority's cost within thirty days (Section 8.9(b)), required the Authority to restore the demolition-damaged section at its cost or credit the rent (Section 8.9(c)), and allocated the balance of rehabilitation to the Project budget rather than to Remediation Costs (Section 8.9(d)), so that it does not consume the Remediation Credit.</w:t>
      </w:r>
    </w:p>
    <w:p>
      <w:pPr>
        <w:keepNext/>
        <w:spacing w:before="320" w:after="200"/>
        <w:jc w:val="center"/>
      </w:pPr>
      <w:r>
        <w:rPr>
          <w:rFonts w:ascii="Times New Roman" w:hAnsi="Times New Roman"/>
          <w:b/>
          <w:i w:val="0"/>
          <w:sz w:val="21"/>
        </w:rPr>
        <w:t>IV. INDEPENDENT RECOMPUTATION OF FIGURES, DATES, AND AREAS</w:t>
      </w:r>
    </w:p>
    <w:p>
      <w:pPr>
        <w:jc w:val="both"/>
      </w:pPr>
      <w:r>
        <w:rPr>
          <w:rFonts w:ascii="Times New Roman" w:hAnsi="Times New Roman"/>
          <w:b w:val="0"/>
          <w:i w:val="0"/>
          <w:sz w:val="21"/>
        </w:rPr>
        <w:t>Every figure in the record has been recomputed from its components. The results follow. Items marked "no exception" tie exactly; items marked otherwise are carried into the Issue Register.</w:t>
      </w:r>
    </w:p>
    <w:p>
      <w:pPr>
        <w:keepNext/>
        <w:spacing w:before="200" w:after="80"/>
        <w:jc w:val="left"/>
      </w:pPr>
      <w:r>
        <w:rPr>
          <w:rFonts w:ascii="Times New Roman" w:hAnsi="Times New Roman"/>
          <w:b/>
          <w:i w:val="0"/>
          <w:sz w:val="21"/>
        </w:rPr>
        <w:t>4.1 Base Rent (Term Sheet Section 5)</w:t>
      </w:r>
    </w:p>
    <w:tbl>
      <w:tblPr>
        <w:tblStyle w:val="TableGrid"/>
        <w:tblW w:type="dxa" w:w="9360"/>
        <w:jc w:val="center"/>
        <w:tblLayout w:type="fixed"/>
        <w:tblLook w:firstColumn="1" w:firstRow="1" w:lastColumn="0" w:lastRow="0" w:noHBand="0" w:noVBand="1" w:val="04A0"/>
        <w:tblLayout w:type="fixed"/>
      </w:tblPr>
      <w:tblGrid>
        <w:gridCol w:w="2880"/>
        <w:gridCol w:w="1728"/>
        <w:gridCol w:w="2880"/>
        <w:gridCol w:w="1872"/>
      </w:tblGrid>
      <w:tr>
        <w:trPr>
          <w:tblHeader/>
        </w:trPr>
        <w:tc>
          <w:tcPr>
            <w:tcW w:type="dxa" w:w="2880"/>
            <w:shd w:val="clear" w:color="auto" w:fill="E8E8E8"/>
          </w:tcPr>
          <w:p>
            <w:pPr>
              <w:spacing w:after="40"/>
            </w:pPr>
            <w:r>
              <w:rPr>
                <w:rFonts w:ascii="Times New Roman" w:hAnsi="Times New Roman"/>
                <w:b/>
                <w:i w:val="0"/>
                <w:sz w:val="17"/>
              </w:rPr>
              <w:t>Item</w:t>
            </w:r>
          </w:p>
        </w:tc>
        <w:tc>
          <w:tcPr>
            <w:tcW w:type="dxa" w:w="1728"/>
            <w:shd w:val="clear" w:color="auto" w:fill="E8E8E8"/>
          </w:tcPr>
          <w:p>
            <w:pPr>
              <w:spacing w:after="40"/>
            </w:pPr>
            <w:r>
              <w:rPr>
                <w:rFonts w:ascii="Times New Roman" w:hAnsi="Times New Roman"/>
                <w:b/>
                <w:i w:val="0"/>
                <w:sz w:val="17"/>
              </w:rPr>
              <w:t>Stated</w:t>
            </w:r>
          </w:p>
        </w:tc>
        <w:tc>
          <w:tcPr>
            <w:tcW w:type="dxa" w:w="2880"/>
            <w:shd w:val="clear" w:color="auto" w:fill="E8E8E8"/>
          </w:tcPr>
          <w:p>
            <w:pPr>
              <w:spacing w:after="40"/>
            </w:pPr>
            <w:r>
              <w:rPr>
                <w:rFonts w:ascii="Times New Roman" w:hAnsi="Times New Roman"/>
                <w:b/>
                <w:i w:val="0"/>
                <w:sz w:val="17"/>
              </w:rPr>
              <w:t>Recomputed</w:t>
            </w:r>
          </w:p>
        </w:tc>
        <w:tc>
          <w:tcPr>
            <w:tcW w:type="dxa" w:w="1872"/>
            <w:shd w:val="clear" w:color="auto" w:fill="E8E8E8"/>
          </w:tcPr>
          <w:p>
            <w:pPr>
              <w:spacing w:after="40"/>
            </w:pPr>
            <w:r>
              <w:rPr>
                <w:rFonts w:ascii="Times New Roman" w:hAnsi="Times New Roman"/>
                <w:b/>
                <w:i w:val="0"/>
                <w:sz w:val="17"/>
              </w:rPr>
              <w:t>Difference</w:t>
            </w:r>
          </w:p>
        </w:tc>
      </w:tr>
      <w:tr>
        <w:trPr>
          <w:cantSplit/>
        </w:trPr>
        <w:tc>
          <w:tcPr>
            <w:tcW w:type="dxa" w:w="2880"/>
          </w:tcPr>
          <w:p>
            <w:pPr>
              <w:spacing w:after="40"/>
            </w:pPr>
            <w:r>
              <w:rPr>
                <w:rFonts w:ascii="Times New Roman" w:hAnsi="Times New Roman"/>
                <w:b w:val="0"/>
                <w:i w:val="0"/>
                <w:sz w:val="17"/>
              </w:rPr>
              <w:t>Initial annual Base Rent</w:t>
            </w:r>
          </w:p>
        </w:tc>
        <w:tc>
          <w:tcPr>
            <w:tcW w:type="dxa" w:w="1728"/>
          </w:tcPr>
          <w:p>
            <w:pPr>
              <w:spacing w:after="40"/>
            </w:pPr>
            <w:r>
              <w:rPr>
                <w:rFonts w:ascii="Times New Roman" w:hAnsi="Times New Roman"/>
                <w:b w:val="0"/>
                <w:i w:val="0"/>
                <w:sz w:val="17"/>
              </w:rPr>
              <w:t>$2,850,000</w:t>
            </w:r>
          </w:p>
        </w:tc>
        <w:tc>
          <w:tcPr>
            <w:tcW w:type="dxa" w:w="2880"/>
          </w:tcPr>
          <w:p>
            <w:pPr>
              <w:spacing w:after="40"/>
            </w:pPr>
            <w:r>
              <w:rPr>
                <w:rFonts w:ascii="Times New Roman" w:hAnsi="Times New Roman"/>
                <w:b w:val="0"/>
                <w:i w:val="0"/>
                <w:sz w:val="17"/>
              </w:rPr>
              <w:t>$2,850,000</w:t>
            </w:r>
          </w:p>
        </w:tc>
        <w:tc>
          <w:tcPr>
            <w:tcW w:type="dxa" w:w="1872"/>
          </w:tcPr>
          <w:p>
            <w:pPr>
              <w:spacing w:after="40"/>
            </w:pPr>
            <w:r>
              <w:rPr>
                <w:rFonts w:ascii="Times New Roman" w:hAnsi="Times New Roman"/>
                <w:b w:val="0"/>
                <w:i w:val="0"/>
                <w:sz w:val="17"/>
              </w:rPr>
              <w:t>None</w:t>
            </w:r>
          </w:p>
        </w:tc>
      </w:tr>
      <w:tr>
        <w:trPr>
          <w:cantSplit/>
        </w:trPr>
        <w:tc>
          <w:tcPr>
            <w:tcW w:type="dxa" w:w="2880"/>
          </w:tcPr>
          <w:p>
            <w:pPr>
              <w:spacing w:after="40"/>
            </w:pPr>
            <w:r>
              <w:rPr>
                <w:rFonts w:ascii="Times New Roman" w:hAnsi="Times New Roman"/>
                <w:b w:val="0"/>
                <w:i w:val="0"/>
                <w:sz w:val="17"/>
              </w:rPr>
              <w:t>Rent per square foot</w:t>
            </w:r>
          </w:p>
        </w:tc>
        <w:tc>
          <w:tcPr>
            <w:tcW w:type="dxa" w:w="1728"/>
          </w:tcPr>
          <w:p>
            <w:pPr>
              <w:spacing w:after="40"/>
            </w:pPr>
            <w:r>
              <w:rPr>
                <w:rFonts w:ascii="Times New Roman" w:hAnsi="Times New Roman"/>
                <w:b w:val="0"/>
                <w:i w:val="0"/>
                <w:sz w:val="17"/>
              </w:rPr>
              <w:t>$20.45</w:t>
            </w:r>
          </w:p>
        </w:tc>
        <w:tc>
          <w:tcPr>
            <w:tcW w:type="dxa" w:w="2880"/>
          </w:tcPr>
          <w:p>
            <w:pPr>
              <w:spacing w:after="40"/>
            </w:pPr>
            <w:r>
              <w:rPr>
                <w:rFonts w:ascii="Times New Roman" w:hAnsi="Times New Roman"/>
                <w:b w:val="0"/>
                <w:i w:val="0"/>
                <w:sz w:val="17"/>
              </w:rPr>
              <w:t>$20.4459 ($2,850,000 ÷ 139,392)</w:t>
            </w:r>
          </w:p>
        </w:tc>
        <w:tc>
          <w:tcPr>
            <w:tcW w:type="dxa" w:w="1872"/>
          </w:tcPr>
          <w:p>
            <w:pPr>
              <w:spacing w:after="40"/>
            </w:pPr>
            <w:r>
              <w:rPr>
                <w:rFonts w:ascii="Times New Roman" w:hAnsi="Times New Roman"/>
                <w:b w:val="0"/>
                <w:i w:val="0"/>
                <w:sz w:val="17"/>
              </w:rPr>
              <w:t>$0.004</w:t>
            </w:r>
          </w:p>
        </w:tc>
      </w:tr>
      <w:tr>
        <w:trPr>
          <w:cantSplit/>
        </w:trPr>
        <w:tc>
          <w:tcPr>
            <w:tcW w:type="dxa" w:w="2880"/>
          </w:tcPr>
          <w:p>
            <w:pPr>
              <w:spacing w:after="40"/>
            </w:pPr>
            <w:r>
              <w:rPr>
                <w:rFonts w:ascii="Times New Roman" w:hAnsi="Times New Roman"/>
                <w:b w:val="0"/>
                <w:i w:val="0"/>
                <w:sz w:val="17"/>
              </w:rPr>
              <w:t>Monthly Base Rent</w:t>
            </w:r>
          </w:p>
        </w:tc>
        <w:tc>
          <w:tcPr>
            <w:tcW w:type="dxa" w:w="1728"/>
          </w:tcPr>
          <w:p>
            <w:pPr>
              <w:spacing w:after="40"/>
            </w:pPr>
            <w:r>
              <w:rPr>
                <w:rFonts w:ascii="Times New Roman" w:hAnsi="Times New Roman"/>
                <w:b w:val="0"/>
                <w:i w:val="0"/>
                <w:sz w:val="17"/>
              </w:rPr>
              <w:t>$237,500</w:t>
            </w:r>
          </w:p>
        </w:tc>
        <w:tc>
          <w:tcPr>
            <w:tcW w:type="dxa" w:w="2880"/>
          </w:tcPr>
          <w:p>
            <w:pPr>
              <w:spacing w:after="40"/>
            </w:pPr>
            <w:r>
              <w:rPr>
                <w:rFonts w:ascii="Times New Roman" w:hAnsi="Times New Roman"/>
                <w:b w:val="0"/>
                <w:i w:val="0"/>
                <w:sz w:val="17"/>
              </w:rPr>
              <w:t>$237,500 ($2,850,000 ÷ 12)</w:t>
            </w:r>
          </w:p>
        </w:tc>
        <w:tc>
          <w:tcPr>
            <w:tcW w:type="dxa" w:w="1872"/>
          </w:tcPr>
          <w:p>
            <w:pPr>
              <w:spacing w:after="40"/>
            </w:pPr>
            <w:r>
              <w:rPr>
                <w:rFonts w:ascii="Times New Roman" w:hAnsi="Times New Roman"/>
                <w:b w:val="0"/>
                <w:i w:val="0"/>
                <w:sz w:val="17"/>
              </w:rPr>
              <w:t>None</w:t>
            </w:r>
          </w:p>
        </w:tc>
      </w:tr>
      <w:tr>
        <w:trPr>
          <w:cantSplit/>
        </w:trPr>
        <w:tc>
          <w:tcPr>
            <w:tcW w:type="dxa" w:w="2880"/>
          </w:tcPr>
          <w:p>
            <w:pPr>
              <w:spacing w:after="40"/>
            </w:pPr>
            <w:r>
              <w:rPr>
                <w:rFonts w:ascii="Times New Roman" w:hAnsi="Times New Roman"/>
                <w:b w:val="0"/>
                <w:i w:val="0"/>
                <w:sz w:val="17"/>
              </w:rPr>
              <w:t>Rent Years 6–10 (annual)</w:t>
            </w:r>
          </w:p>
        </w:tc>
        <w:tc>
          <w:tcPr>
            <w:tcW w:type="dxa" w:w="1728"/>
          </w:tcPr>
          <w:p>
            <w:pPr>
              <w:spacing w:after="40"/>
            </w:pPr>
            <w:r>
              <w:rPr>
                <w:rFonts w:ascii="Times New Roman" w:hAnsi="Times New Roman"/>
                <w:b w:val="0"/>
                <w:i w:val="0"/>
                <w:sz w:val="17"/>
              </w:rPr>
              <w:t>$3,224,500</w:t>
            </w:r>
          </w:p>
        </w:tc>
        <w:tc>
          <w:tcPr>
            <w:tcW w:type="dxa" w:w="2880"/>
          </w:tcPr>
          <w:p>
            <w:pPr>
              <w:spacing w:after="40"/>
            </w:pPr>
            <w:r>
              <w:rPr>
                <w:rFonts w:ascii="Times New Roman" w:hAnsi="Times New Roman"/>
                <w:b w:val="0"/>
                <w:i w:val="0"/>
                <w:sz w:val="17"/>
              </w:rPr>
              <w:t>$3,224,513 ($2,850,000 × 1.025^5)</w:t>
            </w:r>
          </w:p>
        </w:tc>
        <w:tc>
          <w:tcPr>
            <w:tcW w:type="dxa" w:w="1872"/>
          </w:tcPr>
          <w:p>
            <w:pPr>
              <w:spacing w:after="40"/>
            </w:pPr>
            <w:r>
              <w:rPr>
                <w:rFonts w:ascii="Times New Roman" w:hAnsi="Times New Roman"/>
                <w:b w:val="0"/>
                <w:i w:val="0"/>
                <w:sz w:val="17"/>
              </w:rPr>
              <w:t>+$13</w:t>
            </w:r>
          </w:p>
        </w:tc>
      </w:tr>
      <w:tr>
        <w:trPr>
          <w:cantSplit/>
        </w:trPr>
        <w:tc>
          <w:tcPr>
            <w:tcW w:type="dxa" w:w="2880"/>
          </w:tcPr>
          <w:p>
            <w:pPr>
              <w:spacing w:after="40"/>
            </w:pPr>
            <w:r>
              <w:rPr>
                <w:rFonts w:ascii="Times New Roman" w:hAnsi="Times New Roman"/>
                <w:b w:val="0"/>
                <w:i w:val="0"/>
                <w:sz w:val="17"/>
              </w:rPr>
              <w:t>Rent Years 6–10 (monthly)</w:t>
            </w:r>
          </w:p>
        </w:tc>
        <w:tc>
          <w:tcPr>
            <w:tcW w:type="dxa" w:w="1728"/>
          </w:tcPr>
          <w:p>
            <w:pPr>
              <w:spacing w:after="40"/>
            </w:pPr>
            <w:r>
              <w:rPr>
                <w:rFonts w:ascii="Times New Roman" w:hAnsi="Times New Roman"/>
                <w:b w:val="0"/>
                <w:i w:val="0"/>
                <w:sz w:val="17"/>
              </w:rPr>
              <w:t>$268,708</w:t>
            </w:r>
          </w:p>
        </w:tc>
        <w:tc>
          <w:tcPr>
            <w:tcW w:type="dxa" w:w="2880"/>
          </w:tcPr>
          <w:p>
            <w:pPr>
              <w:spacing w:after="40"/>
            </w:pPr>
            <w:r>
              <w:rPr>
                <w:rFonts w:ascii="Times New Roman" w:hAnsi="Times New Roman"/>
                <w:b w:val="0"/>
                <w:i w:val="0"/>
                <w:sz w:val="17"/>
              </w:rPr>
              <w:t>$268,709</w:t>
            </w:r>
          </w:p>
        </w:tc>
        <w:tc>
          <w:tcPr>
            <w:tcW w:type="dxa" w:w="1872"/>
          </w:tcPr>
          <w:p>
            <w:pPr>
              <w:spacing w:after="40"/>
            </w:pPr>
            <w:r>
              <w:rPr>
                <w:rFonts w:ascii="Times New Roman" w:hAnsi="Times New Roman"/>
                <w:b w:val="0"/>
                <w:i w:val="0"/>
                <w:sz w:val="17"/>
              </w:rPr>
              <w:t>+$1</w:t>
            </w:r>
          </w:p>
        </w:tc>
      </w:tr>
      <w:tr>
        <w:trPr>
          <w:cantSplit/>
        </w:trPr>
        <w:tc>
          <w:tcPr>
            <w:tcW w:type="dxa" w:w="2880"/>
          </w:tcPr>
          <w:p>
            <w:pPr>
              <w:spacing w:after="40"/>
            </w:pPr>
            <w:r>
              <w:rPr>
                <w:rFonts w:ascii="Times New Roman" w:hAnsi="Times New Roman"/>
                <w:b w:val="0"/>
                <w:i w:val="0"/>
                <w:sz w:val="17"/>
              </w:rPr>
              <w:t>Rent Years 11–15 (annual)</w:t>
            </w:r>
          </w:p>
        </w:tc>
        <w:tc>
          <w:tcPr>
            <w:tcW w:type="dxa" w:w="1728"/>
          </w:tcPr>
          <w:p>
            <w:pPr>
              <w:spacing w:after="40"/>
            </w:pPr>
            <w:r>
              <w:rPr>
                <w:rFonts w:ascii="Times New Roman" w:hAnsi="Times New Roman"/>
                <w:b w:val="0"/>
                <w:i w:val="0"/>
                <w:sz w:val="17"/>
              </w:rPr>
              <w:t>$3,648,200</w:t>
            </w:r>
          </w:p>
        </w:tc>
        <w:tc>
          <w:tcPr>
            <w:tcW w:type="dxa" w:w="2880"/>
          </w:tcPr>
          <w:p>
            <w:pPr>
              <w:spacing w:after="40"/>
            </w:pPr>
            <w:r>
              <w:rPr>
                <w:rFonts w:ascii="Times New Roman" w:hAnsi="Times New Roman"/>
                <w:b w:val="0"/>
                <w:i w:val="0"/>
                <w:sz w:val="17"/>
              </w:rPr>
              <w:t>$3,648,241 ($2,850,000 × 1.025^10)</w:t>
            </w:r>
          </w:p>
        </w:tc>
        <w:tc>
          <w:tcPr>
            <w:tcW w:type="dxa" w:w="1872"/>
          </w:tcPr>
          <w:p>
            <w:pPr>
              <w:spacing w:after="40"/>
            </w:pPr>
            <w:r>
              <w:rPr>
                <w:rFonts w:ascii="Times New Roman" w:hAnsi="Times New Roman"/>
                <w:b w:val="0"/>
                <w:i w:val="0"/>
                <w:sz w:val="17"/>
              </w:rPr>
              <w:t>+$41</w:t>
            </w:r>
          </w:p>
        </w:tc>
      </w:tr>
      <w:tr>
        <w:trPr>
          <w:cantSplit/>
        </w:trPr>
        <w:tc>
          <w:tcPr>
            <w:tcW w:type="dxa" w:w="2880"/>
          </w:tcPr>
          <w:p>
            <w:pPr>
              <w:spacing w:after="40"/>
            </w:pPr>
            <w:r>
              <w:rPr>
                <w:rFonts w:ascii="Times New Roman" w:hAnsi="Times New Roman"/>
                <w:b w:val="0"/>
                <w:i w:val="0"/>
                <w:sz w:val="17"/>
              </w:rPr>
              <w:t>Rent Years 11–15 (monthly)</w:t>
            </w:r>
          </w:p>
        </w:tc>
        <w:tc>
          <w:tcPr>
            <w:tcW w:type="dxa" w:w="1728"/>
          </w:tcPr>
          <w:p>
            <w:pPr>
              <w:spacing w:after="40"/>
            </w:pPr>
            <w:r>
              <w:rPr>
                <w:rFonts w:ascii="Times New Roman" w:hAnsi="Times New Roman"/>
                <w:b w:val="0"/>
                <w:i w:val="0"/>
                <w:sz w:val="17"/>
              </w:rPr>
              <w:t>$304,017</w:t>
            </w:r>
          </w:p>
        </w:tc>
        <w:tc>
          <w:tcPr>
            <w:tcW w:type="dxa" w:w="2880"/>
          </w:tcPr>
          <w:p>
            <w:pPr>
              <w:spacing w:after="40"/>
            </w:pPr>
            <w:r>
              <w:rPr>
                <w:rFonts w:ascii="Times New Roman" w:hAnsi="Times New Roman"/>
                <w:b w:val="0"/>
                <w:i w:val="0"/>
                <w:sz w:val="17"/>
              </w:rPr>
              <w:t>$304,020</w:t>
            </w:r>
          </w:p>
        </w:tc>
        <w:tc>
          <w:tcPr>
            <w:tcW w:type="dxa" w:w="1872"/>
          </w:tcPr>
          <w:p>
            <w:pPr>
              <w:spacing w:after="40"/>
            </w:pPr>
            <w:r>
              <w:rPr>
                <w:rFonts w:ascii="Times New Roman" w:hAnsi="Times New Roman"/>
                <w:b w:val="0"/>
                <w:i w:val="0"/>
                <w:sz w:val="17"/>
              </w:rPr>
              <w:t>+$3</w:t>
            </w:r>
          </w:p>
        </w:tc>
      </w:tr>
    </w:tbl>
    <w:p>
      <w:pPr>
        <w:spacing w:after="40"/>
      </w:pPr>
    </w:p>
    <w:p>
      <w:pPr>
        <w:jc w:val="both"/>
      </w:pPr>
      <w:r>
        <w:rPr>
          <w:rFonts w:ascii="Times New Roman" w:hAnsi="Times New Roman"/>
          <w:b w:val="0"/>
          <w:i w:val="0"/>
          <w:sz w:val="21"/>
        </w:rPr>
        <w:t>Effect: de minimis. The draft resolves the discrepancy in favor of the formula (Section 4.2) and provides that the formula controls over the table. The larger point is structural, and is addressed at Item 22: the Term Sheet uses "Lease Year" to mean two different things, with a three-Rent-Year consequence for when the escalations and percentage rent begin.</w:t>
      </w:r>
    </w:p>
    <w:p>
      <w:pPr>
        <w:keepNext/>
        <w:spacing w:before="200" w:after="80"/>
        <w:jc w:val="left"/>
      </w:pPr>
      <w:r>
        <w:rPr>
          <w:rFonts w:ascii="Times New Roman" w:hAnsi="Times New Roman"/>
          <w:b/>
          <w:i w:val="0"/>
          <w:sz w:val="21"/>
        </w:rPr>
        <w:t>4.2 Security Deposit (Term Sheet Section 8)</w:t>
      </w:r>
    </w:p>
    <w:tbl>
      <w:tblPr>
        <w:tblStyle w:val="TableGrid"/>
        <w:tblW w:type="dxa" w:w="9360"/>
        <w:jc w:val="center"/>
        <w:tblLayout w:type="fixed"/>
        <w:tblLook w:firstColumn="1" w:firstRow="1" w:lastColumn="0" w:lastRow="0" w:noHBand="0" w:noVBand="1" w:val="04A0"/>
        <w:tblLayout w:type="fixed"/>
      </w:tblPr>
      <w:tblGrid>
        <w:gridCol w:w="2736"/>
        <w:gridCol w:w="1584"/>
        <w:gridCol w:w="3168"/>
        <w:gridCol w:w="1872"/>
      </w:tblGrid>
      <w:tr>
        <w:trPr>
          <w:tblHeader/>
        </w:trPr>
        <w:tc>
          <w:tcPr>
            <w:tcW w:type="dxa" w:w="2736"/>
            <w:shd w:val="clear" w:color="auto" w:fill="E8E8E8"/>
          </w:tcPr>
          <w:p>
            <w:pPr>
              <w:spacing w:after="40"/>
            </w:pPr>
            <w:r>
              <w:rPr>
                <w:rFonts w:ascii="Times New Roman" w:hAnsi="Times New Roman"/>
                <w:b/>
                <w:i w:val="0"/>
                <w:sz w:val="17"/>
              </w:rPr>
              <w:t>Item</w:t>
            </w:r>
          </w:p>
        </w:tc>
        <w:tc>
          <w:tcPr>
            <w:tcW w:type="dxa" w:w="1584"/>
            <w:shd w:val="clear" w:color="auto" w:fill="E8E8E8"/>
          </w:tcPr>
          <w:p>
            <w:pPr>
              <w:spacing w:after="40"/>
            </w:pPr>
            <w:r>
              <w:rPr>
                <w:rFonts w:ascii="Times New Roman" w:hAnsi="Times New Roman"/>
                <w:b/>
                <w:i w:val="0"/>
                <w:sz w:val="17"/>
              </w:rPr>
              <w:t>Stated</w:t>
            </w:r>
          </w:p>
        </w:tc>
        <w:tc>
          <w:tcPr>
            <w:tcW w:type="dxa" w:w="3168"/>
            <w:shd w:val="clear" w:color="auto" w:fill="E8E8E8"/>
          </w:tcPr>
          <w:p>
            <w:pPr>
              <w:spacing w:after="40"/>
            </w:pPr>
            <w:r>
              <w:rPr>
                <w:rFonts w:ascii="Times New Roman" w:hAnsi="Times New Roman"/>
                <w:b/>
                <w:i w:val="0"/>
                <w:sz w:val="17"/>
              </w:rPr>
              <w:t>Recomputed</w:t>
            </w:r>
          </w:p>
        </w:tc>
        <w:tc>
          <w:tcPr>
            <w:tcW w:type="dxa" w:w="1872"/>
            <w:shd w:val="clear" w:color="auto" w:fill="E8E8E8"/>
          </w:tcPr>
          <w:p>
            <w:pPr>
              <w:spacing w:after="40"/>
            </w:pPr>
            <w:r>
              <w:rPr>
                <w:rFonts w:ascii="Times New Roman" w:hAnsi="Times New Roman"/>
                <w:b/>
                <w:i w:val="0"/>
                <w:sz w:val="17"/>
              </w:rPr>
              <w:t>Result</w:t>
            </w:r>
          </w:p>
        </w:tc>
      </w:tr>
      <w:tr>
        <w:trPr>
          <w:cantSplit/>
        </w:trPr>
        <w:tc>
          <w:tcPr>
            <w:tcW w:type="dxa" w:w="2736"/>
          </w:tcPr>
          <w:p>
            <w:pPr>
              <w:spacing w:after="40"/>
            </w:pPr>
            <w:r>
              <w:rPr>
                <w:rFonts w:ascii="Times New Roman" w:hAnsi="Times New Roman"/>
                <w:b w:val="0"/>
                <w:i w:val="0"/>
                <w:sz w:val="17"/>
              </w:rPr>
              <w:t>Initial letter of credit</w:t>
            </w:r>
          </w:p>
        </w:tc>
        <w:tc>
          <w:tcPr>
            <w:tcW w:type="dxa" w:w="1584"/>
          </w:tcPr>
          <w:p>
            <w:pPr>
              <w:spacing w:after="40"/>
            </w:pPr>
            <w:r>
              <w:rPr>
                <w:rFonts w:ascii="Times New Roman" w:hAnsi="Times New Roman"/>
                <w:b w:val="0"/>
                <w:i w:val="0"/>
                <w:sz w:val="17"/>
              </w:rPr>
              <w:t>$5,700,000</w:t>
            </w:r>
          </w:p>
        </w:tc>
        <w:tc>
          <w:tcPr>
            <w:tcW w:type="dxa" w:w="3168"/>
          </w:tcPr>
          <w:p>
            <w:pPr>
              <w:spacing w:after="40"/>
            </w:pPr>
            <w:r>
              <w:rPr>
                <w:rFonts w:ascii="Times New Roman" w:hAnsi="Times New Roman"/>
                <w:b w:val="0"/>
                <w:i w:val="0"/>
                <w:sz w:val="17"/>
              </w:rPr>
              <w:t>24 × $237,500 = $5,700,000</w:t>
            </w:r>
          </w:p>
        </w:tc>
        <w:tc>
          <w:tcPr>
            <w:tcW w:type="dxa" w:w="1872"/>
          </w:tcPr>
          <w:p>
            <w:pPr>
              <w:spacing w:after="40"/>
            </w:pPr>
            <w:r>
              <w:rPr>
                <w:rFonts w:ascii="Times New Roman" w:hAnsi="Times New Roman"/>
                <w:b w:val="0"/>
                <w:i w:val="0"/>
                <w:sz w:val="17"/>
              </w:rPr>
              <w:t>Ties</w:t>
            </w:r>
          </w:p>
        </w:tc>
      </w:tr>
      <w:tr>
        <w:trPr>
          <w:cantSplit/>
        </w:trPr>
        <w:tc>
          <w:tcPr>
            <w:tcW w:type="dxa" w:w="2736"/>
          </w:tcPr>
          <w:p>
            <w:pPr>
              <w:spacing w:after="40"/>
            </w:pPr>
            <w:r>
              <w:rPr>
                <w:rFonts w:ascii="Times New Roman" w:hAnsi="Times New Roman"/>
                <w:b w:val="0"/>
                <w:i w:val="0"/>
                <w:sz w:val="17"/>
              </w:rPr>
              <w:t>Reduced amount</w:t>
            </w:r>
          </w:p>
        </w:tc>
        <w:tc>
          <w:tcPr>
            <w:tcW w:type="dxa" w:w="1584"/>
          </w:tcPr>
          <w:p>
            <w:pPr>
              <w:spacing w:after="40"/>
            </w:pPr>
            <w:r>
              <w:rPr>
                <w:rFonts w:ascii="Times New Roman" w:hAnsi="Times New Roman"/>
                <w:b w:val="0"/>
                <w:i w:val="0"/>
                <w:sz w:val="17"/>
              </w:rPr>
              <w:t>$2,850,000</w:t>
            </w:r>
          </w:p>
        </w:tc>
        <w:tc>
          <w:tcPr>
            <w:tcW w:type="dxa" w:w="3168"/>
          </w:tcPr>
          <w:p>
            <w:pPr>
              <w:spacing w:after="40"/>
            </w:pPr>
            <w:r>
              <w:rPr>
                <w:rFonts w:ascii="Times New Roman" w:hAnsi="Times New Roman"/>
                <w:b w:val="0"/>
                <w:i w:val="0"/>
                <w:sz w:val="17"/>
              </w:rPr>
              <w:t>12 × $237,500 = $2,850,000</w:t>
            </w:r>
          </w:p>
        </w:tc>
        <w:tc>
          <w:tcPr>
            <w:tcW w:type="dxa" w:w="1872"/>
          </w:tcPr>
          <w:p>
            <w:pPr>
              <w:spacing w:after="40"/>
            </w:pPr>
            <w:r>
              <w:rPr>
                <w:rFonts w:ascii="Times New Roman" w:hAnsi="Times New Roman"/>
                <w:b w:val="0"/>
                <w:i w:val="0"/>
                <w:sz w:val="17"/>
              </w:rPr>
              <w:t>Ties (equals one year of annual Base Rent — coincidence, not a relationship)</w:t>
            </w:r>
          </w:p>
        </w:tc>
      </w:tr>
      <w:tr>
        <w:trPr>
          <w:cantSplit/>
        </w:trPr>
        <w:tc>
          <w:tcPr>
            <w:tcW w:type="dxa" w:w="2736"/>
          </w:tcPr>
          <w:p>
            <w:pPr>
              <w:spacing w:after="40"/>
            </w:pPr>
            <w:r>
              <w:rPr>
                <w:rFonts w:ascii="Times New Roman" w:hAnsi="Times New Roman"/>
                <w:b w:val="0"/>
                <w:i w:val="0"/>
                <w:sz w:val="17"/>
              </w:rPr>
              <w:t>Reduction trigger</w:t>
            </w:r>
          </w:p>
        </w:tc>
        <w:tc>
          <w:tcPr>
            <w:tcW w:type="dxa" w:w="1584"/>
          </w:tcPr>
          <w:p>
            <w:pPr>
              <w:spacing w:after="40"/>
            </w:pPr>
            <w:r>
              <w:rPr>
                <w:rFonts w:ascii="Times New Roman" w:hAnsi="Times New Roman"/>
                <w:b w:val="0"/>
                <w:i w:val="0"/>
                <w:sz w:val="17"/>
              </w:rPr>
              <w:t>90% occupancy for 24 consecutive months</w:t>
            </w:r>
          </w:p>
        </w:tc>
        <w:tc>
          <w:tcPr>
            <w:tcW w:type="dxa" w:w="3168"/>
          </w:tcPr>
          <w:p>
            <w:pPr>
              <w:spacing w:after="40"/>
            </w:pPr>
            <w:r>
              <w:rPr>
                <w:rFonts w:ascii="Times New Roman" w:hAnsi="Times New Roman"/>
                <w:b w:val="0"/>
                <w:i w:val="0"/>
                <w:sz w:val="17"/>
              </w:rPr>
              <w:t>Undefined: occupancy of what, measured how, verified how</w:t>
            </w:r>
          </w:p>
        </w:tc>
        <w:tc>
          <w:tcPr>
            <w:tcW w:type="dxa" w:w="1872"/>
          </w:tcPr>
          <w:p>
            <w:pPr>
              <w:spacing w:after="40"/>
            </w:pPr>
            <w:r>
              <w:rPr>
                <w:rFonts w:ascii="Times New Roman" w:hAnsi="Times New Roman"/>
                <w:b w:val="0"/>
                <w:i w:val="0"/>
                <w:sz w:val="17"/>
              </w:rPr>
              <w:t>Item 35</w:t>
            </w:r>
          </w:p>
        </w:tc>
      </w:tr>
    </w:tbl>
    <w:p>
      <w:pPr>
        <w:spacing w:after="40"/>
      </w:pPr>
    </w:p>
    <w:p>
      <w:pPr>
        <w:keepNext/>
        <w:spacing w:before="200" w:after="80"/>
        <w:jc w:val="left"/>
      </w:pPr>
      <w:r>
        <w:rPr>
          <w:rFonts w:ascii="Times New Roman" w:hAnsi="Times New Roman"/>
          <w:b/>
          <w:i w:val="0"/>
          <w:sz w:val="21"/>
        </w:rPr>
        <w:t>4.3 Remediation Credit and Cost Estimate (Term Sheet Sections 7; Phase II Sections 6)</w:t>
      </w:r>
    </w:p>
    <w:tbl>
      <w:tblPr>
        <w:tblStyle w:val="TableGrid"/>
        <w:tblW w:type="dxa" w:w="9360"/>
        <w:jc w:val="center"/>
        <w:tblLayout w:type="fixed"/>
        <w:tblLook w:firstColumn="1" w:firstRow="1" w:lastColumn="0" w:lastRow="0" w:noHBand="0" w:noVBand="1" w:val="04A0"/>
        <w:tblLayout w:type="fixed"/>
      </w:tblPr>
      <w:tblGrid>
        <w:gridCol w:w="2592"/>
        <w:gridCol w:w="1440"/>
        <w:gridCol w:w="3456"/>
        <w:gridCol w:w="1872"/>
      </w:tblGrid>
      <w:tr>
        <w:trPr>
          <w:tblHeader/>
        </w:trPr>
        <w:tc>
          <w:tcPr>
            <w:tcW w:type="dxa" w:w="2592"/>
            <w:shd w:val="clear" w:color="auto" w:fill="E8E8E8"/>
          </w:tcPr>
          <w:p>
            <w:pPr>
              <w:spacing w:after="40"/>
            </w:pPr>
            <w:r>
              <w:rPr>
                <w:rFonts w:ascii="Times New Roman" w:hAnsi="Times New Roman"/>
                <w:b/>
                <w:i w:val="0"/>
                <w:sz w:val="17"/>
              </w:rPr>
              <w:t>Item</w:t>
            </w:r>
          </w:p>
        </w:tc>
        <w:tc>
          <w:tcPr>
            <w:tcW w:type="dxa" w:w="1440"/>
            <w:shd w:val="clear" w:color="auto" w:fill="E8E8E8"/>
          </w:tcPr>
          <w:p>
            <w:pPr>
              <w:spacing w:after="40"/>
            </w:pPr>
            <w:r>
              <w:rPr>
                <w:rFonts w:ascii="Times New Roman" w:hAnsi="Times New Roman"/>
                <w:b/>
                <w:i w:val="0"/>
                <w:sz w:val="17"/>
              </w:rPr>
              <w:t>Stated</w:t>
            </w:r>
          </w:p>
        </w:tc>
        <w:tc>
          <w:tcPr>
            <w:tcW w:type="dxa" w:w="3456"/>
            <w:shd w:val="clear" w:color="auto" w:fill="E8E8E8"/>
          </w:tcPr>
          <w:p>
            <w:pPr>
              <w:spacing w:after="40"/>
            </w:pPr>
            <w:r>
              <w:rPr>
                <w:rFonts w:ascii="Times New Roman" w:hAnsi="Times New Roman"/>
                <w:b/>
                <w:i w:val="0"/>
                <w:sz w:val="17"/>
              </w:rPr>
              <w:t>Recomputed</w:t>
            </w:r>
          </w:p>
        </w:tc>
        <w:tc>
          <w:tcPr>
            <w:tcW w:type="dxa" w:w="1872"/>
            <w:shd w:val="clear" w:color="auto" w:fill="E8E8E8"/>
          </w:tcPr>
          <w:p>
            <w:pPr>
              <w:spacing w:after="40"/>
            </w:pPr>
            <w:r>
              <w:rPr>
                <w:rFonts w:ascii="Times New Roman" w:hAnsi="Times New Roman"/>
                <w:b/>
                <w:i w:val="0"/>
                <w:sz w:val="17"/>
              </w:rPr>
              <w:t>Result</w:t>
            </w:r>
          </w:p>
        </w:tc>
      </w:tr>
      <w:tr>
        <w:trPr>
          <w:cantSplit/>
        </w:trPr>
        <w:tc>
          <w:tcPr>
            <w:tcW w:type="dxa" w:w="2592"/>
          </w:tcPr>
          <w:p>
            <w:pPr>
              <w:spacing w:after="40"/>
            </w:pPr>
            <w:r>
              <w:rPr>
                <w:rFonts w:ascii="Times New Roman" w:hAnsi="Times New Roman"/>
                <w:b w:val="0"/>
                <w:i w:val="0"/>
                <w:sz w:val="17"/>
              </w:rPr>
              <w:t>Total estimated remediation cost</w:t>
            </w:r>
          </w:p>
        </w:tc>
        <w:tc>
          <w:tcPr>
            <w:tcW w:type="dxa" w:w="1440"/>
          </w:tcPr>
          <w:p>
            <w:pPr>
              <w:spacing w:after="40"/>
            </w:pPr>
            <w:r>
              <w:rPr>
                <w:rFonts w:ascii="Times New Roman" w:hAnsi="Times New Roman"/>
                <w:b w:val="0"/>
                <w:i w:val="0"/>
                <w:sz w:val="17"/>
              </w:rPr>
              <w:t>$2,400,000</w:t>
            </w:r>
          </w:p>
        </w:tc>
        <w:tc>
          <w:tcPr>
            <w:tcW w:type="dxa" w:w="3456"/>
          </w:tcPr>
          <w:p>
            <w:pPr>
              <w:spacing w:after="40"/>
            </w:pPr>
            <w:r>
              <w:rPr>
                <w:rFonts w:ascii="Times New Roman" w:hAnsi="Times New Roman"/>
                <w:b w:val="0"/>
                <w:i w:val="0"/>
                <w:sz w:val="17"/>
              </w:rPr>
              <w:t>$1,850,000 + $550,000 = $2,400,000</w:t>
            </w:r>
          </w:p>
        </w:tc>
        <w:tc>
          <w:tcPr>
            <w:tcW w:type="dxa" w:w="1872"/>
          </w:tcPr>
          <w:p>
            <w:pPr>
              <w:spacing w:after="40"/>
            </w:pPr>
            <w:r>
              <w:rPr>
                <w:rFonts w:ascii="Times New Roman" w:hAnsi="Times New Roman"/>
                <w:b w:val="0"/>
                <w:i w:val="0"/>
                <w:sz w:val="17"/>
              </w:rPr>
              <w:t>Ties</w:t>
            </w:r>
          </w:p>
        </w:tc>
      </w:tr>
      <w:tr>
        <w:trPr>
          <w:cantSplit/>
        </w:trPr>
        <w:tc>
          <w:tcPr>
            <w:tcW w:type="dxa" w:w="2592"/>
          </w:tcPr>
          <w:p>
            <w:pPr>
              <w:spacing w:after="40"/>
            </w:pPr>
            <w:r>
              <w:rPr>
                <w:rFonts w:ascii="Times New Roman" w:hAnsi="Times New Roman"/>
                <w:b w:val="0"/>
                <w:i w:val="0"/>
                <w:sz w:val="17"/>
              </w:rPr>
              <w:t>Tenant's nominal share</w:t>
            </w:r>
          </w:p>
        </w:tc>
        <w:tc>
          <w:tcPr>
            <w:tcW w:type="dxa" w:w="1440"/>
          </w:tcPr>
          <w:p>
            <w:pPr>
              <w:spacing w:after="40"/>
            </w:pPr>
            <w:r>
              <w:rPr>
                <w:rFonts w:ascii="Times New Roman" w:hAnsi="Times New Roman"/>
                <w:b w:val="0"/>
                <w:i w:val="0"/>
                <w:sz w:val="17"/>
              </w:rPr>
              <w:t>$600,000</w:t>
            </w:r>
          </w:p>
        </w:tc>
        <w:tc>
          <w:tcPr>
            <w:tcW w:type="dxa" w:w="3456"/>
          </w:tcPr>
          <w:p>
            <w:pPr>
              <w:spacing w:after="40"/>
            </w:pPr>
            <w:r>
              <w:rPr>
                <w:rFonts w:ascii="Times New Roman" w:hAnsi="Times New Roman"/>
                <w:b w:val="0"/>
                <w:i w:val="0"/>
                <w:sz w:val="17"/>
              </w:rPr>
              <w:t>$2,400,000 − $1,800,000 = $600,000</w:t>
            </w:r>
          </w:p>
        </w:tc>
        <w:tc>
          <w:tcPr>
            <w:tcW w:type="dxa" w:w="1872"/>
          </w:tcPr>
          <w:p>
            <w:pPr>
              <w:spacing w:after="40"/>
            </w:pPr>
            <w:r>
              <w:rPr>
                <w:rFonts w:ascii="Times New Roman" w:hAnsi="Times New Roman"/>
                <w:b w:val="0"/>
                <w:i w:val="0"/>
                <w:sz w:val="17"/>
              </w:rPr>
              <w:t>Ties (25% of estimate)</w:t>
            </w:r>
          </w:p>
        </w:tc>
      </w:tr>
      <w:tr>
        <w:trPr>
          <w:cantSplit/>
        </w:trPr>
        <w:tc>
          <w:tcPr>
            <w:tcW w:type="dxa" w:w="2592"/>
          </w:tcPr>
          <w:p>
            <w:pPr>
              <w:spacing w:after="40"/>
            </w:pPr>
            <w:r>
              <w:rPr>
                <w:rFonts w:ascii="Times New Roman" w:hAnsi="Times New Roman"/>
                <w:b w:val="0"/>
                <w:i w:val="0"/>
                <w:sz w:val="17"/>
              </w:rPr>
              <w:t>Area 1 cost components</w:t>
            </w:r>
          </w:p>
        </w:tc>
        <w:tc>
          <w:tcPr>
            <w:tcW w:type="dxa" w:w="1440"/>
          </w:tcPr>
          <w:p>
            <w:pPr>
              <w:spacing w:after="40"/>
            </w:pPr>
            <w:r>
              <w:rPr>
                <w:rFonts w:ascii="Times New Roman" w:hAnsi="Times New Roman"/>
                <w:b w:val="0"/>
                <w:i w:val="0"/>
                <w:sz w:val="17"/>
              </w:rPr>
              <w:t>$1,850,000 total</w:t>
            </w:r>
          </w:p>
        </w:tc>
        <w:tc>
          <w:tcPr>
            <w:tcW w:type="dxa" w:w="3456"/>
          </w:tcPr>
          <w:p>
            <w:pPr>
              <w:spacing w:after="40"/>
            </w:pPr>
            <w:r>
              <w:rPr>
                <w:rFonts w:ascii="Times New Roman" w:hAnsi="Times New Roman"/>
                <w:b w:val="0"/>
                <w:i w:val="0"/>
                <w:sz w:val="17"/>
              </w:rPr>
              <w:t>$680,000 + $520,000 + $85,000 + $290,000 + $175,000 + $100,000 = $1,850,000</w:t>
            </w:r>
          </w:p>
        </w:tc>
        <w:tc>
          <w:tcPr>
            <w:tcW w:type="dxa" w:w="1872"/>
          </w:tcPr>
          <w:p>
            <w:pPr>
              <w:spacing w:after="40"/>
            </w:pPr>
            <w:r>
              <w:rPr>
                <w:rFonts w:ascii="Times New Roman" w:hAnsi="Times New Roman"/>
                <w:b w:val="0"/>
                <w:i w:val="0"/>
                <w:sz w:val="17"/>
              </w:rPr>
              <w:t>Ties in total</w:t>
            </w:r>
          </w:p>
        </w:tc>
      </w:tr>
      <w:tr>
        <w:trPr>
          <w:cantSplit/>
        </w:trPr>
        <w:tc>
          <w:tcPr>
            <w:tcW w:type="dxa" w:w="2592"/>
          </w:tcPr>
          <w:p>
            <w:pPr>
              <w:spacing w:after="40"/>
            </w:pPr>
            <w:r>
              <w:rPr>
                <w:rFonts w:ascii="Times New Roman" w:hAnsi="Times New Roman"/>
                <w:b w:val="0"/>
                <w:i w:val="0"/>
                <w:sz w:val="17"/>
              </w:rPr>
              <w:t>Area 1 "Contingency (10%)"</w:t>
            </w:r>
          </w:p>
        </w:tc>
        <w:tc>
          <w:tcPr>
            <w:tcW w:type="dxa" w:w="1440"/>
          </w:tcPr>
          <w:p>
            <w:pPr>
              <w:spacing w:after="40"/>
            </w:pPr>
            <w:r>
              <w:rPr>
                <w:rFonts w:ascii="Times New Roman" w:hAnsi="Times New Roman"/>
                <w:b w:val="0"/>
                <w:i w:val="0"/>
                <w:sz w:val="17"/>
              </w:rPr>
              <w:t>$100,000</w:t>
            </w:r>
          </w:p>
        </w:tc>
        <w:tc>
          <w:tcPr>
            <w:tcW w:type="dxa" w:w="3456"/>
          </w:tcPr>
          <w:p>
            <w:pPr>
              <w:spacing w:after="40"/>
            </w:pPr>
            <w:r>
              <w:rPr>
                <w:rFonts w:ascii="Times New Roman" w:hAnsi="Times New Roman"/>
                <w:b w:val="0"/>
                <w:i w:val="0"/>
                <w:sz w:val="17"/>
              </w:rPr>
              <w:t>10% of the $1,750,000 subtotal is $175,000; $100,000 is 5.71%</w:t>
            </w:r>
          </w:p>
        </w:tc>
        <w:tc>
          <w:tcPr>
            <w:tcW w:type="dxa" w:w="1872"/>
          </w:tcPr>
          <w:p>
            <w:pPr>
              <w:spacing w:after="40"/>
            </w:pPr>
            <w:r>
              <w:rPr>
                <w:rFonts w:ascii="Times New Roman" w:hAnsi="Times New Roman"/>
                <w:b w:val="0"/>
                <w:i w:val="0"/>
                <w:sz w:val="17"/>
              </w:rPr>
              <w:t>Item 30</w:t>
            </w:r>
          </w:p>
        </w:tc>
      </w:tr>
      <w:tr>
        <w:trPr>
          <w:cantSplit/>
        </w:trPr>
        <w:tc>
          <w:tcPr>
            <w:tcW w:type="dxa" w:w="2592"/>
          </w:tcPr>
          <w:p>
            <w:pPr>
              <w:spacing w:after="40"/>
            </w:pPr>
            <w:r>
              <w:rPr>
                <w:rFonts w:ascii="Times New Roman" w:hAnsi="Times New Roman"/>
                <w:b w:val="0"/>
                <w:i w:val="0"/>
                <w:sz w:val="17"/>
              </w:rPr>
              <w:t>Area 2 cost components</w:t>
            </w:r>
          </w:p>
        </w:tc>
        <w:tc>
          <w:tcPr>
            <w:tcW w:type="dxa" w:w="1440"/>
          </w:tcPr>
          <w:p>
            <w:pPr>
              <w:spacing w:after="40"/>
            </w:pPr>
            <w:r>
              <w:rPr>
                <w:rFonts w:ascii="Times New Roman" w:hAnsi="Times New Roman"/>
                <w:b w:val="0"/>
                <w:i w:val="0"/>
                <w:sz w:val="17"/>
              </w:rPr>
              <w:t>$550,000 total</w:t>
            </w:r>
          </w:p>
        </w:tc>
        <w:tc>
          <w:tcPr>
            <w:tcW w:type="dxa" w:w="3456"/>
          </w:tcPr>
          <w:p>
            <w:pPr>
              <w:spacing w:after="40"/>
            </w:pPr>
            <w:r>
              <w:rPr>
                <w:rFonts w:ascii="Times New Roman" w:hAnsi="Times New Roman"/>
                <w:b w:val="0"/>
                <w:i w:val="0"/>
                <w:sz w:val="17"/>
              </w:rPr>
              <w:t>$210,000 + $145,000 + $40,000 + $85,000 + $45,000 + $25,000 = $550,000</w:t>
            </w:r>
          </w:p>
        </w:tc>
        <w:tc>
          <w:tcPr>
            <w:tcW w:type="dxa" w:w="1872"/>
          </w:tcPr>
          <w:p>
            <w:pPr>
              <w:spacing w:after="40"/>
            </w:pPr>
            <w:r>
              <w:rPr>
                <w:rFonts w:ascii="Times New Roman" w:hAnsi="Times New Roman"/>
                <w:b w:val="0"/>
                <w:i w:val="0"/>
                <w:sz w:val="17"/>
              </w:rPr>
              <w:t>Ties in total</w:t>
            </w:r>
          </w:p>
        </w:tc>
      </w:tr>
      <w:tr>
        <w:trPr>
          <w:cantSplit/>
        </w:trPr>
        <w:tc>
          <w:tcPr>
            <w:tcW w:type="dxa" w:w="2592"/>
          </w:tcPr>
          <w:p>
            <w:pPr>
              <w:spacing w:after="40"/>
            </w:pPr>
            <w:r>
              <w:rPr>
                <w:rFonts w:ascii="Times New Roman" w:hAnsi="Times New Roman"/>
                <w:b w:val="0"/>
                <w:i w:val="0"/>
                <w:sz w:val="17"/>
              </w:rPr>
              <w:t>Area 2 "Contingency (10%)"</w:t>
            </w:r>
          </w:p>
        </w:tc>
        <w:tc>
          <w:tcPr>
            <w:tcW w:type="dxa" w:w="1440"/>
          </w:tcPr>
          <w:p>
            <w:pPr>
              <w:spacing w:after="40"/>
            </w:pPr>
            <w:r>
              <w:rPr>
                <w:rFonts w:ascii="Times New Roman" w:hAnsi="Times New Roman"/>
                <w:b w:val="0"/>
                <w:i w:val="0"/>
                <w:sz w:val="17"/>
              </w:rPr>
              <w:t>$25,000</w:t>
            </w:r>
          </w:p>
        </w:tc>
        <w:tc>
          <w:tcPr>
            <w:tcW w:type="dxa" w:w="3456"/>
          </w:tcPr>
          <w:p>
            <w:pPr>
              <w:spacing w:after="40"/>
            </w:pPr>
            <w:r>
              <w:rPr>
                <w:rFonts w:ascii="Times New Roman" w:hAnsi="Times New Roman"/>
                <w:b w:val="0"/>
                <w:i w:val="0"/>
                <w:sz w:val="17"/>
              </w:rPr>
              <w:t>10% of the $525,000 subtotal is $52,500; $25,000 is 4.76%</w:t>
            </w:r>
          </w:p>
        </w:tc>
        <w:tc>
          <w:tcPr>
            <w:tcW w:type="dxa" w:w="1872"/>
          </w:tcPr>
          <w:p>
            <w:pPr>
              <w:spacing w:after="40"/>
            </w:pPr>
            <w:r>
              <w:rPr>
                <w:rFonts w:ascii="Times New Roman" w:hAnsi="Times New Roman"/>
                <w:b w:val="0"/>
                <w:i w:val="0"/>
                <w:sz w:val="17"/>
              </w:rPr>
              <w:t>Item 30</w:t>
            </w:r>
          </w:p>
        </w:tc>
      </w:tr>
      <w:tr>
        <w:trPr>
          <w:cantSplit/>
        </w:trPr>
        <w:tc>
          <w:tcPr>
            <w:tcW w:type="dxa" w:w="2592"/>
          </w:tcPr>
          <w:p>
            <w:pPr>
              <w:spacing w:after="40"/>
            </w:pPr>
            <w:r>
              <w:rPr>
                <w:rFonts w:ascii="Times New Roman" w:hAnsi="Times New Roman"/>
                <w:b w:val="0"/>
                <w:i w:val="0"/>
                <w:sz w:val="17"/>
              </w:rPr>
              <w:t>Area 1 impacted volume</w:t>
            </w:r>
          </w:p>
        </w:tc>
        <w:tc>
          <w:tcPr>
            <w:tcW w:type="dxa" w:w="1440"/>
          </w:tcPr>
          <w:p>
            <w:pPr>
              <w:spacing w:after="40"/>
            </w:pPr>
            <w:r>
              <w:rPr>
                <w:rFonts w:ascii="Times New Roman" w:hAnsi="Times New Roman"/>
                <w:b w:val="0"/>
                <w:i w:val="0"/>
                <w:sz w:val="17"/>
              </w:rPr>
              <w:t>933 CY</w:t>
            </w:r>
          </w:p>
        </w:tc>
        <w:tc>
          <w:tcPr>
            <w:tcW w:type="dxa" w:w="3456"/>
          </w:tcPr>
          <w:p>
            <w:pPr>
              <w:spacing w:after="40"/>
            </w:pPr>
            <w:r>
              <w:rPr>
                <w:rFonts w:ascii="Times New Roman" w:hAnsi="Times New Roman"/>
                <w:b w:val="0"/>
                <w:i w:val="0"/>
                <w:sz w:val="17"/>
              </w:rPr>
              <w:t>4,200 SF × 6 ft ÷ 27 = 933 CY</w:t>
            </w:r>
          </w:p>
        </w:tc>
        <w:tc>
          <w:tcPr>
            <w:tcW w:type="dxa" w:w="1872"/>
          </w:tcPr>
          <w:p>
            <w:pPr>
              <w:spacing w:after="40"/>
            </w:pPr>
            <w:r>
              <w:rPr>
                <w:rFonts w:ascii="Times New Roman" w:hAnsi="Times New Roman"/>
                <w:b w:val="0"/>
                <w:i w:val="0"/>
                <w:sz w:val="17"/>
              </w:rPr>
              <w:t>Ties, but contamination is at 2–10 ft bgs (8 ft); at 8 ft the volume is 1,244 CY</w:t>
            </w:r>
          </w:p>
        </w:tc>
      </w:tr>
      <w:tr>
        <w:trPr>
          <w:cantSplit/>
        </w:trPr>
        <w:tc>
          <w:tcPr>
            <w:tcW w:type="dxa" w:w="2592"/>
          </w:tcPr>
          <w:p>
            <w:pPr>
              <w:spacing w:after="40"/>
            </w:pPr>
            <w:r>
              <w:rPr>
                <w:rFonts w:ascii="Times New Roman" w:hAnsi="Times New Roman"/>
                <w:b w:val="0"/>
                <w:i w:val="0"/>
                <w:sz w:val="17"/>
              </w:rPr>
              <w:t>Area 1 total handling volume</w:t>
            </w:r>
          </w:p>
        </w:tc>
        <w:tc>
          <w:tcPr>
            <w:tcW w:type="dxa" w:w="1440"/>
          </w:tcPr>
          <w:p>
            <w:pPr>
              <w:spacing w:after="40"/>
            </w:pPr>
            <w:r>
              <w:rPr>
                <w:rFonts w:ascii="Times New Roman" w:hAnsi="Times New Roman"/>
                <w:b w:val="0"/>
                <w:i w:val="0"/>
                <w:sz w:val="17"/>
              </w:rPr>
              <w:t>3,100 CY</w:t>
            </w:r>
          </w:p>
        </w:tc>
        <w:tc>
          <w:tcPr>
            <w:tcW w:type="dxa" w:w="3456"/>
          </w:tcPr>
          <w:p>
            <w:pPr>
              <w:spacing w:after="40"/>
            </w:pPr>
            <w:r>
              <w:rPr>
                <w:rFonts w:ascii="Times New Roman" w:hAnsi="Times New Roman"/>
                <w:b w:val="0"/>
                <w:i w:val="0"/>
                <w:sz w:val="17"/>
              </w:rPr>
              <w:t>Not derived; 3.32 × the impacted volume</w:t>
            </w:r>
          </w:p>
        </w:tc>
        <w:tc>
          <w:tcPr>
            <w:tcW w:type="dxa" w:w="1872"/>
          </w:tcPr>
          <w:p>
            <w:pPr>
              <w:spacing w:after="40"/>
            </w:pPr>
            <w:r>
              <w:rPr>
                <w:rFonts w:ascii="Times New Roman" w:hAnsi="Times New Roman"/>
                <w:b w:val="0"/>
                <w:i w:val="0"/>
                <w:sz w:val="17"/>
              </w:rPr>
              <w:t>Item 30</w:t>
            </w:r>
          </w:p>
        </w:tc>
      </w:tr>
      <w:tr>
        <w:trPr>
          <w:cantSplit/>
        </w:trPr>
        <w:tc>
          <w:tcPr>
            <w:tcW w:type="dxa" w:w="2592"/>
          </w:tcPr>
          <w:p>
            <w:pPr>
              <w:spacing w:after="40"/>
            </w:pPr>
            <w:r>
              <w:rPr>
                <w:rFonts w:ascii="Times New Roman" w:hAnsi="Times New Roman"/>
                <w:b w:val="0"/>
                <w:i w:val="0"/>
                <w:sz w:val="17"/>
              </w:rPr>
              <w:t>Remediation Credit application</w:t>
            </w:r>
          </w:p>
        </w:tc>
        <w:tc>
          <w:tcPr>
            <w:tcW w:type="dxa" w:w="1440"/>
          </w:tcPr>
          <w:p>
            <w:pPr>
              <w:spacing w:after="40"/>
            </w:pPr>
            <w:r>
              <w:rPr>
                <w:rFonts w:ascii="Times New Roman" w:hAnsi="Times New Roman"/>
                <w:b w:val="0"/>
                <w:i w:val="0"/>
                <w:sz w:val="17"/>
              </w:rPr>
              <w:t>Months 1–7 at $0; month 8 credit $137,500, cash $100,000</w:t>
            </w:r>
          </w:p>
        </w:tc>
        <w:tc>
          <w:tcPr>
            <w:tcW w:type="dxa" w:w="3456"/>
          </w:tcPr>
          <w:p>
            <w:pPr>
              <w:spacing w:after="40"/>
            </w:pPr>
            <w:r>
              <w:rPr>
                <w:rFonts w:ascii="Times New Roman" w:hAnsi="Times New Roman"/>
                <w:b w:val="0"/>
                <w:i w:val="0"/>
                <w:sz w:val="17"/>
              </w:rPr>
              <w:t>7 × $237,500 = $1,662,500; + $137,500 = $1,800,000; $237,500 − $137,500 = $100,000</w:t>
            </w:r>
          </w:p>
        </w:tc>
        <w:tc>
          <w:tcPr>
            <w:tcW w:type="dxa" w:w="1872"/>
          </w:tcPr>
          <w:p>
            <w:pPr>
              <w:spacing w:after="40"/>
            </w:pPr>
            <w:r>
              <w:rPr>
                <w:rFonts w:ascii="Times New Roman" w:hAnsi="Times New Roman"/>
                <w:b w:val="0"/>
                <w:i w:val="0"/>
                <w:sz w:val="17"/>
              </w:rPr>
              <w:t>Ties; credit equals 7.58 months of Base Rent</w:t>
            </w:r>
          </w:p>
        </w:tc>
      </w:tr>
    </w:tbl>
    <w:p>
      <w:pPr>
        <w:spacing w:after="40"/>
      </w:pPr>
    </w:p>
    <w:p>
      <w:pPr>
        <w:keepNext/>
        <w:spacing w:before="200" w:after="80"/>
        <w:jc w:val="left"/>
      </w:pPr>
      <w:r>
        <w:rPr>
          <w:rFonts w:ascii="Times New Roman" w:hAnsi="Times New Roman"/>
          <w:b/>
          <w:i w:val="0"/>
          <w:sz w:val="21"/>
        </w:rPr>
        <w:t>4.4 Taxes and the Abatement Program (Term Sheet Section 10)</w:t>
      </w:r>
    </w:p>
    <w:tbl>
      <w:tblPr>
        <w:tblStyle w:val="TableGrid"/>
        <w:tblW w:type="dxa" w:w="9360"/>
        <w:jc w:val="center"/>
        <w:tblLayout w:type="fixed"/>
        <w:tblLook w:firstColumn="1" w:firstRow="1" w:lastColumn="0" w:lastRow="0" w:noHBand="0" w:noVBand="1" w:val="04A0"/>
        <w:tblLayout w:type="fixed"/>
      </w:tblPr>
      <w:tblGrid>
        <w:gridCol w:w="3168"/>
        <w:gridCol w:w="1440"/>
        <w:gridCol w:w="2736"/>
        <w:gridCol w:w="2015"/>
      </w:tblGrid>
      <w:tr>
        <w:trPr>
          <w:tblHeader/>
        </w:trPr>
        <w:tc>
          <w:tcPr>
            <w:tcW w:type="dxa" w:w="3168"/>
            <w:shd w:val="clear" w:color="auto" w:fill="E8E8E8"/>
          </w:tcPr>
          <w:p>
            <w:pPr>
              <w:spacing w:after="40"/>
            </w:pPr>
            <w:r>
              <w:rPr>
                <w:rFonts w:ascii="Times New Roman" w:hAnsi="Times New Roman"/>
                <w:b/>
                <w:i w:val="0"/>
                <w:sz w:val="17"/>
              </w:rPr>
              <w:t>Item</w:t>
            </w:r>
          </w:p>
        </w:tc>
        <w:tc>
          <w:tcPr>
            <w:tcW w:type="dxa" w:w="1440"/>
            <w:shd w:val="clear" w:color="auto" w:fill="E8E8E8"/>
          </w:tcPr>
          <w:p>
            <w:pPr>
              <w:spacing w:after="40"/>
            </w:pPr>
            <w:r>
              <w:rPr>
                <w:rFonts w:ascii="Times New Roman" w:hAnsi="Times New Roman"/>
                <w:b/>
                <w:i w:val="0"/>
                <w:sz w:val="17"/>
              </w:rPr>
              <w:t>Stated</w:t>
            </w:r>
          </w:p>
        </w:tc>
        <w:tc>
          <w:tcPr>
            <w:tcW w:type="dxa" w:w="2736"/>
            <w:shd w:val="clear" w:color="auto" w:fill="E8E8E8"/>
          </w:tcPr>
          <w:p>
            <w:pPr>
              <w:spacing w:after="40"/>
            </w:pPr>
            <w:r>
              <w:rPr>
                <w:rFonts w:ascii="Times New Roman" w:hAnsi="Times New Roman"/>
                <w:b/>
                <w:i w:val="0"/>
                <w:sz w:val="17"/>
              </w:rPr>
              <w:t>Recomputed</w:t>
            </w:r>
          </w:p>
        </w:tc>
        <w:tc>
          <w:tcPr>
            <w:tcW w:type="dxa" w:w="2015"/>
            <w:shd w:val="clear" w:color="auto" w:fill="E8E8E8"/>
          </w:tcPr>
          <w:p>
            <w:pPr>
              <w:spacing w:after="40"/>
            </w:pPr>
            <w:r>
              <w:rPr>
                <w:rFonts w:ascii="Times New Roman" w:hAnsi="Times New Roman"/>
                <w:b/>
                <w:i w:val="0"/>
                <w:sz w:val="17"/>
              </w:rPr>
              <w:t>Result</w:t>
            </w:r>
          </w:p>
        </w:tc>
      </w:tr>
      <w:tr>
        <w:trPr>
          <w:cantSplit/>
        </w:trPr>
        <w:tc>
          <w:tcPr>
            <w:tcW w:type="dxa" w:w="3168"/>
          </w:tcPr>
          <w:p>
            <w:pPr>
              <w:spacing w:after="40"/>
            </w:pPr>
            <w:r>
              <w:rPr>
                <w:rFonts w:ascii="Times New Roman" w:hAnsi="Times New Roman"/>
                <w:b w:val="0"/>
                <w:i w:val="0"/>
                <w:sz w:val="17"/>
              </w:rPr>
              <w:t>Current land-only tax</w:t>
            </w:r>
          </w:p>
        </w:tc>
        <w:tc>
          <w:tcPr>
            <w:tcW w:type="dxa" w:w="1440"/>
          </w:tcPr>
          <w:p>
            <w:pPr>
              <w:spacing w:after="40"/>
            </w:pPr>
            <w:r>
              <w:rPr>
                <w:rFonts w:ascii="Times New Roman" w:hAnsi="Times New Roman"/>
                <w:b w:val="0"/>
                <w:i w:val="0"/>
                <w:sz w:val="17"/>
              </w:rPr>
              <w:t>$145,950</w:t>
            </w:r>
          </w:p>
        </w:tc>
        <w:tc>
          <w:tcPr>
            <w:tcW w:type="dxa" w:w="2736"/>
          </w:tcPr>
          <w:p>
            <w:pPr>
              <w:spacing w:after="40"/>
            </w:pPr>
            <w:r>
              <w:rPr>
                <w:rFonts w:ascii="Times New Roman" w:hAnsi="Times New Roman"/>
                <w:b w:val="0"/>
                <w:i w:val="0"/>
                <w:sz w:val="17"/>
              </w:rPr>
              <w:t>$4,200,000 × 0.03475 = $145,950</w:t>
            </w:r>
          </w:p>
        </w:tc>
        <w:tc>
          <w:tcPr>
            <w:tcW w:type="dxa" w:w="2015"/>
          </w:tcPr>
          <w:p>
            <w:pPr>
              <w:spacing w:after="40"/>
            </w:pPr>
            <w:r>
              <w:rPr>
                <w:rFonts w:ascii="Times New Roman" w:hAnsi="Times New Roman"/>
                <w:b w:val="0"/>
                <w:i w:val="0"/>
                <w:sz w:val="17"/>
              </w:rPr>
              <w:t>Ties</w:t>
            </w:r>
          </w:p>
        </w:tc>
      </w:tr>
      <w:tr>
        <w:trPr>
          <w:cantSplit/>
        </w:trPr>
        <w:tc>
          <w:tcPr>
            <w:tcW w:type="dxa" w:w="3168"/>
          </w:tcPr>
          <w:p>
            <w:pPr>
              <w:spacing w:after="40"/>
            </w:pPr>
            <w:r>
              <w:rPr>
                <w:rFonts w:ascii="Times New Roman" w:hAnsi="Times New Roman"/>
                <w:b w:val="0"/>
                <w:i w:val="0"/>
                <w:sz w:val="17"/>
              </w:rPr>
              <w:t>Full post-development tax</w:t>
            </w:r>
          </w:p>
        </w:tc>
        <w:tc>
          <w:tcPr>
            <w:tcW w:type="dxa" w:w="1440"/>
          </w:tcPr>
          <w:p>
            <w:pPr>
              <w:spacing w:after="40"/>
            </w:pPr>
            <w:r>
              <w:rPr>
                <w:rFonts w:ascii="Times New Roman" w:hAnsi="Times New Roman"/>
                <w:b w:val="0"/>
                <w:i w:val="0"/>
                <w:sz w:val="17"/>
              </w:rPr>
              <w:t>$6,185,500</w:t>
            </w:r>
          </w:p>
        </w:tc>
        <w:tc>
          <w:tcPr>
            <w:tcW w:type="dxa" w:w="2736"/>
          </w:tcPr>
          <w:p>
            <w:pPr>
              <w:spacing w:after="40"/>
            </w:pPr>
            <w:r>
              <w:rPr>
                <w:rFonts w:ascii="Times New Roman" w:hAnsi="Times New Roman"/>
                <w:b w:val="0"/>
                <w:i w:val="0"/>
                <w:sz w:val="17"/>
              </w:rPr>
              <w:t>$178,000,000 × 0.03475 = $6,185,500</w:t>
            </w:r>
          </w:p>
        </w:tc>
        <w:tc>
          <w:tcPr>
            <w:tcW w:type="dxa" w:w="2015"/>
          </w:tcPr>
          <w:p>
            <w:pPr>
              <w:spacing w:after="40"/>
            </w:pPr>
            <w:r>
              <w:rPr>
                <w:rFonts w:ascii="Times New Roman" w:hAnsi="Times New Roman"/>
                <w:b w:val="0"/>
                <w:i w:val="0"/>
                <w:sz w:val="17"/>
              </w:rPr>
              <w:t>Ties</w:t>
            </w:r>
          </w:p>
        </w:tc>
      </w:tr>
      <w:tr>
        <w:trPr>
          <w:cantSplit/>
        </w:trPr>
        <w:tc>
          <w:tcPr>
            <w:tcW w:type="dxa" w:w="3168"/>
          </w:tcPr>
          <w:p>
            <w:pPr>
              <w:spacing w:after="40"/>
            </w:pPr>
            <w:r>
              <w:rPr>
                <w:rFonts w:ascii="Times New Roman" w:hAnsi="Times New Roman"/>
                <w:b w:val="0"/>
                <w:i w:val="0"/>
                <w:sz w:val="17"/>
              </w:rPr>
              <w:t>Abatement Years 1–5 (25%)</w:t>
            </w:r>
          </w:p>
        </w:tc>
        <w:tc>
          <w:tcPr>
            <w:tcW w:type="dxa" w:w="1440"/>
          </w:tcPr>
          <w:p>
            <w:pPr>
              <w:spacing w:after="40"/>
            </w:pPr>
            <w:r>
              <w:rPr>
                <w:rFonts w:ascii="Times New Roman" w:hAnsi="Times New Roman"/>
                <w:b w:val="0"/>
                <w:i w:val="0"/>
                <w:sz w:val="17"/>
              </w:rPr>
              <w:t>$1,546,375</w:t>
            </w:r>
          </w:p>
        </w:tc>
        <w:tc>
          <w:tcPr>
            <w:tcW w:type="dxa" w:w="2736"/>
          </w:tcPr>
          <w:p>
            <w:pPr>
              <w:spacing w:after="40"/>
            </w:pPr>
            <w:r>
              <w:rPr>
                <w:rFonts w:ascii="Times New Roman" w:hAnsi="Times New Roman"/>
                <w:b w:val="0"/>
                <w:i w:val="0"/>
                <w:sz w:val="17"/>
              </w:rPr>
              <w:t>$178,000,000 × 0.25 × 0.03475 = $1,546,375</w:t>
            </w:r>
          </w:p>
        </w:tc>
        <w:tc>
          <w:tcPr>
            <w:tcW w:type="dxa" w:w="2015"/>
          </w:tcPr>
          <w:p>
            <w:pPr>
              <w:spacing w:after="40"/>
            </w:pPr>
            <w:r>
              <w:rPr>
                <w:rFonts w:ascii="Times New Roman" w:hAnsi="Times New Roman"/>
                <w:b w:val="0"/>
                <w:i w:val="0"/>
                <w:sz w:val="17"/>
              </w:rPr>
              <w:t>Ties</w:t>
            </w:r>
          </w:p>
        </w:tc>
      </w:tr>
      <w:tr>
        <w:trPr>
          <w:cantSplit/>
        </w:trPr>
        <w:tc>
          <w:tcPr>
            <w:tcW w:type="dxa" w:w="3168"/>
          </w:tcPr>
          <w:p>
            <w:pPr>
              <w:spacing w:after="40"/>
            </w:pPr>
            <w:r>
              <w:rPr>
                <w:rFonts w:ascii="Times New Roman" w:hAnsi="Times New Roman"/>
                <w:b w:val="0"/>
                <w:i w:val="0"/>
                <w:sz w:val="17"/>
              </w:rPr>
              <w:t>Abatement Years 6–10 (50%)</w:t>
            </w:r>
          </w:p>
        </w:tc>
        <w:tc>
          <w:tcPr>
            <w:tcW w:type="dxa" w:w="1440"/>
          </w:tcPr>
          <w:p>
            <w:pPr>
              <w:spacing w:after="40"/>
            </w:pPr>
            <w:r>
              <w:rPr>
                <w:rFonts w:ascii="Times New Roman" w:hAnsi="Times New Roman"/>
                <w:b w:val="0"/>
                <w:i w:val="0"/>
                <w:sz w:val="17"/>
              </w:rPr>
              <w:t>$3,092,750</w:t>
            </w:r>
          </w:p>
        </w:tc>
        <w:tc>
          <w:tcPr>
            <w:tcW w:type="dxa" w:w="2736"/>
          </w:tcPr>
          <w:p>
            <w:pPr>
              <w:spacing w:after="40"/>
            </w:pPr>
            <w:r>
              <w:rPr>
                <w:rFonts w:ascii="Times New Roman" w:hAnsi="Times New Roman"/>
                <w:b w:val="0"/>
                <w:i w:val="0"/>
                <w:sz w:val="17"/>
              </w:rPr>
              <w:t>$178,000,000 × 0.50 × 0.03475 = $3,092,750</w:t>
            </w:r>
          </w:p>
        </w:tc>
        <w:tc>
          <w:tcPr>
            <w:tcW w:type="dxa" w:w="2015"/>
          </w:tcPr>
          <w:p>
            <w:pPr>
              <w:spacing w:after="40"/>
            </w:pPr>
            <w:r>
              <w:rPr>
                <w:rFonts w:ascii="Times New Roman" w:hAnsi="Times New Roman"/>
                <w:b w:val="0"/>
                <w:i w:val="0"/>
                <w:sz w:val="17"/>
              </w:rPr>
              <w:t>Ties</w:t>
            </w:r>
          </w:p>
        </w:tc>
      </w:tr>
      <w:tr>
        <w:trPr>
          <w:cantSplit/>
        </w:trPr>
        <w:tc>
          <w:tcPr>
            <w:tcW w:type="dxa" w:w="3168"/>
          </w:tcPr>
          <w:p>
            <w:pPr>
              <w:spacing w:after="40"/>
            </w:pPr>
            <w:r>
              <w:rPr>
                <w:rFonts w:ascii="Times New Roman" w:hAnsi="Times New Roman"/>
                <w:b w:val="0"/>
                <w:i w:val="0"/>
                <w:sz w:val="17"/>
              </w:rPr>
              <w:t>Abatement Years 11–15 (75%)</w:t>
            </w:r>
          </w:p>
        </w:tc>
        <w:tc>
          <w:tcPr>
            <w:tcW w:type="dxa" w:w="1440"/>
          </w:tcPr>
          <w:p>
            <w:pPr>
              <w:spacing w:after="40"/>
            </w:pPr>
            <w:r>
              <w:rPr>
                <w:rFonts w:ascii="Times New Roman" w:hAnsi="Times New Roman"/>
                <w:b w:val="0"/>
                <w:i w:val="0"/>
                <w:sz w:val="17"/>
              </w:rPr>
              <w:t>$4,639,125</w:t>
            </w:r>
          </w:p>
        </w:tc>
        <w:tc>
          <w:tcPr>
            <w:tcW w:type="dxa" w:w="2736"/>
          </w:tcPr>
          <w:p>
            <w:pPr>
              <w:spacing w:after="40"/>
            </w:pPr>
            <w:r>
              <w:rPr>
                <w:rFonts w:ascii="Times New Roman" w:hAnsi="Times New Roman"/>
                <w:b w:val="0"/>
                <w:i w:val="0"/>
                <w:sz w:val="17"/>
              </w:rPr>
              <w:t>$178,000,000 × 0.75 × 0.03475 = $4,639,125</w:t>
            </w:r>
          </w:p>
        </w:tc>
        <w:tc>
          <w:tcPr>
            <w:tcW w:type="dxa" w:w="2015"/>
          </w:tcPr>
          <w:p>
            <w:pPr>
              <w:spacing w:after="40"/>
            </w:pPr>
            <w:r>
              <w:rPr>
                <w:rFonts w:ascii="Times New Roman" w:hAnsi="Times New Roman"/>
                <w:b w:val="0"/>
                <w:i w:val="0"/>
                <w:sz w:val="17"/>
              </w:rPr>
              <w:t>Ties</w:t>
            </w:r>
          </w:p>
        </w:tc>
      </w:tr>
      <w:tr>
        <w:trPr>
          <w:cantSplit/>
        </w:trPr>
        <w:tc>
          <w:tcPr>
            <w:tcW w:type="dxa" w:w="3168"/>
          </w:tcPr>
          <w:p>
            <w:pPr>
              <w:spacing w:after="40"/>
            </w:pPr>
            <w:r>
              <w:rPr>
                <w:rFonts w:ascii="Times New Roman" w:hAnsi="Times New Roman"/>
                <w:b w:val="0"/>
                <w:i w:val="0"/>
                <w:sz w:val="17"/>
              </w:rPr>
              <w:t>Post-development assessed value</w:t>
            </w:r>
          </w:p>
        </w:tc>
        <w:tc>
          <w:tcPr>
            <w:tcW w:type="dxa" w:w="1440"/>
          </w:tcPr>
          <w:p>
            <w:pPr>
              <w:spacing w:after="40"/>
            </w:pPr>
            <w:r>
              <w:rPr>
                <w:rFonts w:ascii="Times New Roman" w:hAnsi="Times New Roman"/>
                <w:b w:val="0"/>
                <w:i w:val="0"/>
                <w:sz w:val="17"/>
              </w:rPr>
              <w:t>$178,000,000</w:t>
            </w:r>
          </w:p>
        </w:tc>
        <w:tc>
          <w:tcPr>
            <w:tcW w:type="dxa" w:w="2736"/>
          </w:tcPr>
          <w:p>
            <w:pPr>
              <w:spacing w:after="40"/>
            </w:pPr>
            <w:r>
              <w:rPr>
                <w:rFonts w:ascii="Times New Roman" w:hAnsi="Times New Roman"/>
                <w:b w:val="0"/>
                <w:i w:val="0"/>
                <w:sz w:val="17"/>
              </w:rPr>
              <w:t>$178,000,000 ÷ 0.70 = $254,285,714 implied value, or 59.8% of the $425,000,000 project cost</w:t>
            </w:r>
          </w:p>
        </w:tc>
        <w:tc>
          <w:tcPr>
            <w:tcW w:type="dxa" w:w="2015"/>
          </w:tcPr>
          <w:p>
            <w:pPr>
              <w:spacing w:after="40"/>
            </w:pPr>
            <w:r>
              <w:rPr>
                <w:rFonts w:ascii="Times New Roman" w:hAnsi="Times New Roman"/>
                <w:b w:val="0"/>
                <w:i w:val="0"/>
                <w:sz w:val="17"/>
              </w:rPr>
              <w:t>Item 25</w:t>
            </w:r>
          </w:p>
        </w:tc>
      </w:tr>
    </w:tbl>
    <w:p>
      <w:pPr>
        <w:spacing w:after="40"/>
      </w:pPr>
    </w:p>
    <w:p>
      <w:pPr>
        <w:jc w:val="both"/>
      </w:pPr>
      <w:r>
        <w:rPr>
          <w:rFonts w:ascii="Times New Roman" w:hAnsi="Times New Roman"/>
          <w:b/>
          <w:i w:val="0"/>
          <w:sz w:val="21"/>
        </w:rPr>
        <w:t>Abatement timing.</w:t>
      </w:r>
      <w:r>
        <w:rPr>
          <w:rFonts w:ascii="Times New Roman" w:hAnsi="Times New Roman"/>
          <w:b w:val="0"/>
          <w:i w:val="0"/>
          <w:sz w:val="21"/>
        </w:rPr>
        <w:t xml:space="preserve"> The following compares the Term Sheet structure (abatement period commencing on the Lease Commencement Date) with the structure in the draft (abatement period commencing on the Rent Commencement Date, with Construction Period taxes based on the actual land assessment). Both run through the first year of full assessment under the draft's structure.</w:t>
      </w:r>
    </w:p>
    <w:tbl>
      <w:tblPr>
        <w:tblStyle w:val="TableGrid"/>
        <w:tblW w:type="dxa" w:w="9360"/>
        <w:jc w:val="center"/>
        <w:tblLayout w:type="fixed"/>
        <w:tblLook w:firstColumn="1" w:firstRow="1" w:lastColumn="0" w:lastRow="0" w:noHBand="0" w:noVBand="1" w:val="04A0"/>
        <w:tblLayout w:type="fixed"/>
      </w:tblPr>
      <w:tblGrid>
        <w:gridCol w:w="1584"/>
        <w:gridCol w:w="1872"/>
        <w:gridCol w:w="3024"/>
        <w:gridCol w:w="2880"/>
      </w:tblGrid>
      <w:tr>
        <w:trPr>
          <w:tblHeader/>
        </w:trPr>
        <w:tc>
          <w:tcPr>
            <w:tcW w:type="dxa" w:w="1584"/>
            <w:shd w:val="clear" w:color="auto" w:fill="E8E8E8"/>
          </w:tcPr>
          <w:p>
            <w:pPr>
              <w:spacing w:after="40"/>
            </w:pPr>
            <w:r>
              <w:rPr>
                <w:rFonts w:ascii="Times New Roman" w:hAnsi="Times New Roman"/>
                <w:b/>
                <w:i w:val="0"/>
                <w:sz w:val="17"/>
              </w:rPr>
              <w:t>Period</w:t>
            </w:r>
          </w:p>
        </w:tc>
        <w:tc>
          <w:tcPr>
            <w:tcW w:type="dxa" w:w="1872"/>
            <w:shd w:val="clear" w:color="auto" w:fill="E8E8E8"/>
          </w:tcPr>
          <w:p>
            <w:pPr>
              <w:spacing w:after="40"/>
            </w:pPr>
            <w:r>
              <w:rPr>
                <w:rFonts w:ascii="Times New Roman" w:hAnsi="Times New Roman"/>
                <w:b/>
                <w:i w:val="0"/>
                <w:sz w:val="17"/>
              </w:rPr>
              <w:t>Term Sheet: basis</w:t>
            </w:r>
          </w:p>
        </w:tc>
        <w:tc>
          <w:tcPr>
            <w:tcW w:type="dxa" w:w="3024"/>
            <w:shd w:val="clear" w:color="auto" w:fill="E8E8E8"/>
          </w:tcPr>
          <w:p>
            <w:pPr>
              <w:spacing w:after="40"/>
            </w:pPr>
            <w:r>
              <w:rPr>
                <w:rFonts w:ascii="Times New Roman" w:hAnsi="Times New Roman"/>
                <w:b/>
                <w:i w:val="0"/>
                <w:sz w:val="17"/>
              </w:rPr>
              <w:t>Term Sheet: tax</w:t>
            </w:r>
          </w:p>
        </w:tc>
        <w:tc>
          <w:tcPr>
            <w:tcW w:type="dxa" w:w="2880"/>
            <w:shd w:val="clear" w:color="auto" w:fill="E8E8E8"/>
          </w:tcPr>
          <w:p>
            <w:pPr>
              <w:spacing w:after="40"/>
            </w:pPr>
            <w:r>
              <w:rPr>
                <w:rFonts w:ascii="Times New Roman" w:hAnsi="Times New Roman"/>
                <w:b/>
                <w:i w:val="0"/>
                <w:sz w:val="17"/>
              </w:rPr>
              <w:t>Draft: tax</w:t>
            </w:r>
          </w:p>
        </w:tc>
      </w:tr>
      <w:tr>
        <w:trPr>
          <w:cantSplit/>
        </w:trPr>
        <w:tc>
          <w:tcPr>
            <w:tcW w:type="dxa" w:w="1584"/>
          </w:tcPr>
          <w:p>
            <w:pPr>
              <w:spacing w:after="40"/>
            </w:pPr>
            <w:r>
              <w:rPr>
                <w:rFonts w:ascii="Times New Roman" w:hAnsi="Times New Roman"/>
                <w:b w:val="0"/>
                <w:i w:val="0"/>
                <w:sz w:val="17"/>
              </w:rPr>
              <w:t>2025–2027</w:t>
            </w:r>
          </w:p>
        </w:tc>
        <w:tc>
          <w:tcPr>
            <w:tcW w:type="dxa" w:w="1872"/>
          </w:tcPr>
          <w:p>
            <w:pPr>
              <w:spacing w:after="40"/>
            </w:pPr>
            <w:r>
              <w:rPr>
                <w:rFonts w:ascii="Times New Roman" w:hAnsi="Times New Roman"/>
                <w:b w:val="0"/>
                <w:i w:val="0"/>
                <w:sz w:val="17"/>
              </w:rPr>
              <w:t>25% of $178,000,000 vs. land-only</w:t>
            </w:r>
          </w:p>
        </w:tc>
        <w:tc>
          <w:tcPr>
            <w:tcW w:type="dxa" w:w="3024"/>
          </w:tcPr>
          <w:p>
            <w:pPr>
              <w:spacing w:after="40"/>
            </w:pPr>
            <w:r>
              <w:rPr>
                <w:rFonts w:ascii="Times New Roman" w:hAnsi="Times New Roman"/>
                <w:b w:val="0"/>
                <w:i w:val="0"/>
                <w:sz w:val="17"/>
              </w:rPr>
              <w:t>$1,546,375 × 3 = $4,639,125</w:t>
            </w:r>
          </w:p>
        </w:tc>
        <w:tc>
          <w:tcPr>
            <w:tcW w:type="dxa" w:w="2880"/>
          </w:tcPr>
          <w:p>
            <w:pPr>
              <w:spacing w:after="40"/>
            </w:pPr>
            <w:r>
              <w:rPr>
                <w:rFonts w:ascii="Times New Roman" w:hAnsi="Times New Roman"/>
                <w:b w:val="0"/>
                <w:i w:val="0"/>
                <w:sz w:val="17"/>
              </w:rPr>
              <w:t>$145,950 × 3 = $437,850</w:t>
            </w:r>
          </w:p>
        </w:tc>
      </w:tr>
      <w:tr>
        <w:trPr>
          <w:cantSplit/>
        </w:trPr>
        <w:tc>
          <w:tcPr>
            <w:tcW w:type="dxa" w:w="1584"/>
          </w:tcPr>
          <w:p>
            <w:pPr>
              <w:spacing w:after="40"/>
            </w:pPr>
            <w:r>
              <w:rPr>
                <w:rFonts w:ascii="Times New Roman" w:hAnsi="Times New Roman"/>
                <w:b w:val="0"/>
                <w:i w:val="0"/>
                <w:sz w:val="17"/>
              </w:rPr>
              <w:t>2028–2029</w:t>
            </w:r>
          </w:p>
        </w:tc>
        <w:tc>
          <w:tcPr>
            <w:tcW w:type="dxa" w:w="1872"/>
          </w:tcPr>
          <w:p>
            <w:pPr>
              <w:spacing w:after="40"/>
            </w:pPr>
            <w:r>
              <w:rPr>
                <w:rFonts w:ascii="Times New Roman" w:hAnsi="Times New Roman"/>
                <w:b w:val="0"/>
                <w:i w:val="0"/>
                <w:sz w:val="17"/>
              </w:rPr>
              <w:t>25% both</w:t>
            </w:r>
          </w:p>
        </w:tc>
        <w:tc>
          <w:tcPr>
            <w:tcW w:type="dxa" w:w="3024"/>
          </w:tcPr>
          <w:p>
            <w:pPr>
              <w:spacing w:after="40"/>
            </w:pPr>
            <w:r>
              <w:rPr>
                <w:rFonts w:ascii="Times New Roman" w:hAnsi="Times New Roman"/>
                <w:b w:val="0"/>
                <w:i w:val="0"/>
                <w:sz w:val="17"/>
              </w:rPr>
              <w:t>$1,546,375 × 2 = $3,092,750</w:t>
            </w:r>
          </w:p>
        </w:tc>
        <w:tc>
          <w:tcPr>
            <w:tcW w:type="dxa" w:w="2880"/>
          </w:tcPr>
          <w:p>
            <w:pPr>
              <w:spacing w:after="40"/>
            </w:pPr>
            <w:r>
              <w:rPr>
                <w:rFonts w:ascii="Times New Roman" w:hAnsi="Times New Roman"/>
                <w:b w:val="0"/>
                <w:i w:val="0"/>
                <w:sz w:val="17"/>
              </w:rPr>
              <w:t>$1,546,375 × 2 = $3,092,750</w:t>
            </w:r>
          </w:p>
        </w:tc>
      </w:tr>
      <w:tr>
        <w:trPr>
          <w:cantSplit/>
        </w:trPr>
        <w:tc>
          <w:tcPr>
            <w:tcW w:type="dxa" w:w="1584"/>
          </w:tcPr>
          <w:p>
            <w:pPr>
              <w:spacing w:after="40"/>
            </w:pPr>
            <w:r>
              <w:rPr>
                <w:rFonts w:ascii="Times New Roman" w:hAnsi="Times New Roman"/>
                <w:b w:val="0"/>
                <w:i w:val="0"/>
                <w:sz w:val="17"/>
              </w:rPr>
              <w:t>2030–2032</w:t>
            </w:r>
          </w:p>
        </w:tc>
        <w:tc>
          <w:tcPr>
            <w:tcW w:type="dxa" w:w="1872"/>
          </w:tcPr>
          <w:p>
            <w:pPr>
              <w:spacing w:after="40"/>
            </w:pPr>
            <w:r>
              <w:rPr>
                <w:rFonts w:ascii="Times New Roman" w:hAnsi="Times New Roman"/>
                <w:b w:val="0"/>
                <w:i w:val="0"/>
                <w:sz w:val="17"/>
              </w:rPr>
              <w:t>50% vs. 25%</w:t>
            </w:r>
          </w:p>
        </w:tc>
        <w:tc>
          <w:tcPr>
            <w:tcW w:type="dxa" w:w="3024"/>
          </w:tcPr>
          <w:p>
            <w:pPr>
              <w:spacing w:after="40"/>
            </w:pPr>
            <w:r>
              <w:rPr>
                <w:rFonts w:ascii="Times New Roman" w:hAnsi="Times New Roman"/>
                <w:b w:val="0"/>
                <w:i w:val="0"/>
                <w:sz w:val="17"/>
              </w:rPr>
              <w:t>$3,092,750 × 3 = $9,278,250</w:t>
            </w:r>
          </w:p>
        </w:tc>
        <w:tc>
          <w:tcPr>
            <w:tcW w:type="dxa" w:w="2880"/>
          </w:tcPr>
          <w:p>
            <w:pPr>
              <w:spacing w:after="40"/>
            </w:pPr>
            <w:r>
              <w:rPr>
                <w:rFonts w:ascii="Times New Roman" w:hAnsi="Times New Roman"/>
                <w:b w:val="0"/>
                <w:i w:val="0"/>
                <w:sz w:val="17"/>
              </w:rPr>
              <w:t>$1,546,375 × 3 = $4,639,125</w:t>
            </w:r>
          </w:p>
        </w:tc>
      </w:tr>
      <w:tr>
        <w:trPr>
          <w:cantSplit/>
        </w:trPr>
        <w:tc>
          <w:tcPr>
            <w:tcW w:type="dxa" w:w="1584"/>
          </w:tcPr>
          <w:p>
            <w:pPr>
              <w:spacing w:after="40"/>
            </w:pPr>
            <w:r>
              <w:rPr>
                <w:rFonts w:ascii="Times New Roman" w:hAnsi="Times New Roman"/>
                <w:b w:val="0"/>
                <w:i w:val="0"/>
                <w:sz w:val="17"/>
              </w:rPr>
              <w:t>2033–2034</w:t>
            </w:r>
          </w:p>
        </w:tc>
        <w:tc>
          <w:tcPr>
            <w:tcW w:type="dxa" w:w="1872"/>
          </w:tcPr>
          <w:p>
            <w:pPr>
              <w:spacing w:after="40"/>
            </w:pPr>
            <w:r>
              <w:rPr>
                <w:rFonts w:ascii="Times New Roman" w:hAnsi="Times New Roman"/>
                <w:b w:val="0"/>
                <w:i w:val="0"/>
                <w:sz w:val="17"/>
              </w:rPr>
              <w:t>50% both</w:t>
            </w:r>
          </w:p>
        </w:tc>
        <w:tc>
          <w:tcPr>
            <w:tcW w:type="dxa" w:w="3024"/>
          </w:tcPr>
          <w:p>
            <w:pPr>
              <w:spacing w:after="40"/>
            </w:pPr>
            <w:r>
              <w:rPr>
                <w:rFonts w:ascii="Times New Roman" w:hAnsi="Times New Roman"/>
                <w:b w:val="0"/>
                <w:i w:val="0"/>
                <w:sz w:val="17"/>
              </w:rPr>
              <w:t>$3,092,750 × 2 = $6,185,500</w:t>
            </w:r>
          </w:p>
        </w:tc>
        <w:tc>
          <w:tcPr>
            <w:tcW w:type="dxa" w:w="2880"/>
          </w:tcPr>
          <w:p>
            <w:pPr>
              <w:spacing w:after="40"/>
            </w:pPr>
            <w:r>
              <w:rPr>
                <w:rFonts w:ascii="Times New Roman" w:hAnsi="Times New Roman"/>
                <w:b w:val="0"/>
                <w:i w:val="0"/>
                <w:sz w:val="17"/>
              </w:rPr>
              <w:t>$3,092,750 × 2 = $6,185,500</w:t>
            </w:r>
          </w:p>
        </w:tc>
      </w:tr>
      <w:tr>
        <w:trPr>
          <w:cantSplit/>
        </w:trPr>
        <w:tc>
          <w:tcPr>
            <w:tcW w:type="dxa" w:w="1584"/>
          </w:tcPr>
          <w:p>
            <w:pPr>
              <w:spacing w:after="40"/>
            </w:pPr>
            <w:r>
              <w:rPr>
                <w:rFonts w:ascii="Times New Roman" w:hAnsi="Times New Roman"/>
                <w:b w:val="0"/>
                <w:i w:val="0"/>
                <w:sz w:val="17"/>
              </w:rPr>
              <w:t>2035–2037</w:t>
            </w:r>
          </w:p>
        </w:tc>
        <w:tc>
          <w:tcPr>
            <w:tcW w:type="dxa" w:w="1872"/>
          </w:tcPr>
          <w:p>
            <w:pPr>
              <w:spacing w:after="40"/>
            </w:pPr>
            <w:r>
              <w:rPr>
                <w:rFonts w:ascii="Times New Roman" w:hAnsi="Times New Roman"/>
                <w:b w:val="0"/>
                <w:i w:val="0"/>
                <w:sz w:val="17"/>
              </w:rPr>
              <w:t>75% vs. 50%</w:t>
            </w:r>
          </w:p>
        </w:tc>
        <w:tc>
          <w:tcPr>
            <w:tcW w:type="dxa" w:w="3024"/>
          </w:tcPr>
          <w:p>
            <w:pPr>
              <w:spacing w:after="40"/>
            </w:pPr>
            <w:r>
              <w:rPr>
                <w:rFonts w:ascii="Times New Roman" w:hAnsi="Times New Roman"/>
                <w:b w:val="0"/>
                <w:i w:val="0"/>
                <w:sz w:val="17"/>
              </w:rPr>
              <w:t>$4,639,125 × 3 = $13,917,375</w:t>
            </w:r>
          </w:p>
        </w:tc>
        <w:tc>
          <w:tcPr>
            <w:tcW w:type="dxa" w:w="2880"/>
          </w:tcPr>
          <w:p>
            <w:pPr>
              <w:spacing w:after="40"/>
            </w:pPr>
            <w:r>
              <w:rPr>
                <w:rFonts w:ascii="Times New Roman" w:hAnsi="Times New Roman"/>
                <w:b w:val="0"/>
                <w:i w:val="0"/>
                <w:sz w:val="17"/>
              </w:rPr>
              <w:t>$3,092,750 × 3 = $9,278,250</w:t>
            </w:r>
          </w:p>
        </w:tc>
      </w:tr>
      <w:tr>
        <w:trPr>
          <w:cantSplit/>
        </w:trPr>
        <w:tc>
          <w:tcPr>
            <w:tcW w:type="dxa" w:w="1584"/>
          </w:tcPr>
          <w:p>
            <w:pPr>
              <w:spacing w:after="40"/>
            </w:pPr>
            <w:r>
              <w:rPr>
                <w:rFonts w:ascii="Times New Roman" w:hAnsi="Times New Roman"/>
                <w:b w:val="0"/>
                <w:i w:val="0"/>
                <w:sz w:val="17"/>
              </w:rPr>
              <w:t>2038–2039</w:t>
            </w:r>
          </w:p>
        </w:tc>
        <w:tc>
          <w:tcPr>
            <w:tcW w:type="dxa" w:w="1872"/>
          </w:tcPr>
          <w:p>
            <w:pPr>
              <w:spacing w:after="40"/>
            </w:pPr>
            <w:r>
              <w:rPr>
                <w:rFonts w:ascii="Times New Roman" w:hAnsi="Times New Roman"/>
                <w:b w:val="0"/>
                <w:i w:val="0"/>
                <w:sz w:val="17"/>
              </w:rPr>
              <w:t>75% both</w:t>
            </w:r>
          </w:p>
        </w:tc>
        <w:tc>
          <w:tcPr>
            <w:tcW w:type="dxa" w:w="3024"/>
          </w:tcPr>
          <w:p>
            <w:pPr>
              <w:spacing w:after="40"/>
            </w:pPr>
            <w:r>
              <w:rPr>
                <w:rFonts w:ascii="Times New Roman" w:hAnsi="Times New Roman"/>
                <w:b w:val="0"/>
                <w:i w:val="0"/>
                <w:sz w:val="17"/>
              </w:rPr>
              <w:t>$4,639,125 × 2 = $9,278,250</w:t>
            </w:r>
          </w:p>
        </w:tc>
        <w:tc>
          <w:tcPr>
            <w:tcW w:type="dxa" w:w="2880"/>
          </w:tcPr>
          <w:p>
            <w:pPr>
              <w:spacing w:after="40"/>
            </w:pPr>
            <w:r>
              <w:rPr>
                <w:rFonts w:ascii="Times New Roman" w:hAnsi="Times New Roman"/>
                <w:b w:val="0"/>
                <w:i w:val="0"/>
                <w:sz w:val="17"/>
              </w:rPr>
              <w:t>$4,639,125 × 2 = $9,278,250</w:t>
            </w:r>
          </w:p>
        </w:tc>
      </w:tr>
      <w:tr>
        <w:trPr>
          <w:cantSplit/>
        </w:trPr>
        <w:tc>
          <w:tcPr>
            <w:tcW w:type="dxa" w:w="1584"/>
          </w:tcPr>
          <w:p>
            <w:pPr>
              <w:spacing w:after="40"/>
            </w:pPr>
            <w:r>
              <w:rPr>
                <w:rFonts w:ascii="Times New Roman" w:hAnsi="Times New Roman"/>
                <w:b w:val="0"/>
                <w:i w:val="0"/>
                <w:sz w:val="17"/>
              </w:rPr>
              <w:t>2040</w:t>
            </w:r>
          </w:p>
        </w:tc>
        <w:tc>
          <w:tcPr>
            <w:tcW w:type="dxa" w:w="1872"/>
          </w:tcPr>
          <w:p>
            <w:pPr>
              <w:spacing w:after="40"/>
            </w:pPr>
            <w:r>
              <w:rPr>
                <w:rFonts w:ascii="Times New Roman" w:hAnsi="Times New Roman"/>
                <w:b w:val="0"/>
                <w:i w:val="0"/>
                <w:sz w:val="17"/>
              </w:rPr>
              <w:t>100% vs. 75%</w:t>
            </w:r>
          </w:p>
        </w:tc>
        <w:tc>
          <w:tcPr>
            <w:tcW w:type="dxa" w:w="3024"/>
          </w:tcPr>
          <w:p>
            <w:pPr>
              <w:spacing w:after="40"/>
            </w:pPr>
            <w:r>
              <w:rPr>
                <w:rFonts w:ascii="Times New Roman" w:hAnsi="Times New Roman"/>
                <w:b w:val="0"/>
                <w:i w:val="0"/>
                <w:sz w:val="17"/>
              </w:rPr>
              <w:t>$6,185,500</w:t>
            </w:r>
          </w:p>
        </w:tc>
        <w:tc>
          <w:tcPr>
            <w:tcW w:type="dxa" w:w="2880"/>
          </w:tcPr>
          <w:p>
            <w:pPr>
              <w:spacing w:after="40"/>
            </w:pPr>
            <w:r>
              <w:rPr>
                <w:rFonts w:ascii="Times New Roman" w:hAnsi="Times New Roman"/>
                <w:b w:val="0"/>
                <w:i w:val="0"/>
                <w:sz w:val="17"/>
              </w:rPr>
              <w:t>$4,639,125</w:t>
            </w:r>
          </w:p>
        </w:tc>
      </w:tr>
      <w:tr>
        <w:trPr>
          <w:cantSplit/>
        </w:trPr>
        <w:tc>
          <w:tcPr>
            <w:tcW w:type="dxa" w:w="1584"/>
          </w:tcPr>
          <w:p>
            <w:pPr>
              <w:spacing w:after="40"/>
            </w:pPr>
            <w:r>
              <w:rPr>
                <w:rFonts w:ascii="Times New Roman" w:hAnsi="Times New Roman"/>
                <w:b w:val="0"/>
                <w:i w:val="0"/>
                <w:sz w:val="17"/>
              </w:rPr>
              <w:t>2041–2042</w:t>
            </w:r>
          </w:p>
        </w:tc>
        <w:tc>
          <w:tcPr>
            <w:tcW w:type="dxa" w:w="1872"/>
          </w:tcPr>
          <w:p>
            <w:pPr>
              <w:spacing w:after="40"/>
            </w:pPr>
            <w:r>
              <w:rPr>
                <w:rFonts w:ascii="Times New Roman" w:hAnsi="Times New Roman"/>
                <w:b w:val="0"/>
                <w:i w:val="0"/>
                <w:sz w:val="17"/>
              </w:rPr>
              <w:t>100% vs. 75%</w:t>
            </w:r>
          </w:p>
        </w:tc>
        <w:tc>
          <w:tcPr>
            <w:tcW w:type="dxa" w:w="3024"/>
          </w:tcPr>
          <w:p>
            <w:pPr>
              <w:spacing w:after="40"/>
            </w:pPr>
            <w:r>
              <w:rPr>
                <w:rFonts w:ascii="Times New Roman" w:hAnsi="Times New Roman"/>
                <w:b w:val="0"/>
                <w:i w:val="0"/>
                <w:sz w:val="17"/>
              </w:rPr>
              <w:t>$12,371,000</w:t>
            </w:r>
          </w:p>
        </w:tc>
        <w:tc>
          <w:tcPr>
            <w:tcW w:type="dxa" w:w="2880"/>
          </w:tcPr>
          <w:p>
            <w:pPr>
              <w:spacing w:after="40"/>
            </w:pPr>
            <w:r>
              <w:rPr>
                <w:rFonts w:ascii="Times New Roman" w:hAnsi="Times New Roman"/>
                <w:b w:val="0"/>
                <w:i w:val="0"/>
                <w:sz w:val="17"/>
              </w:rPr>
              <w:t>$9,278,250</w:t>
            </w:r>
          </w:p>
        </w:tc>
      </w:tr>
      <w:tr>
        <w:trPr>
          <w:cantSplit/>
        </w:trPr>
        <w:tc>
          <w:tcPr>
            <w:tcW w:type="dxa" w:w="1584"/>
          </w:tcPr>
          <w:p>
            <w:pPr>
              <w:spacing w:after="40"/>
            </w:pPr>
            <w:r>
              <w:rPr>
                <w:rFonts w:ascii="Times New Roman" w:hAnsi="Times New Roman"/>
                <w:b w:val="0"/>
                <w:i w:val="0"/>
                <w:sz w:val="17"/>
              </w:rPr>
              <w:t>2043</w:t>
            </w:r>
          </w:p>
        </w:tc>
        <w:tc>
          <w:tcPr>
            <w:tcW w:type="dxa" w:w="1872"/>
          </w:tcPr>
          <w:p>
            <w:pPr>
              <w:spacing w:after="40"/>
            </w:pPr>
            <w:r>
              <w:rPr>
                <w:rFonts w:ascii="Times New Roman" w:hAnsi="Times New Roman"/>
                <w:b w:val="0"/>
                <w:i w:val="0"/>
                <w:sz w:val="17"/>
              </w:rPr>
              <w:t>100% both</w:t>
            </w:r>
          </w:p>
        </w:tc>
        <w:tc>
          <w:tcPr>
            <w:tcW w:type="dxa" w:w="3024"/>
          </w:tcPr>
          <w:p>
            <w:pPr>
              <w:spacing w:after="40"/>
            </w:pPr>
            <w:r>
              <w:rPr>
                <w:rFonts w:ascii="Times New Roman" w:hAnsi="Times New Roman"/>
                <w:b w:val="0"/>
                <w:i w:val="0"/>
                <w:sz w:val="17"/>
              </w:rPr>
              <w:t>$6,185,500</w:t>
            </w:r>
          </w:p>
        </w:tc>
        <w:tc>
          <w:tcPr>
            <w:tcW w:type="dxa" w:w="2880"/>
          </w:tcPr>
          <w:p>
            <w:pPr>
              <w:spacing w:after="40"/>
            </w:pPr>
            <w:r>
              <w:rPr>
                <w:rFonts w:ascii="Times New Roman" w:hAnsi="Times New Roman"/>
                <w:b w:val="0"/>
                <w:i w:val="0"/>
                <w:sz w:val="17"/>
              </w:rPr>
              <w:t>$6,185,500</w:t>
            </w:r>
          </w:p>
        </w:tc>
      </w:tr>
      <w:tr>
        <w:trPr>
          <w:cantSplit/>
        </w:trPr>
        <w:tc>
          <w:tcPr>
            <w:tcW w:type="dxa" w:w="1584"/>
          </w:tcPr>
          <w:p>
            <w:pPr>
              <w:spacing w:after="40"/>
            </w:pPr>
            <w:r>
              <w:rPr>
                <w:rFonts w:ascii="Times New Roman" w:hAnsi="Times New Roman"/>
                <w:b/>
                <w:i w:val="0"/>
                <w:sz w:val="17"/>
              </w:rPr>
              <w:t>Total 2025–2043</w:t>
            </w:r>
          </w:p>
        </w:tc>
        <w:tc>
          <w:tcPr>
            <w:tcW w:type="dxa" w:w="1872"/>
          </w:tcPr>
          <w:p>
            <w:pPr>
              <w:spacing w:after="40"/>
            </w:pPr>
          </w:p>
        </w:tc>
        <w:tc>
          <w:tcPr>
            <w:tcW w:type="dxa" w:w="3024"/>
          </w:tcPr>
          <w:p>
            <w:pPr>
              <w:spacing w:after="40"/>
            </w:pPr>
            <w:r>
              <w:rPr>
                <w:rFonts w:ascii="Times New Roman" w:hAnsi="Times New Roman"/>
                <w:b/>
                <w:i w:val="0"/>
                <w:sz w:val="17"/>
              </w:rPr>
              <w:t>$71,133,250</w:t>
            </w:r>
          </w:p>
        </w:tc>
        <w:tc>
          <w:tcPr>
            <w:tcW w:type="dxa" w:w="2880"/>
          </w:tcPr>
          <w:p>
            <w:pPr>
              <w:spacing w:after="40"/>
            </w:pPr>
            <w:r>
              <w:rPr>
                <w:rFonts w:ascii="Times New Roman" w:hAnsi="Times New Roman"/>
                <w:b/>
                <w:i w:val="0"/>
                <w:sz w:val="17"/>
              </w:rPr>
              <w:t>$53,014,600</w:t>
            </w:r>
          </w:p>
        </w:tc>
      </w:tr>
    </w:tbl>
    <w:p>
      <w:pPr>
        <w:spacing w:after="40"/>
      </w:pPr>
    </w:p>
    <w:p>
      <w:pPr>
        <w:jc w:val="both"/>
      </w:pPr>
      <w:r>
        <w:rPr>
          <w:rFonts w:ascii="Times New Roman" w:hAnsi="Times New Roman"/>
          <w:b/>
          <w:i w:val="0"/>
          <w:sz w:val="21"/>
        </w:rPr>
        <w:t>Difference: $18,118,650</w:t>
      </w:r>
      <w:r>
        <w:rPr>
          <w:rFonts w:ascii="Times New Roman" w:hAnsi="Times New Roman"/>
          <w:b w:val="0"/>
          <w:i w:val="0"/>
          <w:sz w:val="21"/>
        </w:rPr>
        <w:t xml:space="preserve"> in nominal taxes over nineteen years, of which </w:t>
      </w:r>
      <w:r>
        <w:rPr>
          <w:rFonts w:ascii="Times New Roman" w:hAnsi="Times New Roman"/>
          <w:b/>
          <w:i w:val="0"/>
          <w:sz w:val="21"/>
        </w:rPr>
        <w:t>$4,201,275</w:t>
      </w:r>
      <w:r>
        <w:rPr>
          <w:rFonts w:ascii="Times New Roman" w:hAnsi="Times New Roman"/>
          <w:b w:val="0"/>
          <w:i w:val="0"/>
          <w:sz w:val="21"/>
        </w:rPr>
        <w:t xml:space="preserve"> arises during the three-year construction period alone (three years of $1,546,375 against a land-only assessment of $145,950). The difference is permanent, because both structures reach 100% assessment and thereafter pay identically.</w:t>
      </w:r>
    </w:p>
    <w:p>
      <w:pPr>
        <w:keepNext/>
        <w:spacing w:before="200" w:after="80"/>
        <w:jc w:val="left"/>
      </w:pPr>
      <w:r>
        <w:rPr>
          <w:rFonts w:ascii="Times New Roman" w:hAnsi="Times New Roman"/>
          <w:b/>
          <w:i w:val="0"/>
          <w:sz w:val="21"/>
        </w:rPr>
        <w:t>4.5 Areas and Legal Descriptions</w:t>
      </w:r>
    </w:p>
    <w:tbl>
      <w:tblPr>
        <w:tblStyle w:val="TableGrid"/>
        <w:tblW w:type="dxa" w:w="9360"/>
        <w:jc w:val="center"/>
        <w:tblLayout w:type="fixed"/>
        <w:tblLook w:firstColumn="1" w:firstRow="1" w:lastColumn="0" w:lastRow="0" w:noHBand="0" w:noVBand="1" w:val="04A0"/>
        <w:tblLayout w:type="fixed"/>
      </w:tblPr>
      <w:tblGrid>
        <w:gridCol w:w="2736"/>
        <w:gridCol w:w="1440"/>
        <w:gridCol w:w="3456"/>
        <w:gridCol w:w="1728"/>
      </w:tblGrid>
      <w:tr>
        <w:trPr>
          <w:tblHeader/>
        </w:trPr>
        <w:tc>
          <w:tcPr>
            <w:tcW w:type="dxa" w:w="2736"/>
            <w:shd w:val="clear" w:color="auto" w:fill="E8E8E8"/>
          </w:tcPr>
          <w:p>
            <w:pPr>
              <w:spacing w:after="40"/>
            </w:pPr>
            <w:r>
              <w:rPr>
                <w:rFonts w:ascii="Times New Roman" w:hAnsi="Times New Roman"/>
                <w:b/>
                <w:i w:val="0"/>
                <w:sz w:val="17"/>
              </w:rPr>
              <w:t>Item</w:t>
            </w:r>
          </w:p>
        </w:tc>
        <w:tc>
          <w:tcPr>
            <w:tcW w:type="dxa" w:w="1440"/>
            <w:shd w:val="clear" w:color="auto" w:fill="E8E8E8"/>
          </w:tcPr>
          <w:p>
            <w:pPr>
              <w:spacing w:after="40"/>
            </w:pPr>
            <w:r>
              <w:rPr>
                <w:rFonts w:ascii="Times New Roman" w:hAnsi="Times New Roman"/>
                <w:b/>
                <w:i w:val="0"/>
                <w:sz w:val="17"/>
              </w:rPr>
              <w:t>Stated</w:t>
            </w:r>
          </w:p>
        </w:tc>
        <w:tc>
          <w:tcPr>
            <w:tcW w:type="dxa" w:w="3456"/>
            <w:shd w:val="clear" w:color="auto" w:fill="E8E8E8"/>
          </w:tcPr>
          <w:p>
            <w:pPr>
              <w:spacing w:after="40"/>
            </w:pPr>
            <w:r>
              <w:rPr>
                <w:rFonts w:ascii="Times New Roman" w:hAnsi="Times New Roman"/>
                <w:b/>
                <w:i w:val="0"/>
                <w:sz w:val="17"/>
              </w:rPr>
              <w:t>Recomputed</w:t>
            </w:r>
          </w:p>
        </w:tc>
        <w:tc>
          <w:tcPr>
            <w:tcW w:type="dxa" w:w="1728"/>
            <w:shd w:val="clear" w:color="auto" w:fill="E8E8E8"/>
          </w:tcPr>
          <w:p>
            <w:pPr>
              <w:spacing w:after="40"/>
            </w:pPr>
            <w:r>
              <w:rPr>
                <w:rFonts w:ascii="Times New Roman" w:hAnsi="Times New Roman"/>
                <w:b/>
                <w:i w:val="0"/>
                <w:sz w:val="17"/>
              </w:rPr>
              <w:t>Result</w:t>
            </w:r>
          </w:p>
        </w:tc>
      </w:tr>
      <w:tr>
        <w:trPr>
          <w:cantSplit/>
        </w:trPr>
        <w:tc>
          <w:tcPr>
            <w:tcW w:type="dxa" w:w="2736"/>
          </w:tcPr>
          <w:p>
            <w:pPr>
              <w:spacing w:after="40"/>
            </w:pPr>
            <w:r>
              <w:rPr>
                <w:rFonts w:ascii="Times New Roman" w:hAnsi="Times New Roman"/>
                <w:b w:val="0"/>
                <w:i w:val="0"/>
                <w:sz w:val="17"/>
              </w:rPr>
              <w:t>Assessor's area</w:t>
            </w:r>
          </w:p>
        </w:tc>
        <w:tc>
          <w:tcPr>
            <w:tcW w:type="dxa" w:w="1440"/>
          </w:tcPr>
          <w:p>
            <w:pPr>
              <w:spacing w:after="40"/>
            </w:pPr>
            <w:r>
              <w:rPr>
                <w:rFonts w:ascii="Times New Roman" w:hAnsi="Times New Roman"/>
                <w:b w:val="0"/>
                <w:i w:val="0"/>
                <w:sz w:val="17"/>
              </w:rPr>
              <w:t>139,392 SF / 3.2 ac</w:t>
            </w:r>
          </w:p>
        </w:tc>
        <w:tc>
          <w:tcPr>
            <w:tcW w:type="dxa" w:w="3456"/>
          </w:tcPr>
          <w:p>
            <w:pPr>
              <w:spacing w:after="40"/>
            </w:pPr>
            <w:r>
              <w:rPr>
                <w:rFonts w:ascii="Times New Roman" w:hAnsi="Times New Roman"/>
                <w:b w:val="0"/>
                <w:i w:val="0"/>
                <w:sz w:val="17"/>
              </w:rPr>
              <w:t>Given</w:t>
            </w:r>
          </w:p>
        </w:tc>
        <w:tc>
          <w:tcPr>
            <w:tcW w:type="dxa" w:w="1728"/>
          </w:tcPr>
          <w:p>
            <w:pPr>
              <w:spacing w:after="40"/>
            </w:pPr>
            <w:r>
              <w:rPr>
                <w:rFonts w:ascii="Times New Roman" w:hAnsi="Times New Roman"/>
                <w:b w:val="0"/>
                <w:i w:val="0"/>
                <w:sz w:val="17"/>
              </w:rPr>
              <w:t>Basis of Base Rent</w:t>
            </w:r>
          </w:p>
        </w:tc>
      </w:tr>
      <w:tr>
        <w:trPr>
          <w:cantSplit/>
        </w:trPr>
        <w:tc>
          <w:tcPr>
            <w:tcW w:type="dxa" w:w="2736"/>
          </w:tcPr>
          <w:p>
            <w:pPr>
              <w:spacing w:after="40"/>
            </w:pPr>
            <w:r>
              <w:rPr>
                <w:rFonts w:ascii="Times New Roman" w:hAnsi="Times New Roman"/>
                <w:b w:val="0"/>
                <w:i w:val="0"/>
                <w:sz w:val="17"/>
              </w:rPr>
              <w:t>Survey description (courses and distances)</w:t>
            </w:r>
          </w:p>
        </w:tc>
        <w:tc>
          <w:tcPr>
            <w:tcW w:type="dxa" w:w="1440"/>
          </w:tcPr>
          <w:p>
            <w:pPr>
              <w:spacing w:after="40"/>
            </w:pPr>
            <w:r>
              <w:rPr>
                <w:rFonts w:ascii="Times New Roman" w:hAnsi="Times New Roman"/>
                <w:b w:val="0"/>
                <w:i w:val="0"/>
                <w:sz w:val="17"/>
              </w:rPr>
              <w:t>139,392 SF</w:t>
            </w:r>
          </w:p>
        </w:tc>
        <w:tc>
          <w:tcPr>
            <w:tcW w:type="dxa" w:w="3456"/>
          </w:tcPr>
          <w:p>
            <w:pPr>
              <w:spacing w:after="40"/>
            </w:pPr>
            <w:r>
              <w:rPr>
                <w:rFonts w:ascii="Times New Roman" w:hAnsi="Times New Roman"/>
                <w:b w:val="0"/>
                <w:i w:val="0"/>
                <w:sz w:val="17"/>
              </w:rPr>
              <w:t>Traverse closes exactly (0.00'); area = 139,474.95 SF / 3.2019 ac</w:t>
            </w:r>
          </w:p>
        </w:tc>
        <w:tc>
          <w:tcPr>
            <w:tcW w:type="dxa" w:w="1728"/>
          </w:tcPr>
          <w:p>
            <w:pPr>
              <w:spacing w:after="40"/>
            </w:pPr>
            <w:r>
              <w:rPr>
                <w:rFonts w:ascii="Times New Roman" w:hAnsi="Times New Roman"/>
                <w:b w:val="0"/>
                <w:i w:val="0"/>
                <w:sz w:val="17"/>
              </w:rPr>
              <w:t>+82.95 SF (+0.06%)</w:t>
            </w:r>
          </w:p>
        </w:tc>
      </w:tr>
      <w:tr>
        <w:trPr>
          <w:cantSplit/>
        </w:trPr>
        <w:tc>
          <w:tcPr>
            <w:tcW w:type="dxa" w:w="2736"/>
          </w:tcPr>
          <w:p>
            <w:pPr>
              <w:spacing w:after="40"/>
            </w:pPr>
            <w:r>
              <w:rPr>
                <w:rFonts w:ascii="Times New Roman" w:hAnsi="Times New Roman"/>
                <w:b w:val="0"/>
                <w:i w:val="0"/>
                <w:sz w:val="17"/>
              </w:rPr>
              <w:t>Title Commitment Exhibit A</w:t>
            </w:r>
          </w:p>
        </w:tc>
        <w:tc>
          <w:tcPr>
            <w:tcW w:type="dxa" w:w="1440"/>
          </w:tcPr>
          <w:p>
            <w:pPr>
              <w:spacing w:after="40"/>
            </w:pPr>
            <w:r>
              <w:rPr>
                <w:rFonts w:ascii="Times New Roman" w:hAnsi="Times New Roman"/>
                <w:b w:val="0"/>
                <w:i w:val="0"/>
                <w:sz w:val="17"/>
              </w:rPr>
              <w:t>[Recites] 139,392 SF</w:t>
            </w:r>
          </w:p>
        </w:tc>
        <w:tc>
          <w:tcPr>
            <w:tcW w:type="dxa" w:w="3456"/>
          </w:tcPr>
          <w:p>
            <w:pPr>
              <w:spacing w:after="40"/>
            </w:pPr>
            <w:r>
              <w:rPr>
                <w:rFonts w:ascii="Times New Roman" w:hAnsi="Times New Roman"/>
                <w:b w:val="0"/>
                <w:i w:val="0"/>
                <w:sz w:val="17"/>
              </w:rPr>
              <w:t>Traverse closes within 1.10'; area = 279,535 SF / 6.417 ac</w:t>
            </w:r>
          </w:p>
        </w:tc>
        <w:tc>
          <w:tcPr>
            <w:tcW w:type="dxa" w:w="1728"/>
          </w:tcPr>
          <w:p>
            <w:pPr>
              <w:spacing w:after="40"/>
            </w:pPr>
            <w:r>
              <w:rPr>
                <w:rFonts w:ascii="Times New Roman" w:hAnsi="Times New Roman"/>
                <w:b/>
                <w:i w:val="0"/>
                <w:sz w:val="17"/>
              </w:rPr>
              <w:t>+140,143 SF (+100.6%)</w:t>
            </w:r>
          </w:p>
        </w:tc>
      </w:tr>
      <w:tr>
        <w:trPr>
          <w:cantSplit/>
        </w:trPr>
        <w:tc>
          <w:tcPr>
            <w:tcW w:type="dxa" w:w="2736"/>
          </w:tcPr>
          <w:p>
            <w:pPr>
              <w:spacing w:after="40"/>
            </w:pPr>
            <w:r>
              <w:rPr>
                <w:rFonts w:ascii="Times New Roman" w:hAnsi="Times New Roman"/>
                <w:b w:val="0"/>
                <w:i w:val="0"/>
                <w:sz w:val="17"/>
              </w:rPr>
              <w:t>Title Commitment pit dimensions</w:t>
            </w:r>
          </w:p>
        </w:tc>
        <w:tc>
          <w:tcPr>
            <w:tcW w:type="dxa" w:w="1440"/>
          </w:tcPr>
          <w:p>
            <w:pPr>
              <w:spacing w:after="40"/>
            </w:pPr>
            <w:r>
              <w:rPr>
                <w:rFonts w:ascii="Times New Roman" w:hAnsi="Times New Roman"/>
                <w:b w:val="0"/>
                <w:i w:val="0"/>
                <w:sz w:val="17"/>
              </w:rPr>
              <w:t>Not stated</w:t>
            </w:r>
          </w:p>
        </w:tc>
        <w:tc>
          <w:tcPr>
            <w:tcW w:type="dxa" w:w="3456"/>
          </w:tcPr>
          <w:p>
            <w:pPr>
              <w:spacing w:after="40"/>
            </w:pPr>
            <w:r>
              <w:rPr>
                <w:rFonts w:ascii="Times New Roman" w:hAnsi="Times New Roman"/>
                <w:b w:val="0"/>
                <w:i w:val="0"/>
                <w:sz w:val="17"/>
              </w:rPr>
              <w:t>580.00' × 480.00' ≈ 278,400 SF</w:t>
            </w:r>
          </w:p>
        </w:tc>
        <w:tc>
          <w:tcPr>
            <w:tcW w:type="dxa" w:w="1728"/>
          </w:tcPr>
          <w:p>
            <w:pPr>
              <w:spacing w:after="40"/>
            </w:pPr>
            <w:r>
              <w:rPr>
                <w:rFonts w:ascii="Times New Roman" w:hAnsi="Times New Roman"/>
                <w:b w:val="0"/>
                <w:i w:val="0"/>
                <w:sz w:val="17"/>
              </w:rPr>
              <w:t>Consistent with 279,535 SF, not with 139,392 SF</w:t>
            </w:r>
          </w:p>
        </w:tc>
      </w:tr>
      <w:tr>
        <w:trPr>
          <w:cantSplit/>
        </w:trPr>
        <w:tc>
          <w:tcPr>
            <w:tcW w:type="dxa" w:w="2736"/>
          </w:tcPr>
          <w:p>
            <w:pPr>
              <w:spacing w:after="40"/>
            </w:pPr>
            <w:r>
              <w:rPr>
                <w:rFonts w:ascii="Times New Roman" w:hAnsi="Times New Roman"/>
                <w:b w:val="0"/>
                <w:i w:val="0"/>
                <w:sz w:val="17"/>
              </w:rPr>
              <w:t>Survey pit dimensions</w:t>
            </w:r>
          </w:p>
        </w:tc>
        <w:tc>
          <w:tcPr>
            <w:tcW w:type="dxa" w:w="1440"/>
          </w:tcPr>
          <w:p>
            <w:pPr>
              <w:spacing w:after="40"/>
            </w:pPr>
            <w:r>
              <w:rPr>
                <w:rFonts w:ascii="Times New Roman" w:hAnsi="Times New Roman"/>
                <w:b w:val="0"/>
                <w:i w:val="0"/>
                <w:sz w:val="17"/>
              </w:rPr>
              <w:t>Not stated</w:t>
            </w:r>
          </w:p>
        </w:tc>
        <w:tc>
          <w:tcPr>
            <w:tcW w:type="dxa" w:w="3456"/>
          </w:tcPr>
          <w:p>
            <w:pPr>
              <w:spacing w:after="40"/>
            </w:pPr>
            <w:r>
              <w:rPr>
                <w:rFonts w:ascii="Times New Roman" w:hAnsi="Times New Roman"/>
                <w:b w:val="0"/>
                <w:i w:val="0"/>
                <w:sz w:val="17"/>
              </w:rPr>
              <w:t>435.22' × 320.47' = 139,474.95 SF</w:t>
            </w:r>
          </w:p>
        </w:tc>
        <w:tc>
          <w:tcPr>
            <w:tcW w:type="dxa" w:w="1728"/>
          </w:tcPr>
          <w:p>
            <w:pPr>
              <w:spacing w:after="40"/>
            </w:pPr>
            <w:r>
              <w:rPr>
                <w:rFonts w:ascii="Times New Roman" w:hAnsi="Times New Roman"/>
                <w:b w:val="0"/>
                <w:i w:val="0"/>
                <w:sz w:val="17"/>
              </w:rPr>
              <w:t>Consistent with 3.2 acres</w:t>
            </w:r>
          </w:p>
        </w:tc>
      </w:tr>
      <w:tr>
        <w:trPr>
          <w:cantSplit/>
        </w:trPr>
        <w:tc>
          <w:tcPr>
            <w:tcW w:type="dxa" w:w="2736"/>
          </w:tcPr>
          <w:p>
            <w:pPr>
              <w:spacing w:after="40"/>
            </w:pPr>
            <w:r>
              <w:rPr>
                <w:rFonts w:ascii="Times New Roman" w:hAnsi="Times New Roman"/>
                <w:b w:val="0"/>
                <w:i w:val="0"/>
                <w:sz w:val="17"/>
              </w:rPr>
              <w:t>Waterfront bulkhead length</w:t>
            </w:r>
          </w:p>
        </w:tc>
        <w:tc>
          <w:tcPr>
            <w:tcW w:type="dxa" w:w="1440"/>
          </w:tcPr>
          <w:p>
            <w:pPr>
              <w:spacing w:after="40"/>
            </w:pPr>
            <w:r>
              <w:rPr>
                <w:rFonts w:ascii="Times New Roman" w:hAnsi="Times New Roman"/>
                <w:b w:val="0"/>
                <w:i w:val="0"/>
                <w:sz w:val="17"/>
              </w:rPr>
              <w:t>"approximately 480 linear feet"</w:t>
            </w:r>
          </w:p>
        </w:tc>
        <w:tc>
          <w:tcPr>
            <w:tcW w:type="dxa" w:w="3456"/>
          </w:tcPr>
          <w:p>
            <w:pPr>
              <w:spacing w:after="40"/>
            </w:pPr>
            <w:r>
              <w:rPr>
                <w:rFonts w:ascii="Times New Roman" w:hAnsi="Times New Roman"/>
                <w:b w:val="0"/>
                <w:i w:val="0"/>
                <w:sz w:val="17"/>
              </w:rPr>
              <w:t>Survey east boundary = 320.47'</w:t>
            </w:r>
          </w:p>
        </w:tc>
        <w:tc>
          <w:tcPr>
            <w:tcW w:type="dxa" w:w="1728"/>
          </w:tcPr>
          <w:p>
            <w:pPr>
              <w:spacing w:after="40"/>
            </w:pPr>
            <w:r>
              <w:rPr>
                <w:rFonts w:ascii="Times New Roman" w:hAnsi="Times New Roman"/>
                <w:b/>
                <w:i w:val="0"/>
                <w:sz w:val="17"/>
              </w:rPr>
              <w:t>−159.53' (−33.2%)</w:t>
            </w:r>
          </w:p>
        </w:tc>
      </w:tr>
      <w:tr>
        <w:trPr>
          <w:cantSplit/>
        </w:trPr>
        <w:tc>
          <w:tcPr>
            <w:tcW w:type="dxa" w:w="2736"/>
          </w:tcPr>
          <w:p>
            <w:pPr>
              <w:spacing w:after="40"/>
            </w:pPr>
            <w:r>
              <w:rPr>
                <w:rFonts w:ascii="Times New Roman" w:hAnsi="Times New Roman"/>
                <w:b w:val="0"/>
                <w:i w:val="0"/>
                <w:sz w:val="17"/>
              </w:rPr>
              <w:t>Public pedestrian easement area</w:t>
            </w:r>
          </w:p>
        </w:tc>
        <w:tc>
          <w:tcPr>
            <w:tcW w:type="dxa" w:w="1440"/>
          </w:tcPr>
          <w:p>
            <w:pPr>
              <w:spacing w:after="40"/>
            </w:pPr>
            <w:r>
              <w:rPr>
                <w:rFonts w:ascii="Times New Roman" w:hAnsi="Times New Roman"/>
                <w:b w:val="0"/>
                <w:i w:val="0"/>
                <w:sz w:val="17"/>
              </w:rPr>
              <w:t>7,200 SF</w:t>
            </w:r>
          </w:p>
        </w:tc>
        <w:tc>
          <w:tcPr>
            <w:tcW w:type="dxa" w:w="3456"/>
          </w:tcPr>
          <w:p>
            <w:pPr>
              <w:spacing w:after="40"/>
            </w:pPr>
            <w:r>
              <w:rPr>
                <w:rFonts w:ascii="Times New Roman" w:hAnsi="Times New Roman"/>
                <w:b w:val="0"/>
                <w:i w:val="0"/>
                <w:sz w:val="17"/>
              </w:rPr>
              <w:t>(15' × 480') = 7,200 stated; (15' × 320.47') = 4,807 computed</w:t>
            </w:r>
          </w:p>
        </w:tc>
        <w:tc>
          <w:tcPr>
            <w:tcW w:type="dxa" w:w="1728"/>
          </w:tcPr>
          <w:p>
            <w:pPr>
              <w:spacing w:after="40"/>
            </w:pPr>
            <w:r>
              <w:rPr>
                <w:rFonts w:ascii="Times New Roman" w:hAnsi="Times New Roman"/>
                <w:b/>
                <w:i w:val="0"/>
                <w:sz w:val="17"/>
              </w:rPr>
              <w:t>−2,393 SF</w:t>
            </w:r>
            <w:r>
              <w:rPr>
                <w:rFonts w:ascii="Times New Roman" w:hAnsi="Times New Roman"/>
                <w:b w:val="0"/>
                <w:i w:val="0"/>
                <w:sz w:val="17"/>
              </w:rPr>
              <w:t xml:space="preserve"> on the surveyed boundary</w:t>
            </w:r>
          </w:p>
        </w:tc>
      </w:tr>
      <w:tr>
        <w:trPr>
          <w:cantSplit/>
        </w:trPr>
        <w:tc>
          <w:tcPr>
            <w:tcW w:type="dxa" w:w="2736"/>
          </w:tcPr>
          <w:p>
            <w:pPr>
              <w:spacing w:after="40"/>
            </w:pPr>
            <w:r>
              <w:rPr>
                <w:rFonts w:ascii="Times New Roman" w:hAnsi="Times New Roman"/>
                <w:b w:val="0"/>
                <w:i w:val="0"/>
                <w:sz w:val="17"/>
              </w:rPr>
              <w:t>Public utility easement area</w:t>
            </w:r>
          </w:p>
        </w:tc>
        <w:tc>
          <w:tcPr>
            <w:tcW w:type="dxa" w:w="1440"/>
          </w:tcPr>
          <w:p>
            <w:pPr>
              <w:spacing w:after="40"/>
            </w:pPr>
            <w:r>
              <w:rPr>
                <w:rFonts w:ascii="Times New Roman" w:hAnsi="Times New Roman"/>
                <w:b w:val="0"/>
                <w:i w:val="0"/>
                <w:sz w:val="17"/>
              </w:rPr>
              <w:t>Not stated</w:t>
            </w:r>
          </w:p>
        </w:tc>
        <w:tc>
          <w:tcPr>
            <w:tcW w:type="dxa" w:w="3456"/>
          </w:tcPr>
          <w:p>
            <w:pPr>
              <w:spacing w:after="40"/>
            </w:pPr>
            <w:r>
              <w:rPr>
                <w:rFonts w:ascii="Times New Roman" w:hAnsi="Times New Roman"/>
                <w:b w:val="0"/>
                <w:i w:val="0"/>
                <w:sz w:val="17"/>
              </w:rPr>
              <w:t>(20' × 435.22') = 8,704 SF</w:t>
            </w:r>
          </w:p>
        </w:tc>
        <w:tc>
          <w:tcPr>
            <w:tcW w:type="dxa" w:w="1728"/>
          </w:tcPr>
          <w:p>
            <w:pPr>
              <w:spacing w:after="40"/>
            </w:pPr>
            <w:r>
              <w:rPr>
                <w:rFonts w:ascii="Times New Roman" w:hAnsi="Times New Roman"/>
                <w:b w:val="0"/>
                <w:i w:val="0"/>
                <w:sz w:val="17"/>
              </w:rPr>
              <w:t>Consistent with the 435' frontage</w:t>
            </w:r>
          </w:p>
        </w:tc>
      </w:tr>
    </w:tbl>
    <w:p>
      <w:pPr>
        <w:spacing w:after="40"/>
      </w:pPr>
    </w:p>
    <w:p>
      <w:pPr>
        <w:jc w:val="both"/>
      </w:pPr>
      <w:r>
        <w:rPr>
          <w:rFonts w:ascii="Times New Roman" w:hAnsi="Times New Roman"/>
          <w:b w:val="0"/>
          <w:i w:val="0"/>
          <w:sz w:val="21"/>
        </w:rPr>
        <w:t>The Title Commitment's Exhibit A cannot be used. It describes a different and larger parcel, and its recital of 139,392 square feet is inconsistent with its own courses and distances by a factor of two. The draft adopts the surveyed description, confirms it to a closure error of zero, and states in Section 2.1 that it supersedes the Title Commitment's description. See Items 14–17.</w:t>
      </w:r>
    </w:p>
    <w:p>
      <w:pPr>
        <w:keepNext/>
        <w:spacing w:before="200" w:after="80"/>
        <w:jc w:val="left"/>
      </w:pPr>
      <w:r>
        <w:rPr>
          <w:rFonts w:ascii="Times New Roman" w:hAnsi="Times New Roman"/>
          <w:b/>
          <w:i w:val="0"/>
          <w:sz w:val="21"/>
        </w:rPr>
        <w:t>4.6 Dates</w:t>
      </w:r>
    </w:p>
    <w:tbl>
      <w:tblPr>
        <w:tblStyle w:val="TableGrid"/>
        <w:tblW w:type="dxa" w:w="9360"/>
        <w:jc w:val="center"/>
        <w:tblLayout w:type="fixed"/>
        <w:tblLook w:firstColumn="1" w:firstRow="1" w:lastColumn="0" w:lastRow="0" w:noHBand="0" w:noVBand="1" w:val="04A0"/>
        <w:tblLayout w:type="fixed"/>
      </w:tblPr>
      <w:tblGrid>
        <w:gridCol w:w="3024"/>
        <w:gridCol w:w="1872"/>
        <w:gridCol w:w="1872"/>
        <w:gridCol w:w="2592"/>
      </w:tblGrid>
      <w:tr>
        <w:trPr>
          <w:tblHeader/>
        </w:trPr>
        <w:tc>
          <w:tcPr>
            <w:tcW w:type="dxa" w:w="3024"/>
            <w:shd w:val="clear" w:color="auto" w:fill="E8E8E8"/>
          </w:tcPr>
          <w:p>
            <w:pPr>
              <w:spacing w:after="40"/>
            </w:pPr>
            <w:r>
              <w:rPr>
                <w:rFonts w:ascii="Times New Roman" w:hAnsi="Times New Roman"/>
                <w:b/>
                <w:i w:val="0"/>
                <w:sz w:val="17"/>
              </w:rPr>
              <w:t>Event</w:t>
            </w:r>
          </w:p>
        </w:tc>
        <w:tc>
          <w:tcPr>
            <w:tcW w:type="dxa" w:w="1872"/>
            <w:shd w:val="clear" w:color="auto" w:fill="E8E8E8"/>
          </w:tcPr>
          <w:p>
            <w:pPr>
              <w:spacing w:after="40"/>
            </w:pPr>
            <w:r>
              <w:rPr>
                <w:rFonts w:ascii="Times New Roman" w:hAnsi="Times New Roman"/>
                <w:b/>
                <w:i w:val="0"/>
                <w:sz w:val="17"/>
              </w:rPr>
              <w:t>Source</w:t>
            </w:r>
          </w:p>
        </w:tc>
        <w:tc>
          <w:tcPr>
            <w:tcW w:type="dxa" w:w="1872"/>
            <w:shd w:val="clear" w:color="auto" w:fill="E8E8E8"/>
          </w:tcPr>
          <w:p>
            <w:pPr>
              <w:spacing w:after="40"/>
            </w:pPr>
            <w:r>
              <w:rPr>
                <w:rFonts w:ascii="Times New Roman" w:hAnsi="Times New Roman"/>
                <w:b/>
                <w:i w:val="0"/>
                <w:sz w:val="17"/>
              </w:rPr>
              <w:t>Date</w:t>
            </w:r>
          </w:p>
        </w:tc>
        <w:tc>
          <w:tcPr>
            <w:tcW w:type="dxa" w:w="2592"/>
            <w:shd w:val="clear" w:color="auto" w:fill="E8E8E8"/>
          </w:tcPr>
          <w:p>
            <w:pPr>
              <w:spacing w:after="40"/>
            </w:pPr>
            <w:r>
              <w:rPr>
                <w:rFonts w:ascii="Times New Roman" w:hAnsi="Times New Roman"/>
                <w:b/>
                <w:i w:val="0"/>
                <w:sz w:val="17"/>
              </w:rPr>
              <w:t>Months from commencement</w:t>
            </w:r>
          </w:p>
        </w:tc>
      </w:tr>
      <w:tr>
        <w:trPr>
          <w:cantSplit/>
        </w:trPr>
        <w:tc>
          <w:tcPr>
            <w:tcW w:type="dxa" w:w="3024"/>
          </w:tcPr>
          <w:p>
            <w:pPr>
              <w:spacing w:after="40"/>
            </w:pPr>
            <w:r>
              <w:rPr>
                <w:rFonts w:ascii="Times New Roman" w:hAnsi="Times New Roman"/>
                <w:b w:val="0"/>
                <w:i w:val="0"/>
                <w:sz w:val="17"/>
              </w:rPr>
              <w:t>Target Commencement Date</w:t>
            </w:r>
          </w:p>
        </w:tc>
        <w:tc>
          <w:tcPr>
            <w:tcW w:type="dxa" w:w="1872"/>
          </w:tcPr>
          <w:p>
            <w:pPr>
              <w:spacing w:after="40"/>
            </w:pPr>
            <w:r>
              <w:rPr>
                <w:rFonts w:ascii="Times New Roman" w:hAnsi="Times New Roman"/>
                <w:b w:val="0"/>
                <w:i w:val="0"/>
                <w:sz w:val="17"/>
              </w:rPr>
              <w:t>Term Sheet §3</w:t>
            </w:r>
          </w:p>
        </w:tc>
        <w:tc>
          <w:tcPr>
            <w:tcW w:type="dxa" w:w="1872"/>
          </w:tcPr>
          <w:p>
            <w:pPr>
              <w:spacing w:after="40"/>
            </w:pPr>
            <w:r>
              <w:rPr>
                <w:rFonts w:ascii="Times New Roman" w:hAnsi="Times New Roman"/>
                <w:b w:val="0"/>
                <w:i w:val="0"/>
                <w:sz w:val="17"/>
              </w:rPr>
              <w:t>October 1, 2025</w:t>
            </w:r>
          </w:p>
        </w:tc>
        <w:tc>
          <w:tcPr>
            <w:tcW w:type="dxa" w:w="2592"/>
          </w:tcPr>
          <w:p>
            <w:pPr>
              <w:spacing w:after="40"/>
            </w:pPr>
            <w:r>
              <w:rPr>
                <w:rFonts w:ascii="Times New Roman" w:hAnsi="Times New Roman"/>
                <w:b w:val="0"/>
                <w:i w:val="0"/>
                <w:sz w:val="17"/>
              </w:rPr>
              <w:t>0</w:t>
            </w:r>
          </w:p>
        </w:tc>
      </w:tr>
      <w:tr>
        <w:trPr>
          <w:cantSplit/>
        </w:trPr>
        <w:tc>
          <w:tcPr>
            <w:tcW w:type="dxa" w:w="3024"/>
          </w:tcPr>
          <w:p>
            <w:pPr>
              <w:spacing w:after="40"/>
            </w:pPr>
            <w:r>
              <w:rPr>
                <w:rFonts w:ascii="Times New Roman" w:hAnsi="Times New Roman"/>
                <w:b w:val="0"/>
                <w:i w:val="0"/>
                <w:sz w:val="17"/>
              </w:rPr>
              <w:t>Milestone 1 — commencement of construction</w:t>
            </w:r>
          </w:p>
        </w:tc>
        <w:tc>
          <w:tcPr>
            <w:tcW w:type="dxa" w:w="1872"/>
          </w:tcPr>
          <w:p>
            <w:pPr>
              <w:spacing w:after="40"/>
            </w:pPr>
            <w:r>
              <w:rPr>
                <w:rFonts w:ascii="Times New Roman" w:hAnsi="Times New Roman"/>
                <w:b w:val="0"/>
                <w:i w:val="0"/>
                <w:sz w:val="17"/>
              </w:rPr>
              <w:t>Term Sheet §9</w:t>
            </w:r>
          </w:p>
        </w:tc>
        <w:tc>
          <w:tcPr>
            <w:tcW w:type="dxa" w:w="1872"/>
          </w:tcPr>
          <w:p>
            <w:pPr>
              <w:spacing w:after="40"/>
            </w:pPr>
            <w:r>
              <w:rPr>
                <w:rFonts w:ascii="Times New Roman" w:hAnsi="Times New Roman"/>
                <w:b w:val="0"/>
                <w:i w:val="0"/>
                <w:sz w:val="17"/>
              </w:rPr>
              <w:t>April 1, 2027</w:t>
            </w:r>
          </w:p>
        </w:tc>
        <w:tc>
          <w:tcPr>
            <w:tcW w:type="dxa" w:w="2592"/>
          </w:tcPr>
          <w:p>
            <w:pPr>
              <w:spacing w:after="40"/>
            </w:pPr>
            <w:r>
              <w:rPr>
                <w:rFonts w:ascii="Times New Roman" w:hAnsi="Times New Roman"/>
                <w:b w:val="0"/>
                <w:i w:val="0"/>
                <w:sz w:val="17"/>
              </w:rPr>
              <w:t>18</w:t>
            </w:r>
          </w:p>
        </w:tc>
      </w:tr>
      <w:tr>
        <w:trPr>
          <w:cantSplit/>
        </w:trPr>
        <w:tc>
          <w:tcPr>
            <w:tcW w:type="dxa" w:w="3024"/>
          </w:tcPr>
          <w:p>
            <w:pPr>
              <w:spacing w:after="40"/>
            </w:pPr>
            <w:r>
              <w:rPr>
                <w:rFonts w:ascii="Times New Roman" w:hAnsi="Times New Roman"/>
                <w:b w:val="0"/>
                <w:i w:val="0"/>
                <w:sz w:val="17"/>
              </w:rPr>
              <w:t>Rent Commencement (outside date)</w:t>
            </w:r>
          </w:p>
        </w:tc>
        <w:tc>
          <w:tcPr>
            <w:tcW w:type="dxa" w:w="1872"/>
          </w:tcPr>
          <w:p>
            <w:pPr>
              <w:spacing w:after="40"/>
            </w:pPr>
            <w:r>
              <w:rPr>
                <w:rFonts w:ascii="Times New Roman" w:hAnsi="Times New Roman"/>
                <w:b w:val="0"/>
                <w:i w:val="0"/>
                <w:sz w:val="17"/>
              </w:rPr>
              <w:t>Term Sheet §3</w:t>
            </w:r>
          </w:p>
        </w:tc>
        <w:tc>
          <w:tcPr>
            <w:tcW w:type="dxa" w:w="1872"/>
          </w:tcPr>
          <w:p>
            <w:pPr>
              <w:spacing w:after="40"/>
            </w:pPr>
            <w:r>
              <w:rPr>
                <w:rFonts w:ascii="Times New Roman" w:hAnsi="Times New Roman"/>
                <w:b w:val="0"/>
                <w:i w:val="0"/>
                <w:sz w:val="17"/>
              </w:rPr>
              <w:t>October 1, 2028</w:t>
            </w:r>
          </w:p>
        </w:tc>
        <w:tc>
          <w:tcPr>
            <w:tcW w:type="dxa" w:w="2592"/>
          </w:tcPr>
          <w:p>
            <w:pPr>
              <w:spacing w:after="40"/>
            </w:pPr>
            <w:r>
              <w:rPr>
                <w:rFonts w:ascii="Times New Roman" w:hAnsi="Times New Roman"/>
                <w:b w:val="0"/>
                <w:i w:val="0"/>
                <w:sz w:val="17"/>
              </w:rPr>
              <w:t>36</w:t>
            </w:r>
          </w:p>
        </w:tc>
      </w:tr>
      <w:tr>
        <w:trPr>
          <w:cantSplit/>
        </w:trPr>
        <w:tc>
          <w:tcPr>
            <w:tcW w:type="dxa" w:w="3024"/>
          </w:tcPr>
          <w:p>
            <w:pPr>
              <w:spacing w:after="40"/>
            </w:pPr>
            <w:r>
              <w:rPr>
                <w:rFonts w:ascii="Times New Roman" w:hAnsi="Times New Roman"/>
                <w:b w:val="0"/>
                <w:i w:val="0"/>
                <w:sz w:val="17"/>
              </w:rPr>
              <w:t>Milestone 2 — structural frame</w:t>
            </w:r>
          </w:p>
        </w:tc>
        <w:tc>
          <w:tcPr>
            <w:tcW w:type="dxa" w:w="1872"/>
          </w:tcPr>
          <w:p>
            <w:pPr>
              <w:spacing w:after="40"/>
            </w:pPr>
            <w:r>
              <w:rPr>
                <w:rFonts w:ascii="Times New Roman" w:hAnsi="Times New Roman"/>
                <w:b w:val="0"/>
                <w:i w:val="0"/>
                <w:sz w:val="17"/>
              </w:rPr>
              <w:t>Term Sheet §9</w:t>
            </w:r>
          </w:p>
        </w:tc>
        <w:tc>
          <w:tcPr>
            <w:tcW w:type="dxa" w:w="1872"/>
          </w:tcPr>
          <w:p>
            <w:pPr>
              <w:spacing w:after="40"/>
            </w:pPr>
            <w:r>
              <w:rPr>
                <w:rFonts w:ascii="Times New Roman" w:hAnsi="Times New Roman"/>
                <w:b w:val="0"/>
                <w:i w:val="0"/>
                <w:sz w:val="17"/>
              </w:rPr>
              <w:t>April 1, 2029</w:t>
            </w:r>
          </w:p>
        </w:tc>
        <w:tc>
          <w:tcPr>
            <w:tcW w:type="dxa" w:w="2592"/>
          </w:tcPr>
          <w:p>
            <w:pPr>
              <w:spacing w:after="40"/>
            </w:pPr>
            <w:r>
              <w:rPr>
                <w:rFonts w:ascii="Times New Roman" w:hAnsi="Times New Roman"/>
                <w:b w:val="0"/>
                <w:i w:val="0"/>
                <w:sz w:val="17"/>
              </w:rPr>
              <w:t>42</w:t>
            </w:r>
          </w:p>
        </w:tc>
      </w:tr>
      <w:tr>
        <w:trPr>
          <w:cantSplit/>
        </w:trPr>
        <w:tc>
          <w:tcPr>
            <w:tcW w:type="dxa" w:w="3024"/>
          </w:tcPr>
          <w:p>
            <w:pPr>
              <w:spacing w:after="40"/>
            </w:pPr>
            <w:r>
              <w:rPr>
                <w:rFonts w:ascii="Times New Roman" w:hAnsi="Times New Roman"/>
                <w:b/>
                <w:i w:val="0"/>
                <w:sz w:val="17"/>
              </w:rPr>
              <w:t>Construction loan initial maturity</w:t>
            </w:r>
          </w:p>
        </w:tc>
        <w:tc>
          <w:tcPr>
            <w:tcW w:type="dxa" w:w="1872"/>
          </w:tcPr>
          <w:p>
            <w:pPr>
              <w:spacing w:after="40"/>
            </w:pPr>
            <w:r>
              <w:rPr>
                <w:rFonts w:ascii="Times New Roman" w:hAnsi="Times New Roman"/>
                <w:b w:val="0"/>
                <w:i w:val="0"/>
                <w:sz w:val="17"/>
              </w:rPr>
              <w:t>Loan TS §2</w:t>
            </w:r>
          </w:p>
        </w:tc>
        <w:tc>
          <w:tcPr>
            <w:tcW w:type="dxa" w:w="1872"/>
          </w:tcPr>
          <w:p>
            <w:pPr>
              <w:spacing w:after="40"/>
            </w:pPr>
            <w:r>
              <w:rPr>
                <w:rFonts w:ascii="Times New Roman" w:hAnsi="Times New Roman"/>
                <w:b/>
                <w:i w:val="0"/>
                <w:sz w:val="17"/>
              </w:rPr>
              <w:t>October 1, 2029</w:t>
            </w:r>
          </w:p>
        </w:tc>
        <w:tc>
          <w:tcPr>
            <w:tcW w:type="dxa" w:w="2592"/>
          </w:tcPr>
          <w:p>
            <w:pPr>
              <w:spacing w:after="40"/>
            </w:pPr>
            <w:r>
              <w:rPr>
                <w:rFonts w:ascii="Times New Roman" w:hAnsi="Times New Roman"/>
                <w:b w:val="0"/>
                <w:i w:val="0"/>
                <w:sz w:val="17"/>
              </w:rPr>
              <w:t>48</w:t>
            </w:r>
          </w:p>
        </w:tc>
      </w:tr>
      <w:tr>
        <w:trPr>
          <w:cantSplit/>
        </w:trPr>
        <w:tc>
          <w:tcPr>
            <w:tcW w:type="dxa" w:w="3024"/>
          </w:tcPr>
          <w:p>
            <w:pPr>
              <w:spacing w:after="40"/>
            </w:pPr>
            <w:r>
              <w:rPr>
                <w:rFonts w:ascii="Times New Roman" w:hAnsi="Times New Roman"/>
                <w:b w:val="0"/>
                <w:i w:val="0"/>
                <w:sz w:val="17"/>
              </w:rPr>
              <w:t>Milestone 3 — Phase 1 substantial completion</w:t>
            </w:r>
          </w:p>
        </w:tc>
        <w:tc>
          <w:tcPr>
            <w:tcW w:type="dxa" w:w="1872"/>
          </w:tcPr>
          <w:p>
            <w:pPr>
              <w:spacing w:after="40"/>
            </w:pPr>
            <w:r>
              <w:rPr>
                <w:rFonts w:ascii="Times New Roman" w:hAnsi="Times New Roman"/>
                <w:b w:val="0"/>
                <w:i w:val="0"/>
                <w:sz w:val="17"/>
              </w:rPr>
              <w:t>Term Sheet §9</w:t>
            </w:r>
          </w:p>
        </w:tc>
        <w:tc>
          <w:tcPr>
            <w:tcW w:type="dxa" w:w="1872"/>
          </w:tcPr>
          <w:p>
            <w:pPr>
              <w:spacing w:after="40"/>
            </w:pPr>
            <w:r>
              <w:rPr>
                <w:rFonts w:ascii="Times New Roman" w:hAnsi="Times New Roman"/>
                <w:b w:val="0"/>
                <w:i w:val="0"/>
                <w:sz w:val="17"/>
              </w:rPr>
              <w:t>October 1, 2030</w:t>
            </w:r>
          </w:p>
        </w:tc>
        <w:tc>
          <w:tcPr>
            <w:tcW w:type="dxa" w:w="2592"/>
          </w:tcPr>
          <w:p>
            <w:pPr>
              <w:spacing w:after="40"/>
            </w:pPr>
            <w:r>
              <w:rPr>
                <w:rFonts w:ascii="Times New Roman" w:hAnsi="Times New Roman"/>
                <w:b w:val="0"/>
                <w:i w:val="0"/>
                <w:sz w:val="17"/>
              </w:rPr>
              <w:t>60</w:t>
            </w:r>
          </w:p>
        </w:tc>
      </w:tr>
      <w:tr>
        <w:trPr>
          <w:cantSplit/>
        </w:trPr>
        <w:tc>
          <w:tcPr>
            <w:tcW w:type="dxa" w:w="3024"/>
          </w:tcPr>
          <w:p>
            <w:pPr>
              <w:spacing w:after="40"/>
            </w:pPr>
            <w:r>
              <w:rPr>
                <w:rFonts w:ascii="Times New Roman" w:hAnsi="Times New Roman"/>
                <w:b/>
                <w:i w:val="0"/>
                <w:sz w:val="17"/>
              </w:rPr>
              <w:t>Construction loan extended maturity</w:t>
            </w:r>
          </w:p>
        </w:tc>
        <w:tc>
          <w:tcPr>
            <w:tcW w:type="dxa" w:w="1872"/>
          </w:tcPr>
          <w:p>
            <w:pPr>
              <w:spacing w:after="40"/>
            </w:pPr>
            <w:r>
              <w:rPr>
                <w:rFonts w:ascii="Times New Roman" w:hAnsi="Times New Roman"/>
                <w:b w:val="0"/>
                <w:i w:val="0"/>
                <w:sz w:val="17"/>
              </w:rPr>
              <w:t>Loan TS §2</w:t>
            </w:r>
          </w:p>
        </w:tc>
        <w:tc>
          <w:tcPr>
            <w:tcW w:type="dxa" w:w="1872"/>
          </w:tcPr>
          <w:p>
            <w:pPr>
              <w:spacing w:after="40"/>
            </w:pPr>
            <w:r>
              <w:rPr>
                <w:rFonts w:ascii="Times New Roman" w:hAnsi="Times New Roman"/>
                <w:b/>
                <w:i w:val="0"/>
                <w:sz w:val="17"/>
              </w:rPr>
              <w:t>October 1, 2030</w:t>
            </w:r>
          </w:p>
        </w:tc>
        <w:tc>
          <w:tcPr>
            <w:tcW w:type="dxa" w:w="2592"/>
          </w:tcPr>
          <w:p>
            <w:pPr>
              <w:spacing w:after="40"/>
            </w:pPr>
            <w:r>
              <w:rPr>
                <w:rFonts w:ascii="Times New Roman" w:hAnsi="Times New Roman"/>
                <w:b w:val="0"/>
                <w:i w:val="0"/>
                <w:sz w:val="17"/>
              </w:rPr>
              <w:t>60</w:t>
            </w:r>
          </w:p>
        </w:tc>
      </w:tr>
      <w:tr>
        <w:trPr>
          <w:cantSplit/>
        </w:trPr>
        <w:tc>
          <w:tcPr>
            <w:tcW w:type="dxa" w:w="3024"/>
          </w:tcPr>
          <w:p>
            <w:pPr>
              <w:spacing w:after="40"/>
            </w:pPr>
            <w:r>
              <w:rPr>
                <w:rFonts w:ascii="Times New Roman" w:hAnsi="Times New Roman"/>
                <w:b w:val="0"/>
                <w:i w:val="0"/>
                <w:sz w:val="17"/>
              </w:rPr>
              <w:t>Milestone 4 — Phase 2 substantial completion</w:t>
            </w:r>
          </w:p>
        </w:tc>
        <w:tc>
          <w:tcPr>
            <w:tcW w:type="dxa" w:w="1872"/>
          </w:tcPr>
          <w:p>
            <w:pPr>
              <w:spacing w:after="40"/>
            </w:pPr>
            <w:r>
              <w:rPr>
                <w:rFonts w:ascii="Times New Roman" w:hAnsi="Times New Roman"/>
                <w:b w:val="0"/>
                <w:i w:val="0"/>
                <w:sz w:val="17"/>
              </w:rPr>
              <w:t>Term Sheet §9</w:t>
            </w:r>
          </w:p>
        </w:tc>
        <w:tc>
          <w:tcPr>
            <w:tcW w:type="dxa" w:w="1872"/>
          </w:tcPr>
          <w:p>
            <w:pPr>
              <w:spacing w:after="40"/>
            </w:pPr>
            <w:r>
              <w:rPr>
                <w:rFonts w:ascii="Times New Roman" w:hAnsi="Times New Roman"/>
                <w:b w:val="0"/>
                <w:i w:val="0"/>
                <w:sz w:val="17"/>
              </w:rPr>
              <w:t>October 1, 2032</w:t>
            </w:r>
          </w:p>
        </w:tc>
        <w:tc>
          <w:tcPr>
            <w:tcW w:type="dxa" w:w="2592"/>
          </w:tcPr>
          <w:p>
            <w:pPr>
              <w:spacing w:after="40"/>
            </w:pPr>
            <w:r>
              <w:rPr>
                <w:rFonts w:ascii="Times New Roman" w:hAnsi="Times New Roman"/>
                <w:b w:val="0"/>
                <w:i w:val="0"/>
                <w:sz w:val="17"/>
              </w:rPr>
              <w:t>84</w:t>
            </w:r>
          </w:p>
        </w:tc>
      </w:tr>
      <w:tr>
        <w:trPr>
          <w:cantSplit/>
        </w:trPr>
        <w:tc>
          <w:tcPr>
            <w:tcW w:type="dxa" w:w="3024"/>
          </w:tcPr>
          <w:p>
            <w:pPr>
              <w:spacing w:after="40"/>
            </w:pPr>
            <w:r>
              <w:rPr>
                <w:rFonts w:ascii="Times New Roman" w:hAnsi="Times New Roman"/>
                <w:b w:val="0"/>
                <w:i w:val="0"/>
                <w:sz w:val="17"/>
              </w:rPr>
              <w:t>End of twenty-year ROFR period</w:t>
            </w:r>
          </w:p>
        </w:tc>
        <w:tc>
          <w:tcPr>
            <w:tcW w:type="dxa" w:w="1872"/>
          </w:tcPr>
          <w:p>
            <w:pPr>
              <w:spacing w:after="40"/>
            </w:pPr>
            <w:r>
              <w:rPr>
                <w:rFonts w:ascii="Times New Roman" w:hAnsi="Times New Roman"/>
                <w:b w:val="0"/>
                <w:i w:val="0"/>
                <w:sz w:val="17"/>
              </w:rPr>
              <w:t>Term Sheet §11</w:t>
            </w:r>
          </w:p>
        </w:tc>
        <w:tc>
          <w:tcPr>
            <w:tcW w:type="dxa" w:w="1872"/>
          </w:tcPr>
          <w:p>
            <w:pPr>
              <w:spacing w:after="40"/>
            </w:pPr>
            <w:r>
              <w:rPr>
                <w:rFonts w:ascii="Times New Roman" w:hAnsi="Times New Roman"/>
                <w:b w:val="0"/>
                <w:i w:val="0"/>
                <w:sz w:val="17"/>
              </w:rPr>
              <w:t>September 30, 2045</w:t>
            </w:r>
          </w:p>
        </w:tc>
        <w:tc>
          <w:tcPr>
            <w:tcW w:type="dxa" w:w="2592"/>
          </w:tcPr>
          <w:p>
            <w:pPr>
              <w:spacing w:after="40"/>
            </w:pPr>
            <w:r>
              <w:rPr>
                <w:rFonts w:ascii="Times New Roman" w:hAnsi="Times New Roman"/>
                <w:b w:val="0"/>
                <w:i w:val="0"/>
                <w:sz w:val="17"/>
              </w:rPr>
              <w:t>240</w:t>
            </w:r>
          </w:p>
        </w:tc>
      </w:tr>
      <w:tr>
        <w:trPr>
          <w:cantSplit/>
        </w:trPr>
        <w:tc>
          <w:tcPr>
            <w:tcW w:type="dxa" w:w="3024"/>
          </w:tcPr>
          <w:p>
            <w:pPr>
              <w:spacing w:after="40"/>
            </w:pPr>
            <w:r>
              <w:rPr>
                <w:rFonts w:ascii="Times New Roman" w:hAnsi="Times New Roman"/>
                <w:b w:val="0"/>
                <w:i w:val="0"/>
                <w:sz w:val="17"/>
              </w:rPr>
              <w:t>End of Abatement Period (draft structure)</w:t>
            </w:r>
          </w:p>
        </w:tc>
        <w:tc>
          <w:tcPr>
            <w:tcW w:type="dxa" w:w="1872"/>
          </w:tcPr>
          <w:p>
            <w:pPr>
              <w:spacing w:after="40"/>
            </w:pPr>
            <w:r>
              <w:rPr>
                <w:rFonts w:ascii="Times New Roman" w:hAnsi="Times New Roman"/>
                <w:b w:val="0"/>
                <w:i w:val="0"/>
                <w:sz w:val="17"/>
              </w:rPr>
              <w:t>Section 6.2</w:t>
            </w:r>
          </w:p>
        </w:tc>
        <w:tc>
          <w:tcPr>
            <w:tcW w:type="dxa" w:w="1872"/>
          </w:tcPr>
          <w:p>
            <w:pPr>
              <w:spacing w:after="40"/>
            </w:pPr>
            <w:r>
              <w:rPr>
                <w:rFonts w:ascii="Times New Roman" w:hAnsi="Times New Roman"/>
                <w:b w:val="0"/>
                <w:i w:val="0"/>
                <w:sz w:val="17"/>
              </w:rPr>
              <w:t>September 30, 2043</w:t>
            </w:r>
          </w:p>
        </w:tc>
        <w:tc>
          <w:tcPr>
            <w:tcW w:type="dxa" w:w="2592"/>
          </w:tcPr>
          <w:p>
            <w:pPr>
              <w:spacing w:after="40"/>
            </w:pPr>
            <w:r>
              <w:rPr>
                <w:rFonts w:ascii="Times New Roman" w:hAnsi="Times New Roman"/>
                <w:b w:val="0"/>
                <w:i w:val="0"/>
                <w:sz w:val="17"/>
              </w:rPr>
              <w:t>216</w:t>
            </w:r>
          </w:p>
        </w:tc>
      </w:tr>
      <w:tr>
        <w:trPr>
          <w:cantSplit/>
        </w:trPr>
        <w:tc>
          <w:tcPr>
            <w:tcW w:type="dxa" w:w="3024"/>
          </w:tcPr>
          <w:p>
            <w:pPr>
              <w:spacing w:after="40"/>
            </w:pPr>
            <w:r>
              <w:rPr>
                <w:rFonts w:ascii="Times New Roman" w:hAnsi="Times New Roman"/>
                <w:b w:val="0"/>
                <w:i w:val="0"/>
                <w:sz w:val="17"/>
              </w:rPr>
              <w:t>Lease expiration</w:t>
            </w:r>
          </w:p>
        </w:tc>
        <w:tc>
          <w:tcPr>
            <w:tcW w:type="dxa" w:w="1872"/>
          </w:tcPr>
          <w:p>
            <w:pPr>
              <w:spacing w:after="40"/>
            </w:pPr>
            <w:r>
              <w:rPr>
                <w:rFonts w:ascii="Times New Roman" w:hAnsi="Times New Roman"/>
                <w:b w:val="0"/>
                <w:i w:val="0"/>
                <w:sz w:val="17"/>
              </w:rPr>
              <w:t>Term Sheet §3</w:t>
            </w:r>
          </w:p>
        </w:tc>
        <w:tc>
          <w:tcPr>
            <w:tcW w:type="dxa" w:w="1872"/>
          </w:tcPr>
          <w:p>
            <w:pPr>
              <w:spacing w:after="40"/>
            </w:pPr>
            <w:r>
              <w:rPr>
                <w:rFonts w:ascii="Times New Roman" w:hAnsi="Times New Roman"/>
                <w:b w:val="0"/>
                <w:i w:val="0"/>
                <w:sz w:val="17"/>
              </w:rPr>
              <w:t>September 30, 2124</w:t>
            </w:r>
          </w:p>
        </w:tc>
        <w:tc>
          <w:tcPr>
            <w:tcW w:type="dxa" w:w="2592"/>
          </w:tcPr>
          <w:p>
            <w:pPr>
              <w:spacing w:after="40"/>
            </w:pPr>
            <w:r>
              <w:rPr>
                <w:rFonts w:ascii="Times New Roman" w:hAnsi="Times New Roman"/>
                <w:b w:val="0"/>
                <w:i w:val="0"/>
                <w:sz w:val="17"/>
              </w:rPr>
              <w:t>1,188</w:t>
            </w:r>
          </w:p>
        </w:tc>
      </w:tr>
    </w:tbl>
    <w:p>
      <w:pPr>
        <w:spacing w:after="40"/>
      </w:pPr>
    </w:p>
    <w:p>
      <w:pPr>
        <w:jc w:val="both"/>
      </w:pPr>
      <w:r>
        <w:rPr>
          <w:rFonts w:ascii="Times New Roman" w:hAnsi="Times New Roman"/>
          <w:b/>
          <w:i w:val="0"/>
          <w:sz w:val="21"/>
        </w:rPr>
        <w:t>Two calendar constraints that are already running.</w:t>
      </w:r>
      <w:r>
        <w:rPr>
          <w:rFonts w:ascii="Times New Roman" w:hAnsi="Times New Roman"/>
          <w:b w:val="0"/>
          <w:i w:val="0"/>
          <w:sz w:val="21"/>
        </w:rPr>
        <w:t xml:space="preserve"> The Title Commitment expires on December 1, 2025 (six months from its June 1, 2025 effective date) — two months after the target Commencement Date, which leaves almost no cushion. And Bayside's Loan Term Sheet Section 6(d) requires an ALTA/NSPS survey dated within ninety days of closing; the survey was performed on April 20, 2025, so it goes stale on July 19, 2025, which is before any realistic closing. The survey will have to be re-certified and re-dated, which is also the natural occasion to correct the legal description and the bulkhead measurement.</w:t>
      </w:r>
    </w:p>
    <w:p>
      <w:pPr>
        <w:keepNext/>
        <w:spacing w:before="200" w:after="80"/>
        <w:jc w:val="left"/>
      </w:pPr>
      <w:r>
        <w:rPr>
          <w:rFonts w:ascii="Times New Roman" w:hAnsi="Times New Roman"/>
          <w:b/>
          <w:i w:val="0"/>
          <w:sz w:val="21"/>
        </w:rPr>
        <w:t>4.7 Percentage Rent Sensitivity</w:t>
      </w:r>
    </w:p>
    <w:p>
      <w:pPr>
        <w:jc w:val="both"/>
      </w:pPr>
      <w:r>
        <w:rPr>
          <w:rFonts w:ascii="Times New Roman" w:hAnsi="Times New Roman"/>
          <w:b w:val="0"/>
          <w:i w:val="0"/>
          <w:sz w:val="21"/>
        </w:rPr>
        <w:t>Assumes stabilized Gross Revenues of $30,000,000 in Rent Year 6 and 3.0% annual growth; Breakpoint fixed at $28,500,000 (Term Sheet) as against a Breakpoint indexed at the same 3.0%.</w:t>
      </w:r>
    </w:p>
    <w:tbl>
      <w:tblPr>
        <w:tblStyle w:val="TableGrid"/>
        <w:tblW w:type="dxa" w:w="9360"/>
        <w:jc w:val="center"/>
        <w:tblLayout w:type="fixed"/>
        <w:tblLook w:firstColumn="1" w:firstRow="1" w:lastColumn="0" w:lastRow="0" w:noHBand="0" w:noVBand="1" w:val="04A0"/>
        <w:tblLayout w:type="fixed"/>
      </w:tblPr>
      <w:tblGrid>
        <w:gridCol w:w="1584"/>
        <w:gridCol w:w="1872"/>
        <w:gridCol w:w="2880"/>
        <w:gridCol w:w="3024"/>
      </w:tblGrid>
      <w:tr>
        <w:trPr>
          <w:tblHeader/>
        </w:trPr>
        <w:tc>
          <w:tcPr>
            <w:tcW w:type="dxa" w:w="1584"/>
            <w:shd w:val="clear" w:color="auto" w:fill="E8E8E8"/>
          </w:tcPr>
          <w:p>
            <w:pPr>
              <w:spacing w:after="40"/>
            </w:pPr>
            <w:r>
              <w:rPr>
                <w:rFonts w:ascii="Times New Roman" w:hAnsi="Times New Roman"/>
                <w:b/>
                <w:i w:val="0"/>
                <w:sz w:val="17"/>
              </w:rPr>
              <w:t>Rent Year</w:t>
            </w:r>
          </w:p>
        </w:tc>
        <w:tc>
          <w:tcPr>
            <w:tcW w:type="dxa" w:w="1872"/>
            <w:shd w:val="clear" w:color="auto" w:fill="E8E8E8"/>
          </w:tcPr>
          <w:p>
            <w:pPr>
              <w:spacing w:after="40"/>
            </w:pPr>
            <w:r>
              <w:rPr>
                <w:rFonts w:ascii="Times New Roman" w:hAnsi="Times New Roman"/>
                <w:b/>
                <w:i w:val="0"/>
                <w:sz w:val="17"/>
              </w:rPr>
              <w:t>Gross Revenues</w:t>
            </w:r>
          </w:p>
        </w:tc>
        <w:tc>
          <w:tcPr>
            <w:tcW w:type="dxa" w:w="2880"/>
            <w:shd w:val="clear" w:color="auto" w:fill="E8E8E8"/>
          </w:tcPr>
          <w:p>
            <w:pPr>
              <w:spacing w:after="40"/>
            </w:pPr>
            <w:r>
              <w:rPr>
                <w:rFonts w:ascii="Times New Roman" w:hAnsi="Times New Roman"/>
                <w:b/>
                <w:i w:val="0"/>
                <w:sz w:val="17"/>
              </w:rPr>
              <w:t>Percentage rent — fixed Breakpoint</w:t>
            </w:r>
          </w:p>
        </w:tc>
        <w:tc>
          <w:tcPr>
            <w:tcW w:type="dxa" w:w="3024"/>
            <w:shd w:val="clear" w:color="auto" w:fill="E8E8E8"/>
          </w:tcPr>
          <w:p>
            <w:pPr>
              <w:spacing w:after="40"/>
            </w:pPr>
            <w:r>
              <w:rPr>
                <w:rFonts w:ascii="Times New Roman" w:hAnsi="Times New Roman"/>
                <w:b/>
                <w:i w:val="0"/>
                <w:sz w:val="17"/>
              </w:rPr>
              <w:t>Percentage rent — indexed Breakpoint</w:t>
            </w:r>
          </w:p>
        </w:tc>
      </w:tr>
      <w:tr>
        <w:trPr>
          <w:cantSplit/>
        </w:trPr>
        <w:tc>
          <w:tcPr>
            <w:tcW w:type="dxa" w:w="1584"/>
          </w:tcPr>
          <w:p>
            <w:pPr>
              <w:spacing w:after="40"/>
            </w:pPr>
            <w:r>
              <w:rPr>
                <w:rFonts w:ascii="Times New Roman" w:hAnsi="Times New Roman"/>
                <w:b w:val="0"/>
                <w:i w:val="0"/>
                <w:sz w:val="17"/>
              </w:rPr>
              <w:t>6</w:t>
            </w:r>
          </w:p>
        </w:tc>
        <w:tc>
          <w:tcPr>
            <w:tcW w:type="dxa" w:w="1872"/>
          </w:tcPr>
          <w:p>
            <w:pPr>
              <w:spacing w:after="40"/>
            </w:pPr>
            <w:r>
              <w:rPr>
                <w:rFonts w:ascii="Times New Roman" w:hAnsi="Times New Roman"/>
                <w:b w:val="0"/>
                <w:i w:val="0"/>
                <w:sz w:val="17"/>
              </w:rPr>
              <w:t>$30,000,000</w:t>
            </w:r>
          </w:p>
        </w:tc>
        <w:tc>
          <w:tcPr>
            <w:tcW w:type="dxa" w:w="2880"/>
          </w:tcPr>
          <w:p>
            <w:pPr>
              <w:spacing w:after="40"/>
            </w:pPr>
            <w:r>
              <w:rPr>
                <w:rFonts w:ascii="Times New Roman" w:hAnsi="Times New Roman"/>
                <w:b w:val="0"/>
                <w:i w:val="0"/>
                <w:sz w:val="17"/>
              </w:rPr>
              <w:t>$30,000</w:t>
            </w:r>
          </w:p>
        </w:tc>
        <w:tc>
          <w:tcPr>
            <w:tcW w:type="dxa" w:w="3024"/>
          </w:tcPr>
          <w:p>
            <w:pPr>
              <w:spacing w:after="40"/>
            </w:pPr>
            <w:r>
              <w:rPr>
                <w:rFonts w:ascii="Times New Roman" w:hAnsi="Times New Roman"/>
                <w:b w:val="0"/>
                <w:i w:val="0"/>
                <w:sz w:val="17"/>
              </w:rPr>
              <w:t>$30,000</w:t>
            </w:r>
          </w:p>
        </w:tc>
      </w:tr>
      <w:tr>
        <w:trPr>
          <w:cantSplit/>
        </w:trPr>
        <w:tc>
          <w:tcPr>
            <w:tcW w:type="dxa" w:w="1584"/>
          </w:tcPr>
          <w:p>
            <w:pPr>
              <w:spacing w:after="40"/>
            </w:pPr>
            <w:r>
              <w:rPr>
                <w:rFonts w:ascii="Times New Roman" w:hAnsi="Times New Roman"/>
                <w:b w:val="0"/>
                <w:i w:val="0"/>
                <w:sz w:val="17"/>
              </w:rPr>
              <w:t>16</w:t>
            </w:r>
          </w:p>
        </w:tc>
        <w:tc>
          <w:tcPr>
            <w:tcW w:type="dxa" w:w="1872"/>
          </w:tcPr>
          <w:p>
            <w:pPr>
              <w:spacing w:after="40"/>
            </w:pPr>
            <w:r>
              <w:rPr>
                <w:rFonts w:ascii="Times New Roman" w:hAnsi="Times New Roman"/>
                <w:b w:val="0"/>
                <w:i w:val="0"/>
                <w:sz w:val="17"/>
              </w:rPr>
              <w:t>$40,317,491</w:t>
            </w:r>
          </w:p>
        </w:tc>
        <w:tc>
          <w:tcPr>
            <w:tcW w:type="dxa" w:w="2880"/>
          </w:tcPr>
          <w:p>
            <w:pPr>
              <w:spacing w:after="40"/>
            </w:pPr>
            <w:r>
              <w:rPr>
                <w:rFonts w:ascii="Times New Roman" w:hAnsi="Times New Roman"/>
                <w:b w:val="0"/>
                <w:i w:val="0"/>
                <w:sz w:val="17"/>
              </w:rPr>
              <w:t>$236,350</w:t>
            </w:r>
          </w:p>
        </w:tc>
        <w:tc>
          <w:tcPr>
            <w:tcW w:type="dxa" w:w="3024"/>
          </w:tcPr>
          <w:p>
            <w:pPr>
              <w:spacing w:after="40"/>
            </w:pPr>
            <w:r>
              <w:rPr>
                <w:rFonts w:ascii="Times New Roman" w:hAnsi="Times New Roman"/>
                <w:b w:val="0"/>
                <w:i w:val="0"/>
                <w:sz w:val="17"/>
              </w:rPr>
              <w:t>$40,317</w:t>
            </w:r>
          </w:p>
        </w:tc>
      </w:tr>
      <w:tr>
        <w:trPr>
          <w:cantSplit/>
        </w:trPr>
        <w:tc>
          <w:tcPr>
            <w:tcW w:type="dxa" w:w="1584"/>
          </w:tcPr>
          <w:p>
            <w:pPr>
              <w:spacing w:after="40"/>
            </w:pPr>
            <w:r>
              <w:rPr>
                <w:rFonts w:ascii="Times New Roman" w:hAnsi="Times New Roman"/>
                <w:b w:val="0"/>
                <w:i w:val="0"/>
                <w:sz w:val="17"/>
              </w:rPr>
              <w:t>26</w:t>
            </w:r>
          </w:p>
        </w:tc>
        <w:tc>
          <w:tcPr>
            <w:tcW w:type="dxa" w:w="1872"/>
          </w:tcPr>
          <w:p>
            <w:pPr>
              <w:spacing w:after="40"/>
            </w:pPr>
            <w:r>
              <w:rPr>
                <w:rFonts w:ascii="Times New Roman" w:hAnsi="Times New Roman"/>
                <w:b w:val="0"/>
                <w:i w:val="0"/>
                <w:sz w:val="17"/>
              </w:rPr>
              <w:t>$54,183,337</w:t>
            </w:r>
          </w:p>
        </w:tc>
        <w:tc>
          <w:tcPr>
            <w:tcW w:type="dxa" w:w="2880"/>
          </w:tcPr>
          <w:p>
            <w:pPr>
              <w:spacing w:after="40"/>
            </w:pPr>
            <w:r>
              <w:rPr>
                <w:rFonts w:ascii="Times New Roman" w:hAnsi="Times New Roman"/>
                <w:b w:val="0"/>
                <w:i w:val="0"/>
                <w:sz w:val="17"/>
              </w:rPr>
              <w:t>$513,667</w:t>
            </w:r>
          </w:p>
        </w:tc>
        <w:tc>
          <w:tcPr>
            <w:tcW w:type="dxa" w:w="3024"/>
          </w:tcPr>
          <w:p>
            <w:pPr>
              <w:spacing w:after="40"/>
            </w:pPr>
            <w:r>
              <w:rPr>
                <w:rFonts w:ascii="Times New Roman" w:hAnsi="Times New Roman"/>
                <w:b w:val="0"/>
                <w:i w:val="0"/>
                <w:sz w:val="17"/>
              </w:rPr>
              <w:t>$54,183</w:t>
            </w:r>
          </w:p>
        </w:tc>
      </w:tr>
      <w:tr>
        <w:trPr>
          <w:cantSplit/>
        </w:trPr>
        <w:tc>
          <w:tcPr>
            <w:tcW w:type="dxa" w:w="1584"/>
          </w:tcPr>
          <w:p>
            <w:pPr>
              <w:spacing w:after="40"/>
            </w:pPr>
            <w:r>
              <w:rPr>
                <w:rFonts w:ascii="Times New Roman" w:hAnsi="Times New Roman"/>
                <w:b w:val="0"/>
                <w:i w:val="0"/>
                <w:sz w:val="17"/>
              </w:rPr>
              <w:t>36</w:t>
            </w:r>
          </w:p>
        </w:tc>
        <w:tc>
          <w:tcPr>
            <w:tcW w:type="dxa" w:w="1872"/>
          </w:tcPr>
          <w:p>
            <w:pPr>
              <w:spacing w:after="40"/>
            </w:pPr>
            <w:r>
              <w:rPr>
                <w:rFonts w:ascii="Times New Roman" w:hAnsi="Times New Roman"/>
                <w:b w:val="0"/>
                <w:i w:val="0"/>
                <w:sz w:val="17"/>
              </w:rPr>
              <w:t>$72,817,874</w:t>
            </w:r>
          </w:p>
        </w:tc>
        <w:tc>
          <w:tcPr>
            <w:tcW w:type="dxa" w:w="2880"/>
          </w:tcPr>
          <w:p>
            <w:pPr>
              <w:spacing w:after="40"/>
            </w:pPr>
            <w:r>
              <w:rPr>
                <w:rFonts w:ascii="Times New Roman" w:hAnsi="Times New Roman"/>
                <w:b w:val="0"/>
                <w:i w:val="0"/>
                <w:sz w:val="17"/>
              </w:rPr>
              <w:t>$886,357</w:t>
            </w:r>
          </w:p>
        </w:tc>
        <w:tc>
          <w:tcPr>
            <w:tcW w:type="dxa" w:w="3024"/>
          </w:tcPr>
          <w:p>
            <w:pPr>
              <w:spacing w:after="40"/>
            </w:pPr>
            <w:r>
              <w:rPr>
                <w:rFonts w:ascii="Times New Roman" w:hAnsi="Times New Roman"/>
                <w:b w:val="0"/>
                <w:i w:val="0"/>
                <w:sz w:val="17"/>
              </w:rPr>
              <w:t>$72,818</w:t>
            </w:r>
          </w:p>
        </w:tc>
      </w:tr>
      <w:tr>
        <w:trPr>
          <w:cantSplit/>
        </w:trPr>
        <w:tc>
          <w:tcPr>
            <w:tcW w:type="dxa" w:w="1584"/>
          </w:tcPr>
          <w:p>
            <w:pPr>
              <w:spacing w:after="40"/>
            </w:pPr>
            <w:r>
              <w:rPr>
                <w:rFonts w:ascii="Times New Roman" w:hAnsi="Times New Roman"/>
                <w:b w:val="0"/>
                <w:i w:val="0"/>
                <w:sz w:val="17"/>
              </w:rPr>
              <w:t>46</w:t>
            </w:r>
          </w:p>
        </w:tc>
        <w:tc>
          <w:tcPr>
            <w:tcW w:type="dxa" w:w="1872"/>
          </w:tcPr>
          <w:p>
            <w:pPr>
              <w:spacing w:after="40"/>
            </w:pPr>
            <w:r>
              <w:rPr>
                <w:rFonts w:ascii="Times New Roman" w:hAnsi="Times New Roman"/>
                <w:b w:val="0"/>
                <w:i w:val="0"/>
                <w:sz w:val="17"/>
              </w:rPr>
              <w:t>$97,861,134</w:t>
            </w:r>
          </w:p>
        </w:tc>
        <w:tc>
          <w:tcPr>
            <w:tcW w:type="dxa" w:w="2880"/>
          </w:tcPr>
          <w:p>
            <w:pPr>
              <w:spacing w:after="40"/>
            </w:pPr>
            <w:r>
              <w:rPr>
                <w:rFonts w:ascii="Times New Roman" w:hAnsi="Times New Roman"/>
                <w:b w:val="0"/>
                <w:i w:val="0"/>
                <w:sz w:val="17"/>
              </w:rPr>
              <w:t>$1,387,223</w:t>
            </w:r>
          </w:p>
        </w:tc>
        <w:tc>
          <w:tcPr>
            <w:tcW w:type="dxa" w:w="3024"/>
          </w:tcPr>
          <w:p>
            <w:pPr>
              <w:spacing w:after="40"/>
            </w:pPr>
            <w:r>
              <w:rPr>
                <w:rFonts w:ascii="Times New Roman" w:hAnsi="Times New Roman"/>
                <w:b w:val="0"/>
                <w:i w:val="0"/>
                <w:sz w:val="17"/>
              </w:rPr>
              <w:t>$97,861</w:t>
            </w:r>
          </w:p>
        </w:tc>
      </w:tr>
      <w:tr>
        <w:trPr>
          <w:cantSplit/>
        </w:trPr>
        <w:tc>
          <w:tcPr>
            <w:tcW w:type="dxa" w:w="1584"/>
          </w:tcPr>
          <w:p>
            <w:pPr>
              <w:spacing w:after="40"/>
            </w:pPr>
            <w:r>
              <w:rPr>
                <w:rFonts w:ascii="Times New Roman" w:hAnsi="Times New Roman"/>
                <w:b w:val="0"/>
                <w:i w:val="0"/>
                <w:sz w:val="17"/>
              </w:rPr>
              <w:t>56</w:t>
            </w:r>
          </w:p>
        </w:tc>
        <w:tc>
          <w:tcPr>
            <w:tcW w:type="dxa" w:w="1872"/>
          </w:tcPr>
          <w:p>
            <w:pPr>
              <w:spacing w:after="40"/>
            </w:pPr>
            <w:r>
              <w:rPr>
                <w:rFonts w:ascii="Times New Roman" w:hAnsi="Times New Roman"/>
                <w:b w:val="0"/>
                <w:i w:val="0"/>
                <w:sz w:val="17"/>
              </w:rPr>
              <w:t>$131,517,181</w:t>
            </w:r>
          </w:p>
        </w:tc>
        <w:tc>
          <w:tcPr>
            <w:tcW w:type="dxa" w:w="2880"/>
          </w:tcPr>
          <w:p>
            <w:pPr>
              <w:spacing w:after="40"/>
            </w:pPr>
            <w:r>
              <w:rPr>
                <w:rFonts w:ascii="Times New Roman" w:hAnsi="Times New Roman"/>
                <w:b w:val="0"/>
                <w:i w:val="0"/>
                <w:sz w:val="17"/>
              </w:rPr>
              <w:t>$2,060,344</w:t>
            </w:r>
          </w:p>
        </w:tc>
        <w:tc>
          <w:tcPr>
            <w:tcW w:type="dxa" w:w="3024"/>
          </w:tcPr>
          <w:p>
            <w:pPr>
              <w:spacing w:after="40"/>
            </w:pPr>
            <w:r>
              <w:rPr>
                <w:rFonts w:ascii="Times New Roman" w:hAnsi="Times New Roman"/>
                <w:b w:val="0"/>
                <w:i w:val="0"/>
                <w:sz w:val="17"/>
              </w:rPr>
              <w:t>$131,517</w:t>
            </w:r>
          </w:p>
        </w:tc>
      </w:tr>
      <w:tr>
        <w:trPr>
          <w:cantSplit/>
        </w:trPr>
        <w:tc>
          <w:tcPr>
            <w:tcW w:type="dxa" w:w="1584"/>
          </w:tcPr>
          <w:p>
            <w:pPr>
              <w:spacing w:after="40"/>
            </w:pPr>
            <w:r>
              <w:rPr>
                <w:rFonts w:ascii="Times New Roman" w:hAnsi="Times New Roman"/>
                <w:b w:val="0"/>
                <w:i w:val="0"/>
                <w:sz w:val="17"/>
              </w:rPr>
              <w:t>66</w:t>
            </w:r>
          </w:p>
        </w:tc>
        <w:tc>
          <w:tcPr>
            <w:tcW w:type="dxa" w:w="1872"/>
          </w:tcPr>
          <w:p>
            <w:pPr>
              <w:spacing w:after="40"/>
            </w:pPr>
            <w:r>
              <w:rPr>
                <w:rFonts w:ascii="Times New Roman" w:hAnsi="Times New Roman"/>
                <w:b w:val="0"/>
                <w:i w:val="0"/>
                <w:sz w:val="17"/>
              </w:rPr>
              <w:t>$176,748,093</w:t>
            </w:r>
          </w:p>
        </w:tc>
        <w:tc>
          <w:tcPr>
            <w:tcW w:type="dxa" w:w="2880"/>
          </w:tcPr>
          <w:p>
            <w:pPr>
              <w:spacing w:after="40"/>
            </w:pPr>
            <w:r>
              <w:rPr>
                <w:rFonts w:ascii="Times New Roman" w:hAnsi="Times New Roman"/>
                <w:b w:val="0"/>
                <w:i w:val="0"/>
                <w:sz w:val="17"/>
              </w:rPr>
              <w:t>$2,964,962</w:t>
            </w:r>
          </w:p>
        </w:tc>
        <w:tc>
          <w:tcPr>
            <w:tcW w:type="dxa" w:w="3024"/>
          </w:tcPr>
          <w:p>
            <w:pPr>
              <w:spacing w:after="40"/>
            </w:pPr>
            <w:r>
              <w:rPr>
                <w:rFonts w:ascii="Times New Roman" w:hAnsi="Times New Roman"/>
                <w:b w:val="0"/>
                <w:i w:val="0"/>
                <w:sz w:val="17"/>
              </w:rPr>
              <w:t>$176,748</w:t>
            </w:r>
          </w:p>
        </w:tc>
      </w:tr>
      <w:tr>
        <w:trPr>
          <w:cantSplit/>
        </w:trPr>
        <w:tc>
          <w:tcPr>
            <w:tcW w:type="dxa" w:w="1584"/>
          </w:tcPr>
          <w:p>
            <w:pPr>
              <w:spacing w:after="40"/>
            </w:pPr>
            <w:r>
              <w:rPr>
                <w:rFonts w:ascii="Times New Roman" w:hAnsi="Times New Roman"/>
                <w:b w:val="0"/>
                <w:i w:val="0"/>
                <w:sz w:val="17"/>
              </w:rPr>
              <w:t>76</w:t>
            </w:r>
          </w:p>
        </w:tc>
        <w:tc>
          <w:tcPr>
            <w:tcW w:type="dxa" w:w="1872"/>
          </w:tcPr>
          <w:p>
            <w:pPr>
              <w:spacing w:after="40"/>
            </w:pPr>
            <w:r>
              <w:rPr>
                <w:rFonts w:ascii="Times New Roman" w:hAnsi="Times New Roman"/>
                <w:b w:val="0"/>
                <w:i w:val="0"/>
                <w:sz w:val="17"/>
              </w:rPr>
              <w:t>$237,534,657</w:t>
            </w:r>
          </w:p>
        </w:tc>
        <w:tc>
          <w:tcPr>
            <w:tcW w:type="dxa" w:w="2880"/>
          </w:tcPr>
          <w:p>
            <w:pPr>
              <w:spacing w:after="40"/>
            </w:pPr>
            <w:r>
              <w:rPr>
                <w:rFonts w:ascii="Times New Roman" w:hAnsi="Times New Roman"/>
                <w:b w:val="0"/>
                <w:i w:val="0"/>
                <w:sz w:val="17"/>
              </w:rPr>
              <w:t>$4,180,693</w:t>
            </w:r>
          </w:p>
        </w:tc>
        <w:tc>
          <w:tcPr>
            <w:tcW w:type="dxa" w:w="3024"/>
          </w:tcPr>
          <w:p>
            <w:pPr>
              <w:spacing w:after="40"/>
            </w:pPr>
            <w:r>
              <w:rPr>
                <w:rFonts w:ascii="Times New Roman" w:hAnsi="Times New Roman"/>
                <w:b w:val="0"/>
                <w:i w:val="0"/>
                <w:sz w:val="17"/>
              </w:rPr>
              <w:t>$237,535</w:t>
            </w:r>
          </w:p>
        </w:tc>
      </w:tr>
      <w:tr>
        <w:trPr>
          <w:cantSplit/>
        </w:trPr>
        <w:tc>
          <w:tcPr>
            <w:tcW w:type="dxa" w:w="1584"/>
          </w:tcPr>
          <w:p>
            <w:pPr>
              <w:spacing w:after="40"/>
            </w:pPr>
            <w:r>
              <w:rPr>
                <w:rFonts w:ascii="Times New Roman" w:hAnsi="Times New Roman"/>
                <w:b w:val="0"/>
                <w:i w:val="0"/>
                <w:sz w:val="17"/>
              </w:rPr>
              <w:t>86</w:t>
            </w:r>
          </w:p>
        </w:tc>
        <w:tc>
          <w:tcPr>
            <w:tcW w:type="dxa" w:w="1872"/>
          </w:tcPr>
          <w:p>
            <w:pPr>
              <w:spacing w:after="40"/>
            </w:pPr>
            <w:r>
              <w:rPr>
                <w:rFonts w:ascii="Times New Roman" w:hAnsi="Times New Roman"/>
                <w:b w:val="0"/>
                <w:i w:val="0"/>
                <w:sz w:val="17"/>
              </w:rPr>
              <w:t>$319,226,717</w:t>
            </w:r>
          </w:p>
        </w:tc>
        <w:tc>
          <w:tcPr>
            <w:tcW w:type="dxa" w:w="2880"/>
          </w:tcPr>
          <w:p>
            <w:pPr>
              <w:spacing w:after="40"/>
            </w:pPr>
            <w:r>
              <w:rPr>
                <w:rFonts w:ascii="Times New Roman" w:hAnsi="Times New Roman"/>
                <w:b w:val="0"/>
                <w:i w:val="0"/>
                <w:sz w:val="17"/>
              </w:rPr>
              <w:t>$5,814,534</w:t>
            </w:r>
          </w:p>
        </w:tc>
        <w:tc>
          <w:tcPr>
            <w:tcW w:type="dxa" w:w="3024"/>
          </w:tcPr>
          <w:p>
            <w:pPr>
              <w:spacing w:after="40"/>
            </w:pPr>
            <w:r>
              <w:rPr>
                <w:rFonts w:ascii="Times New Roman" w:hAnsi="Times New Roman"/>
                <w:b w:val="0"/>
                <w:i w:val="0"/>
                <w:sz w:val="17"/>
              </w:rPr>
              <w:t>$319,227</w:t>
            </w:r>
          </w:p>
        </w:tc>
      </w:tr>
      <w:tr>
        <w:trPr>
          <w:cantSplit/>
        </w:trPr>
        <w:tc>
          <w:tcPr>
            <w:tcW w:type="dxa" w:w="1584"/>
          </w:tcPr>
          <w:p>
            <w:pPr>
              <w:spacing w:after="40"/>
            </w:pPr>
            <w:r>
              <w:rPr>
                <w:rFonts w:ascii="Times New Roman" w:hAnsi="Times New Roman"/>
                <w:b w:val="0"/>
                <w:i w:val="0"/>
                <w:sz w:val="17"/>
              </w:rPr>
              <w:t>96</w:t>
            </w:r>
          </w:p>
        </w:tc>
        <w:tc>
          <w:tcPr>
            <w:tcW w:type="dxa" w:w="1872"/>
          </w:tcPr>
          <w:p>
            <w:pPr>
              <w:spacing w:after="40"/>
            </w:pPr>
            <w:r>
              <w:rPr>
                <w:rFonts w:ascii="Times New Roman" w:hAnsi="Times New Roman"/>
                <w:b w:val="0"/>
                <w:i w:val="0"/>
                <w:sz w:val="17"/>
              </w:rPr>
              <w:t>$429,014,013</w:t>
            </w:r>
          </w:p>
        </w:tc>
        <w:tc>
          <w:tcPr>
            <w:tcW w:type="dxa" w:w="2880"/>
          </w:tcPr>
          <w:p>
            <w:pPr>
              <w:spacing w:after="40"/>
            </w:pPr>
            <w:r>
              <w:rPr>
                <w:rFonts w:ascii="Times New Roman" w:hAnsi="Times New Roman"/>
                <w:b w:val="0"/>
                <w:i w:val="0"/>
                <w:sz w:val="17"/>
              </w:rPr>
              <w:t>$8,010,280</w:t>
            </w:r>
          </w:p>
        </w:tc>
        <w:tc>
          <w:tcPr>
            <w:tcW w:type="dxa" w:w="3024"/>
          </w:tcPr>
          <w:p>
            <w:pPr>
              <w:spacing w:after="40"/>
            </w:pPr>
            <w:r>
              <w:rPr>
                <w:rFonts w:ascii="Times New Roman" w:hAnsi="Times New Roman"/>
                <w:b w:val="0"/>
                <w:i w:val="0"/>
                <w:sz w:val="17"/>
              </w:rPr>
              <w:t>$429,014</w:t>
            </w:r>
          </w:p>
        </w:tc>
      </w:tr>
    </w:tbl>
    <w:p>
      <w:pPr>
        <w:spacing w:after="40"/>
      </w:pPr>
    </w:p>
    <w:p>
      <w:pPr>
        <w:jc w:val="both"/>
      </w:pPr>
      <w:r>
        <w:rPr>
          <w:rFonts w:ascii="Times New Roman" w:hAnsi="Times New Roman"/>
          <w:b w:val="0"/>
          <w:i w:val="0"/>
          <w:sz w:val="21"/>
        </w:rPr>
        <w:t>The differential arises entirely from holding a breakpoint constant for ninety-nine years. The revenue projections themselves are illustrative: the record contains no pro forma, so we cannot verify where $28,500,000 sits relative to stabilized revenue. That is Item 45.</w:t>
      </w:r>
    </w:p>
    <w:p>
      <w:pPr>
        <w:keepNext/>
        <w:spacing w:before="200" w:after="80"/>
        <w:jc w:val="left"/>
      </w:pPr>
      <w:r>
        <w:rPr>
          <w:rFonts w:ascii="Times New Roman" w:hAnsi="Times New Roman"/>
          <w:b/>
          <w:i w:val="0"/>
          <w:sz w:val="21"/>
        </w:rPr>
        <w:t>4.8 Base Rent Under the CPI Reset (Section 4.3 of the Term Sheet)</w:t>
      </w:r>
    </w:p>
    <w:p>
      <w:pPr>
        <w:jc w:val="both"/>
      </w:pPr>
      <w:r>
        <w:rPr>
          <w:rFonts w:ascii="Times New Roman" w:hAnsi="Times New Roman"/>
          <w:b w:val="0"/>
          <w:i w:val="0"/>
          <w:sz w:val="21"/>
        </w:rPr>
        <w:t>The reset is the greater of a 2.5% compounding floor and cumulative CPI-U Northeast measured from the Lease Commencement Date, applied to the original $2,850,000 with no cap. The table shows the two legs at a 3.0% CPI.</w:t>
      </w:r>
    </w:p>
    <w:tbl>
      <w:tblPr>
        <w:tblStyle w:val="TableGrid"/>
        <w:tblW w:type="dxa" w:w="9360"/>
        <w:jc w:val="center"/>
        <w:tblLayout w:type="fixed"/>
        <w:tblLook w:firstColumn="1" w:firstRow="1" w:lastColumn="0" w:lastRow="0" w:noHBand="0" w:noVBand="1" w:val="04A0"/>
        <w:tblLayout w:type="fixed"/>
      </w:tblPr>
      <w:tblGrid>
        <w:gridCol w:w="1584"/>
        <w:gridCol w:w="2160"/>
        <w:gridCol w:w="2160"/>
        <w:gridCol w:w="3456"/>
      </w:tblGrid>
      <w:tr>
        <w:trPr>
          <w:tblHeader/>
        </w:trPr>
        <w:tc>
          <w:tcPr>
            <w:tcW w:type="dxa" w:w="1584"/>
            <w:shd w:val="clear" w:color="auto" w:fill="E8E8E8"/>
          </w:tcPr>
          <w:p>
            <w:pPr>
              <w:spacing w:after="40"/>
            </w:pPr>
            <w:r>
              <w:rPr>
                <w:rFonts w:ascii="Times New Roman" w:hAnsi="Times New Roman"/>
                <w:b/>
                <w:i w:val="0"/>
                <w:sz w:val="17"/>
              </w:rPr>
              <w:t>Reset (Rent Year)</w:t>
            </w:r>
          </w:p>
        </w:tc>
        <w:tc>
          <w:tcPr>
            <w:tcW w:type="dxa" w:w="2160"/>
            <w:shd w:val="clear" w:color="auto" w:fill="E8E8E8"/>
          </w:tcPr>
          <w:p>
            <w:pPr>
              <w:spacing w:after="40"/>
            </w:pPr>
            <w:r>
              <w:rPr>
                <w:rFonts w:ascii="Times New Roman" w:hAnsi="Times New Roman"/>
                <w:b/>
                <w:i w:val="0"/>
                <w:sz w:val="17"/>
              </w:rPr>
              <w:t>2.5% floor leg</w:t>
            </w:r>
          </w:p>
        </w:tc>
        <w:tc>
          <w:tcPr>
            <w:tcW w:type="dxa" w:w="2160"/>
            <w:shd w:val="clear" w:color="auto" w:fill="E8E8E8"/>
          </w:tcPr>
          <w:p>
            <w:pPr>
              <w:spacing w:after="40"/>
            </w:pPr>
            <w:r>
              <w:rPr>
                <w:rFonts w:ascii="Times New Roman" w:hAnsi="Times New Roman"/>
                <w:b/>
                <w:i w:val="0"/>
                <w:sz w:val="17"/>
              </w:rPr>
              <w:t>3.0% CPI leg</w:t>
            </w:r>
          </w:p>
        </w:tc>
        <w:tc>
          <w:tcPr>
            <w:tcW w:type="dxa" w:w="3456"/>
            <w:shd w:val="clear" w:color="auto" w:fill="E8E8E8"/>
          </w:tcPr>
          <w:p>
            <w:pPr>
              <w:spacing w:after="40"/>
            </w:pPr>
            <w:r>
              <w:rPr>
                <w:rFonts w:ascii="Times New Roman" w:hAnsi="Times New Roman"/>
                <w:b/>
                <w:i w:val="0"/>
                <w:sz w:val="17"/>
              </w:rPr>
              <w:t>Greater of (no cap)</w:t>
            </w:r>
          </w:p>
        </w:tc>
      </w:tr>
      <w:tr>
        <w:trPr>
          <w:cantSplit/>
        </w:trPr>
        <w:tc>
          <w:tcPr>
            <w:tcW w:type="dxa" w:w="1584"/>
          </w:tcPr>
          <w:p>
            <w:pPr>
              <w:spacing w:after="40"/>
            </w:pPr>
            <w:r>
              <w:rPr>
                <w:rFonts w:ascii="Times New Roman" w:hAnsi="Times New Roman"/>
                <w:b w:val="0"/>
                <w:i w:val="0"/>
                <w:sz w:val="17"/>
              </w:rPr>
              <w:t>16</w:t>
            </w:r>
          </w:p>
        </w:tc>
        <w:tc>
          <w:tcPr>
            <w:tcW w:type="dxa" w:w="2160"/>
          </w:tcPr>
          <w:p>
            <w:pPr>
              <w:spacing w:after="40"/>
            </w:pPr>
            <w:r>
              <w:rPr>
                <w:rFonts w:ascii="Times New Roman" w:hAnsi="Times New Roman"/>
                <w:b w:val="0"/>
                <w:i w:val="0"/>
                <w:sz w:val="17"/>
              </w:rPr>
              <w:t>$4,127,650</w:t>
            </w:r>
          </w:p>
        </w:tc>
        <w:tc>
          <w:tcPr>
            <w:tcW w:type="dxa" w:w="2160"/>
          </w:tcPr>
          <w:p>
            <w:pPr>
              <w:spacing w:after="40"/>
            </w:pPr>
            <w:r>
              <w:rPr>
                <w:rFonts w:ascii="Times New Roman" w:hAnsi="Times New Roman"/>
                <w:b w:val="0"/>
                <w:i w:val="0"/>
                <w:sz w:val="17"/>
              </w:rPr>
              <w:t>$4,440,207</w:t>
            </w:r>
          </w:p>
        </w:tc>
        <w:tc>
          <w:tcPr>
            <w:tcW w:type="dxa" w:w="3456"/>
          </w:tcPr>
          <w:p>
            <w:pPr>
              <w:spacing w:after="40"/>
            </w:pPr>
            <w:r>
              <w:rPr>
                <w:rFonts w:ascii="Times New Roman" w:hAnsi="Times New Roman"/>
                <w:b w:val="0"/>
                <w:i w:val="0"/>
                <w:sz w:val="17"/>
              </w:rPr>
              <w:t>$4,440,207</w:t>
            </w:r>
          </w:p>
        </w:tc>
      </w:tr>
      <w:tr>
        <w:trPr>
          <w:cantSplit/>
        </w:trPr>
        <w:tc>
          <w:tcPr>
            <w:tcW w:type="dxa" w:w="1584"/>
          </w:tcPr>
          <w:p>
            <w:pPr>
              <w:spacing w:after="40"/>
            </w:pPr>
            <w:r>
              <w:rPr>
                <w:rFonts w:ascii="Times New Roman" w:hAnsi="Times New Roman"/>
                <w:b w:val="0"/>
                <w:i w:val="0"/>
                <w:sz w:val="17"/>
              </w:rPr>
              <w:t>26</w:t>
            </w:r>
          </w:p>
        </w:tc>
        <w:tc>
          <w:tcPr>
            <w:tcW w:type="dxa" w:w="2160"/>
          </w:tcPr>
          <w:p>
            <w:pPr>
              <w:spacing w:after="40"/>
            </w:pPr>
            <w:r>
              <w:rPr>
                <w:rFonts w:ascii="Times New Roman" w:hAnsi="Times New Roman"/>
                <w:b w:val="0"/>
                <w:i w:val="0"/>
                <w:sz w:val="17"/>
              </w:rPr>
              <w:t>$5,283,741</w:t>
            </w:r>
          </w:p>
        </w:tc>
        <w:tc>
          <w:tcPr>
            <w:tcW w:type="dxa" w:w="2160"/>
          </w:tcPr>
          <w:p>
            <w:pPr>
              <w:spacing w:after="40"/>
            </w:pPr>
            <w:r>
              <w:rPr>
                <w:rFonts w:ascii="Times New Roman" w:hAnsi="Times New Roman"/>
                <w:b w:val="0"/>
                <w:i w:val="0"/>
                <w:sz w:val="17"/>
              </w:rPr>
              <w:t>$5,967,267</w:t>
            </w:r>
          </w:p>
        </w:tc>
        <w:tc>
          <w:tcPr>
            <w:tcW w:type="dxa" w:w="3456"/>
          </w:tcPr>
          <w:p>
            <w:pPr>
              <w:spacing w:after="40"/>
            </w:pPr>
            <w:r>
              <w:rPr>
                <w:rFonts w:ascii="Times New Roman" w:hAnsi="Times New Roman"/>
                <w:b w:val="0"/>
                <w:i w:val="0"/>
                <w:sz w:val="17"/>
              </w:rPr>
              <w:t>$5,967,267</w:t>
            </w:r>
          </w:p>
        </w:tc>
      </w:tr>
      <w:tr>
        <w:trPr>
          <w:cantSplit/>
        </w:trPr>
        <w:tc>
          <w:tcPr>
            <w:tcW w:type="dxa" w:w="1584"/>
          </w:tcPr>
          <w:p>
            <w:pPr>
              <w:spacing w:after="40"/>
            </w:pPr>
            <w:r>
              <w:rPr>
                <w:rFonts w:ascii="Times New Roman" w:hAnsi="Times New Roman"/>
                <w:b w:val="0"/>
                <w:i w:val="0"/>
                <w:sz w:val="17"/>
              </w:rPr>
              <w:t>36</w:t>
            </w:r>
          </w:p>
        </w:tc>
        <w:tc>
          <w:tcPr>
            <w:tcW w:type="dxa" w:w="2160"/>
          </w:tcPr>
          <w:p>
            <w:pPr>
              <w:spacing w:after="40"/>
            </w:pPr>
            <w:r>
              <w:rPr>
                <w:rFonts w:ascii="Times New Roman" w:hAnsi="Times New Roman"/>
                <w:b w:val="0"/>
                <w:i w:val="0"/>
                <w:sz w:val="17"/>
              </w:rPr>
              <w:t>$6,763,635</w:t>
            </w:r>
          </w:p>
        </w:tc>
        <w:tc>
          <w:tcPr>
            <w:tcW w:type="dxa" w:w="2160"/>
          </w:tcPr>
          <w:p>
            <w:pPr>
              <w:spacing w:after="40"/>
            </w:pPr>
            <w:r>
              <w:rPr>
                <w:rFonts w:ascii="Times New Roman" w:hAnsi="Times New Roman"/>
                <w:b w:val="0"/>
                <w:i w:val="0"/>
                <w:sz w:val="17"/>
              </w:rPr>
              <w:t>$8,019,508</w:t>
            </w:r>
          </w:p>
        </w:tc>
        <w:tc>
          <w:tcPr>
            <w:tcW w:type="dxa" w:w="3456"/>
          </w:tcPr>
          <w:p>
            <w:pPr>
              <w:spacing w:after="40"/>
            </w:pPr>
            <w:r>
              <w:rPr>
                <w:rFonts w:ascii="Times New Roman" w:hAnsi="Times New Roman"/>
                <w:b w:val="0"/>
                <w:i w:val="0"/>
                <w:sz w:val="17"/>
              </w:rPr>
              <w:t>$8,019,508</w:t>
            </w:r>
          </w:p>
        </w:tc>
      </w:tr>
      <w:tr>
        <w:trPr>
          <w:cantSplit/>
        </w:trPr>
        <w:tc>
          <w:tcPr>
            <w:tcW w:type="dxa" w:w="1584"/>
          </w:tcPr>
          <w:p>
            <w:pPr>
              <w:spacing w:after="40"/>
            </w:pPr>
            <w:r>
              <w:rPr>
                <w:rFonts w:ascii="Times New Roman" w:hAnsi="Times New Roman"/>
                <w:b w:val="0"/>
                <w:i w:val="0"/>
                <w:sz w:val="17"/>
              </w:rPr>
              <w:t>46</w:t>
            </w:r>
          </w:p>
        </w:tc>
        <w:tc>
          <w:tcPr>
            <w:tcW w:type="dxa" w:w="2160"/>
          </w:tcPr>
          <w:p>
            <w:pPr>
              <w:spacing w:after="40"/>
            </w:pPr>
            <w:r>
              <w:rPr>
                <w:rFonts w:ascii="Times New Roman" w:hAnsi="Times New Roman"/>
                <w:b w:val="0"/>
                <w:i w:val="0"/>
                <w:sz w:val="17"/>
              </w:rPr>
              <w:t>$8,658,024</w:t>
            </w:r>
          </w:p>
        </w:tc>
        <w:tc>
          <w:tcPr>
            <w:tcW w:type="dxa" w:w="2160"/>
          </w:tcPr>
          <w:p>
            <w:pPr>
              <w:spacing w:after="40"/>
            </w:pPr>
            <w:r>
              <w:rPr>
                <w:rFonts w:ascii="Times New Roman" w:hAnsi="Times New Roman"/>
                <w:b w:val="0"/>
                <w:i w:val="0"/>
                <w:sz w:val="17"/>
              </w:rPr>
              <w:t>$10,777,548</w:t>
            </w:r>
          </w:p>
        </w:tc>
        <w:tc>
          <w:tcPr>
            <w:tcW w:type="dxa" w:w="3456"/>
          </w:tcPr>
          <w:p>
            <w:pPr>
              <w:spacing w:after="40"/>
            </w:pPr>
            <w:r>
              <w:rPr>
                <w:rFonts w:ascii="Times New Roman" w:hAnsi="Times New Roman"/>
                <w:b w:val="0"/>
                <w:i w:val="0"/>
                <w:sz w:val="17"/>
              </w:rPr>
              <w:t>$10,777,548</w:t>
            </w:r>
          </w:p>
        </w:tc>
      </w:tr>
      <w:tr>
        <w:trPr>
          <w:cantSplit/>
        </w:trPr>
        <w:tc>
          <w:tcPr>
            <w:tcW w:type="dxa" w:w="1584"/>
          </w:tcPr>
          <w:p>
            <w:pPr>
              <w:spacing w:after="40"/>
            </w:pPr>
            <w:r>
              <w:rPr>
                <w:rFonts w:ascii="Times New Roman" w:hAnsi="Times New Roman"/>
                <w:b w:val="0"/>
                <w:i w:val="0"/>
                <w:sz w:val="17"/>
              </w:rPr>
              <w:t>56</w:t>
            </w:r>
          </w:p>
        </w:tc>
        <w:tc>
          <w:tcPr>
            <w:tcW w:type="dxa" w:w="2160"/>
          </w:tcPr>
          <w:p>
            <w:pPr>
              <w:spacing w:after="40"/>
            </w:pPr>
            <w:r>
              <w:rPr>
                <w:rFonts w:ascii="Times New Roman" w:hAnsi="Times New Roman"/>
                <w:b w:val="0"/>
                <w:i w:val="0"/>
                <w:sz w:val="17"/>
              </w:rPr>
              <w:t>$11,083,003</w:t>
            </w:r>
          </w:p>
        </w:tc>
        <w:tc>
          <w:tcPr>
            <w:tcW w:type="dxa" w:w="2160"/>
          </w:tcPr>
          <w:p>
            <w:pPr>
              <w:spacing w:after="40"/>
            </w:pPr>
            <w:r>
              <w:rPr>
                <w:rFonts w:ascii="Times New Roman" w:hAnsi="Times New Roman"/>
                <w:b w:val="0"/>
                <w:i w:val="0"/>
                <w:sz w:val="17"/>
              </w:rPr>
              <w:t>$14,484,123</w:t>
            </w:r>
          </w:p>
        </w:tc>
        <w:tc>
          <w:tcPr>
            <w:tcW w:type="dxa" w:w="3456"/>
          </w:tcPr>
          <w:p>
            <w:pPr>
              <w:spacing w:after="40"/>
            </w:pPr>
            <w:r>
              <w:rPr>
                <w:rFonts w:ascii="Times New Roman" w:hAnsi="Times New Roman"/>
                <w:b w:val="0"/>
                <w:i w:val="0"/>
                <w:sz w:val="17"/>
              </w:rPr>
              <w:t>$14,484,123</w:t>
            </w:r>
          </w:p>
        </w:tc>
      </w:tr>
      <w:tr>
        <w:trPr>
          <w:cantSplit/>
        </w:trPr>
        <w:tc>
          <w:tcPr>
            <w:tcW w:type="dxa" w:w="1584"/>
          </w:tcPr>
          <w:p>
            <w:pPr>
              <w:spacing w:after="40"/>
            </w:pPr>
            <w:r>
              <w:rPr>
                <w:rFonts w:ascii="Times New Roman" w:hAnsi="Times New Roman"/>
                <w:b w:val="0"/>
                <w:i w:val="0"/>
                <w:sz w:val="17"/>
              </w:rPr>
              <w:t>66</w:t>
            </w:r>
          </w:p>
        </w:tc>
        <w:tc>
          <w:tcPr>
            <w:tcW w:type="dxa" w:w="2160"/>
          </w:tcPr>
          <w:p>
            <w:pPr>
              <w:spacing w:after="40"/>
            </w:pPr>
            <w:r>
              <w:rPr>
                <w:rFonts w:ascii="Times New Roman" w:hAnsi="Times New Roman"/>
                <w:b w:val="0"/>
                <w:i w:val="0"/>
                <w:sz w:val="17"/>
              </w:rPr>
              <w:t>$14,187,181</w:t>
            </w:r>
          </w:p>
        </w:tc>
        <w:tc>
          <w:tcPr>
            <w:tcW w:type="dxa" w:w="2160"/>
          </w:tcPr>
          <w:p>
            <w:pPr>
              <w:spacing w:after="40"/>
            </w:pPr>
            <w:r>
              <w:rPr>
                <w:rFonts w:ascii="Times New Roman" w:hAnsi="Times New Roman"/>
                <w:b w:val="0"/>
                <w:i w:val="0"/>
                <w:sz w:val="17"/>
              </w:rPr>
              <w:t>$19,465,451</w:t>
            </w:r>
          </w:p>
        </w:tc>
        <w:tc>
          <w:tcPr>
            <w:tcW w:type="dxa" w:w="3456"/>
          </w:tcPr>
          <w:p>
            <w:pPr>
              <w:spacing w:after="40"/>
            </w:pPr>
            <w:r>
              <w:rPr>
                <w:rFonts w:ascii="Times New Roman" w:hAnsi="Times New Roman"/>
                <w:b w:val="0"/>
                <w:i w:val="0"/>
                <w:sz w:val="17"/>
              </w:rPr>
              <w:t>$19,465,451</w:t>
            </w:r>
          </w:p>
        </w:tc>
      </w:tr>
      <w:tr>
        <w:trPr>
          <w:cantSplit/>
        </w:trPr>
        <w:tc>
          <w:tcPr>
            <w:tcW w:type="dxa" w:w="1584"/>
          </w:tcPr>
          <w:p>
            <w:pPr>
              <w:spacing w:after="40"/>
            </w:pPr>
            <w:r>
              <w:rPr>
                <w:rFonts w:ascii="Times New Roman" w:hAnsi="Times New Roman"/>
                <w:b w:val="0"/>
                <w:i w:val="0"/>
                <w:sz w:val="17"/>
              </w:rPr>
              <w:t>76</w:t>
            </w:r>
          </w:p>
        </w:tc>
        <w:tc>
          <w:tcPr>
            <w:tcW w:type="dxa" w:w="2160"/>
          </w:tcPr>
          <w:p>
            <w:pPr>
              <w:spacing w:after="40"/>
            </w:pPr>
            <w:r>
              <w:rPr>
                <w:rFonts w:ascii="Times New Roman" w:hAnsi="Times New Roman"/>
                <w:b w:val="0"/>
                <w:i w:val="0"/>
                <w:sz w:val="17"/>
              </w:rPr>
              <w:t>$18,160,791</w:t>
            </w:r>
          </w:p>
        </w:tc>
        <w:tc>
          <w:tcPr>
            <w:tcW w:type="dxa" w:w="2160"/>
          </w:tcPr>
          <w:p>
            <w:pPr>
              <w:spacing w:after="40"/>
            </w:pPr>
            <w:r>
              <w:rPr>
                <w:rFonts w:ascii="Times New Roman" w:hAnsi="Times New Roman"/>
                <w:b w:val="0"/>
                <w:i w:val="0"/>
                <w:sz w:val="17"/>
              </w:rPr>
              <w:t>$26,159,938</w:t>
            </w:r>
          </w:p>
        </w:tc>
        <w:tc>
          <w:tcPr>
            <w:tcW w:type="dxa" w:w="3456"/>
          </w:tcPr>
          <w:p>
            <w:pPr>
              <w:spacing w:after="40"/>
            </w:pPr>
            <w:r>
              <w:rPr>
                <w:rFonts w:ascii="Times New Roman" w:hAnsi="Times New Roman"/>
                <w:b w:val="0"/>
                <w:i w:val="0"/>
                <w:sz w:val="17"/>
              </w:rPr>
              <w:t>$26,159,938</w:t>
            </w:r>
          </w:p>
        </w:tc>
      </w:tr>
      <w:tr>
        <w:trPr>
          <w:cantSplit/>
        </w:trPr>
        <w:tc>
          <w:tcPr>
            <w:tcW w:type="dxa" w:w="1584"/>
          </w:tcPr>
          <w:p>
            <w:pPr>
              <w:spacing w:after="40"/>
            </w:pPr>
            <w:r>
              <w:rPr>
                <w:rFonts w:ascii="Times New Roman" w:hAnsi="Times New Roman"/>
                <w:b w:val="0"/>
                <w:i w:val="0"/>
                <w:sz w:val="17"/>
              </w:rPr>
              <w:t>86</w:t>
            </w:r>
          </w:p>
        </w:tc>
        <w:tc>
          <w:tcPr>
            <w:tcW w:type="dxa" w:w="2160"/>
          </w:tcPr>
          <w:p>
            <w:pPr>
              <w:spacing w:after="40"/>
            </w:pPr>
            <w:r>
              <w:rPr>
                <w:rFonts w:ascii="Times New Roman" w:hAnsi="Times New Roman"/>
                <w:b w:val="0"/>
                <w:i w:val="0"/>
                <w:sz w:val="17"/>
              </w:rPr>
              <w:t>$23,247,348</w:t>
            </w:r>
          </w:p>
        </w:tc>
        <w:tc>
          <w:tcPr>
            <w:tcW w:type="dxa" w:w="2160"/>
          </w:tcPr>
          <w:p>
            <w:pPr>
              <w:spacing w:after="40"/>
            </w:pPr>
            <w:r>
              <w:rPr>
                <w:rFonts w:ascii="Times New Roman" w:hAnsi="Times New Roman"/>
                <w:b w:val="0"/>
                <w:i w:val="0"/>
                <w:sz w:val="17"/>
              </w:rPr>
              <w:t>$35,156,769</w:t>
            </w:r>
          </w:p>
        </w:tc>
        <w:tc>
          <w:tcPr>
            <w:tcW w:type="dxa" w:w="3456"/>
          </w:tcPr>
          <w:p>
            <w:pPr>
              <w:spacing w:after="40"/>
            </w:pPr>
            <w:r>
              <w:rPr>
                <w:rFonts w:ascii="Times New Roman" w:hAnsi="Times New Roman"/>
                <w:b w:val="0"/>
                <w:i w:val="0"/>
                <w:sz w:val="17"/>
              </w:rPr>
              <w:t>$35,156,769</w:t>
            </w:r>
          </w:p>
        </w:tc>
      </w:tr>
      <w:tr>
        <w:trPr>
          <w:cantSplit/>
        </w:trPr>
        <w:tc>
          <w:tcPr>
            <w:tcW w:type="dxa" w:w="1584"/>
          </w:tcPr>
          <w:p>
            <w:pPr>
              <w:spacing w:after="40"/>
            </w:pPr>
            <w:r>
              <w:rPr>
                <w:rFonts w:ascii="Times New Roman" w:hAnsi="Times New Roman"/>
                <w:b w:val="0"/>
                <w:i w:val="0"/>
                <w:sz w:val="17"/>
              </w:rPr>
              <w:t>96</w:t>
            </w:r>
          </w:p>
        </w:tc>
        <w:tc>
          <w:tcPr>
            <w:tcW w:type="dxa" w:w="2160"/>
          </w:tcPr>
          <w:p>
            <w:pPr>
              <w:spacing w:after="40"/>
            </w:pPr>
            <w:r>
              <w:rPr>
                <w:rFonts w:ascii="Times New Roman" w:hAnsi="Times New Roman"/>
                <w:b w:val="0"/>
                <w:i w:val="0"/>
                <w:sz w:val="17"/>
              </w:rPr>
              <w:t>$29,758,571</w:t>
            </w:r>
          </w:p>
        </w:tc>
        <w:tc>
          <w:tcPr>
            <w:tcW w:type="dxa" w:w="2160"/>
          </w:tcPr>
          <w:p>
            <w:pPr>
              <w:spacing w:after="40"/>
            </w:pPr>
            <w:r>
              <w:rPr>
                <w:rFonts w:ascii="Times New Roman" w:hAnsi="Times New Roman"/>
                <w:b w:val="0"/>
                <w:i w:val="0"/>
                <w:sz w:val="17"/>
              </w:rPr>
              <w:t>$47,247,758</w:t>
            </w:r>
          </w:p>
        </w:tc>
        <w:tc>
          <w:tcPr>
            <w:tcW w:type="dxa" w:w="3456"/>
          </w:tcPr>
          <w:p>
            <w:pPr>
              <w:spacing w:after="40"/>
            </w:pPr>
            <w:r>
              <w:rPr>
                <w:rFonts w:ascii="Times New Roman" w:hAnsi="Times New Roman"/>
                <w:b w:val="0"/>
                <w:i w:val="0"/>
                <w:sz w:val="17"/>
              </w:rPr>
              <w:t>$47,247,758</w:t>
            </w:r>
          </w:p>
        </w:tc>
      </w:tr>
    </w:tbl>
    <w:p>
      <w:pPr>
        <w:spacing w:after="40"/>
      </w:pPr>
    </w:p>
    <w:p>
      <w:pPr>
        <w:jc w:val="both"/>
      </w:pPr>
      <w:r>
        <w:rPr>
          <w:rFonts w:ascii="Times New Roman" w:hAnsi="Times New Roman"/>
          <w:b w:val="0"/>
          <w:i w:val="0"/>
          <w:sz w:val="21"/>
        </w:rPr>
        <w:t>Three defects. First, there is no cap: at a 3.0% CPI the Base Rent in Rent Year 96 is $47.2 million on 3.2 acres, which is not a ground rent that any residual value analysis supports. Second, the "greater of" structure is a ratchet: because each reset applies the greater of the two legs measured from inception, a single period of high inflation is permanently embedded. Third, the provision is internally ambiguous: Section 5 measures the fixed leg from "the initial Base Rent of $2,850,000," but does not say whether "as of the applicable reset date" is measured from the Lease Commencement Date or the Rent Commencement Date — a three-year difference worth roughly 7.7% of rent at each reset. We have added a 3.0% cumulative cap and a floor at the preceding year's rent (Section 4.3), and we have anchored every measurement to the Rent Commencement Date by defining "Rent Year" separately from "Lease Year" (Sections 1.1 and 4.1). See Item 25.</w:t>
      </w:r>
    </w:p>
    <w:p>
      <w:pPr>
        <w:keepNext/>
        <w:spacing w:before="200" w:after="80"/>
        <w:jc w:val="left"/>
      </w:pPr>
      <w:r>
        <w:rPr>
          <w:rFonts w:ascii="Times New Roman" w:hAnsi="Times New Roman"/>
          <w:b/>
          <w:i w:val="0"/>
          <w:sz w:val="21"/>
        </w:rPr>
        <w:t>4.9 Capital Stack</w:t>
      </w:r>
    </w:p>
    <w:tbl>
      <w:tblPr>
        <w:tblStyle w:val="TableGrid"/>
        <w:tblW w:type="dxa" w:w="9360"/>
        <w:jc w:val="center"/>
        <w:tblLayout w:type="fixed"/>
        <w:tblLook w:firstColumn="1" w:firstRow="1" w:lastColumn="0" w:lastRow="0" w:noHBand="0" w:noVBand="1" w:val="04A0"/>
        <w:tblLayout w:type="fixed"/>
      </w:tblPr>
      <w:tblGrid>
        <w:gridCol w:w="3168"/>
        <w:gridCol w:w="1584"/>
        <w:gridCol w:w="2880"/>
        <w:gridCol w:w="1728"/>
      </w:tblGrid>
      <w:tr>
        <w:trPr>
          <w:tblHeader/>
        </w:trPr>
        <w:tc>
          <w:tcPr>
            <w:tcW w:type="dxa" w:w="3168"/>
            <w:shd w:val="clear" w:color="auto" w:fill="E8E8E8"/>
          </w:tcPr>
          <w:p>
            <w:pPr>
              <w:spacing w:after="40"/>
            </w:pPr>
            <w:r>
              <w:rPr>
                <w:rFonts w:ascii="Times New Roman" w:hAnsi="Times New Roman"/>
                <w:b/>
                <w:i w:val="0"/>
                <w:sz w:val="17"/>
              </w:rPr>
              <w:t>Item</w:t>
            </w:r>
          </w:p>
        </w:tc>
        <w:tc>
          <w:tcPr>
            <w:tcW w:type="dxa" w:w="1584"/>
            <w:shd w:val="clear" w:color="auto" w:fill="E8E8E8"/>
          </w:tcPr>
          <w:p>
            <w:pPr>
              <w:spacing w:after="40"/>
            </w:pPr>
            <w:r>
              <w:rPr>
                <w:rFonts w:ascii="Times New Roman" w:hAnsi="Times New Roman"/>
                <w:b/>
                <w:i w:val="0"/>
                <w:sz w:val="17"/>
              </w:rPr>
              <w:t>Stated</w:t>
            </w:r>
          </w:p>
        </w:tc>
        <w:tc>
          <w:tcPr>
            <w:tcW w:type="dxa" w:w="2880"/>
            <w:shd w:val="clear" w:color="auto" w:fill="E8E8E8"/>
          </w:tcPr>
          <w:p>
            <w:pPr>
              <w:spacing w:after="40"/>
            </w:pPr>
            <w:r>
              <w:rPr>
                <w:rFonts w:ascii="Times New Roman" w:hAnsi="Times New Roman"/>
                <w:b/>
                <w:i w:val="0"/>
                <w:sz w:val="17"/>
              </w:rPr>
              <w:t>Recomputed</w:t>
            </w:r>
          </w:p>
        </w:tc>
        <w:tc>
          <w:tcPr>
            <w:tcW w:type="dxa" w:w="1728"/>
            <w:shd w:val="clear" w:color="auto" w:fill="E8E8E8"/>
          </w:tcPr>
          <w:p>
            <w:pPr>
              <w:spacing w:after="40"/>
            </w:pPr>
            <w:r>
              <w:rPr>
                <w:rFonts w:ascii="Times New Roman" w:hAnsi="Times New Roman"/>
                <w:b/>
                <w:i w:val="0"/>
                <w:sz w:val="17"/>
              </w:rPr>
              <w:t>Result</w:t>
            </w:r>
          </w:p>
        </w:tc>
      </w:tr>
      <w:tr>
        <w:trPr>
          <w:cantSplit/>
        </w:trPr>
        <w:tc>
          <w:tcPr>
            <w:tcW w:type="dxa" w:w="3168"/>
          </w:tcPr>
          <w:p>
            <w:pPr>
              <w:spacing w:after="40"/>
            </w:pPr>
            <w:r>
              <w:rPr>
                <w:rFonts w:ascii="Times New Roman" w:hAnsi="Times New Roman"/>
                <w:b w:val="0"/>
                <w:i w:val="0"/>
                <w:sz w:val="17"/>
              </w:rPr>
              <w:t>Total project cost</w:t>
            </w:r>
          </w:p>
        </w:tc>
        <w:tc>
          <w:tcPr>
            <w:tcW w:type="dxa" w:w="1584"/>
          </w:tcPr>
          <w:p>
            <w:pPr>
              <w:spacing w:after="40"/>
            </w:pPr>
            <w:r>
              <w:rPr>
                <w:rFonts w:ascii="Times New Roman" w:hAnsi="Times New Roman"/>
                <w:b w:val="0"/>
                <w:i w:val="0"/>
                <w:sz w:val="17"/>
              </w:rPr>
              <w:t>$425,000,000</w:t>
            </w:r>
          </w:p>
        </w:tc>
        <w:tc>
          <w:tcPr>
            <w:tcW w:type="dxa" w:w="2880"/>
          </w:tcPr>
          <w:p>
            <w:pPr>
              <w:spacing w:after="40"/>
            </w:pPr>
            <w:r>
              <w:rPr>
                <w:rFonts w:ascii="Times New Roman" w:hAnsi="Times New Roman"/>
                <w:b w:val="0"/>
                <w:i w:val="0"/>
                <w:sz w:val="17"/>
              </w:rPr>
              <w:t>$285,000,000 + $95,000,000 + $45,000,000 = $425,000,000</w:t>
            </w:r>
          </w:p>
        </w:tc>
        <w:tc>
          <w:tcPr>
            <w:tcW w:type="dxa" w:w="1728"/>
          </w:tcPr>
          <w:p>
            <w:pPr>
              <w:spacing w:after="40"/>
            </w:pPr>
            <w:r>
              <w:rPr>
                <w:rFonts w:ascii="Times New Roman" w:hAnsi="Times New Roman"/>
                <w:b w:val="0"/>
                <w:i w:val="0"/>
                <w:sz w:val="17"/>
              </w:rPr>
              <w:t>Ties</w:t>
            </w:r>
          </w:p>
        </w:tc>
      </w:tr>
      <w:tr>
        <w:trPr>
          <w:cantSplit/>
        </w:trPr>
        <w:tc>
          <w:tcPr>
            <w:tcW w:type="dxa" w:w="3168"/>
          </w:tcPr>
          <w:p>
            <w:pPr>
              <w:spacing w:after="40"/>
            </w:pPr>
            <w:r>
              <w:rPr>
                <w:rFonts w:ascii="Times New Roman" w:hAnsi="Times New Roman"/>
                <w:b w:val="0"/>
                <w:i w:val="0"/>
                <w:sz w:val="17"/>
              </w:rPr>
              <w:t>Uses of funds</w:t>
            </w:r>
          </w:p>
        </w:tc>
        <w:tc>
          <w:tcPr>
            <w:tcW w:type="dxa" w:w="1584"/>
          </w:tcPr>
          <w:p>
            <w:pPr>
              <w:spacing w:after="40"/>
            </w:pPr>
            <w:r>
              <w:rPr>
                <w:rFonts w:ascii="Times New Roman" w:hAnsi="Times New Roman"/>
                <w:b w:val="0"/>
                <w:i w:val="0"/>
                <w:sz w:val="17"/>
              </w:rPr>
              <w:t>$425,000,000</w:t>
            </w:r>
          </w:p>
        </w:tc>
        <w:tc>
          <w:tcPr>
            <w:tcW w:type="dxa" w:w="2880"/>
          </w:tcPr>
          <w:p>
            <w:pPr>
              <w:spacing w:after="40"/>
            </w:pPr>
            <w:r>
              <w:rPr>
                <w:rFonts w:ascii="Times New Roman" w:hAnsi="Times New Roman"/>
                <w:b w:val="0"/>
                <w:i w:val="0"/>
                <w:sz w:val="17"/>
              </w:rPr>
              <w:t>$352,000,000 + $38,500,000 + $34,500,000 = $425,000,000</w:t>
            </w:r>
          </w:p>
        </w:tc>
        <w:tc>
          <w:tcPr>
            <w:tcW w:type="dxa" w:w="1728"/>
          </w:tcPr>
          <w:p>
            <w:pPr>
              <w:spacing w:after="40"/>
            </w:pPr>
            <w:r>
              <w:rPr>
                <w:rFonts w:ascii="Times New Roman" w:hAnsi="Times New Roman"/>
                <w:b w:val="0"/>
                <w:i w:val="0"/>
                <w:sz w:val="17"/>
              </w:rPr>
              <w:t>Ties</w:t>
            </w:r>
          </w:p>
        </w:tc>
      </w:tr>
      <w:tr>
        <w:trPr>
          <w:cantSplit/>
        </w:trPr>
        <w:tc>
          <w:tcPr>
            <w:tcW w:type="dxa" w:w="3168"/>
          </w:tcPr>
          <w:p>
            <w:pPr>
              <w:spacing w:after="40"/>
            </w:pPr>
            <w:r>
              <w:rPr>
                <w:rFonts w:ascii="Times New Roman" w:hAnsi="Times New Roman"/>
                <w:b w:val="0"/>
                <w:i w:val="0"/>
                <w:sz w:val="17"/>
              </w:rPr>
              <w:t>Loan-to-cost</w:t>
            </w:r>
          </w:p>
        </w:tc>
        <w:tc>
          <w:tcPr>
            <w:tcW w:type="dxa" w:w="1584"/>
          </w:tcPr>
          <w:p>
            <w:pPr>
              <w:spacing w:after="40"/>
            </w:pPr>
            <w:r>
              <w:rPr>
                <w:rFonts w:ascii="Times New Roman" w:hAnsi="Times New Roman"/>
                <w:b w:val="0"/>
                <w:i w:val="0"/>
                <w:sz w:val="17"/>
              </w:rPr>
              <w:t>67.1%</w:t>
            </w:r>
          </w:p>
        </w:tc>
        <w:tc>
          <w:tcPr>
            <w:tcW w:type="dxa" w:w="2880"/>
          </w:tcPr>
          <w:p>
            <w:pPr>
              <w:spacing w:after="40"/>
            </w:pPr>
            <w:r>
              <w:rPr>
                <w:rFonts w:ascii="Times New Roman" w:hAnsi="Times New Roman"/>
                <w:b w:val="0"/>
                <w:i w:val="0"/>
                <w:sz w:val="17"/>
              </w:rPr>
              <w:t>$285,000,000 ÷ $425,000,000 = 67.06%</w:t>
            </w:r>
          </w:p>
        </w:tc>
        <w:tc>
          <w:tcPr>
            <w:tcW w:type="dxa" w:w="1728"/>
          </w:tcPr>
          <w:p>
            <w:pPr>
              <w:spacing w:after="40"/>
            </w:pPr>
            <w:r>
              <w:rPr>
                <w:rFonts w:ascii="Times New Roman" w:hAnsi="Times New Roman"/>
                <w:b w:val="0"/>
                <w:i w:val="0"/>
                <w:sz w:val="17"/>
              </w:rPr>
              <w:t>Ties</w:t>
            </w:r>
          </w:p>
        </w:tc>
      </w:tr>
      <w:tr>
        <w:trPr>
          <w:cantSplit/>
        </w:trPr>
        <w:tc>
          <w:tcPr>
            <w:tcW w:type="dxa" w:w="3168"/>
          </w:tcPr>
          <w:p>
            <w:pPr>
              <w:spacing w:after="40"/>
            </w:pPr>
            <w:r>
              <w:rPr>
                <w:rFonts w:ascii="Times New Roman" w:hAnsi="Times New Roman"/>
                <w:b w:val="0"/>
                <w:i w:val="0"/>
                <w:sz w:val="17"/>
              </w:rPr>
              <w:t>Implied minimum appraised value</w:t>
            </w:r>
          </w:p>
        </w:tc>
        <w:tc>
          <w:tcPr>
            <w:tcW w:type="dxa" w:w="1584"/>
          </w:tcPr>
          <w:p>
            <w:pPr>
              <w:spacing w:after="40"/>
            </w:pPr>
            <w:r>
              <w:rPr>
                <w:rFonts w:ascii="Times New Roman" w:hAnsi="Times New Roman"/>
                <w:b w:val="0"/>
                <w:i w:val="0"/>
                <w:sz w:val="17"/>
              </w:rPr>
              <w:t>Not stated in the term sheets</w:t>
            </w:r>
          </w:p>
        </w:tc>
        <w:tc>
          <w:tcPr>
            <w:tcW w:type="dxa" w:w="2880"/>
          </w:tcPr>
          <w:p>
            <w:pPr>
              <w:spacing w:after="40"/>
            </w:pPr>
            <w:r>
              <w:rPr>
                <w:rFonts w:ascii="Times New Roman" w:hAnsi="Times New Roman"/>
                <w:b w:val="0"/>
                <w:i w:val="0"/>
                <w:sz w:val="17"/>
              </w:rPr>
              <w:t>$285,000,000 ÷ 0.75 = $380,000,000, or 89.4% of project cost</w:t>
            </w:r>
          </w:p>
        </w:tc>
        <w:tc>
          <w:tcPr>
            <w:tcW w:type="dxa" w:w="1728"/>
          </w:tcPr>
          <w:p>
            <w:pPr>
              <w:spacing w:after="40"/>
            </w:pPr>
            <w:r>
              <w:rPr>
                <w:rFonts w:ascii="Times New Roman" w:hAnsi="Times New Roman"/>
                <w:b w:val="0"/>
                <w:i w:val="0"/>
                <w:sz w:val="17"/>
              </w:rPr>
              <w:t>Item 44</w:t>
            </w:r>
          </w:p>
        </w:tc>
      </w:tr>
    </w:tbl>
    <w:p>
      <w:pPr>
        <w:spacing w:after="40"/>
      </w:pPr>
    </w:p>
    <w:p>
      <w:pPr>
        <w:jc w:val="both"/>
      </w:pPr>
      <w:r>
        <w:rPr>
          <w:rFonts w:ascii="Times New Roman" w:hAnsi="Times New Roman"/>
          <w:b w:val="0"/>
          <w:i w:val="0"/>
          <w:sz w:val="21"/>
        </w:rPr>
        <w:t>The LTV constraint is worth flagging for the merit of the deal, not just the ground lease. Bayside requires an appraisal confirming an LTV of no more than 75% (Section 6(k)). On a $285,000,000 loan that requires an appraised value of at least $380,000,000 — 89.4% of the $425,000,000 cost — for a leasehold estate whose ground rent is fixed and whose improvements are subject to a reverter. If the reverter is not fixed, we would expect the appraiser to apply a discount that makes $380,000,000 unattainable. The five issues in Section III are not independent of each other; the reverter is a valuation input.</w:t>
      </w:r>
    </w:p>
    <w:p>
      <w:pPr>
        <w:keepNext/>
        <w:spacing w:before="320" w:after="200"/>
        <w:jc w:val="center"/>
      </w:pPr>
      <w:r>
        <w:rPr>
          <w:rFonts w:ascii="Times New Roman" w:hAnsi="Times New Roman"/>
          <w:b/>
          <w:i w:val="0"/>
          <w:sz w:val="21"/>
        </w:rPr>
        <w:t>V. CROSS-DOCUMENT CONFLICT REGISTER</w:t>
      </w:r>
    </w:p>
    <w:p>
      <w:pPr>
        <w:jc w:val="both"/>
      </w:pPr>
      <w:r>
        <w:rPr>
          <w:rFonts w:ascii="Times New Roman" w:hAnsi="Times New Roman"/>
          <w:b w:val="0"/>
          <w:i w:val="0"/>
          <w:sz w:val="21"/>
        </w:rPr>
        <w:t>The following conflicts appear on the face of the record. Each is resolved in the draft as indicated, or is carried to the Issue Register for negotiation.</w:t>
      </w:r>
    </w:p>
    <w:tbl>
      <w:tblPr>
        <w:tblStyle w:val="TableGrid"/>
        <w:tblW w:type="dxa" w:w="9360"/>
        <w:jc w:val="center"/>
        <w:tblLayout w:type="fixed"/>
        <w:tblLook w:firstColumn="1" w:firstRow="1" w:lastColumn="0" w:lastRow="0" w:noHBand="0" w:noVBand="1" w:val="04A0"/>
        <w:tblLayout w:type="fixed"/>
      </w:tblPr>
      <w:tblGrid>
        <w:gridCol w:w="503"/>
        <w:gridCol w:w="2520"/>
        <w:gridCol w:w="3311"/>
        <w:gridCol w:w="3024"/>
      </w:tblGrid>
      <w:tr>
        <w:trPr>
          <w:tblHeader/>
        </w:trPr>
        <w:tc>
          <w:tcPr>
            <w:tcW w:type="dxa" w:w="503"/>
            <w:shd w:val="clear" w:color="auto" w:fill="E8E8E8"/>
          </w:tcPr>
          <w:p>
            <w:pPr>
              <w:spacing w:after="40"/>
            </w:pPr>
            <w:r>
              <w:rPr>
                <w:rFonts w:ascii="Times New Roman" w:hAnsi="Times New Roman"/>
                <w:b/>
                <w:i w:val="0"/>
                <w:sz w:val="17"/>
              </w:rPr>
              <w:t>#</w:t>
            </w:r>
          </w:p>
        </w:tc>
        <w:tc>
          <w:tcPr>
            <w:tcW w:type="dxa" w:w="2520"/>
            <w:shd w:val="clear" w:color="auto" w:fill="E8E8E8"/>
          </w:tcPr>
          <w:p>
            <w:pPr>
              <w:spacing w:after="40"/>
            </w:pPr>
            <w:r>
              <w:rPr>
                <w:rFonts w:ascii="Times New Roman" w:hAnsi="Times New Roman"/>
                <w:b/>
                <w:i w:val="0"/>
                <w:sz w:val="17"/>
              </w:rPr>
              <w:t>Conflict</w:t>
            </w:r>
          </w:p>
        </w:tc>
        <w:tc>
          <w:tcPr>
            <w:tcW w:type="dxa" w:w="3311"/>
            <w:shd w:val="clear" w:color="auto" w:fill="E8E8E8"/>
          </w:tcPr>
          <w:p>
            <w:pPr>
              <w:spacing w:after="40"/>
            </w:pPr>
            <w:r>
              <w:rPr>
                <w:rFonts w:ascii="Times New Roman" w:hAnsi="Times New Roman"/>
                <w:b/>
                <w:i w:val="0"/>
                <w:sz w:val="17"/>
              </w:rPr>
              <w:t>Documents</w:t>
            </w:r>
          </w:p>
        </w:tc>
        <w:tc>
          <w:tcPr>
            <w:tcW w:type="dxa" w:w="3024"/>
            <w:shd w:val="clear" w:color="auto" w:fill="E8E8E8"/>
          </w:tcPr>
          <w:p>
            <w:pPr>
              <w:spacing w:after="40"/>
            </w:pPr>
            <w:r>
              <w:rPr>
                <w:rFonts w:ascii="Times New Roman" w:hAnsi="Times New Roman"/>
                <w:b/>
                <w:i w:val="0"/>
                <w:sz w:val="17"/>
              </w:rPr>
              <w:t>Resolution in draft</w:t>
            </w:r>
          </w:p>
        </w:tc>
      </w:tr>
      <w:tr>
        <w:trPr>
          <w:cantSplit/>
        </w:trPr>
        <w:tc>
          <w:tcPr>
            <w:tcW w:type="dxa" w:w="503"/>
          </w:tcPr>
          <w:p>
            <w:pPr>
              <w:spacing w:after="40"/>
            </w:pPr>
            <w:r>
              <w:rPr>
                <w:rFonts w:ascii="Times New Roman" w:hAnsi="Times New Roman"/>
                <w:b w:val="0"/>
                <w:i w:val="0"/>
                <w:sz w:val="17"/>
              </w:rPr>
              <w:t>C1</w:t>
            </w:r>
          </w:p>
        </w:tc>
        <w:tc>
          <w:tcPr>
            <w:tcW w:type="dxa" w:w="2520"/>
          </w:tcPr>
          <w:p>
            <w:pPr>
              <w:spacing w:after="40"/>
            </w:pPr>
            <w:r>
              <w:rPr>
                <w:rFonts w:ascii="Times New Roman" w:hAnsi="Times New Roman"/>
                <w:b w:val="0"/>
                <w:i w:val="0"/>
                <w:sz w:val="17"/>
              </w:rPr>
              <w:t>Legal description: recites 139,392 SF but describes 279,535 SF; different bearings and distances from the survey</w:t>
            </w:r>
          </w:p>
        </w:tc>
        <w:tc>
          <w:tcPr>
            <w:tcW w:type="dxa" w:w="3311"/>
          </w:tcPr>
          <w:p>
            <w:pPr>
              <w:spacing w:after="40"/>
            </w:pPr>
            <w:r>
              <w:rPr>
                <w:rFonts w:ascii="Times New Roman" w:hAnsi="Times New Roman"/>
                <w:b w:val="0"/>
                <w:i w:val="0"/>
                <w:sz w:val="17"/>
              </w:rPr>
              <w:t>Title Commitment Exh. A vs. Survey §4</w:t>
            </w:r>
          </w:p>
        </w:tc>
        <w:tc>
          <w:tcPr>
            <w:tcW w:type="dxa" w:w="3024"/>
          </w:tcPr>
          <w:p>
            <w:pPr>
              <w:spacing w:after="40"/>
            </w:pPr>
            <w:r>
              <w:rPr>
                <w:rFonts w:ascii="Times New Roman" w:hAnsi="Times New Roman"/>
                <w:b w:val="0"/>
                <w:i w:val="0"/>
                <w:sz w:val="17"/>
              </w:rPr>
              <w:t>Survey description adopted and made controlling (Lease §2.1, Exh. A) — Item 14</w:t>
            </w:r>
          </w:p>
        </w:tc>
      </w:tr>
      <w:tr>
        <w:trPr>
          <w:cantSplit/>
        </w:trPr>
        <w:tc>
          <w:tcPr>
            <w:tcW w:type="dxa" w:w="503"/>
          </w:tcPr>
          <w:p>
            <w:pPr>
              <w:spacing w:after="40"/>
            </w:pPr>
            <w:r>
              <w:rPr>
                <w:rFonts w:ascii="Times New Roman" w:hAnsi="Times New Roman"/>
                <w:b w:val="0"/>
                <w:i w:val="0"/>
                <w:sz w:val="17"/>
              </w:rPr>
              <w:t>C2</w:t>
            </w:r>
          </w:p>
        </w:tc>
        <w:tc>
          <w:tcPr>
            <w:tcW w:type="dxa" w:w="2520"/>
          </w:tcPr>
          <w:p>
            <w:pPr>
              <w:spacing w:after="40"/>
            </w:pPr>
            <w:r>
              <w:rPr>
                <w:rFonts w:ascii="Times New Roman" w:hAnsi="Times New Roman"/>
                <w:b w:val="0"/>
                <w:i w:val="0"/>
                <w:sz w:val="17"/>
              </w:rPr>
              <w:t>Surveyor identity, license number, and drawing number</w:t>
            </w:r>
          </w:p>
        </w:tc>
        <w:tc>
          <w:tcPr>
            <w:tcW w:type="dxa" w:w="3311"/>
          </w:tcPr>
          <w:p>
            <w:pPr>
              <w:spacing w:after="40"/>
            </w:pPr>
            <w:r>
              <w:rPr>
                <w:rFonts w:ascii="Times New Roman" w:hAnsi="Times New Roman"/>
                <w:b w:val="0"/>
                <w:i w:val="0"/>
                <w:sz w:val="17"/>
              </w:rPr>
              <w:t>Title Commitment Exh. A (J. Michael Ferreira, No. 12847, CLS-2025-0321, rev. May 15, 2025) vs. Survey (T.R. Pellegrino, PLS-008741, CLS-2025-0417, Apr. 28, 2025)</w:t>
            </w:r>
          </w:p>
        </w:tc>
        <w:tc>
          <w:tcPr>
            <w:tcW w:type="dxa" w:w="3024"/>
          </w:tcPr>
          <w:p>
            <w:pPr>
              <w:spacing w:after="40"/>
            </w:pPr>
            <w:r>
              <w:rPr>
                <w:rFonts w:ascii="Times New Roman" w:hAnsi="Times New Roman"/>
                <w:b w:val="0"/>
                <w:i w:val="0"/>
                <w:sz w:val="17"/>
              </w:rPr>
              <w:t>Survey in the record is used; Title Commitment to be corrected — Item 16</w:t>
            </w:r>
          </w:p>
        </w:tc>
      </w:tr>
      <w:tr>
        <w:trPr>
          <w:cantSplit/>
        </w:trPr>
        <w:tc>
          <w:tcPr>
            <w:tcW w:type="dxa" w:w="503"/>
          </w:tcPr>
          <w:p>
            <w:pPr>
              <w:spacing w:after="40"/>
            </w:pPr>
            <w:r>
              <w:rPr>
                <w:rFonts w:ascii="Times New Roman" w:hAnsi="Times New Roman"/>
                <w:b w:val="0"/>
                <w:i w:val="0"/>
                <w:sz w:val="17"/>
              </w:rPr>
              <w:t>C3</w:t>
            </w:r>
          </w:p>
        </w:tc>
        <w:tc>
          <w:tcPr>
            <w:tcW w:type="dxa" w:w="2520"/>
          </w:tcPr>
          <w:p>
            <w:pPr>
              <w:spacing w:after="40"/>
            </w:pPr>
            <w:r>
              <w:rPr>
                <w:rFonts w:ascii="Times New Roman" w:hAnsi="Times New Roman"/>
                <w:b w:val="0"/>
                <w:i w:val="0"/>
                <w:sz w:val="17"/>
              </w:rPr>
              <w:t>Recording citation for the 2012 condemnation</w:t>
            </w:r>
          </w:p>
        </w:tc>
        <w:tc>
          <w:tcPr>
            <w:tcW w:type="dxa" w:w="3311"/>
          </w:tcPr>
          <w:p>
            <w:pPr>
              <w:spacing w:after="40"/>
            </w:pPr>
            <w:r>
              <w:rPr>
                <w:rFonts w:ascii="Times New Roman" w:hAnsi="Times New Roman"/>
                <w:b w:val="0"/>
                <w:i w:val="0"/>
                <w:sz w:val="17"/>
              </w:rPr>
              <w:t>Title Commitment §4 (Vol. 367, Pg. 44) vs. Survey §4 (Vol. 375, Pg. 44, June 15, 2012)</w:t>
            </w:r>
          </w:p>
        </w:tc>
        <w:tc>
          <w:tcPr>
            <w:tcW w:type="dxa" w:w="3024"/>
          </w:tcPr>
          <w:p>
            <w:pPr>
              <w:spacing w:after="40"/>
            </w:pPr>
            <w:r>
              <w:rPr>
                <w:rFonts w:ascii="Times New Roman" w:hAnsi="Times New Roman"/>
                <w:b w:val="0"/>
                <w:i w:val="0"/>
                <w:sz w:val="17"/>
              </w:rPr>
              <w:t>Carried as an open item — Item 17</w:t>
            </w:r>
          </w:p>
        </w:tc>
      </w:tr>
      <w:tr>
        <w:trPr>
          <w:cantSplit/>
        </w:trPr>
        <w:tc>
          <w:tcPr>
            <w:tcW w:type="dxa" w:w="503"/>
          </w:tcPr>
          <w:p>
            <w:pPr>
              <w:spacing w:after="40"/>
            </w:pPr>
            <w:r>
              <w:rPr>
                <w:rFonts w:ascii="Times New Roman" w:hAnsi="Times New Roman"/>
                <w:b w:val="0"/>
                <w:i w:val="0"/>
                <w:sz w:val="17"/>
              </w:rPr>
              <w:t>C4</w:t>
            </w:r>
          </w:p>
        </w:tc>
        <w:tc>
          <w:tcPr>
            <w:tcW w:type="dxa" w:w="2520"/>
          </w:tcPr>
          <w:p>
            <w:pPr>
              <w:spacing w:after="40"/>
            </w:pPr>
            <w:r>
              <w:rPr>
                <w:rFonts w:ascii="Times New Roman" w:hAnsi="Times New Roman"/>
                <w:b w:val="0"/>
                <w:i w:val="0"/>
                <w:sz w:val="17"/>
              </w:rPr>
              <w:t>Court entering the condemnation judgment</w:t>
            </w:r>
          </w:p>
        </w:tc>
        <w:tc>
          <w:tcPr>
            <w:tcW w:type="dxa" w:w="3311"/>
          </w:tcPr>
          <w:p>
            <w:pPr>
              <w:spacing w:after="40"/>
            </w:pPr>
            <w:r>
              <w:rPr>
                <w:rFonts w:ascii="Times New Roman" w:hAnsi="Times New Roman"/>
                <w:b w:val="0"/>
                <w:i w:val="0"/>
                <w:sz w:val="17"/>
              </w:rPr>
              <w:t>Term Sheet §2 and §19 ("Judicial District of Port Calloway") vs. Title Commitment §4 ("Judicial District of New Haven")</w:t>
            </w:r>
          </w:p>
        </w:tc>
        <w:tc>
          <w:tcPr>
            <w:tcW w:type="dxa" w:w="3024"/>
          </w:tcPr>
          <w:p>
            <w:pPr>
              <w:spacing w:after="40"/>
            </w:pPr>
            <w:r>
              <w:rPr>
                <w:rFonts w:ascii="Times New Roman" w:hAnsi="Times New Roman"/>
                <w:b w:val="0"/>
                <w:i w:val="0"/>
                <w:sz w:val="17"/>
              </w:rPr>
              <w:t>Draft uses Judicial District of New Haven (Lease §17.2) — Item 17</w:t>
            </w:r>
          </w:p>
        </w:tc>
      </w:tr>
      <w:tr>
        <w:trPr>
          <w:cantSplit/>
        </w:trPr>
        <w:tc>
          <w:tcPr>
            <w:tcW w:type="dxa" w:w="503"/>
          </w:tcPr>
          <w:p>
            <w:pPr>
              <w:spacing w:after="40"/>
            </w:pPr>
            <w:r>
              <w:rPr>
                <w:rFonts w:ascii="Times New Roman" w:hAnsi="Times New Roman"/>
                <w:b w:val="0"/>
                <w:i w:val="0"/>
                <w:sz w:val="17"/>
              </w:rPr>
              <w:t>C5</w:t>
            </w:r>
          </w:p>
        </w:tc>
        <w:tc>
          <w:tcPr>
            <w:tcW w:type="dxa" w:w="2520"/>
          </w:tcPr>
          <w:p>
            <w:pPr>
              <w:spacing w:after="40"/>
            </w:pPr>
            <w:r>
              <w:rPr>
                <w:rFonts w:ascii="Times New Roman" w:hAnsi="Times New Roman"/>
                <w:b w:val="0"/>
                <w:i w:val="0"/>
                <w:sz w:val="17"/>
              </w:rPr>
              <w:t>Mechanics' lien status</w:t>
            </w:r>
          </w:p>
        </w:tc>
        <w:tc>
          <w:tcPr>
            <w:tcW w:type="dxa" w:w="3311"/>
          </w:tcPr>
          <w:p>
            <w:pPr>
              <w:spacing w:after="40"/>
            </w:pPr>
            <w:r>
              <w:rPr>
                <w:rFonts w:ascii="Times New Roman" w:hAnsi="Times New Roman"/>
                <w:b w:val="0"/>
                <w:i w:val="0"/>
                <w:sz w:val="17"/>
              </w:rPr>
              <w:t>Term Sheet §13 (Permitted Exception) vs. Title Commitment Req. 7 (must be discharged before any policy issues) and Ex. 6 ("has not been discharged, released, or bonded-off")</w:t>
            </w:r>
          </w:p>
        </w:tc>
        <w:tc>
          <w:tcPr>
            <w:tcW w:type="dxa" w:w="3024"/>
          </w:tcPr>
          <w:p>
            <w:pPr>
              <w:spacing w:after="40"/>
            </w:pPr>
            <w:r>
              <w:rPr>
                <w:rFonts w:ascii="Times New Roman" w:hAnsi="Times New Roman"/>
                <w:b w:val="0"/>
                <w:i w:val="0"/>
                <w:sz w:val="17"/>
              </w:rPr>
              <w:t>Excluded from Permitted Exceptions; Landlord obligation and condition precedent (Lease §§2.7(c), 15.4, Exh. B) — Item 18</w:t>
            </w:r>
          </w:p>
        </w:tc>
      </w:tr>
      <w:tr>
        <w:trPr>
          <w:cantSplit/>
        </w:trPr>
        <w:tc>
          <w:tcPr>
            <w:tcW w:type="dxa" w:w="503"/>
          </w:tcPr>
          <w:p>
            <w:pPr>
              <w:spacing w:after="40"/>
            </w:pPr>
            <w:r>
              <w:rPr>
                <w:rFonts w:ascii="Times New Roman" w:hAnsi="Times New Roman"/>
                <w:b w:val="0"/>
                <w:i w:val="0"/>
                <w:sz w:val="17"/>
              </w:rPr>
              <w:t>C6</w:t>
            </w:r>
          </w:p>
        </w:tc>
        <w:tc>
          <w:tcPr>
            <w:tcW w:type="dxa" w:w="2520"/>
          </w:tcPr>
          <w:p>
            <w:pPr>
              <w:spacing w:after="40"/>
            </w:pPr>
            <w:r>
              <w:rPr>
                <w:rFonts w:ascii="Times New Roman" w:hAnsi="Times New Roman"/>
                <w:b w:val="0"/>
                <w:i w:val="0"/>
                <w:sz w:val="17"/>
              </w:rPr>
              <w:t>Bulkhead: length and condition</w:t>
            </w:r>
          </w:p>
        </w:tc>
        <w:tc>
          <w:tcPr>
            <w:tcW w:type="dxa" w:w="3311"/>
          </w:tcPr>
          <w:p>
            <w:pPr>
              <w:spacing w:after="40"/>
            </w:pPr>
            <w:r>
              <w:rPr>
                <w:rFonts w:ascii="Times New Roman" w:hAnsi="Times New Roman"/>
                <w:b w:val="0"/>
                <w:i w:val="0"/>
                <w:sz w:val="17"/>
              </w:rPr>
              <w:t>All documents ("480 linear feet") vs. Survey east boundary (320.47'); Phase II ("fair to poor") vs. Survey ("spalling and corrosion") vs. Survey (40' of cap removed)</w:t>
            </w:r>
          </w:p>
        </w:tc>
        <w:tc>
          <w:tcPr>
            <w:tcW w:type="dxa" w:w="3024"/>
          </w:tcPr>
          <w:p>
            <w:pPr>
              <w:spacing w:after="40"/>
            </w:pPr>
            <w:r>
              <w:rPr>
                <w:rFonts w:ascii="Times New Roman" w:hAnsi="Times New Roman"/>
                <w:b w:val="0"/>
                <w:i w:val="0"/>
                <w:sz w:val="17"/>
              </w:rPr>
              <w:t>Flagged; measured length to be confirmed on re-survey (Lease §8.9) — Items 15, 33</w:t>
            </w:r>
          </w:p>
        </w:tc>
      </w:tr>
      <w:tr>
        <w:trPr>
          <w:cantSplit/>
        </w:trPr>
        <w:tc>
          <w:tcPr>
            <w:tcW w:type="dxa" w:w="503"/>
          </w:tcPr>
          <w:p>
            <w:pPr>
              <w:spacing w:after="40"/>
            </w:pPr>
            <w:r>
              <w:rPr>
                <w:rFonts w:ascii="Times New Roman" w:hAnsi="Times New Roman"/>
                <w:b w:val="0"/>
                <w:i w:val="0"/>
                <w:sz w:val="17"/>
              </w:rPr>
              <w:t>C7</w:t>
            </w:r>
          </w:p>
        </w:tc>
        <w:tc>
          <w:tcPr>
            <w:tcW w:type="dxa" w:w="2520"/>
          </w:tcPr>
          <w:p>
            <w:pPr>
              <w:spacing w:after="40"/>
            </w:pPr>
            <w:r>
              <w:rPr>
                <w:rFonts w:ascii="Times New Roman" w:hAnsi="Times New Roman"/>
                <w:b w:val="0"/>
                <w:i w:val="0"/>
                <w:sz w:val="17"/>
              </w:rPr>
              <w:t>Existing site elevations</w:t>
            </w:r>
          </w:p>
        </w:tc>
        <w:tc>
          <w:tcPr>
            <w:tcW w:type="dxa" w:w="3311"/>
          </w:tcPr>
          <w:p>
            <w:pPr>
              <w:spacing w:after="40"/>
            </w:pPr>
            <w:r>
              <w:rPr>
                <w:rFonts w:ascii="Times New Roman" w:hAnsi="Times New Roman"/>
                <w:b w:val="0"/>
                <w:i w:val="0"/>
                <w:sz w:val="17"/>
              </w:rPr>
              <w:t>Phase II §5 (9.0'–14.0' NAVD88) vs. Survey §1 (10.2'–14.8' NAVD88)</w:t>
            </w:r>
          </w:p>
        </w:tc>
        <w:tc>
          <w:tcPr>
            <w:tcW w:type="dxa" w:w="3024"/>
          </w:tcPr>
          <w:p>
            <w:pPr>
              <w:spacing w:after="40"/>
            </w:pPr>
            <w:r>
              <w:rPr>
                <w:rFonts w:ascii="Times New Roman" w:hAnsi="Times New Roman"/>
                <w:b w:val="0"/>
                <w:i w:val="0"/>
                <w:sz w:val="17"/>
              </w:rPr>
              <w:t>Informational; no lease consequence — Item 31</w:t>
            </w:r>
          </w:p>
        </w:tc>
      </w:tr>
      <w:tr>
        <w:trPr>
          <w:cantSplit/>
        </w:trPr>
        <w:tc>
          <w:tcPr>
            <w:tcW w:type="dxa" w:w="503"/>
          </w:tcPr>
          <w:p>
            <w:pPr>
              <w:spacing w:after="40"/>
            </w:pPr>
            <w:r>
              <w:rPr>
                <w:rFonts w:ascii="Times New Roman" w:hAnsi="Times New Roman"/>
                <w:b w:val="0"/>
                <w:i w:val="0"/>
                <w:sz w:val="17"/>
              </w:rPr>
              <w:t>C8</w:t>
            </w:r>
          </w:p>
        </w:tc>
        <w:tc>
          <w:tcPr>
            <w:tcW w:type="dxa" w:w="2520"/>
          </w:tcPr>
          <w:p>
            <w:pPr>
              <w:spacing w:after="40"/>
            </w:pPr>
            <w:r>
              <w:rPr>
                <w:rFonts w:ascii="Times New Roman" w:hAnsi="Times New Roman"/>
                <w:b w:val="0"/>
                <w:i w:val="0"/>
                <w:sz w:val="17"/>
              </w:rPr>
              <w:t>AMI area</w:t>
            </w:r>
          </w:p>
        </w:tc>
        <w:tc>
          <w:tcPr>
            <w:tcW w:type="dxa" w:w="3311"/>
          </w:tcPr>
          <w:p>
            <w:pPr>
              <w:spacing w:after="40"/>
            </w:pPr>
            <w:r>
              <w:rPr>
                <w:rFonts w:ascii="Times New Roman" w:hAnsi="Times New Roman"/>
                <w:b w:val="0"/>
                <w:i w:val="0"/>
                <w:sz w:val="17"/>
              </w:rPr>
              <w:t>Term Sheet §4 ("Port Calloway Metropolitan Statistical Area") vs. Title Commitment Ex. 5 ("New Haven-Milford") vs. Survey §3(d)(iii) ("Bridgeport-Stamford-Norwalk HUD Metro FMR Area")</w:t>
            </w:r>
          </w:p>
        </w:tc>
        <w:tc>
          <w:tcPr>
            <w:tcW w:type="dxa" w:w="3024"/>
          </w:tcPr>
          <w:p>
            <w:pPr>
              <w:spacing w:after="40"/>
            </w:pPr>
            <w:r>
              <w:rPr>
                <w:rFonts w:ascii="Times New Roman" w:hAnsi="Times New Roman"/>
                <w:b w:val="0"/>
                <w:i w:val="0"/>
                <w:sz w:val="17"/>
              </w:rPr>
              <w:t>New Haven-Milford adopted (Lease §3.6(b)) — Item 27</w:t>
            </w:r>
          </w:p>
        </w:tc>
      </w:tr>
      <w:tr>
        <w:trPr>
          <w:cantSplit/>
        </w:trPr>
        <w:tc>
          <w:tcPr>
            <w:tcW w:type="dxa" w:w="503"/>
          </w:tcPr>
          <w:p>
            <w:pPr>
              <w:spacing w:after="40"/>
            </w:pPr>
            <w:r>
              <w:rPr>
                <w:rFonts w:ascii="Times New Roman" w:hAnsi="Times New Roman"/>
                <w:b w:val="0"/>
                <w:i w:val="0"/>
                <w:sz w:val="17"/>
              </w:rPr>
              <w:t>C9</w:t>
            </w:r>
          </w:p>
        </w:tc>
        <w:tc>
          <w:tcPr>
            <w:tcW w:type="dxa" w:w="2520"/>
          </w:tcPr>
          <w:p>
            <w:pPr>
              <w:spacing w:after="40"/>
            </w:pPr>
            <w:r>
              <w:rPr>
                <w:rFonts w:ascii="Times New Roman" w:hAnsi="Times New Roman"/>
                <w:b w:val="0"/>
                <w:i w:val="0"/>
                <w:sz w:val="17"/>
              </w:rPr>
              <w:t>Security deposit instrument and issuer</w:t>
            </w:r>
          </w:p>
        </w:tc>
        <w:tc>
          <w:tcPr>
            <w:tcW w:type="dxa" w:w="3311"/>
          </w:tcPr>
          <w:p>
            <w:pPr>
              <w:spacing w:after="40"/>
            </w:pPr>
            <w:r>
              <w:rPr>
                <w:rFonts w:ascii="Times New Roman" w:hAnsi="Times New Roman"/>
                <w:b w:val="0"/>
                <w:i w:val="0"/>
                <w:sz w:val="17"/>
              </w:rPr>
              <w:t>Term Sheet §8 (commercial bank, U.S. or state, A-/A3) vs. Resolution 2025-047 Recital (c) ("federally chartered") vs. Loan TS §4 (cash at Borrower's option)</w:t>
            </w:r>
          </w:p>
        </w:tc>
        <w:tc>
          <w:tcPr>
            <w:tcW w:type="dxa" w:w="3024"/>
          </w:tcPr>
          <w:p>
            <w:pPr>
              <w:spacing w:after="40"/>
            </w:pPr>
            <w:r>
              <w:rPr>
                <w:rFonts w:ascii="Times New Roman" w:hAnsi="Times New Roman"/>
                <w:b w:val="0"/>
                <w:i w:val="0"/>
                <w:sz w:val="17"/>
              </w:rPr>
              <w:t>Commercial bank or cash or affiliate guaranty (Lease §§7.1–7.2) — Item 35</w:t>
            </w:r>
          </w:p>
        </w:tc>
      </w:tr>
      <w:tr>
        <w:trPr>
          <w:cantSplit/>
        </w:trPr>
        <w:tc>
          <w:tcPr>
            <w:tcW w:type="dxa" w:w="503"/>
          </w:tcPr>
          <w:p>
            <w:pPr>
              <w:spacing w:after="40"/>
            </w:pPr>
            <w:r>
              <w:rPr>
                <w:rFonts w:ascii="Times New Roman" w:hAnsi="Times New Roman"/>
                <w:b w:val="0"/>
                <w:i w:val="0"/>
                <w:sz w:val="17"/>
              </w:rPr>
              <w:t>C10</w:t>
            </w:r>
          </w:p>
        </w:tc>
        <w:tc>
          <w:tcPr>
            <w:tcW w:type="dxa" w:w="2520"/>
          </w:tcPr>
          <w:p>
            <w:pPr>
              <w:spacing w:after="40"/>
            </w:pPr>
            <w:r>
              <w:rPr>
                <w:rFonts w:ascii="Times New Roman" w:hAnsi="Times New Roman"/>
                <w:b w:val="0"/>
                <w:i w:val="0"/>
                <w:sz w:val="17"/>
              </w:rPr>
              <w:t>Right of first refusal and mortgagee transfers</w:t>
            </w:r>
          </w:p>
        </w:tc>
        <w:tc>
          <w:tcPr>
            <w:tcW w:type="dxa" w:w="3311"/>
          </w:tcPr>
          <w:p>
            <w:pPr>
              <w:spacing w:after="40"/>
            </w:pPr>
            <w:r>
              <w:rPr>
                <w:rFonts w:ascii="Times New Roman" w:hAnsi="Times New Roman"/>
                <w:b w:val="0"/>
                <w:i w:val="0"/>
                <w:sz w:val="17"/>
              </w:rPr>
              <w:t>Term Sheet §11 and Title Commitment Ex. 4 (recorded 2019 declaration with, expressly, "no exception or carve-out for transfers resulting from foreclosure, deed-in-lieu... or assignments by a leasehold mortgagee") vs. Loan TS §5.6 (unconditional foreclosure and assignment without Landlord consent)</w:t>
            </w:r>
          </w:p>
        </w:tc>
        <w:tc>
          <w:tcPr>
            <w:tcW w:type="dxa" w:w="3024"/>
          </w:tcPr>
          <w:p>
            <w:pPr>
              <w:spacing w:after="40"/>
            </w:pPr>
            <w:r>
              <w:rPr>
                <w:rFonts w:ascii="Times New Roman" w:hAnsi="Times New Roman"/>
                <w:b w:val="0"/>
                <w:i w:val="0"/>
                <w:sz w:val="17"/>
              </w:rPr>
              <w:t>Amendment and subordination as a condition precedent; express carve-outs (Lease §§2.7(d), 11.4(e)) — Item 12</w:t>
            </w:r>
          </w:p>
        </w:tc>
      </w:tr>
      <w:tr>
        <w:trPr>
          <w:cantSplit/>
        </w:trPr>
        <w:tc>
          <w:tcPr>
            <w:tcW w:type="dxa" w:w="503"/>
          </w:tcPr>
          <w:p>
            <w:pPr>
              <w:spacing w:after="40"/>
            </w:pPr>
            <w:r>
              <w:rPr>
                <w:rFonts w:ascii="Times New Roman" w:hAnsi="Times New Roman"/>
                <w:b w:val="0"/>
                <w:i w:val="0"/>
                <w:sz w:val="17"/>
              </w:rPr>
              <w:t>C11</w:t>
            </w:r>
          </w:p>
        </w:tc>
        <w:tc>
          <w:tcPr>
            <w:tcW w:type="dxa" w:w="2520"/>
          </w:tcPr>
          <w:p>
            <w:pPr>
              <w:spacing w:after="40"/>
            </w:pPr>
            <w:r>
              <w:rPr>
                <w:rFonts w:ascii="Times New Roman" w:hAnsi="Times New Roman"/>
                <w:b w:val="0"/>
                <w:i w:val="0"/>
                <w:sz w:val="17"/>
              </w:rPr>
              <w:t>New Lease trigger and mechanics</w:t>
            </w:r>
          </w:p>
        </w:tc>
        <w:tc>
          <w:tcPr>
            <w:tcW w:type="dxa" w:w="3311"/>
          </w:tcPr>
          <w:p>
            <w:pPr>
              <w:spacing w:after="40"/>
            </w:pPr>
            <w:r>
              <w:rPr>
                <w:rFonts w:ascii="Times New Roman" w:hAnsi="Times New Roman"/>
                <w:b w:val="0"/>
                <w:i w:val="0"/>
                <w:sz w:val="17"/>
              </w:rPr>
              <w:t>Term Sheet §9 (Tenant Event of Default only; cure measured from termination) vs. Loan TS §5.3 (any termination; 60-day request; 30-day execution; 180-day long-stop; subleases recognized)</w:t>
            </w:r>
          </w:p>
        </w:tc>
        <w:tc>
          <w:tcPr>
            <w:tcW w:type="dxa" w:w="3024"/>
          </w:tcPr>
          <w:p>
            <w:pPr>
              <w:spacing w:after="40"/>
            </w:pPr>
            <w:r>
              <w:rPr>
                <w:rFonts w:ascii="Times New Roman" w:hAnsi="Times New Roman"/>
                <w:b w:val="0"/>
                <w:i w:val="0"/>
                <w:sz w:val="17"/>
              </w:rPr>
              <w:t>Bayside's broader right adopted (Lease §10.5) — Item 8</w:t>
            </w:r>
          </w:p>
        </w:tc>
      </w:tr>
      <w:tr>
        <w:trPr>
          <w:cantSplit/>
        </w:trPr>
        <w:tc>
          <w:tcPr>
            <w:tcW w:type="dxa" w:w="503"/>
          </w:tcPr>
          <w:p>
            <w:pPr>
              <w:spacing w:after="40"/>
            </w:pPr>
            <w:r>
              <w:rPr>
                <w:rFonts w:ascii="Times New Roman" w:hAnsi="Times New Roman"/>
                <w:b w:val="0"/>
                <w:i w:val="0"/>
                <w:sz w:val="17"/>
              </w:rPr>
              <w:t>C12</w:t>
            </w:r>
          </w:p>
        </w:tc>
        <w:tc>
          <w:tcPr>
            <w:tcW w:type="dxa" w:w="2520"/>
          </w:tcPr>
          <w:p>
            <w:pPr>
              <w:spacing w:after="40"/>
            </w:pPr>
            <w:r>
              <w:rPr>
                <w:rFonts w:ascii="Times New Roman" w:hAnsi="Times New Roman"/>
                <w:b w:val="0"/>
                <w:i w:val="0"/>
                <w:sz w:val="17"/>
              </w:rPr>
              <w:t>Independent Lender cure for milestone defaults</w:t>
            </w:r>
          </w:p>
        </w:tc>
        <w:tc>
          <w:tcPr>
            <w:tcW w:type="dxa" w:w="3311"/>
          </w:tcPr>
          <w:p>
            <w:pPr>
              <w:spacing w:after="40"/>
            </w:pPr>
            <w:r>
              <w:rPr>
                <w:rFonts w:ascii="Times New Roman" w:hAnsi="Times New Roman"/>
                <w:b w:val="0"/>
                <w:i w:val="0"/>
                <w:sz w:val="17"/>
              </w:rPr>
              <w:t>Term Sheet §9 (silent) vs. Loan TS §5.4 ("in addition to, and not concurrent with, any cure periods afforded to Tenant")</w:t>
            </w:r>
          </w:p>
        </w:tc>
        <w:tc>
          <w:tcPr>
            <w:tcW w:type="dxa" w:w="3024"/>
          </w:tcPr>
          <w:p>
            <w:pPr>
              <w:spacing w:after="40"/>
            </w:pPr>
            <w:r>
              <w:rPr>
                <w:rFonts w:ascii="Times New Roman" w:hAnsi="Times New Roman"/>
                <w:b w:val="0"/>
                <w:i w:val="0"/>
                <w:sz w:val="17"/>
              </w:rPr>
              <w:t>180-day Lender cure (Lease §10.3(c)) — Item 9</w:t>
            </w:r>
          </w:p>
        </w:tc>
      </w:tr>
      <w:tr>
        <w:trPr>
          <w:cantSplit/>
        </w:trPr>
        <w:tc>
          <w:tcPr>
            <w:tcW w:type="dxa" w:w="503"/>
          </w:tcPr>
          <w:p>
            <w:pPr>
              <w:spacing w:after="40"/>
            </w:pPr>
            <w:r>
              <w:rPr>
                <w:rFonts w:ascii="Times New Roman" w:hAnsi="Times New Roman"/>
                <w:b w:val="0"/>
                <w:i w:val="0"/>
                <w:sz w:val="17"/>
              </w:rPr>
              <w:t>C13</w:t>
            </w:r>
          </w:p>
        </w:tc>
        <w:tc>
          <w:tcPr>
            <w:tcW w:type="dxa" w:w="2520"/>
          </w:tcPr>
          <w:p>
            <w:pPr>
              <w:spacing w:after="40"/>
            </w:pPr>
            <w:r>
              <w:rPr>
                <w:rFonts w:ascii="Times New Roman" w:hAnsi="Times New Roman"/>
                <w:b w:val="0"/>
                <w:i w:val="0"/>
                <w:sz w:val="17"/>
              </w:rPr>
              <w:t>Leasehold mortgage consent</w:t>
            </w:r>
          </w:p>
        </w:tc>
        <w:tc>
          <w:tcPr>
            <w:tcW w:type="dxa" w:w="3311"/>
          </w:tcPr>
          <w:p>
            <w:pPr>
              <w:spacing w:after="40"/>
            </w:pPr>
            <w:r>
              <w:rPr>
                <w:rFonts w:ascii="Times New Roman" w:hAnsi="Times New Roman"/>
                <w:b w:val="0"/>
                <w:i w:val="0"/>
                <w:sz w:val="17"/>
              </w:rPr>
              <w:t>Term Sheet §9 ("subject to the terms and conditions of the Definitive Lease") vs. Loan TS §5.1 (no consent, no fee, no condition)</w:t>
            </w:r>
          </w:p>
        </w:tc>
        <w:tc>
          <w:tcPr>
            <w:tcW w:type="dxa" w:w="3024"/>
          </w:tcPr>
          <w:p>
            <w:pPr>
              <w:spacing w:after="40"/>
            </w:pPr>
            <w:r>
              <w:rPr>
                <w:rFonts w:ascii="Times New Roman" w:hAnsi="Times New Roman"/>
                <w:b w:val="0"/>
                <w:i w:val="0"/>
                <w:sz w:val="17"/>
              </w:rPr>
              <w:t>No consent, no fee (Lease §10.1) — Item 10</w:t>
            </w:r>
          </w:p>
        </w:tc>
      </w:tr>
      <w:tr>
        <w:trPr>
          <w:cantSplit/>
        </w:trPr>
        <w:tc>
          <w:tcPr>
            <w:tcW w:type="dxa" w:w="503"/>
          </w:tcPr>
          <w:p>
            <w:pPr>
              <w:spacing w:after="40"/>
            </w:pPr>
            <w:r>
              <w:rPr>
                <w:rFonts w:ascii="Times New Roman" w:hAnsi="Times New Roman"/>
                <w:b w:val="0"/>
                <w:i w:val="0"/>
                <w:sz w:val="17"/>
              </w:rPr>
              <w:t>C14</w:t>
            </w:r>
          </w:p>
        </w:tc>
        <w:tc>
          <w:tcPr>
            <w:tcW w:type="dxa" w:w="2520"/>
          </w:tcPr>
          <w:p>
            <w:pPr>
              <w:spacing w:after="40"/>
            </w:pPr>
            <w:r>
              <w:rPr>
                <w:rFonts w:ascii="Times New Roman" w:hAnsi="Times New Roman"/>
                <w:b w:val="0"/>
                <w:i w:val="0"/>
                <w:sz w:val="17"/>
              </w:rPr>
              <w:t>Completion guaranty scope and deadline</w:t>
            </w:r>
          </w:p>
        </w:tc>
        <w:tc>
          <w:tcPr>
            <w:tcW w:type="dxa" w:w="3311"/>
          </w:tcPr>
          <w:p>
            <w:pPr>
              <w:spacing w:after="40"/>
            </w:pPr>
            <w:r>
              <w:rPr>
                <w:rFonts w:ascii="Times New Roman" w:hAnsi="Times New Roman"/>
                <w:b w:val="0"/>
                <w:i w:val="0"/>
                <w:sz w:val="17"/>
              </w:rPr>
              <w:t>Loan TS §4 (Coventry guarantees lien-free completion of the Project "on or before the Initial Maturity Date") vs. Term Sheet §9 (Phase 1 Oct. 1, 2030; Phase 2 Oct. 1, 2032)</w:t>
            </w:r>
          </w:p>
        </w:tc>
        <w:tc>
          <w:tcPr>
            <w:tcW w:type="dxa" w:w="3024"/>
          </w:tcPr>
          <w:p>
            <w:pPr>
              <w:spacing w:after="40"/>
            </w:pPr>
            <w:r>
              <w:rPr>
                <w:rFonts w:ascii="Times New Roman" w:hAnsi="Times New Roman"/>
                <w:b w:val="0"/>
                <w:i w:val="0"/>
                <w:sz w:val="17"/>
              </w:rPr>
              <w:t>External to the Lease; raised for Coventry and Bayside — Item 13</w:t>
            </w:r>
          </w:p>
        </w:tc>
      </w:tr>
      <w:tr>
        <w:trPr>
          <w:cantSplit/>
        </w:trPr>
        <w:tc>
          <w:tcPr>
            <w:tcW w:type="dxa" w:w="503"/>
          </w:tcPr>
          <w:p>
            <w:pPr>
              <w:spacing w:after="40"/>
            </w:pPr>
            <w:r>
              <w:rPr>
                <w:rFonts w:ascii="Times New Roman" w:hAnsi="Times New Roman"/>
                <w:b w:val="0"/>
                <w:i w:val="0"/>
                <w:sz w:val="17"/>
              </w:rPr>
              <w:t>C15</w:t>
            </w:r>
          </w:p>
        </w:tc>
        <w:tc>
          <w:tcPr>
            <w:tcW w:type="dxa" w:w="2520"/>
          </w:tcPr>
          <w:p>
            <w:pPr>
              <w:spacing w:after="40"/>
            </w:pPr>
            <w:r>
              <w:rPr>
                <w:rFonts w:ascii="Times New Roman" w:hAnsi="Times New Roman"/>
                <w:b w:val="0"/>
                <w:i w:val="0"/>
                <w:sz w:val="17"/>
              </w:rPr>
              <w:t>Pledge of membership interests</w:t>
            </w:r>
          </w:p>
        </w:tc>
        <w:tc>
          <w:tcPr>
            <w:tcW w:type="dxa" w:w="3311"/>
          </w:tcPr>
          <w:p>
            <w:pPr>
              <w:spacing w:after="40"/>
            </w:pPr>
            <w:r>
              <w:rPr>
                <w:rFonts w:ascii="Times New Roman" w:hAnsi="Times New Roman"/>
                <w:b w:val="0"/>
                <w:i w:val="0"/>
                <w:sz w:val="17"/>
              </w:rPr>
              <w:t>Loan TS §4 (first-priority pledge of 100% of membership interests) vs. Term Sheet §11 (assignment restrictions; affiliate definition)</w:t>
            </w:r>
          </w:p>
        </w:tc>
        <w:tc>
          <w:tcPr>
            <w:tcW w:type="dxa" w:w="3024"/>
          </w:tcPr>
          <w:p>
            <w:pPr>
              <w:spacing w:after="40"/>
            </w:pPr>
            <w:r>
              <w:rPr>
                <w:rFonts w:ascii="Times New Roman" w:hAnsi="Times New Roman"/>
                <w:b w:val="0"/>
                <w:i w:val="0"/>
                <w:sz w:val="17"/>
              </w:rPr>
              <w:t>Express permitted transfer (Lease §11.1(e)) — Item 43</w:t>
            </w:r>
          </w:p>
        </w:tc>
      </w:tr>
      <w:tr>
        <w:trPr>
          <w:cantSplit/>
        </w:trPr>
        <w:tc>
          <w:tcPr>
            <w:tcW w:type="dxa" w:w="503"/>
          </w:tcPr>
          <w:p>
            <w:pPr>
              <w:spacing w:after="40"/>
            </w:pPr>
            <w:r>
              <w:rPr>
                <w:rFonts w:ascii="Times New Roman" w:hAnsi="Times New Roman"/>
                <w:b w:val="0"/>
                <w:i w:val="0"/>
                <w:sz w:val="17"/>
              </w:rPr>
              <w:t>C16</w:t>
            </w:r>
          </w:p>
        </w:tc>
        <w:tc>
          <w:tcPr>
            <w:tcW w:type="dxa" w:w="2520"/>
          </w:tcPr>
          <w:p>
            <w:pPr>
              <w:spacing w:after="40"/>
            </w:pPr>
            <w:r>
              <w:rPr>
                <w:rFonts w:ascii="Times New Roman" w:hAnsi="Times New Roman"/>
                <w:b w:val="0"/>
                <w:i w:val="0"/>
                <w:sz w:val="17"/>
              </w:rPr>
              <w:t>Insurance additional insureds and loss payees</w:t>
            </w:r>
          </w:p>
        </w:tc>
        <w:tc>
          <w:tcPr>
            <w:tcW w:type="dxa" w:w="3311"/>
          </w:tcPr>
          <w:p>
            <w:pPr>
              <w:spacing w:after="40"/>
            </w:pPr>
            <w:r>
              <w:rPr>
                <w:rFonts w:ascii="Times New Roman" w:hAnsi="Times New Roman"/>
                <w:b w:val="0"/>
                <w:i w:val="0"/>
                <w:sz w:val="17"/>
              </w:rPr>
              <w:t>Term Sheet §12 (Authority as additional insured on CGL and all-risk property) vs. Loan TS §6(h) (Lender as additional insured and/or loss payee on all policies)</w:t>
            </w:r>
          </w:p>
        </w:tc>
        <w:tc>
          <w:tcPr>
            <w:tcW w:type="dxa" w:w="3024"/>
          </w:tcPr>
          <w:p>
            <w:pPr>
              <w:spacing w:after="40"/>
            </w:pPr>
            <w:r>
              <w:rPr>
                <w:rFonts w:ascii="Times New Roman" w:hAnsi="Times New Roman"/>
                <w:b w:val="0"/>
                <w:i w:val="0"/>
                <w:sz w:val="17"/>
              </w:rPr>
              <w:t>Both satisfied; mortgagee first loss payee; Authority additional insured on liability only (Lease §12.2) — Item 37</w:t>
            </w:r>
          </w:p>
        </w:tc>
      </w:tr>
      <w:tr>
        <w:trPr>
          <w:cantSplit/>
        </w:trPr>
        <w:tc>
          <w:tcPr>
            <w:tcW w:type="dxa" w:w="503"/>
          </w:tcPr>
          <w:p>
            <w:pPr>
              <w:spacing w:after="40"/>
            </w:pPr>
            <w:r>
              <w:rPr>
                <w:rFonts w:ascii="Times New Roman" w:hAnsi="Times New Roman"/>
                <w:b w:val="0"/>
                <w:i w:val="0"/>
                <w:sz w:val="17"/>
              </w:rPr>
              <w:t>C17</w:t>
            </w:r>
          </w:p>
        </w:tc>
        <w:tc>
          <w:tcPr>
            <w:tcW w:type="dxa" w:w="2520"/>
          </w:tcPr>
          <w:p>
            <w:pPr>
              <w:spacing w:after="40"/>
            </w:pPr>
            <w:r>
              <w:rPr>
                <w:rFonts w:ascii="Times New Roman" w:hAnsi="Times New Roman"/>
                <w:b w:val="0"/>
                <w:i w:val="0"/>
                <w:sz w:val="17"/>
              </w:rPr>
              <w:t>Flood insurance amount</w:t>
            </w:r>
          </w:p>
        </w:tc>
        <w:tc>
          <w:tcPr>
            <w:tcW w:type="dxa" w:w="3311"/>
          </w:tcPr>
          <w:p>
            <w:pPr>
              <w:spacing w:after="40"/>
            </w:pPr>
            <w:r>
              <w:rPr>
                <w:rFonts w:ascii="Times New Roman" w:hAnsi="Times New Roman"/>
                <w:b w:val="0"/>
                <w:i w:val="0"/>
                <w:sz w:val="17"/>
              </w:rPr>
              <w:t>Term Sheet §12(d) ("no event less than the maximum coverage available under the National Flood Insurance Program") vs. Loan TS §6(h) (flood insurance "in amounts satisfactory to Lender") and $425,000,000 replacement cost</w:t>
            </w:r>
          </w:p>
        </w:tc>
        <w:tc>
          <w:tcPr>
            <w:tcW w:type="dxa" w:w="3024"/>
          </w:tcPr>
          <w:p>
            <w:pPr>
              <w:spacing w:after="40"/>
            </w:pPr>
            <w:r>
              <w:rPr>
                <w:rFonts w:ascii="Times New Roman" w:hAnsi="Times New Roman"/>
                <w:b w:val="0"/>
                <w:i w:val="0"/>
                <w:sz w:val="17"/>
              </w:rPr>
              <w:t>Full replacement cost, NFIP plus private (Lease §12.1(e)) — Item 37</w:t>
            </w:r>
          </w:p>
        </w:tc>
      </w:tr>
      <w:tr>
        <w:trPr>
          <w:cantSplit/>
        </w:trPr>
        <w:tc>
          <w:tcPr>
            <w:tcW w:type="dxa" w:w="503"/>
          </w:tcPr>
          <w:p>
            <w:pPr>
              <w:spacing w:after="40"/>
            </w:pPr>
            <w:r>
              <w:rPr>
                <w:rFonts w:ascii="Times New Roman" w:hAnsi="Times New Roman"/>
                <w:b w:val="0"/>
                <w:i w:val="0"/>
                <w:sz w:val="17"/>
              </w:rPr>
              <w:t>C18</w:t>
            </w:r>
          </w:p>
        </w:tc>
        <w:tc>
          <w:tcPr>
            <w:tcW w:type="dxa" w:w="2520"/>
          </w:tcPr>
          <w:p>
            <w:pPr>
              <w:spacing w:after="40"/>
            </w:pPr>
            <w:r>
              <w:rPr>
                <w:rFonts w:ascii="Times New Roman" w:hAnsi="Times New Roman"/>
                <w:b w:val="0"/>
                <w:i w:val="0"/>
                <w:sz w:val="17"/>
              </w:rPr>
              <w:t>Tax abatement commencement and obligor</w:t>
            </w:r>
          </w:p>
        </w:tc>
        <w:tc>
          <w:tcPr>
            <w:tcW w:type="dxa" w:w="3311"/>
          </w:tcPr>
          <w:p>
            <w:pPr>
              <w:spacing w:after="40"/>
            </w:pPr>
            <w:r>
              <w:rPr>
                <w:rFonts w:ascii="Times New Roman" w:hAnsi="Times New Roman"/>
                <w:b w:val="0"/>
                <w:i w:val="0"/>
                <w:sz w:val="17"/>
              </w:rPr>
              <w:t>Term Sheet §10 (commences on Lease Commencement Date; Authority to use "commercially reasonable efforts") vs. Resolution 2025-047 (separate agreement with the City; Authority merely "supports" the abatement) vs. your instruction (abatement during income-producing years)</w:t>
            </w:r>
          </w:p>
        </w:tc>
        <w:tc>
          <w:tcPr>
            <w:tcW w:type="dxa" w:w="3024"/>
          </w:tcPr>
          <w:p>
            <w:pPr>
              <w:spacing w:after="40"/>
            </w:pPr>
            <w:r>
              <w:rPr>
                <w:rFonts w:ascii="Times New Roman" w:hAnsi="Times New Roman"/>
                <w:b w:val="0"/>
                <w:i w:val="0"/>
                <w:sz w:val="17"/>
              </w:rPr>
              <w:t>Commences on Rent Commencement Date; City agreement a condition precedent; offset remedy (Lease §§2.7(e), 6.2) — Item 3</w:t>
            </w:r>
          </w:p>
        </w:tc>
      </w:tr>
      <w:tr>
        <w:trPr>
          <w:cantSplit/>
        </w:trPr>
        <w:tc>
          <w:tcPr>
            <w:tcW w:type="dxa" w:w="503"/>
          </w:tcPr>
          <w:p>
            <w:pPr>
              <w:spacing w:after="40"/>
            </w:pPr>
            <w:r>
              <w:rPr>
                <w:rFonts w:ascii="Times New Roman" w:hAnsi="Times New Roman"/>
                <w:b w:val="0"/>
                <w:i w:val="0"/>
                <w:sz w:val="17"/>
              </w:rPr>
              <w:t>C19</w:t>
            </w:r>
          </w:p>
        </w:tc>
        <w:tc>
          <w:tcPr>
            <w:tcW w:type="dxa" w:w="2520"/>
          </w:tcPr>
          <w:p>
            <w:pPr>
              <w:spacing w:after="40"/>
            </w:pPr>
            <w:r>
              <w:rPr>
                <w:rFonts w:ascii="Times New Roman" w:hAnsi="Times New Roman"/>
                <w:b w:val="0"/>
                <w:i w:val="0"/>
                <w:sz w:val="17"/>
              </w:rPr>
              <w:t>Ground-floor uses</w:t>
            </w:r>
          </w:p>
        </w:tc>
        <w:tc>
          <w:tcPr>
            <w:tcW w:type="dxa" w:w="3311"/>
          </w:tcPr>
          <w:p>
            <w:pPr>
              <w:spacing w:after="40"/>
            </w:pPr>
            <w:r>
              <w:rPr>
                <w:rFonts w:ascii="Times New Roman" w:hAnsi="Times New Roman"/>
                <w:b w:val="0"/>
                <w:i w:val="0"/>
                <w:sz w:val="17"/>
              </w:rPr>
              <w:t>Term Sheet §4(a) (ground-floor residential lobby, fitness center, package room, lounge, leasing office) vs. Term Sheet §4 and Phase II §2.3 (ELUR prohibits residential use on the ground floor)</w:t>
            </w:r>
          </w:p>
        </w:tc>
        <w:tc>
          <w:tcPr>
            <w:tcW w:type="dxa" w:w="3024"/>
          </w:tcPr>
          <w:p>
            <w:pPr>
              <w:spacing w:after="40"/>
            </w:pPr>
            <w:r>
              <w:rPr>
                <w:rFonts w:ascii="Times New Roman" w:hAnsi="Times New Roman"/>
                <w:b w:val="0"/>
                <w:i w:val="0"/>
                <w:sz w:val="17"/>
              </w:rPr>
              <w:t>Non-habitable ground-floor uses only; DEEP letter a condition precedent (Lease §3.9) — Item 28</w:t>
            </w:r>
          </w:p>
        </w:tc>
      </w:tr>
      <w:tr>
        <w:trPr>
          <w:cantSplit/>
        </w:trPr>
        <w:tc>
          <w:tcPr>
            <w:tcW w:type="dxa" w:w="503"/>
          </w:tcPr>
          <w:p>
            <w:pPr>
              <w:spacing w:after="40"/>
            </w:pPr>
            <w:r>
              <w:rPr>
                <w:rFonts w:ascii="Times New Roman" w:hAnsi="Times New Roman"/>
                <w:b w:val="0"/>
                <w:i w:val="0"/>
                <w:sz w:val="17"/>
              </w:rPr>
              <w:t>C20</w:t>
            </w:r>
          </w:p>
        </w:tc>
        <w:tc>
          <w:tcPr>
            <w:tcW w:type="dxa" w:w="2520"/>
          </w:tcPr>
          <w:p>
            <w:pPr>
              <w:spacing w:after="40"/>
            </w:pPr>
            <w:r>
              <w:rPr>
                <w:rFonts w:ascii="Times New Roman" w:hAnsi="Times New Roman"/>
                <w:b w:val="0"/>
                <w:i w:val="0"/>
                <w:sz w:val="17"/>
              </w:rPr>
              <w:t>Residential unit count</w:t>
            </w:r>
          </w:p>
        </w:tc>
        <w:tc>
          <w:tcPr>
            <w:tcW w:type="dxa" w:w="3311"/>
          </w:tcPr>
          <w:p>
            <w:pPr>
              <w:spacing w:after="40"/>
            </w:pPr>
            <w:r>
              <w:rPr>
                <w:rFonts w:ascii="Times New Roman" w:hAnsi="Times New Roman"/>
                <w:b w:val="0"/>
                <w:i w:val="0"/>
                <w:sz w:val="17"/>
              </w:rPr>
              <w:t>Term Sheet §4(a) ("to be determined and specified in the Definitive Lease") vs. Resolution Recital and Term Sheet §6 (15% affordable; $28,500,000 breakpoint)</w:t>
            </w:r>
          </w:p>
        </w:tc>
        <w:tc>
          <w:tcPr>
            <w:tcW w:type="dxa" w:w="3024"/>
          </w:tcPr>
          <w:p>
            <w:pPr>
              <w:spacing w:after="40"/>
            </w:pPr>
            <w:r>
              <w:rPr>
                <w:rFonts w:ascii="Times New Roman" w:hAnsi="Times New Roman"/>
                <w:b w:val="0"/>
                <w:i w:val="0"/>
                <w:sz w:val="17"/>
              </w:rPr>
              <w:t>Exhibit E requires a unit count; [●] pending — Item 45</w:t>
            </w:r>
          </w:p>
        </w:tc>
      </w:tr>
      <w:tr>
        <w:trPr>
          <w:cantSplit/>
        </w:trPr>
        <w:tc>
          <w:tcPr>
            <w:tcW w:type="dxa" w:w="503"/>
          </w:tcPr>
          <w:p>
            <w:pPr>
              <w:spacing w:after="40"/>
            </w:pPr>
            <w:r>
              <w:rPr>
                <w:rFonts w:ascii="Times New Roman" w:hAnsi="Times New Roman"/>
                <w:b w:val="0"/>
                <w:i w:val="0"/>
                <w:sz w:val="17"/>
              </w:rPr>
              <w:t>C21</w:t>
            </w:r>
          </w:p>
        </w:tc>
        <w:tc>
          <w:tcPr>
            <w:tcW w:type="dxa" w:w="2520"/>
          </w:tcPr>
          <w:p>
            <w:pPr>
              <w:spacing w:after="40"/>
            </w:pPr>
            <w:r>
              <w:rPr>
                <w:rFonts w:ascii="Times New Roman" w:hAnsi="Times New Roman"/>
                <w:b w:val="0"/>
                <w:i w:val="0"/>
                <w:sz w:val="17"/>
              </w:rPr>
              <w:t>Board authorization sequence: Resolution 2025-047 adopted June 5, 2025 authorizes a ground lease "on terms and conditions substantially consistent with the Term Sheet dated June 10, 2025"</w:t>
            </w:r>
          </w:p>
        </w:tc>
        <w:tc>
          <w:tcPr>
            <w:tcW w:type="dxa" w:w="3311"/>
          </w:tcPr>
          <w:p>
            <w:pPr>
              <w:spacing w:after="40"/>
            </w:pPr>
            <w:r>
              <w:rPr>
                <w:rFonts w:ascii="Times New Roman" w:hAnsi="Times New Roman"/>
                <w:b w:val="0"/>
                <w:i w:val="0"/>
                <w:sz w:val="17"/>
              </w:rPr>
              <w:t>Resolution vs. Term Sheet</w:t>
            </w:r>
          </w:p>
        </w:tc>
        <w:tc>
          <w:tcPr>
            <w:tcW w:type="dxa" w:w="3024"/>
          </w:tcPr>
          <w:p>
            <w:pPr>
              <w:spacing w:after="40"/>
            </w:pPr>
            <w:r>
              <w:rPr>
                <w:rFonts w:ascii="Times New Roman" w:hAnsi="Times New Roman"/>
                <w:b w:val="0"/>
                <w:i w:val="0"/>
                <w:sz w:val="17"/>
              </w:rPr>
              <w:t>Certified resolution required at closing (Lease §2.7(b)); supplemental Board resolution identified — Item 38</w:t>
            </w:r>
          </w:p>
        </w:tc>
      </w:tr>
      <w:tr>
        <w:trPr>
          <w:cantSplit/>
        </w:trPr>
        <w:tc>
          <w:tcPr>
            <w:tcW w:type="dxa" w:w="503"/>
          </w:tcPr>
          <w:p>
            <w:pPr>
              <w:spacing w:after="40"/>
            </w:pPr>
            <w:r>
              <w:rPr>
                <w:rFonts w:ascii="Times New Roman" w:hAnsi="Times New Roman"/>
                <w:b w:val="0"/>
                <w:i w:val="0"/>
                <w:sz w:val="17"/>
              </w:rPr>
              <w:t>C22</w:t>
            </w:r>
          </w:p>
        </w:tc>
        <w:tc>
          <w:tcPr>
            <w:tcW w:type="dxa" w:w="2520"/>
          </w:tcPr>
          <w:p>
            <w:pPr>
              <w:spacing w:after="40"/>
            </w:pPr>
            <w:r>
              <w:rPr>
                <w:rFonts w:ascii="Times New Roman" w:hAnsi="Times New Roman"/>
                <w:b w:val="0"/>
                <w:i w:val="0"/>
                <w:sz w:val="17"/>
              </w:rPr>
              <w:t>Delegated authority limits: Resolution §4(a)–(d) (base rent not below $2,850,000; term not above 99 years; affordable housing not reduced; material deviations to the Board)</w:t>
            </w:r>
          </w:p>
        </w:tc>
        <w:tc>
          <w:tcPr>
            <w:tcW w:type="dxa" w:w="3311"/>
          </w:tcPr>
          <w:p>
            <w:pPr>
              <w:spacing w:after="40"/>
            </w:pPr>
            <w:r>
              <w:rPr>
                <w:rFonts w:ascii="Times New Roman" w:hAnsi="Times New Roman"/>
                <w:b w:val="0"/>
                <w:i w:val="0"/>
                <w:sz w:val="17"/>
              </w:rPr>
              <w:t>Resolution vs. draft Lease</w:t>
            </w:r>
          </w:p>
        </w:tc>
        <w:tc>
          <w:tcPr>
            <w:tcW w:type="dxa" w:w="3024"/>
          </w:tcPr>
          <w:p>
            <w:pPr>
              <w:spacing w:after="40"/>
            </w:pPr>
            <w:r>
              <w:rPr>
                <w:rFonts w:ascii="Times New Roman" w:hAnsi="Times New Roman"/>
                <w:b w:val="0"/>
                <w:i w:val="0"/>
                <w:sz w:val="17"/>
              </w:rPr>
              <w:t>Most departures listed in Appendix B are arguably material; Board approval to be scheduled — Item 38</w:t>
            </w:r>
          </w:p>
        </w:tc>
      </w:tr>
      <w:tr>
        <w:trPr>
          <w:cantSplit/>
        </w:trPr>
        <w:tc>
          <w:tcPr>
            <w:tcW w:type="dxa" w:w="503"/>
          </w:tcPr>
          <w:p>
            <w:pPr>
              <w:spacing w:after="40"/>
            </w:pPr>
            <w:r>
              <w:rPr>
                <w:rFonts w:ascii="Times New Roman" w:hAnsi="Times New Roman"/>
                <w:b w:val="0"/>
                <w:i w:val="0"/>
                <w:sz w:val="17"/>
              </w:rPr>
              <w:t>C23</w:t>
            </w:r>
          </w:p>
        </w:tc>
        <w:tc>
          <w:tcPr>
            <w:tcW w:type="dxa" w:w="2520"/>
          </w:tcPr>
          <w:p>
            <w:pPr>
              <w:spacing w:after="40"/>
            </w:pPr>
            <w:r>
              <w:rPr>
                <w:rFonts w:ascii="Times New Roman" w:hAnsi="Times New Roman"/>
                <w:b w:val="0"/>
                <w:i w:val="0"/>
                <w:sz w:val="17"/>
              </w:rPr>
              <w:t>Nature of the Term Sheet: cover page ("EXECUTED — BINDING TERM SHEET") vs. §19 (binding only as to good-faith negotiation and exclusivity)</w:t>
            </w:r>
          </w:p>
        </w:tc>
        <w:tc>
          <w:tcPr>
            <w:tcW w:type="dxa" w:w="3311"/>
          </w:tcPr>
          <w:p>
            <w:pPr>
              <w:spacing w:after="40"/>
            </w:pPr>
            <w:r>
              <w:rPr>
                <w:rFonts w:ascii="Times New Roman" w:hAnsi="Times New Roman"/>
                <w:b w:val="0"/>
                <w:i w:val="0"/>
                <w:sz w:val="17"/>
              </w:rPr>
              <w:t>Term Sheet internal</w:t>
            </w:r>
          </w:p>
        </w:tc>
        <w:tc>
          <w:tcPr>
            <w:tcW w:type="dxa" w:w="3024"/>
          </w:tcPr>
          <w:p>
            <w:pPr>
              <w:spacing w:after="40"/>
            </w:pPr>
            <w:r>
              <w:rPr>
                <w:rFonts w:ascii="Times New Roman" w:hAnsi="Times New Roman"/>
                <w:b w:val="0"/>
                <w:i w:val="0"/>
                <w:sz w:val="17"/>
              </w:rPr>
              <w:t>No lease consequence; noted for the negotiation record</w:t>
            </w:r>
          </w:p>
        </w:tc>
      </w:tr>
      <w:tr>
        <w:trPr>
          <w:cantSplit/>
        </w:trPr>
        <w:tc>
          <w:tcPr>
            <w:tcW w:type="dxa" w:w="503"/>
          </w:tcPr>
          <w:p>
            <w:pPr>
              <w:spacing w:after="40"/>
            </w:pPr>
            <w:r>
              <w:rPr>
                <w:rFonts w:ascii="Times New Roman" w:hAnsi="Times New Roman"/>
                <w:b w:val="0"/>
                <w:i w:val="0"/>
                <w:sz w:val="17"/>
              </w:rPr>
              <w:t>C24</w:t>
            </w:r>
          </w:p>
        </w:tc>
        <w:tc>
          <w:tcPr>
            <w:tcW w:type="dxa" w:w="2520"/>
          </w:tcPr>
          <w:p>
            <w:pPr>
              <w:spacing w:after="40"/>
            </w:pPr>
            <w:r>
              <w:rPr>
                <w:rFonts w:ascii="Times New Roman" w:hAnsi="Times New Roman"/>
                <w:b w:val="0"/>
                <w:i w:val="0"/>
                <w:sz w:val="17"/>
              </w:rPr>
              <w:t>Status of the Bayside term sheet: unsigned by Borrower; by its terms expired if not executed by June 27, 2025</w:t>
            </w:r>
          </w:p>
        </w:tc>
        <w:tc>
          <w:tcPr>
            <w:tcW w:type="dxa" w:w="3311"/>
          </w:tcPr>
          <w:p>
            <w:pPr>
              <w:spacing w:after="40"/>
            </w:pPr>
            <w:r>
              <w:rPr>
                <w:rFonts w:ascii="Times New Roman" w:hAnsi="Times New Roman"/>
                <w:b w:val="0"/>
                <w:i w:val="0"/>
                <w:sz w:val="17"/>
              </w:rPr>
              <w:t>Loan TS §§12–13</w:t>
            </w:r>
          </w:p>
        </w:tc>
        <w:tc>
          <w:tcPr>
            <w:tcW w:type="dxa" w:w="3024"/>
          </w:tcPr>
          <w:p>
            <w:pPr>
              <w:spacing w:after="40"/>
            </w:pPr>
            <w:r>
              <w:rPr>
                <w:rFonts w:ascii="Times New Roman" w:hAnsi="Times New Roman"/>
                <w:b w:val="0"/>
                <w:i w:val="0"/>
                <w:sz w:val="17"/>
              </w:rPr>
              <w:t>Open item — Item 46</w:t>
            </w:r>
          </w:p>
        </w:tc>
      </w:tr>
      <w:tr>
        <w:trPr>
          <w:cantSplit/>
        </w:trPr>
        <w:tc>
          <w:tcPr>
            <w:tcW w:type="dxa" w:w="503"/>
          </w:tcPr>
          <w:p>
            <w:pPr>
              <w:spacing w:after="40"/>
            </w:pPr>
            <w:r>
              <w:rPr>
                <w:rFonts w:ascii="Times New Roman" w:hAnsi="Times New Roman"/>
                <w:b w:val="0"/>
                <w:i w:val="0"/>
                <w:sz w:val="17"/>
              </w:rPr>
              <w:t>C25</w:t>
            </w:r>
          </w:p>
        </w:tc>
        <w:tc>
          <w:tcPr>
            <w:tcW w:type="dxa" w:w="2520"/>
          </w:tcPr>
          <w:p>
            <w:pPr>
              <w:spacing w:after="40"/>
            </w:pPr>
            <w:r>
              <w:rPr>
                <w:rFonts w:ascii="Times New Roman" w:hAnsi="Times New Roman"/>
                <w:b w:val="0"/>
                <w:i w:val="0"/>
                <w:sz w:val="17"/>
              </w:rPr>
              <w:t>Venue: "Judicial District of Port Calloway" vs. Connecticut’s actual judicial districts</w:t>
            </w:r>
          </w:p>
        </w:tc>
        <w:tc>
          <w:tcPr>
            <w:tcW w:type="dxa" w:w="3311"/>
          </w:tcPr>
          <w:p>
            <w:pPr>
              <w:spacing w:after="40"/>
            </w:pPr>
            <w:r>
              <w:rPr>
                <w:rFonts w:ascii="Times New Roman" w:hAnsi="Times New Roman"/>
                <w:b w:val="0"/>
                <w:i w:val="0"/>
                <w:sz w:val="17"/>
              </w:rPr>
              <w:t>Term Sheet §19 vs. Title Commitment §4</w:t>
            </w:r>
          </w:p>
        </w:tc>
        <w:tc>
          <w:tcPr>
            <w:tcW w:type="dxa" w:w="3024"/>
          </w:tcPr>
          <w:p>
            <w:pPr>
              <w:spacing w:after="40"/>
            </w:pPr>
            <w:r>
              <w:rPr>
                <w:rFonts w:ascii="Times New Roman" w:hAnsi="Times New Roman"/>
                <w:b w:val="0"/>
                <w:i w:val="0"/>
                <w:sz w:val="17"/>
              </w:rPr>
              <w:t>New Haven (Lease §17.2) — Item 44</w:t>
            </w:r>
          </w:p>
        </w:tc>
      </w:tr>
      <w:tr>
        <w:trPr>
          <w:cantSplit/>
        </w:trPr>
        <w:tc>
          <w:tcPr>
            <w:tcW w:type="dxa" w:w="503"/>
          </w:tcPr>
          <w:p>
            <w:pPr>
              <w:spacing w:after="40"/>
            </w:pPr>
            <w:r>
              <w:rPr>
                <w:rFonts w:ascii="Times New Roman" w:hAnsi="Times New Roman"/>
                <w:b w:val="0"/>
                <w:i w:val="0"/>
                <w:sz w:val="17"/>
              </w:rPr>
              <w:t>C26</w:t>
            </w:r>
          </w:p>
        </w:tc>
        <w:tc>
          <w:tcPr>
            <w:tcW w:type="dxa" w:w="2520"/>
          </w:tcPr>
          <w:p>
            <w:pPr>
              <w:spacing w:after="40"/>
            </w:pPr>
            <w:r>
              <w:rPr>
                <w:rFonts w:ascii="Times New Roman" w:hAnsi="Times New Roman"/>
                <w:b w:val="0"/>
                <w:i w:val="0"/>
                <w:sz w:val="17"/>
              </w:rPr>
              <w:t>Open space area vs. easement geometry</w:t>
            </w:r>
          </w:p>
        </w:tc>
        <w:tc>
          <w:tcPr>
            <w:tcW w:type="dxa" w:w="3311"/>
          </w:tcPr>
          <w:p>
            <w:pPr>
              <w:spacing w:after="40"/>
            </w:pPr>
            <w:r>
              <w:rPr>
                <w:rFonts w:ascii="Times New Roman" w:hAnsi="Times New Roman"/>
                <w:b w:val="0"/>
                <w:i w:val="0"/>
                <w:sz w:val="17"/>
              </w:rPr>
              <w:t>Term Sheet §4 (8,000 SF of public open space) vs. Survey (7,200 SF pedestrian easement area, and only 4,807 SF on the surveyed east line) vs. Title Ex. 3 (no permanent structures in the easement)</w:t>
            </w:r>
          </w:p>
        </w:tc>
        <w:tc>
          <w:tcPr>
            <w:tcW w:type="dxa" w:w="3024"/>
          </w:tcPr>
          <w:p>
            <w:pPr>
              <w:spacing w:after="40"/>
            </w:pPr>
            <w:r>
              <w:rPr>
                <w:rFonts w:ascii="Times New Roman" w:hAnsi="Times New Roman"/>
                <w:b w:val="0"/>
                <w:i w:val="0"/>
                <w:sz w:val="17"/>
              </w:rPr>
              <w:t>Open space measured outside the easement strip to the extent of the easement (Lease §3.7) — Item 42</w:t>
            </w:r>
          </w:p>
        </w:tc>
      </w:tr>
      <w:tr>
        <w:trPr>
          <w:cantSplit/>
        </w:trPr>
        <w:tc>
          <w:tcPr>
            <w:tcW w:type="dxa" w:w="503"/>
          </w:tcPr>
          <w:p>
            <w:pPr>
              <w:spacing w:after="40"/>
            </w:pPr>
            <w:r>
              <w:rPr>
                <w:rFonts w:ascii="Times New Roman" w:hAnsi="Times New Roman"/>
                <w:b w:val="0"/>
                <w:i w:val="0"/>
                <w:sz w:val="17"/>
              </w:rPr>
              <w:t>C27</w:t>
            </w:r>
          </w:p>
        </w:tc>
        <w:tc>
          <w:tcPr>
            <w:tcW w:type="dxa" w:w="2520"/>
          </w:tcPr>
          <w:p>
            <w:pPr>
              <w:spacing w:after="40"/>
            </w:pPr>
            <w:r>
              <w:rPr>
                <w:rFonts w:ascii="Times New Roman" w:hAnsi="Times New Roman"/>
                <w:b w:val="0"/>
                <w:i w:val="0"/>
                <w:sz w:val="17"/>
              </w:rPr>
              <w:t>Below-grade parking vs. engineered barrier and remediation</w:t>
            </w:r>
          </w:p>
        </w:tc>
        <w:tc>
          <w:tcPr>
            <w:tcW w:type="dxa" w:w="3311"/>
          </w:tcPr>
          <w:p>
            <w:pPr>
              <w:spacing w:after="40"/>
            </w:pPr>
            <w:r>
              <w:rPr>
                <w:rFonts w:ascii="Times New Roman" w:hAnsi="Times New Roman"/>
                <w:b w:val="0"/>
                <w:i w:val="0"/>
                <w:sz w:val="17"/>
              </w:rPr>
              <w:t>Term Sheet §4(d) (structured and/or below-grade parking) vs. ELUR (24-inch cap; no ground disturbance below 2 feet without a DEEP-approved Soil Management Plan) vs. Phase II (excavation to 6–10 feet)</w:t>
            </w:r>
          </w:p>
        </w:tc>
        <w:tc>
          <w:tcPr>
            <w:tcW w:type="dxa" w:w="3024"/>
          </w:tcPr>
          <w:p>
            <w:pPr>
              <w:spacing w:after="40"/>
            </w:pPr>
            <w:r>
              <w:rPr>
                <w:rFonts w:ascii="Times New Roman" w:hAnsi="Times New Roman"/>
                <w:b w:val="0"/>
                <w:i w:val="0"/>
                <w:sz w:val="17"/>
              </w:rPr>
              <w:t>Coordination required; remediation scope and design to be reconciled before the RAP is filed — Item 32</w:t>
            </w:r>
          </w:p>
        </w:tc>
      </w:tr>
    </w:tbl>
    <w:p>
      <w:pPr>
        <w:spacing w:after="40"/>
      </w:pPr>
    </w:p>
    <w:p>
      <w:pPr>
        <w:keepNext/>
        <w:spacing w:before="320" w:after="200"/>
        <w:jc w:val="center"/>
      </w:pPr>
      <w:r>
        <w:rPr>
          <w:rFonts w:ascii="Times New Roman" w:hAnsi="Times New Roman"/>
          <w:b/>
          <w:i w:val="0"/>
          <w:sz w:val="21"/>
        </w:rPr>
        <w:t>VI. CONNECTICUT LAW: FORFEITURE, PENALTIES, AND REMEDIES</w:t>
      </w:r>
    </w:p>
    <w:p>
      <w:pPr>
        <w:spacing w:before="80" w:after="160"/>
        <w:ind w:left="504" w:right="504"/>
        <w:jc w:val="both"/>
      </w:pPr>
      <w:r>
        <w:rPr>
          <w:rFonts w:ascii="Times New Roman" w:hAnsi="Times New Roman"/>
          <w:b w:val="0"/>
          <w:i/>
          <w:sz w:val="19"/>
        </w:rPr>
        <w:t>The following is a doctrinal summary prepared for negotiation purposes. It is not a legal opinion. The specific authorities should be confirmed by citator, and by a Connecticut litigation partner, before any of it is used in correspondence, a demand, or a brief. See Section 2.3.</w:t>
      </w:r>
    </w:p>
    <w:p>
      <w:pPr>
        <w:keepNext/>
        <w:spacing w:before="200" w:after="80"/>
        <w:jc w:val="left"/>
      </w:pPr>
      <w:r>
        <w:rPr>
          <w:rFonts w:ascii="Times New Roman" w:hAnsi="Times New Roman"/>
          <w:b/>
          <w:i w:val="0"/>
          <w:sz w:val="21"/>
        </w:rPr>
        <w:t>6.1 The two doctrines that bear on the reverter</w:t>
      </w:r>
    </w:p>
    <w:p>
      <w:pPr>
        <w:jc w:val="both"/>
      </w:pPr>
      <w:r>
        <w:rPr>
          <w:rFonts w:ascii="Times New Roman" w:hAnsi="Times New Roman"/>
          <w:b w:val="0"/>
          <w:i w:val="0"/>
          <w:sz w:val="21"/>
        </w:rPr>
        <w:t>A reverter that transfers $300 million of improvements to the Authority on a missed date is exposed on two independent lines of attack, and a third that is weaker but worth preserving.</w:t>
      </w:r>
    </w:p>
    <w:p>
      <w:pPr>
        <w:spacing w:after="80"/>
        <w:ind w:left="504"/>
        <w:jc w:val="both"/>
      </w:pPr>
      <w:r>
        <w:rPr>
          <w:rFonts w:ascii="Times New Roman" w:hAnsi="Times New Roman"/>
          <w:b w:val="0"/>
          <w:i w:val="0"/>
          <w:sz w:val="21"/>
        </w:rPr>
        <w:t xml:space="preserve">(a) </w:t>
      </w:r>
      <w:r>
        <w:rPr>
          <w:rFonts w:ascii="Times New Roman" w:hAnsi="Times New Roman"/>
          <w:b/>
          <w:i w:val="0"/>
          <w:sz w:val="21"/>
        </w:rPr>
        <w:t>Penalty.</w:t>
      </w:r>
      <w:r>
        <w:rPr>
          <w:rFonts w:ascii="Times New Roman" w:hAnsi="Times New Roman"/>
          <w:b w:val="0"/>
          <w:i w:val="0"/>
          <w:sz w:val="21"/>
        </w:rPr>
        <w:t xml:space="preserve"> A contractual provision that fixes the consequences of a breach is enforceable as liquidated damages only if the harm is incapable or difficult of accurate estimation at the time of contracting and the stipulated amount is a reasonable forecast of that harm rather than a punishment. See Restatement (Second) of Contracts § 356(1). If the stipulated consequence is grossly disproportionate to the actual or anticipated loss, it is a penalty and is unenforceable. Connecticut courts have long applied this framework, and the difference between the amount at stake ($317 million at 90% completion, plus $5.7 million of posted security) and the Authority's actual loss from a delay (at most approximately $2.85 million per year of Base Rent, and materially less than that at Milestone 3, when Base Rent is already being paid) is the kind of disparity that has supported penalty findings.</w:t>
      </w:r>
    </w:p>
    <w:p>
      <w:pPr>
        <w:spacing w:after="80"/>
        <w:ind w:left="504"/>
        <w:jc w:val="both"/>
      </w:pPr>
      <w:r>
        <w:rPr>
          <w:rFonts w:ascii="Times New Roman" w:hAnsi="Times New Roman"/>
          <w:b w:val="0"/>
          <w:i w:val="0"/>
          <w:sz w:val="21"/>
        </w:rPr>
        <w:t xml:space="preserve">(b) </w:t>
      </w:r>
      <w:r>
        <w:rPr>
          <w:rFonts w:ascii="Times New Roman" w:hAnsi="Times New Roman"/>
          <w:b/>
          <w:i w:val="0"/>
          <w:sz w:val="21"/>
        </w:rPr>
        <w:t>Forfeiture.</w:t>
      </w:r>
      <w:r>
        <w:rPr>
          <w:rFonts w:ascii="Times New Roman" w:hAnsi="Times New Roman"/>
          <w:b w:val="0"/>
          <w:i w:val="0"/>
          <w:sz w:val="21"/>
        </w:rPr>
        <w:t xml:space="preserve"> Separately, a court may excuse the non-occurrence of a condition — including a condition subsequent such as a reverter — where its enforcement would cause a disproportionate forfeiture, unless the condition was a material part of the agreed exchange. See Restatement (Second) of Contracts §§ 227(1), 229. The rule of interpretation in § 227(1) counsels in favor of an interpretation that avoids forfeiture where the language is fairly susceptible of it. This doctrine is the more powerful of the two here, because it does not require us to characterize the reverter as a damages clause; it operates on the condition itself.</w:t>
      </w:r>
    </w:p>
    <w:p>
      <w:pPr>
        <w:spacing w:after="80"/>
        <w:ind w:left="504"/>
        <w:jc w:val="both"/>
      </w:pPr>
      <w:r>
        <w:rPr>
          <w:rFonts w:ascii="Times New Roman" w:hAnsi="Times New Roman"/>
          <w:b w:val="0"/>
          <w:i w:val="0"/>
          <w:sz w:val="21"/>
        </w:rPr>
        <w:t xml:space="preserve">(c) </w:t>
      </w:r>
      <w:r>
        <w:rPr>
          <w:rFonts w:ascii="Times New Roman" w:hAnsi="Times New Roman"/>
          <w:b/>
          <w:i w:val="0"/>
          <w:sz w:val="21"/>
        </w:rPr>
        <w:t>Unjust enrichment and constitutional limits.</w:t>
      </w:r>
      <w:r>
        <w:rPr>
          <w:rFonts w:ascii="Times New Roman" w:hAnsi="Times New Roman"/>
          <w:b w:val="0"/>
          <w:i w:val="0"/>
          <w:sz w:val="21"/>
        </w:rPr>
        <w:t xml:space="preserve"> A public body that retains $300 million of privately financed improvements for a delay of months has been enriched without a corresponding legal basis, which is the classic predicate for restitution. Where the enriched party is a public body acting under color of a lease, there is also a colorable argument under Article First, § 11 of the Connecticut Constitution (private property shall not be taken for public use without just compensation) and Article First, § 1 (due process). We regard these as supplementary arguments, not the primary line: they are slower, less certain, and — critically — they are available only after the loss has occurred.</w:t>
      </w:r>
    </w:p>
    <w:p>
      <w:pPr>
        <w:keepNext/>
        <w:spacing w:before="200" w:after="80"/>
        <w:jc w:val="left"/>
      </w:pPr>
      <w:r>
        <w:rPr>
          <w:rFonts w:ascii="Times New Roman" w:hAnsi="Times New Roman"/>
          <w:b/>
          <w:i w:val="0"/>
          <w:sz w:val="21"/>
        </w:rPr>
        <w:t>6.2 What the client asked us to confirm</w:t>
      </w:r>
    </w:p>
    <w:p>
      <w:pPr>
        <w:jc w:val="both"/>
      </w:pPr>
      <w:r>
        <w:rPr>
          <w:rFonts w:ascii="Times New Roman" w:hAnsi="Times New Roman"/>
          <w:b w:val="0"/>
          <w:i w:val="0"/>
          <w:sz w:val="21"/>
        </w:rPr>
        <w:t>You asked us to confirm whether Connecticut law provides relief against a disproportionate forfeiture, and referred to a prior matter "I think it was the Stamford project" involving a principle "disfavoring penalties that are grossly disproportionate to the actual harm suffered." We can confirm the principle: it is the mainstream American rule, Connecticut applies it, and it is reflected in the Restatement sections cited above. We cannot confirm the specific recollection. There is nothing in the record that identifies a Stamford decision, and we are not able to verify a citation to one from the documents in the file. We recommend a focused case-law search — specifically for Connecticut ground lease, reverter, and commercial forfeiture decisions — before the principle is invoked in negotiation with Pryor Whitfield &amp; Koss, because the Authority's counsel will ask for the cite and an incorrect one would cost credibility at the moment we need it most.</w:t>
      </w:r>
    </w:p>
    <w:p>
      <w:pPr>
        <w:keepNext/>
        <w:spacing w:before="200" w:after="80"/>
        <w:jc w:val="left"/>
      </w:pPr>
      <w:r>
        <w:rPr>
          <w:rFonts w:ascii="Times New Roman" w:hAnsi="Times New Roman"/>
          <w:b/>
          <w:i w:val="0"/>
          <w:sz w:val="21"/>
        </w:rPr>
        <w:t>6.3 The practical conclusion</w:t>
      </w:r>
    </w:p>
    <w:p>
      <w:pPr>
        <w:jc w:val="both"/>
      </w:pPr>
      <w:r>
        <w:rPr>
          <w:rFonts w:ascii="Times New Roman" w:hAnsi="Times New Roman"/>
          <w:b w:val="0"/>
          <w:i w:val="0"/>
          <w:sz w:val="21"/>
        </w:rPr>
        <w:t>The legal argument is sound but it should not be the strategy. An unenforceable clause is a remedy you reach after two years of litigation, during which the improvements sit in place, the construction loan is in default, and the equity is frozen. Bayside will not underwrite the reverter on the theory that a court will rescue it; it will underwrite the clause as written, or it will not close. The clause must therefore be fixed in the document, and the legal analysis should be used for two narrower purposes: to give us a credible fallback if the Authority refuses to move (we can say, in substance, that the clause as drafted is unlikely to be enforced and that the Authority should prefer a remedy it can actually obtain), and to support a savings and reformation provision in the Lease itself (Section 9.10), which converts the argument into a drafting mechanism.</w:t>
      </w:r>
    </w:p>
    <w:p>
      <w:pPr>
        <w:keepNext/>
        <w:spacing w:before="200" w:after="80"/>
        <w:jc w:val="left"/>
      </w:pPr>
      <w:r>
        <w:rPr>
          <w:rFonts w:ascii="Times New Roman" w:hAnsi="Times New Roman"/>
          <w:b/>
          <w:i w:val="0"/>
          <w:sz w:val="21"/>
        </w:rPr>
        <w:t>6.4 Non-waivable rights and the savings clause</w:t>
      </w:r>
    </w:p>
    <w:p>
      <w:pPr>
        <w:jc w:val="both"/>
      </w:pPr>
      <w:r>
        <w:rPr>
          <w:rFonts w:ascii="Times New Roman" w:hAnsi="Times New Roman"/>
          <w:b w:val="0"/>
          <w:i w:val="0"/>
          <w:sz w:val="21"/>
        </w:rPr>
        <w:t>Section 9.10 and Section 16.10 of the draft are deliberate. They preserve Tenant's right to seek relief from forfeiture, and they provide that if any provision is held to operate as an unenforceable penalty the Lease shall be reformed to give effect to the parties' intent — that Tenant be paid for the Improvements and that the Authority recover only its actual, documented damages. A savings clause does two things: it improves the odds of reformation rather than invalidation, and it gives the Lender comfort that the remedy will not simply fail (leaving the Lender with a void termination and an unclear estate).</w:t>
      </w:r>
    </w:p>
    <w:p>
      <w:pPr>
        <w:keepNext/>
        <w:spacing w:before="320" w:after="200"/>
        <w:jc w:val="center"/>
      </w:pPr>
      <w:r>
        <w:rPr>
          <w:rFonts w:ascii="Times New Roman" w:hAnsi="Times New Roman"/>
          <w:b/>
          <w:i w:val="0"/>
          <w:sz w:val="21"/>
        </w:rPr>
        <w:t>VII. ISSUE REGISTER</w:t>
      </w:r>
    </w:p>
    <w:p>
      <w:pPr>
        <w:jc w:val="both"/>
      </w:pPr>
      <w:r>
        <w:rPr>
          <w:rFonts w:ascii="Times New Roman" w:hAnsi="Times New Roman"/>
          <w:b w:val="0"/>
          <w:i w:val="0"/>
          <w:sz w:val="21"/>
        </w:rPr>
        <w:t>Forty-seven items. "Source" identifies the document and the provision. "Lease §" identifies where the draft responds. Items 1–13, 14–19, 20–25, 26–34, 35–37 and 38–47 are grouped by subject.</w:t>
      </w:r>
    </w:p>
    <w:tbl>
      <w:tblPr>
        <w:tblStyle w:val="TableGrid"/>
        <w:tblW w:type="dxa" w:w="9360"/>
        <w:jc w:val="center"/>
        <w:tblLayout w:type="fixed"/>
        <w:tblLook w:firstColumn="1" w:firstRow="1" w:lastColumn="0" w:lastRow="0" w:noHBand="0" w:noVBand="1" w:val="04A0"/>
        <w:tblLayout w:type="fixed"/>
      </w:tblPr>
      <w:tblGrid>
        <w:gridCol w:w="460"/>
        <w:gridCol w:w="3600"/>
        <w:gridCol w:w="3816"/>
        <w:gridCol w:w="1483"/>
      </w:tblGrid>
      <w:tr>
        <w:trPr>
          <w:tblHeader/>
        </w:trPr>
        <w:tc>
          <w:tcPr>
            <w:tcW w:type="dxa" w:w="460"/>
            <w:shd w:val="clear" w:color="auto" w:fill="E8E8E8"/>
          </w:tcPr>
          <w:p>
            <w:pPr>
              <w:spacing w:after="40"/>
            </w:pPr>
            <w:r>
              <w:rPr>
                <w:rFonts w:ascii="Times New Roman" w:hAnsi="Times New Roman"/>
                <w:b/>
                <w:i w:val="0"/>
                <w:sz w:val="17"/>
              </w:rPr>
              <w:t>#</w:t>
            </w:r>
          </w:p>
        </w:tc>
        <w:tc>
          <w:tcPr>
            <w:tcW w:type="dxa" w:w="3600"/>
            <w:shd w:val="clear" w:color="auto" w:fill="E8E8E8"/>
          </w:tcPr>
          <w:p>
            <w:pPr>
              <w:spacing w:after="40"/>
            </w:pPr>
            <w:r>
              <w:rPr>
                <w:rFonts w:ascii="Times New Roman" w:hAnsi="Times New Roman"/>
                <w:b/>
                <w:i w:val="0"/>
                <w:sz w:val="17"/>
              </w:rPr>
              <w:t>Issue and source</w:t>
            </w:r>
          </w:p>
        </w:tc>
        <w:tc>
          <w:tcPr>
            <w:tcW w:type="dxa" w:w="3816"/>
            <w:shd w:val="clear" w:color="auto" w:fill="E8E8E8"/>
          </w:tcPr>
          <w:p>
            <w:pPr>
              <w:spacing w:after="40"/>
            </w:pPr>
            <w:r>
              <w:rPr>
                <w:rFonts w:ascii="Times New Roman" w:hAnsi="Times New Roman"/>
                <w:b/>
                <w:i w:val="0"/>
                <w:sz w:val="17"/>
              </w:rPr>
              <w:t>Effect and recommendation</w:t>
            </w:r>
          </w:p>
        </w:tc>
        <w:tc>
          <w:tcPr>
            <w:tcW w:type="dxa" w:w="1483"/>
            <w:shd w:val="clear" w:color="auto" w:fill="E8E8E8"/>
          </w:tcPr>
          <w:p>
            <w:pPr>
              <w:spacing w:after="40"/>
            </w:pPr>
            <w:r>
              <w:rPr>
                <w:rFonts w:ascii="Times New Roman" w:hAnsi="Times New Roman"/>
                <w:b/>
                <w:i w:val="0"/>
                <w:sz w:val="17"/>
              </w:rPr>
              <w:t>Lease §</w:t>
            </w:r>
          </w:p>
        </w:tc>
      </w:tr>
      <w:tr>
        <w:trPr>
          <w:cantSplit/>
        </w:trPr>
        <w:tc>
          <w:tcPr>
            <w:tcW w:type="dxa" w:w="460"/>
          </w:tcPr>
          <w:p>
            <w:pPr>
              <w:spacing w:after="40"/>
            </w:pPr>
            <w:r>
              <w:rPr>
                <w:rFonts w:ascii="Times New Roman" w:hAnsi="Times New Roman"/>
                <w:b w:val="0"/>
                <w:i w:val="0"/>
                <w:sz w:val="17"/>
              </w:rPr>
              <w:t>1</w:t>
            </w:r>
          </w:p>
        </w:tc>
        <w:tc>
          <w:tcPr>
            <w:tcW w:type="dxa" w:w="3600"/>
          </w:tcPr>
          <w:p>
            <w:pPr>
              <w:spacing w:after="40"/>
            </w:pPr>
            <w:r>
              <w:rPr>
                <w:rFonts w:ascii="Times New Roman" w:hAnsi="Times New Roman"/>
                <w:b w:val="0"/>
                <w:i w:val="0"/>
                <w:sz w:val="17"/>
              </w:rPr>
              <w:t>Reverter: on a missed Milestone 1 or 3 the Authority takes all improvements "without any payment, compensation, or reimbursement" (TS §9; Resolution §2(a))</w:t>
            </w:r>
          </w:p>
        </w:tc>
        <w:tc>
          <w:tcPr>
            <w:tcW w:type="dxa" w:w="3816"/>
          </w:tcPr>
          <w:p>
            <w:pPr>
              <w:spacing w:after="40"/>
            </w:pPr>
            <w:r>
              <w:rPr>
                <w:rFonts w:ascii="Times New Roman" w:hAnsi="Times New Roman"/>
                <w:b w:val="0"/>
                <w:i w:val="0"/>
                <w:sz w:val="17"/>
              </w:rPr>
              <w:t>At 90% completion the transfer is about $317M against a delay loss of about $2.85M a year — a 111:1 ratio. Require a Purchase Price equal to the greater of appraised FMV and Unreimbursed Hard Costs; Tenant election; payment is a condition of effectiveness</w:t>
            </w:r>
          </w:p>
        </w:tc>
        <w:tc>
          <w:tcPr>
            <w:tcW w:type="dxa" w:w="1483"/>
          </w:tcPr>
          <w:p>
            <w:pPr>
              <w:spacing w:after="40"/>
            </w:pPr>
            <w:r>
              <w:rPr>
                <w:rFonts w:ascii="Times New Roman" w:hAnsi="Times New Roman"/>
                <w:b w:val="0"/>
                <w:i w:val="0"/>
                <w:sz w:val="17"/>
              </w:rPr>
              <w:t>§§9.4, 9.6, 9.8</w:t>
            </w:r>
          </w:p>
        </w:tc>
      </w:tr>
      <w:tr>
        <w:trPr>
          <w:cantSplit/>
        </w:trPr>
        <w:tc>
          <w:tcPr>
            <w:tcW w:type="dxa" w:w="460"/>
          </w:tcPr>
          <w:p>
            <w:pPr>
              <w:spacing w:after="40"/>
            </w:pPr>
            <w:r>
              <w:rPr>
                <w:rFonts w:ascii="Times New Roman" w:hAnsi="Times New Roman"/>
                <w:b w:val="0"/>
                <w:i w:val="0"/>
                <w:sz w:val="17"/>
              </w:rPr>
              <w:t>2</w:t>
            </w:r>
          </w:p>
        </w:tc>
        <w:tc>
          <w:tcPr>
            <w:tcW w:type="dxa" w:w="3600"/>
          </w:tcPr>
          <w:p>
            <w:pPr>
              <w:spacing w:after="40"/>
            </w:pPr>
            <w:r>
              <w:rPr>
                <w:rFonts w:ascii="Times New Roman" w:hAnsi="Times New Roman"/>
                <w:b w:val="0"/>
                <w:i w:val="0"/>
                <w:sz w:val="17"/>
              </w:rPr>
              <w:t>Reverter stacks with forfeiture of the $5.7M letter of credit and with termination and with "any and all other remedies" (TS §§9, 16)</w:t>
            </w:r>
          </w:p>
        </w:tc>
        <w:tc>
          <w:tcPr>
            <w:tcW w:type="dxa" w:w="3816"/>
          </w:tcPr>
          <w:p>
            <w:pPr>
              <w:spacing w:after="40"/>
            </w:pPr>
            <w:r>
              <w:rPr>
                <w:rFonts w:ascii="Times New Roman" w:hAnsi="Times New Roman"/>
                <w:b w:val="0"/>
                <w:i w:val="0"/>
                <w:sz w:val="17"/>
              </w:rPr>
              <w:t>Triple recovery for one breach. Security deposit limited to actual documented loss; no double recovery; LOC proceeds credited against the Purchase Price</w:t>
            </w:r>
          </w:p>
        </w:tc>
        <w:tc>
          <w:tcPr>
            <w:tcW w:type="dxa" w:w="1483"/>
          </w:tcPr>
          <w:p>
            <w:pPr>
              <w:spacing w:after="40"/>
            </w:pPr>
            <w:r>
              <w:rPr>
                <w:rFonts w:ascii="Times New Roman" w:hAnsi="Times New Roman"/>
                <w:b w:val="0"/>
                <w:i w:val="0"/>
                <w:sz w:val="17"/>
              </w:rPr>
              <w:t>§§7.5, 9.6(a), 9.8(c)–(d)</w:t>
            </w:r>
          </w:p>
        </w:tc>
      </w:tr>
      <w:tr>
        <w:trPr>
          <w:cantSplit/>
        </w:trPr>
        <w:tc>
          <w:tcPr>
            <w:tcW w:type="dxa" w:w="460"/>
          </w:tcPr>
          <w:p>
            <w:pPr>
              <w:spacing w:after="40"/>
            </w:pPr>
            <w:r>
              <w:rPr>
                <w:rFonts w:ascii="Times New Roman" w:hAnsi="Times New Roman"/>
                <w:b w:val="0"/>
                <w:i w:val="0"/>
                <w:sz w:val="17"/>
              </w:rPr>
              <w:t>3</w:t>
            </w:r>
          </w:p>
        </w:tc>
        <w:tc>
          <w:tcPr>
            <w:tcW w:type="dxa" w:w="3600"/>
          </w:tcPr>
          <w:p>
            <w:pPr>
              <w:spacing w:after="40"/>
            </w:pPr>
            <w:r>
              <w:rPr>
                <w:rFonts w:ascii="Times New Roman" w:hAnsi="Times New Roman"/>
                <w:b w:val="0"/>
                <w:i w:val="0"/>
                <w:sz w:val="17"/>
              </w:rPr>
              <w:t>"The Lease shall automatically terminate upon the expiration of such period" (TS §9)</w:t>
            </w:r>
          </w:p>
        </w:tc>
        <w:tc>
          <w:tcPr>
            <w:tcW w:type="dxa" w:w="3816"/>
          </w:tcPr>
          <w:p>
            <w:pPr>
              <w:spacing w:after="40"/>
            </w:pPr>
            <w:r>
              <w:rPr>
                <w:rFonts w:ascii="Times New Roman" w:hAnsi="Times New Roman"/>
                <w:b w:val="0"/>
                <w:i w:val="0"/>
                <w:sz w:val="17"/>
              </w:rPr>
              <w:t>Automatic termination cannot be cured and defeats the Lender's New Lease right. Replace with an express election, exercisable only after all cure periods, and conditioned on payment</w:t>
            </w:r>
          </w:p>
        </w:tc>
        <w:tc>
          <w:tcPr>
            <w:tcW w:type="dxa" w:w="1483"/>
          </w:tcPr>
          <w:p>
            <w:pPr>
              <w:spacing w:after="40"/>
            </w:pPr>
            <w:r>
              <w:rPr>
                <w:rFonts w:ascii="Times New Roman" w:hAnsi="Times New Roman"/>
                <w:b w:val="0"/>
                <w:i w:val="0"/>
                <w:sz w:val="17"/>
              </w:rPr>
              <w:t>§§9.5(d), 9.8(a)</w:t>
            </w:r>
          </w:p>
        </w:tc>
      </w:tr>
      <w:tr>
        <w:trPr>
          <w:cantSplit/>
        </w:trPr>
        <w:tc>
          <w:tcPr>
            <w:tcW w:type="dxa" w:w="460"/>
          </w:tcPr>
          <w:p>
            <w:pPr>
              <w:spacing w:after="40"/>
            </w:pPr>
            <w:r>
              <w:rPr>
                <w:rFonts w:ascii="Times New Roman" w:hAnsi="Times New Roman"/>
                <w:b w:val="0"/>
                <w:i w:val="0"/>
                <w:sz w:val="17"/>
              </w:rPr>
              <w:t>4</w:t>
            </w:r>
          </w:p>
        </w:tc>
        <w:tc>
          <w:tcPr>
            <w:tcW w:type="dxa" w:w="3600"/>
          </w:tcPr>
          <w:p>
            <w:pPr>
              <w:spacing w:after="40"/>
            </w:pPr>
            <w:r>
              <w:rPr>
                <w:rFonts w:ascii="Times New Roman" w:hAnsi="Times New Roman"/>
                <w:b w:val="0"/>
                <w:i w:val="0"/>
                <w:sz w:val="17"/>
              </w:rPr>
              <w:t>Cure mechanics: 180-day cure, no required content in the notice, no extension mechanism (TS §9)</w:t>
            </w:r>
          </w:p>
        </w:tc>
        <w:tc>
          <w:tcPr>
            <w:tcW w:type="dxa" w:w="3816"/>
          </w:tcPr>
          <w:p>
            <w:pPr>
              <w:spacing w:after="40"/>
            </w:pPr>
            <w:r>
              <w:rPr>
                <w:rFonts w:ascii="Times New Roman" w:hAnsi="Times New Roman"/>
                <w:b w:val="0"/>
                <w:i w:val="0"/>
                <w:sz w:val="17"/>
              </w:rPr>
              <w:t>Add required notice content, an additional 180-day extension on a consultant certificate, notice to the Lender, and reimbursement if Tenant cures</w:t>
            </w:r>
          </w:p>
        </w:tc>
        <w:tc>
          <w:tcPr>
            <w:tcW w:type="dxa" w:w="1483"/>
          </w:tcPr>
          <w:p>
            <w:pPr>
              <w:spacing w:after="40"/>
            </w:pPr>
            <w:r>
              <w:rPr>
                <w:rFonts w:ascii="Times New Roman" w:hAnsi="Times New Roman"/>
                <w:b w:val="0"/>
                <w:i w:val="0"/>
                <w:sz w:val="17"/>
              </w:rPr>
              <w:t>§9.5</w:t>
            </w:r>
          </w:p>
        </w:tc>
      </w:tr>
      <w:tr>
        <w:trPr>
          <w:cantSplit/>
        </w:trPr>
        <w:tc>
          <w:tcPr>
            <w:tcW w:type="dxa" w:w="460"/>
          </w:tcPr>
          <w:p>
            <w:pPr>
              <w:spacing w:after="40"/>
            </w:pPr>
            <w:r>
              <w:rPr>
                <w:rFonts w:ascii="Times New Roman" w:hAnsi="Times New Roman"/>
                <w:b w:val="0"/>
                <w:i w:val="0"/>
                <w:sz w:val="17"/>
              </w:rPr>
              <w:t>5</w:t>
            </w:r>
          </w:p>
        </w:tc>
        <w:tc>
          <w:tcPr>
            <w:tcW w:type="dxa" w:w="3600"/>
          </w:tcPr>
          <w:p>
            <w:pPr>
              <w:spacing w:after="40"/>
            </w:pPr>
            <w:r>
              <w:rPr>
                <w:rFonts w:ascii="Times New Roman" w:hAnsi="Times New Roman"/>
                <w:b w:val="0"/>
                <w:i w:val="0"/>
                <w:sz w:val="17"/>
              </w:rPr>
              <w:t>Force majeure: day-for-day but capped at 18 months in the aggregate across all milestones; list omits Landlord delay, unknown contamination, third-party entitlement challenges, and coastal storm risk (TS §9; Phase II §5)</w:t>
            </w:r>
          </w:p>
        </w:tc>
        <w:tc>
          <w:tcPr>
            <w:tcW w:type="dxa" w:w="3816"/>
          </w:tcPr>
          <w:p>
            <w:pPr>
              <w:spacing w:after="40"/>
            </w:pPr>
            <w:r>
              <w:rPr>
                <w:rFonts w:ascii="Times New Roman" w:hAnsi="Times New Roman"/>
                <w:b w:val="0"/>
                <w:i w:val="0"/>
                <w:sz w:val="17"/>
              </w:rPr>
              <w:t>One 18-month storm or permitting delay exhausts the entire extension. Uncapped extensions for Landlord/City delay, ELUR review, unknown contamination, and third-party challenges; expanded FM list</w:t>
            </w:r>
          </w:p>
        </w:tc>
        <w:tc>
          <w:tcPr>
            <w:tcW w:type="dxa" w:w="1483"/>
          </w:tcPr>
          <w:p>
            <w:pPr>
              <w:spacing w:after="40"/>
            </w:pPr>
            <w:r>
              <w:rPr>
                <w:rFonts w:ascii="Times New Roman" w:hAnsi="Times New Roman"/>
                <w:b w:val="0"/>
                <w:i w:val="0"/>
                <w:sz w:val="17"/>
              </w:rPr>
              <w:t>§9.3</w:t>
            </w:r>
          </w:p>
        </w:tc>
      </w:tr>
      <w:tr>
        <w:trPr>
          <w:cantSplit/>
        </w:trPr>
        <w:tc>
          <w:tcPr>
            <w:tcW w:type="dxa" w:w="460"/>
          </w:tcPr>
          <w:p>
            <w:pPr>
              <w:spacing w:after="40"/>
            </w:pPr>
            <w:r>
              <w:rPr>
                <w:rFonts w:ascii="Times New Roman" w:hAnsi="Times New Roman"/>
                <w:b w:val="0"/>
                <w:i w:val="0"/>
                <w:sz w:val="17"/>
              </w:rPr>
              <w:t>6</w:t>
            </w:r>
          </w:p>
        </w:tc>
        <w:tc>
          <w:tcPr>
            <w:tcW w:type="dxa" w:w="3600"/>
          </w:tcPr>
          <w:p>
            <w:pPr>
              <w:spacing w:after="40"/>
            </w:pPr>
            <w:r>
              <w:rPr>
                <w:rFonts w:ascii="Times New Roman" w:hAnsi="Times New Roman"/>
                <w:b w:val="0"/>
                <w:i w:val="0"/>
                <w:sz w:val="17"/>
              </w:rPr>
              <w:t>Reverter attaches only to Milestones 1 and 3; a Milestone 2 or 4 failure is not a Lease default but is an Event of Default under the loan (TS §9, §16; Loan TS §9(f))</w:t>
            </w:r>
          </w:p>
        </w:tc>
        <w:tc>
          <w:tcPr>
            <w:tcW w:type="dxa" w:w="3816"/>
          </w:tcPr>
          <w:p>
            <w:pPr>
              <w:spacing w:after="40"/>
            </w:pPr>
            <w:r>
              <w:rPr>
                <w:rFonts w:ascii="Times New Roman" w:hAnsi="Times New Roman"/>
                <w:b w:val="0"/>
                <w:i w:val="0"/>
                <w:sz w:val="17"/>
              </w:rPr>
              <w:t>Loan can default before the Lease does. Align the two sets of triggers, or accept and manage through the Lender cure right</w:t>
            </w:r>
          </w:p>
        </w:tc>
        <w:tc>
          <w:tcPr>
            <w:tcW w:type="dxa" w:w="1483"/>
          </w:tcPr>
          <w:p>
            <w:pPr>
              <w:spacing w:after="40"/>
            </w:pPr>
            <w:r>
              <w:rPr>
                <w:rFonts w:ascii="Times New Roman" w:hAnsi="Times New Roman"/>
                <w:b w:val="0"/>
                <w:i w:val="0"/>
                <w:sz w:val="17"/>
              </w:rPr>
              <w:t>§9.1</w:t>
            </w:r>
          </w:p>
        </w:tc>
      </w:tr>
      <w:tr>
        <w:trPr>
          <w:cantSplit/>
        </w:trPr>
        <w:tc>
          <w:tcPr>
            <w:tcW w:type="dxa" w:w="460"/>
          </w:tcPr>
          <w:p>
            <w:pPr>
              <w:spacing w:after="40"/>
            </w:pPr>
            <w:r>
              <w:rPr>
                <w:rFonts w:ascii="Times New Roman" w:hAnsi="Times New Roman"/>
                <w:b w:val="0"/>
                <w:i w:val="0"/>
                <w:sz w:val="17"/>
              </w:rPr>
              <w:t>7</w:t>
            </w:r>
          </w:p>
        </w:tc>
        <w:tc>
          <w:tcPr>
            <w:tcW w:type="dxa" w:w="3600"/>
          </w:tcPr>
          <w:p>
            <w:pPr>
              <w:spacing w:after="40"/>
            </w:pPr>
            <w:r>
              <w:rPr>
                <w:rFonts w:ascii="Times New Roman" w:hAnsi="Times New Roman"/>
                <w:b w:val="0"/>
                <w:i w:val="0"/>
                <w:sz w:val="17"/>
              </w:rPr>
              <w:t>No completion threshold, no materiality test, no abandonment requirement; a one-day delay at 95% completion triggers forfeiture</w:t>
            </w:r>
          </w:p>
        </w:tc>
        <w:tc>
          <w:tcPr>
            <w:tcW w:type="dxa" w:w="3816"/>
          </w:tcPr>
          <w:p>
            <w:pPr>
              <w:spacing w:after="40"/>
            </w:pPr>
            <w:r>
              <w:rPr>
                <w:rFonts w:ascii="Times New Roman" w:hAnsi="Times New Roman"/>
                <w:b w:val="0"/>
                <w:i w:val="0"/>
                <w:sz w:val="17"/>
              </w:rPr>
              <w:t>Add a 90%-complete safe harbor (measured by hard costs) and a 180-day cessation requirement</w:t>
            </w:r>
          </w:p>
        </w:tc>
        <w:tc>
          <w:tcPr>
            <w:tcW w:type="dxa" w:w="1483"/>
          </w:tcPr>
          <w:p>
            <w:pPr>
              <w:spacing w:after="40"/>
            </w:pPr>
            <w:r>
              <w:rPr>
                <w:rFonts w:ascii="Times New Roman" w:hAnsi="Times New Roman"/>
                <w:b w:val="0"/>
                <w:i w:val="0"/>
                <w:sz w:val="17"/>
              </w:rPr>
              <w:t>§9.4(c)</w:t>
            </w:r>
          </w:p>
        </w:tc>
      </w:tr>
      <w:tr>
        <w:trPr>
          <w:cantSplit/>
        </w:trPr>
        <w:tc>
          <w:tcPr>
            <w:tcW w:type="dxa" w:w="460"/>
          </w:tcPr>
          <w:p>
            <w:pPr>
              <w:spacing w:after="40"/>
            </w:pPr>
            <w:r>
              <w:rPr>
                <w:rFonts w:ascii="Times New Roman" w:hAnsi="Times New Roman"/>
                <w:b w:val="0"/>
                <w:i w:val="0"/>
                <w:sz w:val="17"/>
              </w:rPr>
              <w:t>8</w:t>
            </w:r>
          </w:p>
        </w:tc>
        <w:tc>
          <w:tcPr>
            <w:tcW w:type="dxa" w:w="3600"/>
          </w:tcPr>
          <w:p>
            <w:pPr>
              <w:spacing w:after="40"/>
            </w:pPr>
            <w:r>
              <w:rPr>
                <w:rFonts w:ascii="Times New Roman" w:hAnsi="Times New Roman"/>
                <w:b w:val="0"/>
                <w:i w:val="0"/>
                <w:sz w:val="17"/>
              </w:rPr>
              <w:t>New Lease right available only on a Tenant Event of Default, and with cure periods measured from the termination date (TS §9)</w:t>
            </w:r>
          </w:p>
        </w:tc>
        <w:tc>
          <w:tcPr>
            <w:tcW w:type="dxa" w:w="3816"/>
          </w:tcPr>
          <w:p>
            <w:pPr>
              <w:spacing w:after="40"/>
            </w:pPr>
            <w:r>
              <w:rPr>
                <w:rFonts w:ascii="Times New Roman" w:hAnsi="Times New Roman"/>
                <w:b w:val="0"/>
                <w:i w:val="0"/>
                <w:sz w:val="17"/>
              </w:rPr>
              <w:t>Bayside requires it on any termination, with 60-day request, 30-day execution, 180-day long-stop, equal priority, and sublease recognition</w:t>
            </w:r>
          </w:p>
        </w:tc>
        <w:tc>
          <w:tcPr>
            <w:tcW w:type="dxa" w:w="1483"/>
          </w:tcPr>
          <w:p>
            <w:pPr>
              <w:spacing w:after="40"/>
            </w:pPr>
            <w:r>
              <w:rPr>
                <w:rFonts w:ascii="Times New Roman" w:hAnsi="Times New Roman"/>
                <w:b w:val="0"/>
                <w:i w:val="0"/>
                <w:sz w:val="17"/>
              </w:rPr>
              <w:t>§10.5</w:t>
            </w:r>
          </w:p>
        </w:tc>
      </w:tr>
      <w:tr>
        <w:trPr>
          <w:cantSplit/>
        </w:trPr>
        <w:tc>
          <w:tcPr>
            <w:tcW w:type="dxa" w:w="460"/>
          </w:tcPr>
          <w:p>
            <w:pPr>
              <w:spacing w:after="40"/>
            </w:pPr>
            <w:r>
              <w:rPr>
                <w:rFonts w:ascii="Times New Roman" w:hAnsi="Times New Roman"/>
                <w:b w:val="0"/>
                <w:i w:val="0"/>
                <w:sz w:val="17"/>
              </w:rPr>
              <w:t>9</w:t>
            </w:r>
          </w:p>
        </w:tc>
        <w:tc>
          <w:tcPr>
            <w:tcW w:type="dxa" w:w="3600"/>
          </w:tcPr>
          <w:p>
            <w:pPr>
              <w:spacing w:after="40"/>
            </w:pPr>
            <w:r>
              <w:rPr>
                <w:rFonts w:ascii="Times New Roman" w:hAnsi="Times New Roman"/>
                <w:b w:val="0"/>
                <w:i w:val="0"/>
                <w:sz w:val="17"/>
              </w:rPr>
              <w:t>No independent Lender cure right for a milestone default (TS §9 silent)</w:t>
            </w:r>
          </w:p>
        </w:tc>
        <w:tc>
          <w:tcPr>
            <w:tcW w:type="dxa" w:w="3816"/>
          </w:tcPr>
          <w:p>
            <w:pPr>
              <w:spacing w:after="40"/>
            </w:pPr>
            <w:r>
              <w:rPr>
                <w:rFonts w:ascii="Times New Roman" w:hAnsi="Times New Roman"/>
                <w:b w:val="0"/>
                <w:i w:val="0"/>
                <w:sz w:val="17"/>
              </w:rPr>
              <w:t>Bayside requires cure periods running in addition to and not concurrent with Tenant's. Add 180 days from the Lender's receipt of the Reverter Notice, with a replacement-developer right</w:t>
            </w:r>
          </w:p>
        </w:tc>
        <w:tc>
          <w:tcPr>
            <w:tcW w:type="dxa" w:w="1483"/>
          </w:tcPr>
          <w:p>
            <w:pPr>
              <w:spacing w:after="40"/>
            </w:pPr>
            <w:r>
              <w:rPr>
                <w:rFonts w:ascii="Times New Roman" w:hAnsi="Times New Roman"/>
                <w:b w:val="0"/>
                <w:i w:val="0"/>
                <w:sz w:val="17"/>
              </w:rPr>
              <w:t>§10.3(c)</w:t>
            </w:r>
          </w:p>
        </w:tc>
      </w:tr>
      <w:tr>
        <w:trPr>
          <w:cantSplit/>
        </w:trPr>
        <w:tc>
          <w:tcPr>
            <w:tcW w:type="dxa" w:w="460"/>
          </w:tcPr>
          <w:p>
            <w:pPr>
              <w:spacing w:after="40"/>
            </w:pPr>
            <w:r>
              <w:rPr>
                <w:rFonts w:ascii="Times New Roman" w:hAnsi="Times New Roman"/>
                <w:b w:val="0"/>
                <w:i w:val="0"/>
                <w:sz w:val="17"/>
              </w:rPr>
              <w:t>10</w:t>
            </w:r>
          </w:p>
        </w:tc>
        <w:tc>
          <w:tcPr>
            <w:tcW w:type="dxa" w:w="3600"/>
          </w:tcPr>
          <w:p>
            <w:pPr>
              <w:spacing w:after="40"/>
            </w:pPr>
            <w:r>
              <w:rPr>
                <w:rFonts w:ascii="Times New Roman" w:hAnsi="Times New Roman"/>
                <w:b w:val="0"/>
                <w:i w:val="0"/>
                <w:sz w:val="17"/>
              </w:rPr>
              <w:t>Leasehold mortgage permitted only "subject to the terms and conditions of the Definitive Lease" (TS §9)</w:t>
            </w:r>
          </w:p>
        </w:tc>
        <w:tc>
          <w:tcPr>
            <w:tcW w:type="dxa" w:w="3816"/>
          </w:tcPr>
          <w:p>
            <w:pPr>
              <w:spacing w:after="40"/>
            </w:pPr>
            <w:r>
              <w:rPr>
                <w:rFonts w:ascii="Times New Roman" w:hAnsi="Times New Roman"/>
                <w:b w:val="0"/>
                <w:i w:val="0"/>
                <w:sz w:val="17"/>
              </w:rPr>
              <w:t>Bayside requires no consent, no joinder, no fee, and no Landlord condition on recording or foreclosure</w:t>
            </w:r>
          </w:p>
        </w:tc>
        <w:tc>
          <w:tcPr>
            <w:tcW w:type="dxa" w:w="1483"/>
          </w:tcPr>
          <w:p>
            <w:pPr>
              <w:spacing w:after="40"/>
            </w:pPr>
            <w:r>
              <w:rPr>
                <w:rFonts w:ascii="Times New Roman" w:hAnsi="Times New Roman"/>
                <w:b w:val="0"/>
                <w:i w:val="0"/>
                <w:sz w:val="17"/>
              </w:rPr>
              <w:t>§10.1</w:t>
            </w:r>
          </w:p>
        </w:tc>
      </w:tr>
      <w:tr>
        <w:trPr>
          <w:cantSplit/>
        </w:trPr>
        <w:tc>
          <w:tcPr>
            <w:tcW w:type="dxa" w:w="460"/>
          </w:tcPr>
          <w:p>
            <w:pPr>
              <w:spacing w:after="40"/>
            </w:pPr>
            <w:r>
              <w:rPr>
                <w:rFonts w:ascii="Times New Roman" w:hAnsi="Times New Roman"/>
                <w:b w:val="0"/>
                <w:i w:val="0"/>
                <w:sz w:val="17"/>
              </w:rPr>
              <w:t>11</w:t>
            </w:r>
          </w:p>
        </w:tc>
        <w:tc>
          <w:tcPr>
            <w:tcW w:type="dxa" w:w="3600"/>
          </w:tcPr>
          <w:p>
            <w:pPr>
              <w:spacing w:after="40"/>
            </w:pPr>
            <w:r>
              <w:rPr>
                <w:rFonts w:ascii="Times New Roman" w:hAnsi="Times New Roman"/>
                <w:b w:val="0"/>
                <w:i w:val="0"/>
                <w:sz w:val="17"/>
              </w:rPr>
              <w:t>No mechanism for estoppels, SNDAs, or recognition agreements on future refinancings (TS silent; Resolution §3(c) authorizes estoppels)</w:t>
            </w:r>
          </w:p>
        </w:tc>
        <w:tc>
          <w:tcPr>
            <w:tcW w:type="dxa" w:w="3816"/>
          </w:tcPr>
          <w:p>
            <w:pPr>
              <w:spacing w:after="40"/>
            </w:pPr>
            <w:r>
              <w:rPr>
                <w:rFonts w:ascii="Times New Roman" w:hAnsi="Times New Roman"/>
                <w:b w:val="0"/>
                <w:i w:val="0"/>
                <w:sz w:val="17"/>
              </w:rPr>
              <w:t>A 99-year lease will be refinanced repeatedly. Ten-business-day deadline, fee prohibition, self-help remedy</w:t>
            </w:r>
          </w:p>
        </w:tc>
        <w:tc>
          <w:tcPr>
            <w:tcW w:type="dxa" w:w="1483"/>
          </w:tcPr>
          <w:p>
            <w:pPr>
              <w:spacing w:after="40"/>
            </w:pPr>
            <w:r>
              <w:rPr>
                <w:rFonts w:ascii="Times New Roman" w:hAnsi="Times New Roman"/>
                <w:b w:val="0"/>
                <w:i w:val="0"/>
                <w:sz w:val="17"/>
              </w:rPr>
              <w:t>§10.9</w:t>
            </w:r>
          </w:p>
        </w:tc>
      </w:tr>
      <w:tr>
        <w:trPr>
          <w:cantSplit/>
        </w:trPr>
        <w:tc>
          <w:tcPr>
            <w:tcW w:type="dxa" w:w="460"/>
          </w:tcPr>
          <w:p>
            <w:pPr>
              <w:spacing w:after="40"/>
            </w:pPr>
            <w:r>
              <w:rPr>
                <w:rFonts w:ascii="Times New Roman" w:hAnsi="Times New Roman"/>
                <w:b w:val="0"/>
                <w:i w:val="0"/>
                <w:sz w:val="17"/>
              </w:rPr>
              <w:t>12</w:t>
            </w:r>
          </w:p>
        </w:tc>
        <w:tc>
          <w:tcPr>
            <w:tcW w:type="dxa" w:w="3600"/>
          </w:tcPr>
          <w:p>
            <w:pPr>
              <w:spacing w:after="40"/>
            </w:pPr>
            <w:r>
              <w:rPr>
                <w:rFonts w:ascii="Times New Roman" w:hAnsi="Times New Roman"/>
                <w:b w:val="0"/>
                <w:i w:val="0"/>
                <w:sz w:val="17"/>
              </w:rPr>
              <w:t>Recorded 2019 right of first refusal contains, expressly, no carve-out for foreclosure, deed in lieu, or mortgagee assignment (Title Commitment Ex. 4; TS §11)</w:t>
            </w:r>
          </w:p>
        </w:tc>
        <w:tc>
          <w:tcPr>
            <w:tcW w:type="dxa" w:w="3816"/>
          </w:tcPr>
          <w:p>
            <w:pPr>
              <w:spacing w:after="40"/>
            </w:pPr>
            <w:r>
              <w:rPr>
                <w:rFonts w:ascii="Times New Roman" w:hAnsi="Times New Roman"/>
                <w:b w:val="0"/>
                <w:i w:val="0"/>
                <w:sz w:val="17"/>
              </w:rPr>
              <w:t>Directly conflicts with Bayside §5.6. Require a recorded amendment and subordination as a condition precedent</w:t>
            </w:r>
          </w:p>
        </w:tc>
        <w:tc>
          <w:tcPr>
            <w:tcW w:type="dxa" w:w="1483"/>
          </w:tcPr>
          <w:p>
            <w:pPr>
              <w:spacing w:after="40"/>
            </w:pPr>
            <w:r>
              <w:rPr>
                <w:rFonts w:ascii="Times New Roman" w:hAnsi="Times New Roman"/>
                <w:b w:val="0"/>
                <w:i w:val="0"/>
                <w:sz w:val="17"/>
              </w:rPr>
              <w:t>§§2.7(d), 11.4(e)</w:t>
            </w:r>
          </w:p>
        </w:tc>
      </w:tr>
      <w:tr>
        <w:trPr>
          <w:cantSplit/>
        </w:trPr>
        <w:tc>
          <w:tcPr>
            <w:tcW w:type="dxa" w:w="460"/>
          </w:tcPr>
          <w:p>
            <w:pPr>
              <w:spacing w:after="40"/>
            </w:pPr>
            <w:r>
              <w:rPr>
                <w:rFonts w:ascii="Times New Roman" w:hAnsi="Times New Roman"/>
                <w:b w:val="0"/>
                <w:i w:val="0"/>
                <w:sz w:val="17"/>
              </w:rPr>
              <w:t>13</w:t>
            </w:r>
          </w:p>
        </w:tc>
        <w:tc>
          <w:tcPr>
            <w:tcW w:type="dxa" w:w="3600"/>
          </w:tcPr>
          <w:p>
            <w:pPr>
              <w:spacing w:after="40"/>
            </w:pPr>
            <w:r>
              <w:rPr>
                <w:rFonts w:ascii="Times New Roman" w:hAnsi="Times New Roman"/>
                <w:b w:val="0"/>
                <w:i w:val="0"/>
                <w:sz w:val="17"/>
              </w:rPr>
              <w:t>Construction loan matures at 48 months (Oct. 1, 2029) or 60 months extended (Oct. 1, 2030); Phase 2 substantial completion is not due until Oct. 1, 2032; Coventry's completion guaranty runs to the Initial Maturity Date (Loan TS §§2, 4; TS §9)</w:t>
            </w:r>
          </w:p>
        </w:tc>
        <w:tc>
          <w:tcPr>
            <w:tcW w:type="dxa" w:w="3816"/>
          </w:tcPr>
          <w:p>
            <w:pPr>
              <w:spacing w:after="40"/>
            </w:pPr>
            <w:r>
              <w:rPr>
                <w:rFonts w:ascii="Times New Roman" w:hAnsi="Times New Roman"/>
                <w:b w:val="0"/>
                <w:i w:val="0"/>
                <w:sz w:val="17"/>
              </w:rPr>
              <w:t>Phase 2 cannot be completed within the loan term, so the guaranty as written cannot be performed. Requires restructuring with Bayside and Coventry; the ground lease should not be drafted around it</w:t>
            </w:r>
          </w:p>
        </w:tc>
        <w:tc>
          <w:tcPr>
            <w:tcW w:type="dxa" w:w="1483"/>
          </w:tcPr>
          <w:p>
            <w:pPr>
              <w:spacing w:after="40"/>
            </w:pPr>
            <w:r>
              <w:rPr>
                <w:rFonts w:ascii="Times New Roman" w:hAnsi="Times New Roman"/>
                <w:b w:val="0"/>
                <w:i w:val="0"/>
                <w:sz w:val="17"/>
              </w:rPr>
              <w:t>—</w:t>
            </w:r>
          </w:p>
        </w:tc>
      </w:tr>
      <w:tr>
        <w:trPr>
          <w:cantSplit/>
        </w:trPr>
        <w:tc>
          <w:tcPr>
            <w:tcW w:type="dxa" w:w="460"/>
          </w:tcPr>
          <w:p>
            <w:pPr>
              <w:spacing w:after="40"/>
            </w:pPr>
            <w:r>
              <w:rPr>
                <w:rFonts w:ascii="Times New Roman" w:hAnsi="Times New Roman"/>
                <w:b w:val="0"/>
                <w:i w:val="0"/>
                <w:sz w:val="17"/>
              </w:rPr>
              <w:t>14</w:t>
            </w:r>
          </w:p>
        </w:tc>
        <w:tc>
          <w:tcPr>
            <w:tcW w:type="dxa" w:w="3600"/>
          </w:tcPr>
          <w:p>
            <w:pPr>
              <w:spacing w:after="40"/>
            </w:pPr>
            <w:r>
              <w:rPr>
                <w:rFonts w:ascii="Times New Roman" w:hAnsi="Times New Roman"/>
                <w:b w:val="0"/>
                <w:i w:val="0"/>
                <w:sz w:val="17"/>
              </w:rPr>
              <w:t>Title Commitment Exhibit A recites 139,392 SF but its courses and distances compute to 279,535 SF / 6.417 acres and describe a different parcel</w:t>
            </w:r>
          </w:p>
        </w:tc>
        <w:tc>
          <w:tcPr>
            <w:tcW w:type="dxa" w:w="3816"/>
          </w:tcPr>
          <w:p>
            <w:pPr>
              <w:spacing w:after="40"/>
            </w:pPr>
            <w:r>
              <w:rPr>
                <w:rFonts w:ascii="Times New Roman" w:hAnsi="Times New Roman"/>
                <w:b w:val="0"/>
                <w:i w:val="0"/>
                <w:sz w:val="17"/>
              </w:rPr>
              <w:t>The description cannot be used in the Lease or the policy. Survey description adopted; express statement that it supersedes Exhibit A</w:t>
            </w:r>
          </w:p>
        </w:tc>
        <w:tc>
          <w:tcPr>
            <w:tcW w:type="dxa" w:w="1483"/>
          </w:tcPr>
          <w:p>
            <w:pPr>
              <w:spacing w:after="40"/>
            </w:pPr>
            <w:r>
              <w:rPr>
                <w:rFonts w:ascii="Times New Roman" w:hAnsi="Times New Roman"/>
                <w:b w:val="0"/>
                <w:i w:val="0"/>
                <w:sz w:val="17"/>
              </w:rPr>
              <w:t>§2.1, Exh. A</w:t>
            </w:r>
          </w:p>
        </w:tc>
      </w:tr>
      <w:tr>
        <w:trPr>
          <w:cantSplit/>
        </w:trPr>
        <w:tc>
          <w:tcPr>
            <w:tcW w:type="dxa" w:w="460"/>
          </w:tcPr>
          <w:p>
            <w:pPr>
              <w:spacing w:after="40"/>
            </w:pPr>
            <w:r>
              <w:rPr>
                <w:rFonts w:ascii="Times New Roman" w:hAnsi="Times New Roman"/>
                <w:b w:val="0"/>
                <w:i w:val="0"/>
                <w:sz w:val="17"/>
              </w:rPr>
              <w:t>15</w:t>
            </w:r>
          </w:p>
        </w:tc>
        <w:tc>
          <w:tcPr>
            <w:tcW w:type="dxa" w:w="3600"/>
          </w:tcPr>
          <w:p>
            <w:pPr>
              <w:spacing w:after="40"/>
            </w:pPr>
            <w:r>
              <w:rPr>
                <w:rFonts w:ascii="Times New Roman" w:hAnsi="Times New Roman"/>
                <w:b w:val="0"/>
                <w:i w:val="0"/>
                <w:sz w:val="17"/>
              </w:rPr>
              <w:t>"Approximately 480 linear feet" of bulkhead in every document, against a surveyed east boundary of 320.47'; pedestrian easement area stated at 7,200 SF but 4,807 SF on the surveyed line; survey area 139,474.95 SF against 139,392 SF</w:t>
            </w:r>
          </w:p>
        </w:tc>
        <w:tc>
          <w:tcPr>
            <w:tcW w:type="dxa" w:w="3816"/>
          </w:tcPr>
          <w:p>
            <w:pPr>
              <w:spacing w:after="40"/>
            </w:pPr>
            <w:r>
              <w:rPr>
                <w:rFonts w:ascii="Times New Roman" w:hAnsi="Times New Roman"/>
                <w:b w:val="0"/>
                <w:i w:val="0"/>
                <w:sz w:val="17"/>
              </w:rPr>
              <w:t>Affects bulkhead scope and cost, easement area, and open-space geometry. Reconcile with the surveyor before re-certification. Base Rent fixed in dollars so area cannot affect rent</w:t>
            </w:r>
          </w:p>
        </w:tc>
        <w:tc>
          <w:tcPr>
            <w:tcW w:type="dxa" w:w="1483"/>
          </w:tcPr>
          <w:p>
            <w:pPr>
              <w:spacing w:after="40"/>
            </w:pPr>
            <w:r>
              <w:rPr>
                <w:rFonts w:ascii="Times New Roman" w:hAnsi="Times New Roman"/>
                <w:b w:val="0"/>
                <w:i w:val="0"/>
                <w:sz w:val="17"/>
              </w:rPr>
              <w:t>§4.1, Exh. A</w:t>
            </w:r>
          </w:p>
        </w:tc>
      </w:tr>
      <w:tr>
        <w:trPr>
          <w:cantSplit/>
        </w:trPr>
        <w:tc>
          <w:tcPr>
            <w:tcW w:type="dxa" w:w="460"/>
          </w:tcPr>
          <w:p>
            <w:pPr>
              <w:spacing w:after="40"/>
            </w:pPr>
            <w:r>
              <w:rPr>
                <w:rFonts w:ascii="Times New Roman" w:hAnsi="Times New Roman"/>
                <w:b w:val="0"/>
                <w:i w:val="0"/>
                <w:sz w:val="17"/>
              </w:rPr>
              <w:t>16</w:t>
            </w:r>
          </w:p>
        </w:tc>
        <w:tc>
          <w:tcPr>
            <w:tcW w:type="dxa" w:w="3600"/>
          </w:tcPr>
          <w:p>
            <w:pPr>
              <w:spacing w:after="40"/>
            </w:pPr>
            <w:r>
              <w:rPr>
                <w:rFonts w:ascii="Times New Roman" w:hAnsi="Times New Roman"/>
                <w:b w:val="0"/>
                <w:i w:val="0"/>
                <w:sz w:val="17"/>
              </w:rPr>
              <w:t>Title Commitment cites a different surveyor, license number, drawing number, and a May 15, 2025 revision not in the record</w:t>
            </w:r>
          </w:p>
        </w:tc>
        <w:tc>
          <w:tcPr>
            <w:tcW w:type="dxa" w:w="3816"/>
          </w:tcPr>
          <w:p>
            <w:pPr>
              <w:spacing w:after="40"/>
            </w:pPr>
            <w:r>
              <w:rPr>
                <w:rFonts w:ascii="Times New Roman" w:hAnsi="Times New Roman"/>
                <w:b w:val="0"/>
                <w:i w:val="0"/>
                <w:sz w:val="17"/>
              </w:rPr>
              <w:t>Policy would insure against a survey that may not be the surveyed plat. Obtain the drawing the Title Company actually examined; require the re-dated survey as a condition</w:t>
            </w:r>
          </w:p>
        </w:tc>
        <w:tc>
          <w:tcPr>
            <w:tcW w:type="dxa" w:w="1483"/>
          </w:tcPr>
          <w:p>
            <w:pPr>
              <w:spacing w:after="40"/>
            </w:pPr>
            <w:r>
              <w:rPr>
                <w:rFonts w:ascii="Times New Roman" w:hAnsi="Times New Roman"/>
                <w:b w:val="0"/>
                <w:i w:val="0"/>
                <w:sz w:val="17"/>
              </w:rPr>
              <w:t>§2.7(i)</w:t>
            </w:r>
          </w:p>
        </w:tc>
      </w:tr>
      <w:tr>
        <w:trPr>
          <w:cantSplit/>
        </w:trPr>
        <w:tc>
          <w:tcPr>
            <w:tcW w:type="dxa" w:w="460"/>
          </w:tcPr>
          <w:p>
            <w:pPr>
              <w:spacing w:after="40"/>
            </w:pPr>
            <w:r>
              <w:rPr>
                <w:rFonts w:ascii="Times New Roman" w:hAnsi="Times New Roman"/>
                <w:b w:val="0"/>
                <w:i w:val="0"/>
                <w:sz w:val="17"/>
              </w:rPr>
              <w:t>17</w:t>
            </w:r>
          </w:p>
        </w:tc>
        <w:tc>
          <w:tcPr>
            <w:tcW w:type="dxa" w:w="3600"/>
          </w:tcPr>
          <w:p>
            <w:pPr>
              <w:spacing w:after="40"/>
            </w:pPr>
            <w:r>
              <w:rPr>
                <w:rFonts w:ascii="Times New Roman" w:hAnsi="Times New Roman"/>
                <w:b w:val="0"/>
                <w:i w:val="0"/>
                <w:sz w:val="17"/>
              </w:rPr>
              <w:t>Condemnation citations conflict (Vol. 367 vs. Vol. 375, Pg. 44); venue described as "Judicial District of Port Calloway," which does not exist; Title Exception 10 reserves "reversionary interests that may exist"</w:t>
            </w:r>
          </w:p>
        </w:tc>
        <w:tc>
          <w:tcPr>
            <w:tcW w:type="dxa" w:w="3816"/>
          </w:tcPr>
          <w:p>
            <w:pPr>
              <w:spacing w:after="40"/>
            </w:pPr>
            <w:r>
              <w:rPr>
                <w:rFonts w:ascii="Times New Roman" w:hAnsi="Times New Roman"/>
                <w:b w:val="0"/>
                <w:i w:val="0"/>
                <w:sz w:val="17"/>
              </w:rPr>
              <w:t>Obtain the judgment. If the 2012 taking carried a public-use condition, leasing to a private developer could implicate it. Landlord representation against reversionary interests; New Haven venue</w:t>
            </w:r>
          </w:p>
        </w:tc>
        <w:tc>
          <w:tcPr>
            <w:tcW w:type="dxa" w:w="1483"/>
          </w:tcPr>
          <w:p>
            <w:pPr>
              <w:spacing w:after="40"/>
            </w:pPr>
            <w:r>
              <w:rPr>
                <w:rFonts w:ascii="Times New Roman" w:hAnsi="Times New Roman"/>
                <w:b w:val="0"/>
                <w:i w:val="0"/>
                <w:sz w:val="17"/>
              </w:rPr>
              <w:t>§§15.1(e), 17.2</w:t>
            </w:r>
          </w:p>
        </w:tc>
      </w:tr>
      <w:tr>
        <w:trPr>
          <w:cantSplit/>
        </w:trPr>
        <w:tc>
          <w:tcPr>
            <w:tcW w:type="dxa" w:w="460"/>
          </w:tcPr>
          <w:p>
            <w:pPr>
              <w:spacing w:after="40"/>
            </w:pPr>
            <w:r>
              <w:rPr>
                <w:rFonts w:ascii="Times New Roman" w:hAnsi="Times New Roman"/>
                <w:b w:val="0"/>
                <w:i w:val="0"/>
                <w:sz w:val="17"/>
              </w:rPr>
              <w:t>18</w:t>
            </w:r>
          </w:p>
        </w:tc>
        <w:tc>
          <w:tcPr>
            <w:tcW w:type="dxa" w:w="3600"/>
          </w:tcPr>
          <w:p>
            <w:pPr>
              <w:spacing w:after="40"/>
            </w:pPr>
            <w:r>
              <w:rPr>
                <w:rFonts w:ascii="Times New Roman" w:hAnsi="Times New Roman"/>
                <w:b w:val="0"/>
                <w:i w:val="0"/>
                <w:sz w:val="17"/>
              </w:rPr>
              <w:t>The $187,500 mechanics' lien filed by Calloway Marine Demolition Inc. is listed as a Permitted Exception (TS §13; Title Ex. 6 and Req. 7)</w:t>
            </w:r>
          </w:p>
        </w:tc>
        <w:tc>
          <w:tcPr>
            <w:tcW w:type="dxa" w:w="3816"/>
          </w:tcPr>
          <w:p>
            <w:pPr>
              <w:spacing w:after="40"/>
            </w:pPr>
            <w:r>
              <w:rPr>
                <w:rFonts w:ascii="Times New Roman" w:hAnsi="Times New Roman"/>
                <w:b w:val="0"/>
                <w:i w:val="0"/>
                <w:sz w:val="17"/>
              </w:rPr>
              <w:t>The Title Company "will not issue either policy... until this requirement has been satisfied." It arises from the fee owner's own contractor. Discharge or bond as a condition precedent; exclude from Permitted Exceptions; indemnity; offset remedy</w:t>
            </w:r>
          </w:p>
        </w:tc>
        <w:tc>
          <w:tcPr>
            <w:tcW w:type="dxa" w:w="1483"/>
          </w:tcPr>
          <w:p>
            <w:pPr>
              <w:spacing w:after="40"/>
            </w:pPr>
            <w:r>
              <w:rPr>
                <w:rFonts w:ascii="Times New Roman" w:hAnsi="Times New Roman"/>
                <w:b w:val="0"/>
                <w:i w:val="0"/>
                <w:sz w:val="17"/>
              </w:rPr>
              <w:t>§§2.7(c), 15.4, Exh. B</w:t>
            </w:r>
          </w:p>
        </w:tc>
      </w:tr>
      <w:tr>
        <w:trPr>
          <w:cantSplit/>
        </w:trPr>
        <w:tc>
          <w:tcPr>
            <w:tcW w:type="dxa" w:w="460"/>
          </w:tcPr>
          <w:p>
            <w:pPr>
              <w:spacing w:after="40"/>
            </w:pPr>
            <w:r>
              <w:rPr>
                <w:rFonts w:ascii="Times New Roman" w:hAnsi="Times New Roman"/>
                <w:b w:val="0"/>
                <w:i w:val="0"/>
                <w:sz w:val="17"/>
              </w:rPr>
              <w:t>19</w:t>
            </w:r>
          </w:p>
        </w:tc>
        <w:tc>
          <w:tcPr>
            <w:tcW w:type="dxa" w:w="3600"/>
          </w:tcPr>
          <w:p>
            <w:pPr>
              <w:spacing w:after="40"/>
            </w:pPr>
            <w:r>
              <w:rPr>
                <w:rFonts w:ascii="Times New Roman" w:hAnsi="Times New Roman"/>
                <w:b w:val="0"/>
                <w:i w:val="0"/>
                <w:sz w:val="17"/>
              </w:rPr>
              <w:t>Title Commitment expires December 1, 2025; Bayside requires a survey dated within 90 days of closing, which goes stale July 19, 2025 (Title Commitment; Loan TS §6(d))</w:t>
            </w:r>
          </w:p>
        </w:tc>
        <w:tc>
          <w:tcPr>
            <w:tcW w:type="dxa" w:w="3816"/>
          </w:tcPr>
          <w:p>
            <w:pPr>
              <w:spacing w:after="40"/>
            </w:pPr>
            <w:r>
              <w:rPr>
                <w:rFonts w:ascii="Times New Roman" w:hAnsi="Times New Roman"/>
                <w:b w:val="0"/>
                <w:i w:val="0"/>
                <w:sz w:val="17"/>
              </w:rPr>
              <w:t>Both go stale before or shortly after the target closing. Build re-certification and extension into the closing checklist</w:t>
            </w:r>
          </w:p>
        </w:tc>
        <w:tc>
          <w:tcPr>
            <w:tcW w:type="dxa" w:w="1483"/>
          </w:tcPr>
          <w:p>
            <w:pPr>
              <w:spacing w:after="40"/>
            </w:pPr>
            <w:r>
              <w:rPr>
                <w:rFonts w:ascii="Times New Roman" w:hAnsi="Times New Roman"/>
                <w:b w:val="0"/>
                <w:i w:val="0"/>
                <w:sz w:val="17"/>
              </w:rPr>
              <w:t>§2.7(i), (g)</w:t>
            </w:r>
          </w:p>
        </w:tc>
      </w:tr>
      <w:tr>
        <w:trPr>
          <w:cantSplit/>
        </w:trPr>
        <w:tc>
          <w:tcPr>
            <w:tcW w:type="dxa" w:w="460"/>
          </w:tcPr>
          <w:p>
            <w:pPr>
              <w:spacing w:after="40"/>
            </w:pPr>
            <w:r>
              <w:rPr>
                <w:rFonts w:ascii="Times New Roman" w:hAnsi="Times New Roman"/>
                <w:b w:val="0"/>
                <w:i w:val="0"/>
                <w:sz w:val="17"/>
              </w:rPr>
              <w:t>20</w:t>
            </w:r>
          </w:p>
        </w:tc>
        <w:tc>
          <w:tcPr>
            <w:tcW w:type="dxa" w:w="3600"/>
          </w:tcPr>
          <w:p>
            <w:pPr>
              <w:spacing w:after="40"/>
            </w:pPr>
            <w:r>
              <w:rPr>
                <w:rFonts w:ascii="Times New Roman" w:hAnsi="Times New Roman"/>
                <w:b w:val="0"/>
                <w:i w:val="0"/>
                <w:sz w:val="17"/>
              </w:rPr>
              <w:t>Abatement period commences on the Lease Commencement Date, three years before rent begins, and applies the 25% phase to a post-development value that does not yet exist (TS §10)</w:t>
            </w:r>
          </w:p>
        </w:tc>
        <w:tc>
          <w:tcPr>
            <w:tcW w:type="dxa" w:w="3816"/>
          </w:tcPr>
          <w:p>
            <w:pPr>
              <w:spacing w:after="40"/>
            </w:pPr>
            <w:r>
              <w:rPr>
                <w:rFonts w:ascii="Times New Roman" w:hAnsi="Times New Roman"/>
                <w:b w:val="0"/>
                <w:i w:val="0"/>
                <w:sz w:val="17"/>
              </w:rPr>
              <w:t>Costs about $18.1M in nominal taxes through 2043, and about $4.2M of overpayment during construction. Commence on the Rent Commencement Date; land-only assessment during construction</w:t>
            </w:r>
          </w:p>
        </w:tc>
        <w:tc>
          <w:tcPr>
            <w:tcW w:type="dxa" w:w="1483"/>
          </w:tcPr>
          <w:p>
            <w:pPr>
              <w:spacing w:after="40"/>
            </w:pPr>
            <w:r>
              <w:rPr>
                <w:rFonts w:ascii="Times New Roman" w:hAnsi="Times New Roman"/>
                <w:b w:val="0"/>
                <w:i w:val="0"/>
                <w:sz w:val="17"/>
              </w:rPr>
              <w:t>§6.2(a)–(b)</w:t>
            </w:r>
          </w:p>
        </w:tc>
      </w:tr>
      <w:tr>
        <w:trPr>
          <w:cantSplit/>
        </w:trPr>
        <w:tc>
          <w:tcPr>
            <w:tcW w:type="dxa" w:w="460"/>
          </w:tcPr>
          <w:p>
            <w:pPr>
              <w:spacing w:after="40"/>
            </w:pPr>
            <w:r>
              <w:rPr>
                <w:rFonts w:ascii="Times New Roman" w:hAnsi="Times New Roman"/>
                <w:b w:val="0"/>
                <w:i w:val="0"/>
                <w:sz w:val="17"/>
              </w:rPr>
              <w:t>21</w:t>
            </w:r>
          </w:p>
        </w:tc>
        <w:tc>
          <w:tcPr>
            <w:tcW w:type="dxa" w:w="3600"/>
          </w:tcPr>
          <w:p>
            <w:pPr>
              <w:spacing w:after="40"/>
            </w:pPr>
            <w:r>
              <w:rPr>
                <w:rFonts w:ascii="Times New Roman" w:hAnsi="Times New Roman"/>
                <w:b w:val="0"/>
                <w:i w:val="0"/>
                <w:sz w:val="17"/>
              </w:rPr>
              <w:t>Rent Commencement on the earlier of 36 months or a certificate of occupancy "for any portion of the Project" (TS §3)</w:t>
            </w:r>
          </w:p>
        </w:tc>
        <w:tc>
          <w:tcPr>
            <w:tcW w:type="dxa" w:w="3816"/>
          </w:tcPr>
          <w:p>
            <w:pPr>
              <w:spacing w:after="40"/>
            </w:pPr>
            <w:r>
              <w:rPr>
                <w:rFonts w:ascii="Times New Roman" w:hAnsi="Times New Roman"/>
                <w:b w:val="0"/>
                <w:i w:val="0"/>
                <w:sz w:val="17"/>
              </w:rPr>
              <w:t>A retail suite or a model unit would start $2.85M per year. Requires 60% of the Residential Tower and 50% of the Project; excludes temporary and ancillary certificates</w:t>
            </w:r>
          </w:p>
        </w:tc>
        <w:tc>
          <w:tcPr>
            <w:tcW w:type="dxa" w:w="1483"/>
          </w:tcPr>
          <w:p>
            <w:pPr>
              <w:spacing w:after="40"/>
            </w:pPr>
            <w:r>
              <w:rPr>
                <w:rFonts w:ascii="Times New Roman" w:hAnsi="Times New Roman"/>
                <w:b w:val="0"/>
                <w:i w:val="0"/>
                <w:sz w:val="17"/>
              </w:rPr>
              <w:t>§2.4</w:t>
            </w:r>
          </w:p>
        </w:tc>
      </w:tr>
      <w:tr>
        <w:trPr>
          <w:cantSplit/>
        </w:trPr>
        <w:tc>
          <w:tcPr>
            <w:tcW w:type="dxa" w:w="460"/>
          </w:tcPr>
          <w:p>
            <w:pPr>
              <w:spacing w:after="40"/>
            </w:pPr>
            <w:r>
              <w:rPr>
                <w:rFonts w:ascii="Times New Roman" w:hAnsi="Times New Roman"/>
                <w:b w:val="0"/>
                <w:i w:val="0"/>
                <w:sz w:val="17"/>
              </w:rPr>
              <w:t>22</w:t>
            </w:r>
          </w:p>
        </w:tc>
        <w:tc>
          <w:tcPr>
            <w:tcW w:type="dxa" w:w="3600"/>
          </w:tcPr>
          <w:p>
            <w:pPr>
              <w:spacing w:after="40"/>
            </w:pPr>
            <w:r>
              <w:rPr>
                <w:rFonts w:ascii="Times New Roman" w:hAnsi="Times New Roman"/>
                <w:b w:val="0"/>
                <w:i w:val="0"/>
                <w:sz w:val="17"/>
              </w:rPr>
              <w:t>"Lease Year" is defined as running from the Rent Commencement Date for rent (TS §5) but from the Lease Commencement Date for milestones (TS §9), and "Lease Year 6" for percentage rent (TS §6) is undefined; rent escalation figures off by $13 and $41</w:t>
            </w:r>
          </w:p>
        </w:tc>
        <w:tc>
          <w:tcPr>
            <w:tcW w:type="dxa" w:w="3816"/>
          </w:tcPr>
          <w:p>
            <w:pPr>
              <w:spacing w:after="40"/>
            </w:pPr>
            <w:r>
              <w:rPr>
                <w:rFonts w:ascii="Times New Roman" w:hAnsi="Times New Roman"/>
                <w:b w:val="0"/>
                <w:i w:val="0"/>
                <w:sz w:val="17"/>
              </w:rPr>
              <w:t>Three-Rent-Year difference in when escalations and percentage rent begin. Separate "Lease Year" from "Rent Year"; formula controls over table</w:t>
            </w:r>
          </w:p>
        </w:tc>
        <w:tc>
          <w:tcPr>
            <w:tcW w:type="dxa" w:w="1483"/>
          </w:tcPr>
          <w:p>
            <w:pPr>
              <w:spacing w:after="40"/>
            </w:pPr>
            <w:r>
              <w:rPr>
                <w:rFonts w:ascii="Times New Roman" w:hAnsi="Times New Roman"/>
                <w:b w:val="0"/>
                <w:i w:val="0"/>
                <w:sz w:val="17"/>
              </w:rPr>
              <w:t>§§1.1, 4.1–4.3, 5.1</w:t>
            </w:r>
          </w:p>
        </w:tc>
      </w:tr>
      <w:tr>
        <w:trPr>
          <w:cantSplit/>
        </w:trPr>
        <w:tc>
          <w:tcPr>
            <w:tcW w:type="dxa" w:w="460"/>
          </w:tcPr>
          <w:p>
            <w:pPr>
              <w:spacing w:after="40"/>
            </w:pPr>
            <w:r>
              <w:rPr>
                <w:rFonts w:ascii="Times New Roman" w:hAnsi="Times New Roman"/>
                <w:b w:val="0"/>
                <w:i w:val="0"/>
                <w:sz w:val="17"/>
              </w:rPr>
              <w:t>23</w:t>
            </w:r>
          </w:p>
        </w:tc>
        <w:tc>
          <w:tcPr>
            <w:tcW w:type="dxa" w:w="3600"/>
          </w:tcPr>
          <w:p>
            <w:pPr>
              <w:spacing w:after="40"/>
            </w:pPr>
            <w:r>
              <w:rPr>
                <w:rFonts w:ascii="Times New Roman" w:hAnsi="Times New Roman"/>
                <w:b w:val="0"/>
                <w:i w:val="0"/>
                <w:sz w:val="17"/>
              </w:rPr>
              <w:t>Percentage rent breakpoint fixed at $28,500,000 "for the duration of the Lease Term" with 2.0% of the excess (TS §6)</w:t>
            </w:r>
          </w:p>
        </w:tc>
        <w:tc>
          <w:tcPr>
            <w:tcW w:type="dxa" w:w="3816"/>
          </w:tcPr>
          <w:p>
            <w:pPr>
              <w:spacing w:after="40"/>
            </w:pPr>
            <w:r>
              <w:rPr>
                <w:rFonts w:ascii="Times New Roman" w:hAnsi="Times New Roman"/>
                <w:b w:val="0"/>
                <w:i w:val="0"/>
                <w:sz w:val="17"/>
              </w:rPr>
              <w:t>At 3% revenue growth, percentage rent rises from $30,000 to $8.0M per year over the Term. Index the Breakpoint to Base Rent (primary); CPI; or 50% CPI; or a hard cap, as fallbacks</w:t>
            </w:r>
          </w:p>
        </w:tc>
        <w:tc>
          <w:tcPr>
            <w:tcW w:type="dxa" w:w="1483"/>
          </w:tcPr>
          <w:p>
            <w:pPr>
              <w:spacing w:after="40"/>
            </w:pPr>
            <w:r>
              <w:rPr>
                <w:rFonts w:ascii="Times New Roman" w:hAnsi="Times New Roman"/>
                <w:b w:val="0"/>
                <w:i w:val="0"/>
                <w:sz w:val="17"/>
              </w:rPr>
              <w:t>§5.3</w:t>
            </w:r>
          </w:p>
        </w:tc>
      </w:tr>
      <w:tr>
        <w:trPr>
          <w:cantSplit/>
        </w:trPr>
        <w:tc>
          <w:tcPr>
            <w:tcW w:type="dxa" w:w="460"/>
          </w:tcPr>
          <w:p>
            <w:pPr>
              <w:spacing w:after="40"/>
            </w:pPr>
            <w:r>
              <w:rPr>
                <w:rFonts w:ascii="Times New Roman" w:hAnsi="Times New Roman"/>
                <w:b w:val="0"/>
                <w:i w:val="0"/>
                <w:sz w:val="17"/>
              </w:rPr>
              <w:t>24</w:t>
            </w:r>
          </w:p>
        </w:tc>
        <w:tc>
          <w:tcPr>
            <w:tcW w:type="dxa" w:w="3600"/>
          </w:tcPr>
          <w:p>
            <w:pPr>
              <w:spacing w:after="40"/>
            </w:pPr>
            <w:r>
              <w:rPr>
                <w:rFonts w:ascii="Times New Roman" w:hAnsi="Times New Roman"/>
                <w:b w:val="0"/>
                <w:i w:val="0"/>
                <w:sz w:val="17"/>
              </w:rPr>
              <w:t>Gross Revenues defined by an open-ended list of exclusions ("such as security deposits... and similar items"); audit right with no confidentiality, no CPA requirement, and 3-year retention (TS §6)</w:t>
            </w:r>
          </w:p>
        </w:tc>
        <w:tc>
          <w:tcPr>
            <w:tcW w:type="dxa" w:w="3816"/>
          </w:tcPr>
          <w:p>
            <w:pPr>
              <w:spacing w:after="40"/>
            </w:pPr>
            <w:r>
              <w:rPr>
                <w:rFonts w:ascii="Times New Roman" w:hAnsi="Times New Roman"/>
                <w:b w:val="0"/>
                <w:i w:val="0"/>
                <w:sz w:val="17"/>
              </w:rPr>
              <w:t>Your instruction requires exclusions for utility and CAM recoveries, insurance, condemnation, and pass-throughs. Fifteen specific exclusions; CPA hourly; 3-year lookback; $25,000 cost cap; confidentiality</w:t>
            </w:r>
          </w:p>
        </w:tc>
        <w:tc>
          <w:tcPr>
            <w:tcW w:type="dxa" w:w="1483"/>
          </w:tcPr>
          <w:p>
            <w:pPr>
              <w:spacing w:after="40"/>
            </w:pPr>
            <w:r>
              <w:rPr>
                <w:rFonts w:ascii="Times New Roman" w:hAnsi="Times New Roman"/>
                <w:b w:val="0"/>
                <w:i w:val="0"/>
                <w:sz w:val="17"/>
              </w:rPr>
              <w:t>§§5.2, 5.5–5.6</w:t>
            </w:r>
          </w:p>
        </w:tc>
      </w:tr>
      <w:tr>
        <w:trPr>
          <w:cantSplit/>
        </w:trPr>
        <w:tc>
          <w:tcPr>
            <w:tcW w:type="dxa" w:w="460"/>
          </w:tcPr>
          <w:p>
            <w:pPr>
              <w:spacing w:after="40"/>
            </w:pPr>
            <w:r>
              <w:rPr>
                <w:rFonts w:ascii="Times New Roman" w:hAnsi="Times New Roman"/>
                <w:b w:val="0"/>
                <w:i w:val="0"/>
                <w:sz w:val="17"/>
              </w:rPr>
              <w:t>25</w:t>
            </w:r>
          </w:p>
        </w:tc>
        <w:tc>
          <w:tcPr>
            <w:tcW w:type="dxa" w:w="3600"/>
          </w:tcPr>
          <w:p>
            <w:pPr>
              <w:spacing w:after="40"/>
            </w:pPr>
            <w:r>
              <w:rPr>
                <w:rFonts w:ascii="Times New Roman" w:hAnsi="Times New Roman"/>
                <w:b w:val="0"/>
                <w:i w:val="0"/>
                <w:sz w:val="17"/>
              </w:rPr>
              <w:t>CPI reset is the greater of 2.5% compounding or cumulative CPI from the Lease Commencement Date, with no cap and a permanent ratchet; measurement period ambiguous; $178M assessed value implies only 59.8% of project cost (TS §5, §10)</w:t>
            </w:r>
          </w:p>
        </w:tc>
        <w:tc>
          <w:tcPr>
            <w:tcW w:type="dxa" w:w="3816"/>
          </w:tcPr>
          <w:p>
            <w:pPr>
              <w:spacing w:after="40"/>
            </w:pPr>
            <w:r>
              <w:rPr>
                <w:rFonts w:ascii="Times New Roman" w:hAnsi="Times New Roman"/>
                <w:b w:val="0"/>
                <w:i w:val="0"/>
                <w:sz w:val="17"/>
              </w:rPr>
              <w:t>At a 3% CPI the Base Rent in Rent Year 96 is $47.2M, and the assessment projection is below Connecticut's 70% statutory ratio applied to cost. Add a 3% cumulative cap and a floor; anchor to Rent Commencement; 20% assessment re-opener</w:t>
            </w:r>
          </w:p>
        </w:tc>
        <w:tc>
          <w:tcPr>
            <w:tcW w:type="dxa" w:w="1483"/>
          </w:tcPr>
          <w:p>
            <w:pPr>
              <w:spacing w:after="40"/>
            </w:pPr>
            <w:r>
              <w:rPr>
                <w:rFonts w:ascii="Times New Roman" w:hAnsi="Times New Roman"/>
                <w:b w:val="0"/>
                <w:i w:val="0"/>
                <w:sz w:val="17"/>
              </w:rPr>
              <w:t>§§4.3–4.4, 6.6</w:t>
            </w:r>
          </w:p>
        </w:tc>
      </w:tr>
      <w:tr>
        <w:trPr>
          <w:cantSplit/>
        </w:trPr>
        <w:tc>
          <w:tcPr>
            <w:tcW w:type="dxa" w:w="460"/>
          </w:tcPr>
          <w:p>
            <w:pPr>
              <w:spacing w:after="40"/>
            </w:pPr>
            <w:r>
              <w:rPr>
                <w:rFonts w:ascii="Times New Roman" w:hAnsi="Times New Roman"/>
                <w:b w:val="0"/>
                <w:i w:val="0"/>
                <w:sz w:val="17"/>
              </w:rPr>
              <w:t>26</w:t>
            </w:r>
          </w:p>
        </w:tc>
        <w:tc>
          <w:tcPr>
            <w:tcW w:type="dxa" w:w="3600"/>
          </w:tcPr>
          <w:p>
            <w:pPr>
              <w:spacing w:after="40"/>
            </w:pPr>
            <w:r>
              <w:rPr>
                <w:rFonts w:ascii="Times New Roman" w:hAnsi="Times New Roman"/>
                <w:b w:val="0"/>
                <w:i w:val="0"/>
                <w:sz w:val="17"/>
              </w:rPr>
              <w:t>Affordable housing covenant omits recalculation on a change in unit count, income verification, monitoring entity, enforcement rights, unit distribution, and consequences of non-compliance (TS §4; Title Ex. 5 and the Company's own note (i)–(vi))</w:t>
            </w:r>
          </w:p>
        </w:tc>
        <w:tc>
          <w:tcPr>
            <w:tcW w:type="dxa" w:w="3816"/>
          </w:tcPr>
          <w:p>
            <w:pPr>
              <w:spacing w:after="40"/>
            </w:pPr>
            <w:r>
              <w:rPr>
                <w:rFonts w:ascii="Times New Roman" w:hAnsi="Times New Roman"/>
                <w:b w:val="0"/>
                <w:i w:val="0"/>
                <w:sz w:val="17"/>
              </w:rPr>
              <w:t>The recorded declaration is unenforceable as a practical matter. Full covenant drafted, with recalculation, annual rent roll, income verification, monitor, cure, and a limit on remedies</w:t>
            </w:r>
          </w:p>
        </w:tc>
        <w:tc>
          <w:tcPr>
            <w:tcW w:type="dxa" w:w="1483"/>
          </w:tcPr>
          <w:p>
            <w:pPr>
              <w:spacing w:after="40"/>
            </w:pPr>
            <w:r>
              <w:rPr>
                <w:rFonts w:ascii="Times New Roman" w:hAnsi="Times New Roman"/>
                <w:b w:val="0"/>
                <w:i w:val="0"/>
                <w:sz w:val="17"/>
              </w:rPr>
              <w:t>§3.6</w:t>
            </w:r>
          </w:p>
        </w:tc>
      </w:tr>
      <w:tr>
        <w:trPr>
          <w:cantSplit/>
        </w:trPr>
        <w:tc>
          <w:tcPr>
            <w:tcW w:type="dxa" w:w="460"/>
          </w:tcPr>
          <w:p>
            <w:pPr>
              <w:spacing w:after="40"/>
            </w:pPr>
            <w:r>
              <w:rPr>
                <w:rFonts w:ascii="Times New Roman" w:hAnsi="Times New Roman"/>
                <w:b w:val="0"/>
                <w:i w:val="0"/>
                <w:sz w:val="17"/>
              </w:rPr>
              <w:t>27</w:t>
            </w:r>
          </w:p>
        </w:tc>
        <w:tc>
          <w:tcPr>
            <w:tcW w:type="dxa" w:w="3600"/>
          </w:tcPr>
          <w:p>
            <w:pPr>
              <w:spacing w:after="40"/>
            </w:pPr>
            <w:r>
              <w:rPr>
                <w:rFonts w:ascii="Times New Roman" w:hAnsi="Times New Roman"/>
                <w:b w:val="0"/>
                <w:i w:val="0"/>
                <w:sz w:val="17"/>
              </w:rPr>
              <w:t>Three different AMI areas: "Port Calloway Metropolitan Statistical Area" (TS §4), "New Haven-Milford" (Title Ex. 5), "Bridgeport-Stamford-Norwalk HUD Metro FMR Area" (Survey §3(d)(iii))</w:t>
            </w:r>
          </w:p>
        </w:tc>
        <w:tc>
          <w:tcPr>
            <w:tcW w:type="dxa" w:w="3816"/>
          </w:tcPr>
          <w:p>
            <w:pPr>
              <w:spacing w:after="40"/>
            </w:pPr>
            <w:r>
              <w:rPr>
                <w:rFonts w:ascii="Times New Roman" w:hAnsi="Times New Roman"/>
                <w:b w:val="0"/>
                <w:i w:val="0"/>
                <w:sz w:val="17"/>
              </w:rPr>
              <w:t>80% of AMI differs materially between these areas and drives the rent restriction. New Haven-Milford adopted, consistent with New Haven County</w:t>
            </w:r>
          </w:p>
        </w:tc>
        <w:tc>
          <w:tcPr>
            <w:tcW w:type="dxa" w:w="1483"/>
          </w:tcPr>
          <w:p>
            <w:pPr>
              <w:spacing w:after="40"/>
            </w:pPr>
            <w:r>
              <w:rPr>
                <w:rFonts w:ascii="Times New Roman" w:hAnsi="Times New Roman"/>
                <w:b w:val="0"/>
                <w:i w:val="0"/>
                <w:sz w:val="17"/>
              </w:rPr>
              <w:t>§3.6(b)</w:t>
            </w:r>
          </w:p>
        </w:tc>
      </w:tr>
      <w:tr>
        <w:trPr>
          <w:cantSplit/>
        </w:trPr>
        <w:tc>
          <w:tcPr>
            <w:tcW w:type="dxa" w:w="460"/>
          </w:tcPr>
          <w:p>
            <w:pPr>
              <w:spacing w:after="40"/>
            </w:pPr>
            <w:r>
              <w:rPr>
                <w:rFonts w:ascii="Times New Roman" w:hAnsi="Times New Roman"/>
                <w:b w:val="0"/>
                <w:i w:val="0"/>
                <w:sz w:val="17"/>
              </w:rPr>
              <w:t>28</w:t>
            </w:r>
          </w:p>
        </w:tc>
        <w:tc>
          <w:tcPr>
            <w:tcW w:type="dxa" w:w="3600"/>
          </w:tcPr>
          <w:p>
            <w:pPr>
              <w:spacing w:after="40"/>
            </w:pPr>
            <w:r>
              <w:rPr>
                <w:rFonts w:ascii="Times New Roman" w:hAnsi="Times New Roman"/>
                <w:b w:val="0"/>
                <w:i w:val="0"/>
                <w:sz w:val="17"/>
              </w:rPr>
              <w:t>ELUR prohibits ground-floor residential use, but the Term Sheet's own program includes a ground-floor residential lobby, fitness center, package room, lounge, and leasing office; the ELUR does not define whether ancillary space is "residential use" (TS §4, §4(a); Phase II §2.3)</w:t>
            </w:r>
          </w:p>
        </w:tc>
        <w:tc>
          <w:tcPr>
            <w:tcW w:type="dxa" w:w="3816"/>
          </w:tcPr>
          <w:p>
            <w:pPr>
              <w:spacing w:after="40"/>
            </w:pPr>
            <w:r>
              <w:rPr>
                <w:rFonts w:ascii="Times New Roman" w:hAnsi="Times New Roman"/>
                <w:b w:val="0"/>
                <w:i w:val="0"/>
                <w:sz w:val="17"/>
              </w:rPr>
              <w:t>Phase II warns of "significant interpretive ambiguity" and "potential enforcement action." DEEP written interpretation or ELUR modification as a condition precedent; non-habitable ground-floor uses only; affordable units on upper floors</w:t>
            </w:r>
          </w:p>
        </w:tc>
        <w:tc>
          <w:tcPr>
            <w:tcW w:type="dxa" w:w="1483"/>
          </w:tcPr>
          <w:p>
            <w:pPr>
              <w:spacing w:after="40"/>
            </w:pPr>
            <w:r>
              <w:rPr>
                <w:rFonts w:ascii="Times New Roman" w:hAnsi="Times New Roman"/>
                <w:b w:val="0"/>
                <w:i w:val="0"/>
                <w:sz w:val="17"/>
              </w:rPr>
              <w:t>§§3.6(c), 3.9</w:t>
            </w:r>
          </w:p>
        </w:tc>
      </w:tr>
      <w:tr>
        <w:trPr>
          <w:cantSplit/>
        </w:trPr>
        <w:tc>
          <w:tcPr>
            <w:tcW w:type="dxa" w:w="460"/>
          </w:tcPr>
          <w:p>
            <w:pPr>
              <w:spacing w:after="40"/>
            </w:pPr>
            <w:r>
              <w:rPr>
                <w:rFonts w:ascii="Times New Roman" w:hAnsi="Times New Roman"/>
                <w:b w:val="0"/>
                <w:i w:val="0"/>
                <w:sz w:val="17"/>
              </w:rPr>
              <w:t>29</w:t>
            </w:r>
          </w:p>
        </w:tc>
        <w:tc>
          <w:tcPr>
            <w:tcW w:type="dxa" w:w="3600"/>
          </w:tcPr>
          <w:p>
            <w:pPr>
              <w:spacing w:after="40"/>
            </w:pPr>
            <w:r>
              <w:rPr>
                <w:rFonts w:ascii="Times New Roman" w:hAnsi="Times New Roman"/>
                <w:b w:val="0"/>
                <w:i w:val="0"/>
                <w:sz w:val="17"/>
              </w:rPr>
              <w:t>Remediation credit fixed at $1,800,000 against Base Rent, with Tenant responsible for "any actual remediation costs in excess of the $2,400,000 estimate" (TS §7)</w:t>
            </w:r>
          </w:p>
        </w:tc>
        <w:tc>
          <w:tcPr>
            <w:tcW w:type="dxa" w:w="3816"/>
          </w:tcPr>
          <w:p>
            <w:pPr>
              <w:spacing w:after="40"/>
            </w:pPr>
            <w:r>
              <w:rPr>
                <w:rFonts w:ascii="Times New Roman" w:hAnsi="Times New Roman"/>
                <w:b w:val="0"/>
                <w:i w:val="0"/>
                <w:sz w:val="17"/>
              </w:rPr>
              <w:t>Converts the implied 75/25 split into a capped credit with uncapped overrun exposure. Implement the 75/25 share to 150% of the estimate; 100% Landlord beyond; Landlord bears off-site and undisclosed conditions</w:t>
            </w:r>
          </w:p>
        </w:tc>
        <w:tc>
          <w:tcPr>
            <w:tcW w:type="dxa" w:w="1483"/>
          </w:tcPr>
          <w:p>
            <w:pPr>
              <w:spacing w:after="40"/>
            </w:pPr>
            <w:r>
              <w:rPr>
                <w:rFonts w:ascii="Times New Roman" w:hAnsi="Times New Roman"/>
                <w:b w:val="0"/>
                <w:i w:val="0"/>
                <w:sz w:val="17"/>
              </w:rPr>
              <w:t>§8.3</w:t>
            </w:r>
          </w:p>
        </w:tc>
      </w:tr>
      <w:tr>
        <w:trPr>
          <w:cantSplit/>
        </w:trPr>
        <w:tc>
          <w:tcPr>
            <w:tcW w:type="dxa" w:w="460"/>
          </w:tcPr>
          <w:p>
            <w:pPr>
              <w:spacing w:after="40"/>
            </w:pPr>
            <w:r>
              <w:rPr>
                <w:rFonts w:ascii="Times New Roman" w:hAnsi="Times New Roman"/>
                <w:b w:val="0"/>
                <w:i w:val="0"/>
                <w:sz w:val="17"/>
              </w:rPr>
              <w:t>30</w:t>
            </w:r>
          </w:p>
        </w:tc>
        <w:tc>
          <w:tcPr>
            <w:tcW w:type="dxa" w:w="3600"/>
          </w:tcPr>
          <w:p>
            <w:pPr>
              <w:spacing w:after="40"/>
            </w:pPr>
            <w:r>
              <w:rPr>
                <w:rFonts w:ascii="Times New Roman" w:hAnsi="Times New Roman"/>
                <w:b w:val="0"/>
                <w:i w:val="0"/>
                <w:sz w:val="17"/>
              </w:rPr>
              <w:t>The $2,400,000 estimate excludes ELUR maintenance and modification, DEEP approvals, the RAP, the verification report, legal and consulting fees, and bulkhead work; "Contingency (10%)" lines are 5.71% and 4.76% of their subtotals; 3,100 CY handling volume is not derived from the 933 CY impacted volume (Phase II §6)</w:t>
            </w:r>
          </w:p>
        </w:tc>
        <w:tc>
          <w:tcPr>
            <w:tcW w:type="dxa" w:w="3816"/>
          </w:tcPr>
          <w:p>
            <w:pPr>
              <w:spacing w:after="40"/>
            </w:pPr>
            <w:r>
              <w:rPr>
                <w:rFonts w:ascii="Times New Roman" w:hAnsi="Times New Roman"/>
                <w:b w:val="0"/>
                <w:i w:val="0"/>
                <w:sz w:val="17"/>
              </w:rPr>
              <w:t>The real remediation budget is materially above $2.4M before bulkhead. Confirm that the allocation applies to all Remediation Costs and that excluded categories are included in the definition</w:t>
            </w:r>
          </w:p>
        </w:tc>
        <w:tc>
          <w:tcPr>
            <w:tcW w:type="dxa" w:w="1483"/>
          </w:tcPr>
          <w:p>
            <w:pPr>
              <w:spacing w:after="40"/>
            </w:pPr>
            <w:r>
              <w:rPr>
                <w:rFonts w:ascii="Times New Roman" w:hAnsi="Times New Roman"/>
                <w:b w:val="0"/>
                <w:i w:val="0"/>
                <w:sz w:val="17"/>
              </w:rPr>
              <w:t>§8.3(c), (e)</w:t>
            </w:r>
          </w:p>
        </w:tc>
      </w:tr>
      <w:tr>
        <w:trPr>
          <w:cantSplit/>
        </w:trPr>
        <w:tc>
          <w:tcPr>
            <w:tcW w:type="dxa" w:w="460"/>
          </w:tcPr>
          <w:p>
            <w:pPr>
              <w:spacing w:after="40"/>
            </w:pPr>
            <w:r>
              <w:rPr>
                <w:rFonts w:ascii="Times New Roman" w:hAnsi="Times New Roman"/>
                <w:b w:val="0"/>
                <w:i w:val="0"/>
                <w:sz w:val="17"/>
              </w:rPr>
              <w:t>31</w:t>
            </w:r>
          </w:p>
        </w:tc>
        <w:tc>
          <w:tcPr>
            <w:tcW w:type="dxa" w:w="3600"/>
          </w:tcPr>
          <w:p>
            <w:pPr>
              <w:spacing w:after="40"/>
            </w:pPr>
            <w:r>
              <w:rPr>
                <w:rFonts w:ascii="Times New Roman" w:hAnsi="Times New Roman"/>
                <w:b w:val="0"/>
                <w:i w:val="0"/>
                <w:sz w:val="17"/>
              </w:rPr>
              <w:t>No allocation of off-site migration, undisclosed contamination, groundwater impacts, or pre-Commencement third-party and regulatory claims (TS §7; Phase II §§4, 7)</w:t>
            </w:r>
          </w:p>
        </w:tc>
        <w:tc>
          <w:tcPr>
            <w:tcW w:type="dxa" w:w="3816"/>
          </w:tcPr>
          <w:p>
            <w:pPr>
              <w:spacing w:after="40"/>
            </w:pPr>
            <w:r>
              <w:rPr>
                <w:rFonts w:ascii="Times New Roman" w:hAnsi="Times New Roman"/>
                <w:b w:val="0"/>
                <w:i w:val="0"/>
                <w:sz w:val="17"/>
              </w:rPr>
              <w:t>Tenant would assume 100 years of liability for a 1942–1987 shipyard it did not operate. Landlord indemnity for pre-existing and off-site conditions, payable from general funds</w:t>
            </w:r>
          </w:p>
        </w:tc>
        <w:tc>
          <w:tcPr>
            <w:tcW w:type="dxa" w:w="1483"/>
          </w:tcPr>
          <w:p>
            <w:pPr>
              <w:spacing w:after="40"/>
            </w:pPr>
            <w:r>
              <w:rPr>
                <w:rFonts w:ascii="Times New Roman" w:hAnsi="Times New Roman"/>
                <w:b w:val="0"/>
                <w:i w:val="0"/>
                <w:sz w:val="17"/>
              </w:rPr>
              <w:t>§§8.3(d), 8.7(b)</w:t>
            </w:r>
          </w:p>
        </w:tc>
      </w:tr>
      <w:tr>
        <w:trPr>
          <w:cantSplit/>
        </w:trPr>
        <w:tc>
          <w:tcPr>
            <w:tcW w:type="dxa" w:w="460"/>
          </w:tcPr>
          <w:p>
            <w:pPr>
              <w:spacing w:after="40"/>
            </w:pPr>
            <w:r>
              <w:rPr>
                <w:rFonts w:ascii="Times New Roman" w:hAnsi="Times New Roman"/>
                <w:b w:val="0"/>
                <w:i w:val="0"/>
                <w:sz w:val="17"/>
              </w:rPr>
              <w:t>32</w:t>
            </w:r>
          </w:p>
        </w:tc>
        <w:tc>
          <w:tcPr>
            <w:tcW w:type="dxa" w:w="3600"/>
          </w:tcPr>
          <w:p>
            <w:pPr>
              <w:spacing w:after="40"/>
            </w:pPr>
            <w:r>
              <w:rPr>
                <w:rFonts w:ascii="Times New Roman" w:hAnsi="Times New Roman"/>
                <w:b w:val="0"/>
                <w:i w:val="0"/>
                <w:sz w:val="17"/>
              </w:rPr>
              <w:t>Below-grade parking is contemplated, but the ELUR requires a 24-inch engineered barrier and a DEEP-approved Soil Management Plan for any disturbance below two feet, and remediation excavation reaches 6–10 feet (TS §4(d); Title Ex. 1; Phase II §4)</w:t>
            </w:r>
          </w:p>
        </w:tc>
        <w:tc>
          <w:tcPr>
            <w:tcW w:type="dxa" w:w="3816"/>
          </w:tcPr>
          <w:p>
            <w:pPr>
              <w:spacing w:after="40"/>
            </w:pPr>
            <w:r>
              <w:rPr>
                <w:rFonts w:ascii="Times New Roman" w:hAnsi="Times New Roman"/>
                <w:b w:val="0"/>
                <w:i w:val="0"/>
                <w:sz w:val="17"/>
              </w:rPr>
              <w:t>Design and remediation sequencing must be reconciled or the RAP will conflict with the foundation. Also: remediation delay is the most likely cause of a missed Milestone 1, which links this item to Item 1</w:t>
            </w:r>
          </w:p>
        </w:tc>
        <w:tc>
          <w:tcPr>
            <w:tcW w:type="dxa" w:w="1483"/>
          </w:tcPr>
          <w:p>
            <w:pPr>
              <w:spacing w:after="40"/>
            </w:pPr>
            <w:r>
              <w:rPr>
                <w:rFonts w:ascii="Times New Roman" w:hAnsi="Times New Roman"/>
                <w:b w:val="0"/>
                <w:i w:val="0"/>
                <w:sz w:val="17"/>
              </w:rPr>
              <w:t>§§3.9, 9.3(a)</w:t>
            </w:r>
          </w:p>
        </w:tc>
      </w:tr>
      <w:tr>
        <w:trPr>
          <w:cantSplit/>
        </w:trPr>
        <w:tc>
          <w:tcPr>
            <w:tcW w:type="dxa" w:w="460"/>
          </w:tcPr>
          <w:p>
            <w:pPr>
              <w:spacing w:after="40"/>
            </w:pPr>
            <w:r>
              <w:rPr>
                <w:rFonts w:ascii="Times New Roman" w:hAnsi="Times New Roman"/>
                <w:b w:val="0"/>
                <w:i w:val="0"/>
                <w:sz w:val="17"/>
              </w:rPr>
              <w:t>33</w:t>
            </w:r>
          </w:p>
        </w:tc>
        <w:tc>
          <w:tcPr>
            <w:tcW w:type="dxa" w:w="3600"/>
          </w:tcPr>
          <w:p>
            <w:pPr>
              <w:spacing w:after="40"/>
            </w:pPr>
            <w:r>
              <w:rPr>
                <w:rFonts w:ascii="Times New Roman" w:hAnsi="Times New Roman"/>
                <w:b w:val="0"/>
                <w:i w:val="0"/>
                <w:sz w:val="17"/>
              </w:rPr>
              <w:t>Bulkhead in "fair to poor" condition with 40 linear feet of cap removed by the Authority's demolition contractor; rehabilitation uncosted and excluded from the remediation estimate (Phase II §§5, 6, 7; Survey §1, §3(d)(iii))</w:t>
            </w:r>
          </w:p>
        </w:tc>
        <w:tc>
          <w:tcPr>
            <w:tcW w:type="dxa" w:w="3816"/>
          </w:tcPr>
          <w:p>
            <w:pPr>
              <w:spacing w:after="40"/>
            </w:pPr>
            <w:r>
              <w:rPr>
                <w:rFonts w:ascii="Times New Roman" w:hAnsi="Times New Roman"/>
                <w:b w:val="0"/>
                <w:i w:val="0"/>
                <w:sz w:val="17"/>
              </w:rPr>
              <w:t>An unquantified capital item, and the damage is the Authority's own. Structural assessment at Landlord's cost; restoration of the demolition-damaged section or a rent credit; balance to Project budget</w:t>
            </w:r>
          </w:p>
        </w:tc>
        <w:tc>
          <w:tcPr>
            <w:tcW w:type="dxa" w:w="1483"/>
          </w:tcPr>
          <w:p>
            <w:pPr>
              <w:spacing w:after="40"/>
            </w:pPr>
            <w:r>
              <w:rPr>
                <w:rFonts w:ascii="Times New Roman" w:hAnsi="Times New Roman"/>
                <w:b w:val="0"/>
                <w:i w:val="0"/>
                <w:sz w:val="17"/>
              </w:rPr>
              <w:t>§8.9</w:t>
            </w:r>
          </w:p>
        </w:tc>
      </w:tr>
      <w:tr>
        <w:trPr>
          <w:cantSplit/>
        </w:trPr>
        <w:tc>
          <w:tcPr>
            <w:tcW w:type="dxa" w:w="460"/>
          </w:tcPr>
          <w:p>
            <w:pPr>
              <w:spacing w:after="40"/>
            </w:pPr>
            <w:r>
              <w:rPr>
                <w:rFonts w:ascii="Times New Roman" w:hAnsi="Times New Roman"/>
                <w:b w:val="0"/>
                <w:i w:val="0"/>
                <w:sz w:val="17"/>
              </w:rPr>
              <w:t>34</w:t>
            </w:r>
          </w:p>
        </w:tc>
        <w:tc>
          <w:tcPr>
            <w:tcW w:type="dxa" w:w="3600"/>
          </w:tcPr>
          <w:p>
            <w:pPr>
              <w:spacing w:after="40"/>
            </w:pPr>
            <w:r>
              <w:rPr>
                <w:rFonts w:ascii="Times New Roman" w:hAnsi="Times New Roman"/>
                <w:b w:val="0"/>
                <w:i w:val="0"/>
                <w:sz w:val="17"/>
              </w:rPr>
              <w:t>Environmental insurance to be sized in the Definitive Lease; Phase II recommends a pollution legal liability policy with a term longer than construction (TS §12(e); Phase II §7)</w:t>
            </w:r>
          </w:p>
        </w:tc>
        <w:tc>
          <w:tcPr>
            <w:tcW w:type="dxa" w:w="3816"/>
          </w:tcPr>
          <w:p>
            <w:pPr>
              <w:spacing w:after="40"/>
            </w:pPr>
            <w:r>
              <w:rPr>
                <w:rFonts w:ascii="Times New Roman" w:hAnsi="Times New Roman"/>
                <w:b w:val="0"/>
                <w:i w:val="0"/>
                <w:sz w:val="17"/>
              </w:rPr>
              <w:t>Over 99 years the tail matters more than the construction period. $5M/$10M with a term consistent with the ELUR and the Leasehold Mortgagee's requirements</w:t>
            </w:r>
          </w:p>
        </w:tc>
        <w:tc>
          <w:tcPr>
            <w:tcW w:type="dxa" w:w="1483"/>
          </w:tcPr>
          <w:p>
            <w:pPr>
              <w:spacing w:after="40"/>
            </w:pPr>
            <w:r>
              <w:rPr>
                <w:rFonts w:ascii="Times New Roman" w:hAnsi="Times New Roman"/>
                <w:b w:val="0"/>
                <w:i w:val="0"/>
                <w:sz w:val="17"/>
              </w:rPr>
              <w:t>§§8.6, 12.1(f)</w:t>
            </w:r>
          </w:p>
        </w:tc>
      </w:tr>
      <w:tr>
        <w:trPr>
          <w:cantSplit/>
        </w:trPr>
        <w:tc>
          <w:tcPr>
            <w:tcW w:type="dxa" w:w="460"/>
          </w:tcPr>
          <w:p>
            <w:pPr>
              <w:spacing w:after="40"/>
            </w:pPr>
            <w:r>
              <w:rPr>
                <w:rFonts w:ascii="Times New Roman" w:hAnsi="Times New Roman"/>
                <w:b w:val="0"/>
                <w:i w:val="0"/>
                <w:sz w:val="17"/>
              </w:rPr>
              <w:t>35</w:t>
            </w:r>
          </w:p>
        </w:tc>
        <w:tc>
          <w:tcPr>
            <w:tcW w:type="dxa" w:w="3600"/>
          </w:tcPr>
          <w:p>
            <w:pPr>
              <w:spacing w:after="40"/>
            </w:pPr>
            <w:r>
              <w:rPr>
                <w:rFonts w:ascii="Times New Roman" w:hAnsi="Times New Roman"/>
                <w:b w:val="0"/>
                <w:i w:val="0"/>
                <w:sz w:val="17"/>
              </w:rPr>
              <w:t>Step-down from $5,700,000 to $2,850,000 on "an overall occupancy rate of ninety percent (90%)... for twenty-four consecutive months," with no definition, no measurement method, no documentation, and no timeline (TS §8)</w:t>
            </w:r>
          </w:p>
        </w:tc>
        <w:tc>
          <w:tcPr>
            <w:tcW w:type="dxa" w:w="3816"/>
          </w:tcPr>
          <w:p>
            <w:pPr>
              <w:spacing w:after="40"/>
            </w:pPr>
            <w:r>
              <w:rPr>
                <w:rFonts w:ascii="Times New Roman" w:hAnsi="Times New Roman"/>
                <w:b w:val="0"/>
                <w:i w:val="0"/>
                <w:sz w:val="17"/>
              </w:rPr>
              <w:t>Ambiguity about when the LOC can be reduced. Occupancy defined on a Rentable Area basis, with exclusions, certification, 30-day deadline, and accountant determination</w:t>
            </w:r>
          </w:p>
        </w:tc>
        <w:tc>
          <w:tcPr>
            <w:tcW w:type="dxa" w:w="1483"/>
          </w:tcPr>
          <w:p>
            <w:pPr>
              <w:spacing w:after="40"/>
            </w:pPr>
            <w:r>
              <w:rPr>
                <w:rFonts w:ascii="Times New Roman" w:hAnsi="Times New Roman"/>
                <w:b w:val="0"/>
                <w:i w:val="0"/>
                <w:sz w:val="17"/>
              </w:rPr>
              <w:t>§7.4</w:t>
            </w:r>
          </w:p>
        </w:tc>
      </w:tr>
      <w:tr>
        <w:trPr>
          <w:cantSplit/>
        </w:trPr>
        <w:tc>
          <w:tcPr>
            <w:tcW w:type="dxa" w:w="460"/>
          </w:tcPr>
          <w:p>
            <w:pPr>
              <w:spacing w:after="40"/>
            </w:pPr>
            <w:r>
              <w:rPr>
                <w:rFonts w:ascii="Times New Roman" w:hAnsi="Times New Roman"/>
                <w:b w:val="0"/>
                <w:i w:val="0"/>
                <w:sz w:val="17"/>
              </w:rPr>
              <w:t>36</w:t>
            </w:r>
          </w:p>
        </w:tc>
        <w:tc>
          <w:tcPr>
            <w:tcW w:type="dxa" w:w="3600"/>
          </w:tcPr>
          <w:p>
            <w:pPr>
              <w:spacing w:after="40"/>
            </w:pPr>
            <w:r>
              <w:rPr>
                <w:rFonts w:ascii="Times New Roman" w:hAnsi="Times New Roman"/>
                <w:b w:val="0"/>
                <w:i w:val="0"/>
                <w:sz w:val="17"/>
              </w:rPr>
              <w:t>Issuer must be rated A-/A3, with replacement required and non-renewal an Event of Default; the Board resolution requires a "federally chartered banking institution"; the LOC is posted three years before rent begins (TS §8; Resolution Recital (c); Loan TS §4)</w:t>
            </w:r>
          </w:p>
        </w:tc>
        <w:tc>
          <w:tcPr>
            <w:tcW w:type="dxa" w:w="3816"/>
          </w:tcPr>
          <w:p>
            <w:pPr>
              <w:spacing w:after="40"/>
            </w:pPr>
            <w:r>
              <w:rPr>
                <w:rFonts w:ascii="Times New Roman" w:hAnsi="Times New Roman"/>
                <w:b w:val="0"/>
                <w:i w:val="0"/>
                <w:sz w:val="17"/>
              </w:rPr>
              <w:t>Rating agencies downgrade banks over decades, and the "federally chartered" language excludes many qualifying issuers. Rating triggers with cure; cash or affiliate guaranty alternative; Board language to be conformed</w:t>
            </w:r>
          </w:p>
        </w:tc>
        <w:tc>
          <w:tcPr>
            <w:tcW w:type="dxa" w:w="1483"/>
          </w:tcPr>
          <w:p>
            <w:pPr>
              <w:spacing w:after="40"/>
            </w:pPr>
            <w:r>
              <w:rPr>
                <w:rFonts w:ascii="Times New Roman" w:hAnsi="Times New Roman"/>
                <w:b w:val="0"/>
                <w:i w:val="0"/>
                <w:sz w:val="17"/>
              </w:rPr>
              <w:t>§§7.2–7.3</w:t>
            </w:r>
          </w:p>
        </w:tc>
      </w:tr>
      <w:tr>
        <w:trPr>
          <w:cantSplit/>
        </w:trPr>
        <w:tc>
          <w:tcPr>
            <w:tcW w:type="dxa" w:w="460"/>
          </w:tcPr>
          <w:p>
            <w:pPr>
              <w:spacing w:after="40"/>
            </w:pPr>
            <w:r>
              <w:rPr>
                <w:rFonts w:ascii="Times New Roman" w:hAnsi="Times New Roman"/>
                <w:b w:val="0"/>
                <w:i w:val="0"/>
                <w:sz w:val="17"/>
              </w:rPr>
              <w:t>37</w:t>
            </w:r>
          </w:p>
        </w:tc>
        <w:tc>
          <w:tcPr>
            <w:tcW w:type="dxa" w:w="3600"/>
          </w:tcPr>
          <w:p>
            <w:pPr>
              <w:spacing w:after="40"/>
            </w:pPr>
            <w:r>
              <w:rPr>
                <w:rFonts w:ascii="Times New Roman" w:hAnsi="Times New Roman"/>
                <w:b w:val="0"/>
                <w:i w:val="0"/>
                <w:sz w:val="17"/>
              </w:rPr>
              <w:t>Flood insurance capped at "the maximum coverage available under the National Flood Insurance Program"; Authority as additional insured on all-risk property; mortgagee not named (TS §12; Loan TS §6(h))</w:t>
            </w:r>
          </w:p>
        </w:tc>
        <w:tc>
          <w:tcPr>
            <w:tcW w:type="dxa" w:w="3816"/>
          </w:tcPr>
          <w:p>
            <w:pPr>
              <w:spacing w:after="40"/>
            </w:pPr>
            <w:r>
              <w:rPr>
                <w:rFonts w:ascii="Times New Roman" w:hAnsi="Times New Roman"/>
                <w:b w:val="0"/>
                <w:i w:val="0"/>
                <w:sz w:val="17"/>
              </w:rPr>
              <w:t>NFIP maximums are a small fraction of a $425M replacement cost. Full replacement cost, NFIP plus private; mortgagee as first loss payee and additional insured; Authority additional insured on liability only</w:t>
            </w:r>
          </w:p>
        </w:tc>
        <w:tc>
          <w:tcPr>
            <w:tcW w:type="dxa" w:w="1483"/>
          </w:tcPr>
          <w:p>
            <w:pPr>
              <w:spacing w:after="40"/>
            </w:pPr>
            <w:r>
              <w:rPr>
                <w:rFonts w:ascii="Times New Roman" w:hAnsi="Times New Roman"/>
                <w:b w:val="0"/>
                <w:i w:val="0"/>
                <w:sz w:val="17"/>
              </w:rPr>
              <w:t>§12.1(e), 12.2</w:t>
            </w:r>
          </w:p>
        </w:tc>
      </w:tr>
      <w:tr>
        <w:trPr>
          <w:cantSplit/>
        </w:trPr>
        <w:tc>
          <w:tcPr>
            <w:tcW w:type="dxa" w:w="460"/>
          </w:tcPr>
          <w:p>
            <w:pPr>
              <w:spacing w:after="40"/>
            </w:pPr>
            <w:r>
              <w:rPr>
                <w:rFonts w:ascii="Times New Roman" w:hAnsi="Times New Roman"/>
                <w:b w:val="0"/>
                <w:i w:val="0"/>
                <w:sz w:val="17"/>
              </w:rPr>
              <w:t>38</w:t>
            </w:r>
          </w:p>
        </w:tc>
        <w:tc>
          <w:tcPr>
            <w:tcW w:type="dxa" w:w="3600"/>
          </w:tcPr>
          <w:p>
            <w:pPr>
              <w:spacing w:after="40"/>
            </w:pPr>
            <w:r>
              <w:rPr>
                <w:rFonts w:ascii="Times New Roman" w:hAnsi="Times New Roman"/>
                <w:b w:val="0"/>
                <w:i w:val="0"/>
                <w:sz w:val="17"/>
              </w:rPr>
              <w:t>Resolution 2025-047 was adopted June 5, 2025 but authorizes a ground lease consistent with a Term Sheet "dated June 10, 2025"; the certification page is blank; Section 4 reserves material deviations to the Board</w:t>
            </w:r>
          </w:p>
        </w:tc>
        <w:tc>
          <w:tcPr>
            <w:tcW w:type="dxa" w:w="3816"/>
          </w:tcPr>
          <w:p>
            <w:pPr>
              <w:spacing w:after="40"/>
            </w:pPr>
            <w:r>
              <w:rPr>
                <w:rFonts w:ascii="Times New Roman" w:hAnsi="Times New Roman"/>
                <w:b w:val="0"/>
                <w:i w:val="0"/>
                <w:sz w:val="17"/>
              </w:rPr>
              <w:t>Any negotiated movement on the reverter, abatement, or percentage rent is likely a material deviation requiring a further Board resolution, which is a schedule risk. Certified resolution a condition precedent; Board calendar to be identified now</w:t>
            </w:r>
          </w:p>
        </w:tc>
        <w:tc>
          <w:tcPr>
            <w:tcW w:type="dxa" w:w="1483"/>
          </w:tcPr>
          <w:p>
            <w:pPr>
              <w:spacing w:after="40"/>
            </w:pPr>
            <w:r>
              <w:rPr>
                <w:rFonts w:ascii="Times New Roman" w:hAnsi="Times New Roman"/>
                <w:b w:val="0"/>
                <w:i w:val="0"/>
                <w:sz w:val="17"/>
              </w:rPr>
              <w:t>§2.7(b)</w:t>
            </w:r>
          </w:p>
        </w:tc>
      </w:tr>
      <w:tr>
        <w:trPr>
          <w:cantSplit/>
        </w:trPr>
        <w:tc>
          <w:tcPr>
            <w:tcW w:type="dxa" w:w="460"/>
          </w:tcPr>
          <w:p>
            <w:pPr>
              <w:spacing w:after="40"/>
            </w:pPr>
            <w:r>
              <w:rPr>
                <w:rFonts w:ascii="Times New Roman" w:hAnsi="Times New Roman"/>
                <w:b w:val="0"/>
                <w:i w:val="0"/>
                <w:sz w:val="17"/>
              </w:rPr>
              <w:t>39</w:t>
            </w:r>
          </w:p>
        </w:tc>
        <w:tc>
          <w:tcPr>
            <w:tcW w:type="dxa" w:w="3600"/>
          </w:tcPr>
          <w:p>
            <w:pPr>
              <w:spacing w:after="40"/>
            </w:pPr>
            <w:r>
              <w:rPr>
                <w:rFonts w:ascii="Times New Roman" w:hAnsi="Times New Roman"/>
                <w:b w:val="0"/>
                <w:i w:val="0"/>
                <w:sz w:val="17"/>
              </w:rPr>
              <w:t>Authority's power to grant a 99-year lease, to accept improvements without compensation, and to bind itself to the environmental indemnity (TS §1; Resolution Recital)</w:t>
            </w:r>
          </w:p>
        </w:tc>
        <w:tc>
          <w:tcPr>
            <w:tcW w:type="dxa" w:w="3816"/>
          </w:tcPr>
          <w:p>
            <w:pPr>
              <w:spacing w:after="40"/>
            </w:pPr>
            <w:r>
              <w:rPr>
                <w:rFonts w:ascii="Times New Roman" w:hAnsi="Times New Roman"/>
                <w:b w:val="0"/>
                <w:i w:val="0"/>
                <w:sz w:val="17"/>
              </w:rPr>
              <w:t>Confirm under Conn. Gen. Stat. § 8-125 et seq. and the Authority's bylaws whether any further hearing, approval, or referendum is required, and whether the indemnity is within its powers</w:t>
            </w:r>
          </w:p>
        </w:tc>
        <w:tc>
          <w:tcPr>
            <w:tcW w:type="dxa" w:w="1483"/>
          </w:tcPr>
          <w:p>
            <w:pPr>
              <w:spacing w:after="40"/>
            </w:pPr>
            <w:r>
              <w:rPr>
                <w:rFonts w:ascii="Times New Roman" w:hAnsi="Times New Roman"/>
                <w:b w:val="0"/>
                <w:i w:val="0"/>
                <w:sz w:val="17"/>
              </w:rPr>
              <w:t>§§15.6, 18.11</w:t>
            </w:r>
          </w:p>
        </w:tc>
      </w:tr>
      <w:tr>
        <w:trPr>
          <w:cantSplit/>
        </w:trPr>
        <w:tc>
          <w:tcPr>
            <w:tcW w:type="dxa" w:w="460"/>
          </w:tcPr>
          <w:p>
            <w:pPr>
              <w:spacing w:after="40"/>
            </w:pPr>
            <w:r>
              <w:rPr>
                <w:rFonts w:ascii="Times New Roman" w:hAnsi="Times New Roman"/>
                <w:b w:val="0"/>
                <w:i w:val="0"/>
                <w:sz w:val="17"/>
              </w:rPr>
              <w:t>40</w:t>
            </w:r>
          </w:p>
        </w:tc>
        <w:tc>
          <w:tcPr>
            <w:tcW w:type="dxa" w:w="3600"/>
          </w:tcPr>
          <w:p>
            <w:pPr>
              <w:spacing w:after="40"/>
            </w:pPr>
            <w:r>
              <w:rPr>
                <w:rFonts w:ascii="Times New Roman" w:hAnsi="Times New Roman"/>
                <w:b w:val="0"/>
                <w:i w:val="0"/>
                <w:sz w:val="17"/>
              </w:rPr>
              <w:t>Record contains no Phase I ESA, no full Phase II report or appendices, no recorded ELUR, no recorded ROFR or affordable housing declarations, no condemnation judgment, no survey plat, no Coventry documents, no construction contract, no pro forma, and no unit count</w:t>
            </w:r>
          </w:p>
        </w:tc>
        <w:tc>
          <w:tcPr>
            <w:tcW w:type="dxa" w:w="3816"/>
          </w:tcPr>
          <w:p>
            <w:pPr>
              <w:spacing w:after="40"/>
            </w:pPr>
            <w:r>
              <w:rPr>
                <w:rFonts w:ascii="Times New Roman" w:hAnsi="Times New Roman"/>
                <w:b w:val="0"/>
                <w:i w:val="0"/>
                <w:sz w:val="17"/>
              </w:rPr>
              <w:t>We are drafting against summaries. Obtain before the draft circulates</w:t>
            </w:r>
          </w:p>
        </w:tc>
        <w:tc>
          <w:tcPr>
            <w:tcW w:type="dxa" w:w="1483"/>
          </w:tcPr>
          <w:p>
            <w:pPr>
              <w:spacing w:after="40"/>
            </w:pPr>
            <w:r>
              <w:rPr>
                <w:rFonts w:ascii="Times New Roman" w:hAnsi="Times New Roman"/>
                <w:b w:val="0"/>
                <w:i w:val="0"/>
                <w:sz w:val="17"/>
              </w:rPr>
              <w:t>§2.2 above</w:t>
            </w:r>
          </w:p>
        </w:tc>
      </w:tr>
      <w:tr>
        <w:trPr>
          <w:cantSplit/>
        </w:trPr>
        <w:tc>
          <w:tcPr>
            <w:tcW w:type="dxa" w:w="460"/>
          </w:tcPr>
          <w:p>
            <w:pPr>
              <w:spacing w:after="40"/>
            </w:pPr>
            <w:r>
              <w:rPr>
                <w:rFonts w:ascii="Times New Roman" w:hAnsi="Times New Roman"/>
                <w:b w:val="0"/>
                <w:i w:val="0"/>
                <w:sz w:val="17"/>
              </w:rPr>
              <w:t>41</w:t>
            </w:r>
          </w:p>
        </w:tc>
        <w:tc>
          <w:tcPr>
            <w:tcW w:type="dxa" w:w="3600"/>
          </w:tcPr>
          <w:p>
            <w:pPr>
              <w:spacing w:after="40"/>
            </w:pPr>
            <w:r>
              <w:rPr>
                <w:rFonts w:ascii="Times New Roman" w:hAnsi="Times New Roman"/>
                <w:b w:val="0"/>
                <w:i w:val="0"/>
                <w:sz w:val="17"/>
              </w:rPr>
              <w:t>Conditions precedent in Term Sheet §15 omit the mechanics' lien discharge, the ROFR amendment, the City abatement agreement, the DEEP ELUR letter, the bulkhead assessment and restoration, the leasehold title endorsements, and the certified resolution</w:t>
            </w:r>
          </w:p>
        </w:tc>
        <w:tc>
          <w:tcPr>
            <w:tcW w:type="dxa" w:w="3816"/>
          </w:tcPr>
          <w:p>
            <w:pPr>
              <w:spacing w:after="40"/>
            </w:pPr>
            <w:r>
              <w:rPr>
                <w:rFonts w:ascii="Times New Roman" w:hAnsi="Times New Roman"/>
                <w:b w:val="0"/>
                <w:i w:val="0"/>
                <w:sz w:val="17"/>
              </w:rPr>
              <w:t>Each is a closing failure waiting to happen. All added as conditions precedent, with a day-for-day extension of the Milestone Dates and the Rent Commencement Date for delay</w:t>
            </w:r>
          </w:p>
        </w:tc>
        <w:tc>
          <w:tcPr>
            <w:tcW w:type="dxa" w:w="1483"/>
          </w:tcPr>
          <w:p>
            <w:pPr>
              <w:spacing w:after="40"/>
            </w:pPr>
            <w:r>
              <w:rPr>
                <w:rFonts w:ascii="Times New Roman" w:hAnsi="Times New Roman"/>
                <w:b w:val="0"/>
                <w:i w:val="0"/>
                <w:sz w:val="17"/>
              </w:rPr>
              <w:t>§2.7</w:t>
            </w:r>
          </w:p>
        </w:tc>
      </w:tr>
      <w:tr>
        <w:trPr>
          <w:cantSplit/>
        </w:trPr>
        <w:tc>
          <w:tcPr>
            <w:tcW w:type="dxa" w:w="460"/>
          </w:tcPr>
          <w:p>
            <w:pPr>
              <w:spacing w:after="40"/>
            </w:pPr>
            <w:r>
              <w:rPr>
                <w:rFonts w:ascii="Times New Roman" w:hAnsi="Times New Roman"/>
                <w:b w:val="0"/>
                <w:i w:val="0"/>
                <w:sz w:val="17"/>
              </w:rPr>
              <w:t>42</w:t>
            </w:r>
          </w:p>
        </w:tc>
        <w:tc>
          <w:tcPr>
            <w:tcW w:type="dxa" w:w="3600"/>
          </w:tcPr>
          <w:p>
            <w:pPr>
              <w:spacing w:after="40"/>
            </w:pPr>
            <w:r>
              <w:rPr>
                <w:rFonts w:ascii="Times New Roman" w:hAnsi="Times New Roman"/>
                <w:b w:val="0"/>
                <w:i w:val="0"/>
                <w:sz w:val="17"/>
              </w:rPr>
              <w:t>8,000 SF of public open space to be maintained by Tenant at its sole cost for 99 years, in an area where the pedestrian easement (7,200 SF, or 4,807 SF on the surveyed line) prohibits permanent structures (TS §4; Title Ex. 3; Survey §3(b))</w:t>
            </w:r>
          </w:p>
        </w:tc>
        <w:tc>
          <w:tcPr>
            <w:tcW w:type="dxa" w:w="3816"/>
          </w:tcPr>
          <w:p>
            <w:pPr>
              <w:spacing w:after="40"/>
            </w:pPr>
            <w:r>
              <w:rPr>
                <w:rFonts w:ascii="Times New Roman" w:hAnsi="Times New Roman"/>
                <w:b w:val="0"/>
                <w:i w:val="0"/>
                <w:sz w:val="17"/>
              </w:rPr>
              <w:t>A perpetual, uncapped maintenance obligation and a premises liability exposure for public use. Measurement outside the easement strip to the extent of the easement; 50/50 cost sharing after Rent Year 30; Landlord indemnity for pre-existing conditions</w:t>
            </w:r>
          </w:p>
        </w:tc>
        <w:tc>
          <w:tcPr>
            <w:tcW w:type="dxa" w:w="1483"/>
          </w:tcPr>
          <w:p>
            <w:pPr>
              <w:spacing w:after="40"/>
            </w:pPr>
            <w:r>
              <w:rPr>
                <w:rFonts w:ascii="Times New Roman" w:hAnsi="Times New Roman"/>
                <w:b w:val="0"/>
                <w:i w:val="0"/>
                <w:sz w:val="17"/>
              </w:rPr>
              <w:t>§3.7</w:t>
            </w:r>
          </w:p>
        </w:tc>
      </w:tr>
      <w:tr>
        <w:trPr>
          <w:cantSplit/>
        </w:trPr>
        <w:tc>
          <w:tcPr>
            <w:tcW w:type="dxa" w:w="460"/>
          </w:tcPr>
          <w:p>
            <w:pPr>
              <w:spacing w:after="40"/>
            </w:pPr>
            <w:r>
              <w:rPr>
                <w:rFonts w:ascii="Times New Roman" w:hAnsi="Times New Roman"/>
                <w:b w:val="0"/>
                <w:i w:val="0"/>
                <w:sz w:val="17"/>
              </w:rPr>
              <w:t>43</w:t>
            </w:r>
          </w:p>
        </w:tc>
        <w:tc>
          <w:tcPr>
            <w:tcW w:type="dxa" w:w="3600"/>
          </w:tcPr>
          <w:p>
            <w:pPr>
              <w:spacing w:after="40"/>
            </w:pPr>
            <w:r>
              <w:rPr>
                <w:rFonts w:ascii="Times New Roman" w:hAnsi="Times New Roman"/>
                <w:b w:val="0"/>
                <w:i w:val="0"/>
                <w:sz w:val="17"/>
              </w:rPr>
              <w:t>Assignment restricts "the Lease or any interest therein," with an affiliate definition tied to Mr. Ellison and Coventry; Bayside requires a first-priority pledge of 100% of membership interests (TS §11; Loan TS §4)</w:t>
            </w:r>
          </w:p>
        </w:tc>
        <w:tc>
          <w:tcPr>
            <w:tcW w:type="dxa" w:w="3816"/>
          </w:tcPr>
          <w:p>
            <w:pPr>
              <w:spacing w:after="40"/>
            </w:pPr>
            <w:r>
              <w:rPr>
                <w:rFonts w:ascii="Times New Roman" w:hAnsi="Times New Roman"/>
                <w:b w:val="0"/>
                <w:i w:val="0"/>
                <w:sz w:val="17"/>
              </w:rPr>
              <w:t>A literal reading would make the required pledge a prohibited transfer and a carve-out guaranty trigger. Express permitted transfers including pledges, foreclosures, and internal reorganizations</w:t>
            </w:r>
          </w:p>
        </w:tc>
        <w:tc>
          <w:tcPr>
            <w:tcW w:type="dxa" w:w="1483"/>
          </w:tcPr>
          <w:p>
            <w:pPr>
              <w:spacing w:after="40"/>
            </w:pPr>
            <w:r>
              <w:rPr>
                <w:rFonts w:ascii="Times New Roman" w:hAnsi="Times New Roman"/>
                <w:b w:val="0"/>
                <w:i w:val="0"/>
                <w:sz w:val="17"/>
              </w:rPr>
              <w:t>§11.1</w:t>
            </w:r>
          </w:p>
        </w:tc>
      </w:tr>
      <w:tr>
        <w:trPr>
          <w:cantSplit/>
        </w:trPr>
        <w:tc>
          <w:tcPr>
            <w:tcW w:type="dxa" w:w="460"/>
          </w:tcPr>
          <w:p>
            <w:pPr>
              <w:spacing w:after="40"/>
            </w:pPr>
            <w:r>
              <w:rPr>
                <w:rFonts w:ascii="Times New Roman" w:hAnsi="Times New Roman"/>
                <w:b w:val="0"/>
                <w:i w:val="0"/>
                <w:sz w:val="17"/>
              </w:rPr>
              <w:t>44</w:t>
            </w:r>
          </w:p>
        </w:tc>
        <w:tc>
          <w:tcPr>
            <w:tcW w:type="dxa" w:w="3600"/>
          </w:tcPr>
          <w:p>
            <w:pPr>
              <w:spacing w:after="40"/>
            </w:pPr>
            <w:r>
              <w:rPr>
                <w:rFonts w:ascii="Times New Roman" w:hAnsi="Times New Roman"/>
                <w:b w:val="0"/>
                <w:i w:val="0"/>
                <w:sz w:val="17"/>
              </w:rPr>
              <w:t>Litigation venue is "the Connecticut Superior Court, Judicial District of Port Calloway," which is not a Connecticut judicial district; mandatory mediation is a condition precedent to litigation (TS §19)</w:t>
            </w:r>
          </w:p>
        </w:tc>
        <w:tc>
          <w:tcPr>
            <w:tcW w:type="dxa" w:w="3816"/>
          </w:tcPr>
          <w:p>
            <w:pPr>
              <w:spacing w:after="40"/>
            </w:pPr>
            <w:r>
              <w:rPr>
                <w:rFonts w:ascii="Times New Roman" w:hAnsi="Times New Roman"/>
                <w:b w:val="0"/>
                <w:i w:val="0"/>
                <w:sz w:val="17"/>
              </w:rPr>
              <w:t>A pleading in a non-existent district invites a motion to dismiss, and mediation would delay a Lender's enforcement. New Haven venue; mediation carve-outs for injunctive relief, Lender remedies, and collection</w:t>
            </w:r>
          </w:p>
        </w:tc>
        <w:tc>
          <w:tcPr>
            <w:tcW w:type="dxa" w:w="1483"/>
          </w:tcPr>
          <w:p>
            <w:pPr>
              <w:spacing w:after="40"/>
            </w:pPr>
            <w:r>
              <w:rPr>
                <w:rFonts w:ascii="Times New Roman" w:hAnsi="Times New Roman"/>
                <w:b w:val="0"/>
                <w:i w:val="0"/>
                <w:sz w:val="17"/>
              </w:rPr>
              <w:t>§§17.2–17.3</w:t>
            </w:r>
          </w:p>
        </w:tc>
      </w:tr>
      <w:tr>
        <w:trPr>
          <w:cantSplit/>
        </w:trPr>
        <w:tc>
          <w:tcPr>
            <w:tcW w:type="dxa" w:w="460"/>
          </w:tcPr>
          <w:p>
            <w:pPr>
              <w:spacing w:after="40"/>
            </w:pPr>
            <w:r>
              <w:rPr>
                <w:rFonts w:ascii="Times New Roman" w:hAnsi="Times New Roman"/>
                <w:b w:val="0"/>
                <w:i w:val="0"/>
                <w:sz w:val="17"/>
              </w:rPr>
              <w:t>45</w:t>
            </w:r>
          </w:p>
        </w:tc>
        <w:tc>
          <w:tcPr>
            <w:tcW w:type="dxa" w:w="3600"/>
          </w:tcPr>
          <w:p>
            <w:pPr>
              <w:spacing w:after="40"/>
            </w:pPr>
            <w:r>
              <w:rPr>
                <w:rFonts w:ascii="Times New Roman" w:hAnsi="Times New Roman"/>
                <w:b w:val="0"/>
                <w:i w:val="0"/>
                <w:sz w:val="17"/>
              </w:rPr>
              <w:t>No pro forma, no unit count, no gross floor area, no parking count; the Residential Tower is described as containing "a number of residential dwelling units to be determined" (TS §4(a); §6)</w:t>
            </w:r>
          </w:p>
        </w:tc>
        <w:tc>
          <w:tcPr>
            <w:tcW w:type="dxa" w:w="3816"/>
          </w:tcPr>
          <w:p>
            <w:pPr>
              <w:spacing w:after="40"/>
            </w:pPr>
            <w:r>
              <w:rPr>
                <w:rFonts w:ascii="Times New Roman" w:hAnsi="Times New Roman"/>
                <w:b w:val="0"/>
                <w:i w:val="0"/>
                <w:sz w:val="17"/>
              </w:rPr>
              <w:t>The $28.5M breakpoint cannot be tested against stabilized revenue, the 15% affordable obligation cannot be quantified, and the 90% occupancy test cannot be applied. Exhibit E requires the program; [●] pending</w:t>
            </w:r>
          </w:p>
        </w:tc>
        <w:tc>
          <w:tcPr>
            <w:tcW w:type="dxa" w:w="1483"/>
          </w:tcPr>
          <w:p>
            <w:pPr>
              <w:spacing w:after="40"/>
            </w:pPr>
            <w:r>
              <w:rPr>
                <w:rFonts w:ascii="Times New Roman" w:hAnsi="Times New Roman"/>
                <w:b w:val="0"/>
                <w:i w:val="0"/>
                <w:sz w:val="17"/>
              </w:rPr>
              <w:t>Exh. E</w:t>
            </w:r>
          </w:p>
        </w:tc>
      </w:tr>
      <w:tr>
        <w:trPr>
          <w:cantSplit/>
        </w:trPr>
        <w:tc>
          <w:tcPr>
            <w:tcW w:type="dxa" w:w="460"/>
          </w:tcPr>
          <w:p>
            <w:pPr>
              <w:spacing w:after="40"/>
            </w:pPr>
            <w:r>
              <w:rPr>
                <w:rFonts w:ascii="Times New Roman" w:hAnsi="Times New Roman"/>
                <w:b w:val="0"/>
                <w:i w:val="0"/>
                <w:sz w:val="17"/>
              </w:rPr>
              <w:t>46</w:t>
            </w:r>
          </w:p>
        </w:tc>
        <w:tc>
          <w:tcPr>
            <w:tcW w:type="dxa" w:w="3600"/>
          </w:tcPr>
          <w:p>
            <w:pPr>
              <w:spacing w:after="40"/>
            </w:pPr>
            <w:r>
              <w:rPr>
                <w:rFonts w:ascii="Times New Roman" w:hAnsi="Times New Roman"/>
                <w:b w:val="0"/>
                <w:i w:val="0"/>
                <w:sz w:val="17"/>
              </w:rPr>
              <w:t>Bayside term sheet is unsigned by Borrower and, by its terms, expired June 27, 2025; it is non-binding except as to exclusivity, confidentiality, and expenses; the LTV covenant requires an appraised value of at least $380M (Loan TS §§2, 6(k), 12, 13)</w:t>
            </w:r>
          </w:p>
        </w:tc>
        <w:tc>
          <w:tcPr>
            <w:tcW w:type="dxa" w:w="3816"/>
          </w:tcPr>
          <w:p>
            <w:pPr>
              <w:spacing w:after="40"/>
            </w:pPr>
            <w:r>
              <w:rPr>
                <w:rFonts w:ascii="Times New Roman" w:hAnsi="Times New Roman"/>
                <w:b w:val="0"/>
                <w:i w:val="0"/>
                <w:sz w:val="17"/>
              </w:rPr>
              <w:t>The record does not establish a live loan commitment. Confirm execution and validity now; confirm that the appraisal supports $380M on a leasehold subject to a reverter</w:t>
            </w:r>
          </w:p>
        </w:tc>
        <w:tc>
          <w:tcPr>
            <w:tcW w:type="dxa" w:w="1483"/>
          </w:tcPr>
          <w:p>
            <w:pPr>
              <w:spacing w:after="40"/>
            </w:pPr>
            <w:r>
              <w:rPr>
                <w:rFonts w:ascii="Times New Roman" w:hAnsi="Times New Roman"/>
                <w:b w:val="0"/>
                <w:i w:val="0"/>
                <w:sz w:val="17"/>
              </w:rPr>
              <w:t>—</w:t>
            </w:r>
          </w:p>
        </w:tc>
      </w:tr>
      <w:tr>
        <w:trPr>
          <w:cantSplit/>
        </w:trPr>
        <w:tc>
          <w:tcPr>
            <w:tcW w:type="dxa" w:w="460"/>
          </w:tcPr>
          <w:p>
            <w:pPr>
              <w:spacing w:after="40"/>
            </w:pPr>
            <w:r>
              <w:rPr>
                <w:rFonts w:ascii="Times New Roman" w:hAnsi="Times New Roman"/>
                <w:b w:val="0"/>
                <w:i w:val="0"/>
                <w:sz w:val="17"/>
              </w:rPr>
              <w:t>47</w:t>
            </w:r>
          </w:p>
        </w:tc>
        <w:tc>
          <w:tcPr>
            <w:tcW w:type="dxa" w:w="3600"/>
          </w:tcPr>
          <w:p>
            <w:pPr>
              <w:spacing w:after="40"/>
            </w:pPr>
            <w:r>
              <w:rPr>
                <w:rFonts w:ascii="Times New Roman" w:hAnsi="Times New Roman"/>
                <w:b w:val="0"/>
                <w:i w:val="0"/>
                <w:sz w:val="17"/>
              </w:rPr>
              <w:t>Residual property risks: possible public trust interest in filled tidelands; condemnation reversionary interest; FOIA exposure of Tenant financials; residential rental-only restriction blocks condominium conversion for 99 years (Title Ex. 10; TS §§4, 19)</w:t>
            </w:r>
          </w:p>
        </w:tc>
        <w:tc>
          <w:tcPr>
            <w:tcW w:type="dxa" w:w="3816"/>
          </w:tcPr>
          <w:p>
            <w:pPr>
              <w:spacing w:after="40"/>
            </w:pPr>
            <w:r>
              <w:rPr>
                <w:rFonts w:ascii="Times New Roman" w:hAnsi="Times New Roman"/>
                <w:b w:val="0"/>
                <w:i w:val="0"/>
                <w:sz w:val="17"/>
              </w:rPr>
              <w:t>Each is a diligence item with a drafting consequence. Landlord representations; FOIA notice and exemption-assertion covenant; narrow conversion carve-out subject to affordability and mortgagee consent</w:t>
            </w:r>
          </w:p>
        </w:tc>
        <w:tc>
          <w:tcPr>
            <w:tcW w:type="dxa" w:w="1483"/>
          </w:tcPr>
          <w:p>
            <w:pPr>
              <w:spacing w:after="40"/>
            </w:pPr>
            <w:r>
              <w:rPr>
                <w:rFonts w:ascii="Times New Roman" w:hAnsi="Times New Roman"/>
                <w:b w:val="0"/>
                <w:i w:val="0"/>
                <w:sz w:val="17"/>
              </w:rPr>
              <w:t>§§15.1(e), 17.5, 3.5</w:t>
            </w:r>
          </w:p>
        </w:tc>
      </w:tr>
    </w:tbl>
    <w:p>
      <w:pPr>
        <w:spacing w:after="40"/>
      </w:pPr>
    </w:p>
    <w:p>
      <w:pPr>
        <w:keepNext/>
        <w:spacing w:before="320" w:after="200"/>
        <w:jc w:val="center"/>
      </w:pPr>
      <w:r>
        <w:rPr>
          <w:rFonts w:ascii="Times New Roman" w:hAnsi="Times New Roman"/>
          <w:b/>
          <w:i w:val="0"/>
          <w:sz w:val="21"/>
        </w:rPr>
        <w:t>VIII. RECOMMENDED NEXT STEPS</w:t>
      </w:r>
    </w:p>
    <w:p>
      <w:pPr>
        <w:keepNext/>
        <w:spacing w:before="200" w:after="80"/>
        <w:jc w:val="left"/>
      </w:pPr>
      <w:r>
        <w:rPr>
          <w:rFonts w:ascii="Times New Roman" w:hAnsi="Times New Roman"/>
          <w:b/>
          <w:i w:val="0"/>
          <w:sz w:val="21"/>
        </w:rPr>
        <w:t>8.1 Sequencing</w:t>
      </w:r>
    </w:p>
    <w:p>
      <w:pPr>
        <w:jc w:val="both"/>
      </w:pPr>
      <w:r>
        <w:rPr>
          <w:rFonts w:ascii="Times New Roman" w:hAnsi="Times New Roman"/>
          <w:b w:val="0"/>
          <w:i w:val="0"/>
          <w:sz w:val="21"/>
        </w:rPr>
        <w:t>The lease negotiation and the collateral workstreams below are on the critical path and should run in parallel, not in sequence. The October 1, 2025 target leaves roughly fifteen weeks.</w:t>
      </w:r>
    </w:p>
    <w:tbl>
      <w:tblPr>
        <w:tblStyle w:val="TableGrid"/>
        <w:tblW w:type="dxa" w:w="9360"/>
        <w:jc w:val="center"/>
        <w:tblLayout w:type="fixed"/>
        <w:tblLook w:firstColumn="1" w:firstRow="1" w:lastColumn="0" w:lastRow="0" w:noHBand="0" w:noVBand="1" w:val="04A0"/>
        <w:tblLayout w:type="fixed"/>
      </w:tblPr>
      <w:tblGrid>
        <w:gridCol w:w="503"/>
        <w:gridCol w:w="3384"/>
        <w:gridCol w:w="3168"/>
        <w:gridCol w:w="2304"/>
      </w:tblGrid>
      <w:tr>
        <w:trPr>
          <w:tblHeader/>
        </w:trPr>
        <w:tc>
          <w:tcPr>
            <w:tcW w:type="dxa" w:w="503"/>
            <w:shd w:val="clear" w:color="auto" w:fill="E8E8E8"/>
          </w:tcPr>
          <w:p>
            <w:pPr>
              <w:spacing w:after="40"/>
            </w:pPr>
            <w:r>
              <w:rPr>
                <w:rFonts w:ascii="Times New Roman" w:hAnsi="Times New Roman"/>
                <w:b/>
                <w:i w:val="0"/>
                <w:sz w:val="17"/>
              </w:rPr>
              <w:t>#</w:t>
            </w:r>
          </w:p>
        </w:tc>
        <w:tc>
          <w:tcPr>
            <w:tcW w:type="dxa" w:w="3384"/>
            <w:shd w:val="clear" w:color="auto" w:fill="E8E8E8"/>
          </w:tcPr>
          <w:p>
            <w:pPr>
              <w:spacing w:after="40"/>
            </w:pPr>
            <w:r>
              <w:rPr>
                <w:rFonts w:ascii="Times New Roman" w:hAnsi="Times New Roman"/>
                <w:b/>
                <w:i w:val="0"/>
                <w:sz w:val="17"/>
              </w:rPr>
              <w:t>Workstream</w:t>
            </w:r>
          </w:p>
        </w:tc>
        <w:tc>
          <w:tcPr>
            <w:tcW w:type="dxa" w:w="3168"/>
            <w:shd w:val="clear" w:color="auto" w:fill="E8E8E8"/>
          </w:tcPr>
          <w:p>
            <w:pPr>
              <w:spacing w:after="40"/>
            </w:pPr>
            <w:r>
              <w:rPr>
                <w:rFonts w:ascii="Times New Roman" w:hAnsi="Times New Roman"/>
                <w:b/>
                <w:i w:val="0"/>
                <w:sz w:val="17"/>
              </w:rPr>
              <w:t>Owner</w:t>
            </w:r>
          </w:p>
        </w:tc>
        <w:tc>
          <w:tcPr>
            <w:tcW w:type="dxa" w:w="2304"/>
            <w:shd w:val="clear" w:color="auto" w:fill="E8E8E8"/>
          </w:tcPr>
          <w:p>
            <w:pPr>
              <w:spacing w:after="40"/>
            </w:pPr>
            <w:r>
              <w:rPr>
                <w:rFonts w:ascii="Times New Roman" w:hAnsi="Times New Roman"/>
                <w:b/>
                <w:i w:val="0"/>
                <w:sz w:val="17"/>
              </w:rPr>
              <w:t>Needed by</w:t>
            </w:r>
          </w:p>
        </w:tc>
      </w:tr>
      <w:tr>
        <w:trPr>
          <w:cantSplit/>
        </w:trPr>
        <w:tc>
          <w:tcPr>
            <w:tcW w:type="dxa" w:w="503"/>
          </w:tcPr>
          <w:p>
            <w:pPr>
              <w:spacing w:after="40"/>
            </w:pPr>
            <w:r>
              <w:rPr>
                <w:rFonts w:ascii="Times New Roman" w:hAnsi="Times New Roman"/>
                <w:b w:val="0"/>
                <w:i w:val="0"/>
                <w:sz w:val="17"/>
              </w:rPr>
              <w:t>1</w:t>
            </w:r>
          </w:p>
        </w:tc>
        <w:tc>
          <w:tcPr>
            <w:tcW w:type="dxa" w:w="3384"/>
          </w:tcPr>
          <w:p>
            <w:pPr>
              <w:spacing w:after="40"/>
            </w:pPr>
            <w:r>
              <w:rPr>
                <w:rFonts w:ascii="Times New Roman" w:hAnsi="Times New Roman"/>
                <w:b w:val="0"/>
                <w:i w:val="0"/>
                <w:sz w:val="17"/>
              </w:rPr>
              <w:t>Correct the legal description with Ridgepoint and Calloway Land Surveyors; re-certify and re-date the survey; confirm the bulkhead measurement; obtain the plat sheets</w:t>
            </w:r>
          </w:p>
        </w:tc>
        <w:tc>
          <w:tcPr>
            <w:tcW w:type="dxa" w:w="3168"/>
          </w:tcPr>
          <w:p>
            <w:pPr>
              <w:spacing w:after="40"/>
            </w:pPr>
            <w:r>
              <w:rPr>
                <w:rFonts w:ascii="Times New Roman" w:hAnsi="Times New Roman"/>
                <w:b w:val="0"/>
                <w:i w:val="0"/>
                <w:sz w:val="17"/>
              </w:rPr>
              <w:t>Hargrove &amp; Linden / surveyor / title</w:t>
            </w:r>
          </w:p>
        </w:tc>
        <w:tc>
          <w:tcPr>
            <w:tcW w:type="dxa" w:w="2304"/>
          </w:tcPr>
          <w:p>
            <w:pPr>
              <w:spacing w:after="40"/>
            </w:pPr>
            <w:r>
              <w:rPr>
                <w:rFonts w:ascii="Times New Roman" w:hAnsi="Times New Roman"/>
                <w:b w:val="0"/>
                <w:i w:val="0"/>
                <w:sz w:val="17"/>
              </w:rPr>
              <w:t>July 11, 2025</w:t>
            </w:r>
          </w:p>
        </w:tc>
      </w:tr>
      <w:tr>
        <w:trPr>
          <w:cantSplit/>
        </w:trPr>
        <w:tc>
          <w:tcPr>
            <w:tcW w:type="dxa" w:w="503"/>
          </w:tcPr>
          <w:p>
            <w:pPr>
              <w:spacing w:after="40"/>
            </w:pPr>
            <w:r>
              <w:rPr>
                <w:rFonts w:ascii="Times New Roman" w:hAnsi="Times New Roman"/>
                <w:b w:val="0"/>
                <w:i w:val="0"/>
                <w:sz w:val="17"/>
              </w:rPr>
              <w:t>2</w:t>
            </w:r>
          </w:p>
        </w:tc>
        <w:tc>
          <w:tcPr>
            <w:tcW w:type="dxa" w:w="3384"/>
          </w:tcPr>
          <w:p>
            <w:pPr>
              <w:spacing w:after="40"/>
            </w:pPr>
            <w:r>
              <w:rPr>
                <w:rFonts w:ascii="Times New Roman" w:hAnsi="Times New Roman"/>
                <w:b w:val="0"/>
                <w:i w:val="0"/>
                <w:sz w:val="17"/>
              </w:rPr>
              <w:t>Obtain discharge or bond of the Calloway Marine Demolition lien from the Authority</w:t>
            </w:r>
          </w:p>
        </w:tc>
        <w:tc>
          <w:tcPr>
            <w:tcW w:type="dxa" w:w="3168"/>
          </w:tcPr>
          <w:p>
            <w:pPr>
              <w:spacing w:after="40"/>
            </w:pPr>
            <w:r>
              <w:rPr>
                <w:rFonts w:ascii="Times New Roman" w:hAnsi="Times New Roman"/>
                <w:b w:val="0"/>
                <w:i w:val="0"/>
                <w:sz w:val="17"/>
              </w:rPr>
              <w:t>Pryor Whitfield &amp; Koss (demand through Landlord)</w:t>
            </w:r>
          </w:p>
        </w:tc>
        <w:tc>
          <w:tcPr>
            <w:tcW w:type="dxa" w:w="2304"/>
          </w:tcPr>
          <w:p>
            <w:pPr>
              <w:spacing w:after="40"/>
            </w:pPr>
            <w:r>
              <w:rPr>
                <w:rFonts w:ascii="Times New Roman" w:hAnsi="Times New Roman"/>
                <w:b w:val="0"/>
                <w:i w:val="0"/>
                <w:sz w:val="17"/>
              </w:rPr>
              <w:t>July 18, 2025</w:t>
            </w:r>
          </w:p>
        </w:tc>
      </w:tr>
      <w:tr>
        <w:trPr>
          <w:cantSplit/>
        </w:trPr>
        <w:tc>
          <w:tcPr>
            <w:tcW w:type="dxa" w:w="503"/>
          </w:tcPr>
          <w:p>
            <w:pPr>
              <w:spacing w:after="40"/>
            </w:pPr>
            <w:r>
              <w:rPr>
                <w:rFonts w:ascii="Times New Roman" w:hAnsi="Times New Roman"/>
                <w:b w:val="0"/>
                <w:i w:val="0"/>
                <w:sz w:val="17"/>
              </w:rPr>
              <w:t>3</w:t>
            </w:r>
          </w:p>
        </w:tc>
        <w:tc>
          <w:tcPr>
            <w:tcW w:type="dxa" w:w="3384"/>
          </w:tcPr>
          <w:p>
            <w:pPr>
              <w:spacing w:after="40"/>
            </w:pPr>
            <w:r>
              <w:rPr>
                <w:rFonts w:ascii="Times New Roman" w:hAnsi="Times New Roman"/>
                <w:b w:val="0"/>
                <w:i w:val="0"/>
                <w:sz w:val="17"/>
              </w:rPr>
              <w:t>Draft, execute, and record the amendment and subordination of the 2019 Declaration of Right of First Refusal</w:t>
            </w:r>
          </w:p>
        </w:tc>
        <w:tc>
          <w:tcPr>
            <w:tcW w:type="dxa" w:w="3168"/>
          </w:tcPr>
          <w:p>
            <w:pPr>
              <w:spacing w:after="40"/>
            </w:pPr>
            <w:r>
              <w:rPr>
                <w:rFonts w:ascii="Times New Roman" w:hAnsi="Times New Roman"/>
                <w:b w:val="0"/>
                <w:i w:val="0"/>
                <w:sz w:val="17"/>
              </w:rPr>
              <w:t>Hargrove &amp; Linden / Pryor Whitfield / Bayside</w:t>
            </w:r>
          </w:p>
        </w:tc>
        <w:tc>
          <w:tcPr>
            <w:tcW w:type="dxa" w:w="2304"/>
          </w:tcPr>
          <w:p>
            <w:pPr>
              <w:spacing w:after="40"/>
            </w:pPr>
            <w:r>
              <w:rPr>
                <w:rFonts w:ascii="Times New Roman" w:hAnsi="Times New Roman"/>
                <w:b w:val="0"/>
                <w:i w:val="0"/>
                <w:sz w:val="17"/>
              </w:rPr>
              <w:t>July 25, 2025</w:t>
            </w:r>
          </w:p>
        </w:tc>
      </w:tr>
      <w:tr>
        <w:trPr>
          <w:cantSplit/>
        </w:trPr>
        <w:tc>
          <w:tcPr>
            <w:tcW w:type="dxa" w:w="503"/>
          </w:tcPr>
          <w:p>
            <w:pPr>
              <w:spacing w:after="40"/>
            </w:pPr>
            <w:r>
              <w:rPr>
                <w:rFonts w:ascii="Times New Roman" w:hAnsi="Times New Roman"/>
                <w:b w:val="0"/>
                <w:i w:val="0"/>
                <w:sz w:val="17"/>
              </w:rPr>
              <w:t>4</w:t>
            </w:r>
          </w:p>
        </w:tc>
        <w:tc>
          <w:tcPr>
            <w:tcW w:type="dxa" w:w="3384"/>
          </w:tcPr>
          <w:p>
            <w:pPr>
              <w:spacing w:after="40"/>
            </w:pPr>
            <w:r>
              <w:rPr>
                <w:rFonts w:ascii="Times New Roman" w:hAnsi="Times New Roman"/>
                <w:b w:val="0"/>
                <w:i w:val="0"/>
                <w:sz w:val="17"/>
              </w:rPr>
              <w:t>Begin the City tax abatement agreement (Board of Finance; OPM) — separate from the lease</w:t>
            </w:r>
          </w:p>
        </w:tc>
        <w:tc>
          <w:tcPr>
            <w:tcW w:type="dxa" w:w="3168"/>
          </w:tcPr>
          <w:p>
            <w:pPr>
              <w:spacing w:after="40"/>
            </w:pPr>
            <w:r>
              <w:rPr>
                <w:rFonts w:ascii="Times New Roman" w:hAnsi="Times New Roman"/>
                <w:b w:val="0"/>
                <w:i w:val="0"/>
                <w:sz w:val="17"/>
              </w:rPr>
              <w:t>Meridian / City corporation counsel</w:t>
            </w:r>
          </w:p>
        </w:tc>
        <w:tc>
          <w:tcPr>
            <w:tcW w:type="dxa" w:w="2304"/>
          </w:tcPr>
          <w:p>
            <w:pPr>
              <w:spacing w:after="40"/>
            </w:pPr>
            <w:r>
              <w:rPr>
                <w:rFonts w:ascii="Times New Roman" w:hAnsi="Times New Roman"/>
                <w:b w:val="0"/>
                <w:i w:val="0"/>
                <w:sz w:val="17"/>
              </w:rPr>
              <w:t>August 8, 2025</w:t>
            </w:r>
          </w:p>
        </w:tc>
      </w:tr>
      <w:tr>
        <w:trPr>
          <w:cantSplit/>
        </w:trPr>
        <w:tc>
          <w:tcPr>
            <w:tcW w:type="dxa" w:w="503"/>
          </w:tcPr>
          <w:p>
            <w:pPr>
              <w:spacing w:after="40"/>
            </w:pPr>
            <w:r>
              <w:rPr>
                <w:rFonts w:ascii="Times New Roman" w:hAnsi="Times New Roman"/>
                <w:b w:val="0"/>
                <w:i w:val="0"/>
                <w:sz w:val="17"/>
              </w:rPr>
              <w:t>5</w:t>
            </w:r>
          </w:p>
        </w:tc>
        <w:tc>
          <w:tcPr>
            <w:tcW w:type="dxa" w:w="3384"/>
          </w:tcPr>
          <w:p>
            <w:pPr>
              <w:spacing w:after="40"/>
            </w:pPr>
            <w:r>
              <w:rPr>
                <w:rFonts w:ascii="Times New Roman" w:hAnsi="Times New Roman"/>
                <w:b w:val="0"/>
                <w:i w:val="0"/>
                <w:sz w:val="17"/>
              </w:rPr>
              <w:t>Request a written DEEP interpretation re ground-floor ancillary residential uses; scope any ELUR modification</w:t>
            </w:r>
          </w:p>
        </w:tc>
        <w:tc>
          <w:tcPr>
            <w:tcW w:type="dxa" w:w="3168"/>
          </w:tcPr>
          <w:p>
            <w:pPr>
              <w:spacing w:after="40"/>
            </w:pPr>
            <w:r>
              <w:rPr>
                <w:rFonts w:ascii="Times New Roman" w:hAnsi="Times New Roman"/>
                <w:b w:val="0"/>
                <w:i w:val="0"/>
                <w:sz w:val="17"/>
              </w:rPr>
              <w:t>Halcyon / Hargrove &amp; Linden</w:t>
            </w:r>
          </w:p>
        </w:tc>
        <w:tc>
          <w:tcPr>
            <w:tcW w:type="dxa" w:w="2304"/>
          </w:tcPr>
          <w:p>
            <w:pPr>
              <w:spacing w:after="40"/>
            </w:pPr>
            <w:r>
              <w:rPr>
                <w:rFonts w:ascii="Times New Roman" w:hAnsi="Times New Roman"/>
                <w:b w:val="0"/>
                <w:i w:val="0"/>
                <w:sz w:val="17"/>
              </w:rPr>
              <w:t>August 8, 2025</w:t>
            </w:r>
          </w:p>
        </w:tc>
      </w:tr>
      <w:tr>
        <w:trPr>
          <w:cantSplit/>
        </w:trPr>
        <w:tc>
          <w:tcPr>
            <w:tcW w:type="dxa" w:w="503"/>
          </w:tcPr>
          <w:p>
            <w:pPr>
              <w:spacing w:after="40"/>
            </w:pPr>
            <w:r>
              <w:rPr>
                <w:rFonts w:ascii="Times New Roman" w:hAnsi="Times New Roman"/>
                <w:b w:val="0"/>
                <w:i w:val="0"/>
                <w:sz w:val="17"/>
              </w:rPr>
              <w:t>6</w:t>
            </w:r>
          </w:p>
        </w:tc>
        <w:tc>
          <w:tcPr>
            <w:tcW w:type="dxa" w:w="3384"/>
          </w:tcPr>
          <w:p>
            <w:pPr>
              <w:spacing w:after="40"/>
            </w:pPr>
            <w:r>
              <w:rPr>
                <w:rFonts w:ascii="Times New Roman" w:hAnsi="Times New Roman"/>
                <w:b w:val="0"/>
                <w:i w:val="0"/>
                <w:sz w:val="17"/>
              </w:rPr>
              <w:t>Commission the bulkhead structural assessment</w:t>
            </w:r>
          </w:p>
        </w:tc>
        <w:tc>
          <w:tcPr>
            <w:tcW w:type="dxa" w:w="3168"/>
          </w:tcPr>
          <w:p>
            <w:pPr>
              <w:spacing w:after="40"/>
            </w:pPr>
            <w:r>
              <w:rPr>
                <w:rFonts w:ascii="Times New Roman" w:hAnsi="Times New Roman"/>
                <w:b w:val="0"/>
                <w:i w:val="0"/>
                <w:sz w:val="17"/>
              </w:rPr>
              <w:t>Authority (at its cost)</w:t>
            </w:r>
          </w:p>
        </w:tc>
        <w:tc>
          <w:tcPr>
            <w:tcW w:type="dxa" w:w="2304"/>
          </w:tcPr>
          <w:p>
            <w:pPr>
              <w:spacing w:after="40"/>
            </w:pPr>
            <w:r>
              <w:rPr>
                <w:rFonts w:ascii="Times New Roman" w:hAnsi="Times New Roman"/>
                <w:b w:val="0"/>
                <w:i w:val="0"/>
                <w:sz w:val="17"/>
              </w:rPr>
              <w:t>July 18, 2025</w:t>
            </w:r>
          </w:p>
        </w:tc>
      </w:tr>
      <w:tr>
        <w:trPr>
          <w:cantSplit/>
        </w:trPr>
        <w:tc>
          <w:tcPr>
            <w:tcW w:type="dxa" w:w="503"/>
          </w:tcPr>
          <w:p>
            <w:pPr>
              <w:spacing w:after="40"/>
            </w:pPr>
            <w:r>
              <w:rPr>
                <w:rFonts w:ascii="Times New Roman" w:hAnsi="Times New Roman"/>
                <w:b w:val="0"/>
                <w:i w:val="0"/>
                <w:sz w:val="17"/>
              </w:rPr>
              <w:t>7</w:t>
            </w:r>
          </w:p>
        </w:tc>
        <w:tc>
          <w:tcPr>
            <w:tcW w:type="dxa" w:w="3384"/>
          </w:tcPr>
          <w:p>
            <w:pPr>
              <w:spacing w:after="40"/>
            </w:pPr>
            <w:r>
              <w:rPr>
                <w:rFonts w:ascii="Times New Roman" w:hAnsi="Times New Roman"/>
                <w:b w:val="0"/>
                <w:i w:val="0"/>
                <w:sz w:val="17"/>
              </w:rPr>
              <w:t>Deliver the project program (unit count, GFA, parking) and the revenue pro forma</w:t>
            </w:r>
          </w:p>
        </w:tc>
        <w:tc>
          <w:tcPr>
            <w:tcW w:type="dxa" w:w="3168"/>
          </w:tcPr>
          <w:p>
            <w:pPr>
              <w:spacing w:after="40"/>
            </w:pPr>
            <w:r>
              <w:rPr>
                <w:rFonts w:ascii="Times New Roman" w:hAnsi="Times New Roman"/>
                <w:b w:val="0"/>
                <w:i w:val="0"/>
                <w:sz w:val="17"/>
              </w:rPr>
              <w:t>Meridian / architect</w:t>
            </w:r>
          </w:p>
        </w:tc>
        <w:tc>
          <w:tcPr>
            <w:tcW w:type="dxa" w:w="2304"/>
          </w:tcPr>
          <w:p>
            <w:pPr>
              <w:spacing w:after="40"/>
            </w:pPr>
            <w:r>
              <w:rPr>
                <w:rFonts w:ascii="Times New Roman" w:hAnsi="Times New Roman"/>
                <w:b w:val="0"/>
                <w:i w:val="0"/>
                <w:sz w:val="17"/>
              </w:rPr>
              <w:t>June 27, 2025</w:t>
            </w:r>
          </w:p>
        </w:tc>
      </w:tr>
      <w:tr>
        <w:trPr>
          <w:cantSplit/>
        </w:trPr>
        <w:tc>
          <w:tcPr>
            <w:tcW w:type="dxa" w:w="503"/>
          </w:tcPr>
          <w:p>
            <w:pPr>
              <w:spacing w:after="40"/>
            </w:pPr>
            <w:r>
              <w:rPr>
                <w:rFonts w:ascii="Times New Roman" w:hAnsi="Times New Roman"/>
                <w:b w:val="0"/>
                <w:i w:val="0"/>
                <w:sz w:val="17"/>
              </w:rPr>
              <w:t>8</w:t>
            </w:r>
          </w:p>
        </w:tc>
        <w:tc>
          <w:tcPr>
            <w:tcW w:type="dxa" w:w="3384"/>
          </w:tcPr>
          <w:p>
            <w:pPr>
              <w:spacing w:after="40"/>
            </w:pPr>
            <w:r>
              <w:rPr>
                <w:rFonts w:ascii="Times New Roman" w:hAnsi="Times New Roman"/>
                <w:b w:val="0"/>
                <w:i w:val="0"/>
                <w:sz w:val="17"/>
              </w:rPr>
              <w:t>Confirm Bayside term sheet execution and appraisal/LTV status; reconcile the completion guaranty with the Phase 2 schedule</w:t>
            </w:r>
          </w:p>
        </w:tc>
        <w:tc>
          <w:tcPr>
            <w:tcW w:type="dxa" w:w="3168"/>
          </w:tcPr>
          <w:p>
            <w:pPr>
              <w:spacing w:after="40"/>
            </w:pPr>
            <w:r>
              <w:rPr>
                <w:rFonts w:ascii="Times New Roman" w:hAnsi="Times New Roman"/>
                <w:b w:val="0"/>
                <w:i w:val="0"/>
                <w:sz w:val="17"/>
              </w:rPr>
              <w:t>Meridian / Coventry / Bayside</w:t>
            </w:r>
          </w:p>
        </w:tc>
        <w:tc>
          <w:tcPr>
            <w:tcW w:type="dxa" w:w="2304"/>
          </w:tcPr>
          <w:p>
            <w:pPr>
              <w:spacing w:after="40"/>
            </w:pPr>
            <w:r>
              <w:rPr>
                <w:rFonts w:ascii="Times New Roman" w:hAnsi="Times New Roman"/>
                <w:b w:val="0"/>
                <w:i w:val="0"/>
                <w:sz w:val="17"/>
              </w:rPr>
              <w:t>June 27, 2025</w:t>
            </w:r>
          </w:p>
        </w:tc>
      </w:tr>
      <w:tr>
        <w:trPr>
          <w:cantSplit/>
        </w:trPr>
        <w:tc>
          <w:tcPr>
            <w:tcW w:type="dxa" w:w="503"/>
          </w:tcPr>
          <w:p>
            <w:pPr>
              <w:spacing w:after="40"/>
            </w:pPr>
            <w:r>
              <w:rPr>
                <w:rFonts w:ascii="Times New Roman" w:hAnsi="Times New Roman"/>
                <w:b w:val="0"/>
                <w:i w:val="0"/>
                <w:sz w:val="17"/>
              </w:rPr>
              <w:t>9</w:t>
            </w:r>
          </w:p>
        </w:tc>
        <w:tc>
          <w:tcPr>
            <w:tcW w:type="dxa" w:w="3384"/>
          </w:tcPr>
          <w:p>
            <w:pPr>
              <w:spacing w:after="40"/>
            </w:pPr>
            <w:r>
              <w:rPr>
                <w:rFonts w:ascii="Times New Roman" w:hAnsi="Times New Roman"/>
                <w:b w:val="0"/>
                <w:i w:val="0"/>
                <w:sz w:val="17"/>
              </w:rPr>
              <w:t>Circulate the first draft lease to Howard Koss</w:t>
            </w:r>
          </w:p>
        </w:tc>
        <w:tc>
          <w:tcPr>
            <w:tcW w:type="dxa" w:w="3168"/>
          </w:tcPr>
          <w:p>
            <w:pPr>
              <w:spacing w:after="40"/>
            </w:pPr>
            <w:r>
              <w:rPr>
                <w:rFonts w:ascii="Times New Roman" w:hAnsi="Times New Roman"/>
                <w:b w:val="0"/>
                <w:i w:val="0"/>
                <w:sz w:val="17"/>
              </w:rPr>
              <w:t>Hargrove &amp; Linden</w:t>
            </w:r>
          </w:p>
        </w:tc>
        <w:tc>
          <w:tcPr>
            <w:tcW w:type="dxa" w:w="2304"/>
          </w:tcPr>
          <w:p>
            <w:pPr>
              <w:spacing w:after="40"/>
            </w:pPr>
            <w:r>
              <w:rPr>
                <w:rFonts w:ascii="Times New Roman" w:hAnsi="Times New Roman"/>
                <w:b w:val="0"/>
                <w:i w:val="0"/>
                <w:sz w:val="17"/>
              </w:rPr>
              <w:t>June 29, 2025</w:t>
            </w:r>
          </w:p>
        </w:tc>
      </w:tr>
      <w:tr>
        <w:trPr>
          <w:cantSplit/>
        </w:trPr>
        <w:tc>
          <w:tcPr>
            <w:tcW w:type="dxa" w:w="503"/>
          </w:tcPr>
          <w:p>
            <w:pPr>
              <w:spacing w:after="40"/>
            </w:pPr>
            <w:r>
              <w:rPr>
                <w:rFonts w:ascii="Times New Roman" w:hAnsi="Times New Roman"/>
                <w:b w:val="0"/>
                <w:i w:val="0"/>
                <w:sz w:val="17"/>
              </w:rPr>
              <w:t>10</w:t>
            </w:r>
          </w:p>
        </w:tc>
        <w:tc>
          <w:tcPr>
            <w:tcW w:type="dxa" w:w="3384"/>
          </w:tcPr>
          <w:p>
            <w:pPr>
              <w:spacing w:after="40"/>
            </w:pPr>
            <w:r>
              <w:rPr>
                <w:rFonts w:ascii="Times New Roman" w:hAnsi="Times New Roman"/>
                <w:b w:val="0"/>
                <w:i w:val="0"/>
                <w:sz w:val="17"/>
              </w:rPr>
              <w:t>Obtain a supplemental Board resolution authorizing execution of a lease on the negotiated terms (Resolution §4(d))</w:t>
            </w:r>
          </w:p>
        </w:tc>
        <w:tc>
          <w:tcPr>
            <w:tcW w:type="dxa" w:w="3168"/>
          </w:tcPr>
          <w:p>
            <w:pPr>
              <w:spacing w:after="40"/>
            </w:pPr>
            <w:r>
              <w:rPr>
                <w:rFonts w:ascii="Times New Roman" w:hAnsi="Times New Roman"/>
                <w:b w:val="0"/>
                <w:i w:val="0"/>
                <w:sz w:val="17"/>
              </w:rPr>
              <w:t>Authority</w:t>
            </w:r>
          </w:p>
        </w:tc>
        <w:tc>
          <w:tcPr>
            <w:tcW w:type="dxa" w:w="2304"/>
          </w:tcPr>
          <w:p>
            <w:pPr>
              <w:spacing w:after="40"/>
            </w:pPr>
            <w:r>
              <w:rPr>
                <w:rFonts w:ascii="Times New Roman" w:hAnsi="Times New Roman"/>
                <w:b w:val="0"/>
                <w:i w:val="0"/>
                <w:sz w:val="17"/>
              </w:rPr>
              <w:t>September 2025</w:t>
            </w:r>
          </w:p>
        </w:tc>
      </w:tr>
    </w:tbl>
    <w:p>
      <w:pPr>
        <w:spacing w:after="40"/>
      </w:pPr>
    </w:p>
    <w:p>
      <w:pPr>
        <w:keepNext/>
        <w:spacing w:before="200" w:after="80"/>
        <w:jc w:val="left"/>
      </w:pPr>
      <w:r>
        <w:rPr>
          <w:rFonts w:ascii="Times New Roman" w:hAnsi="Times New Roman"/>
          <w:b/>
          <w:i w:val="0"/>
          <w:sz w:val="21"/>
        </w:rPr>
        <w:t>8.2 Negotiation posture on the five critical items</w:t>
      </w:r>
    </w:p>
    <w:p>
      <w:pPr>
        <w:jc w:val="both"/>
      </w:pPr>
      <w:r>
        <w:rPr>
          <w:rFonts w:ascii="Times New Roman" w:hAnsi="Times New Roman"/>
          <w:b w:val="0"/>
          <w:i w:val="0"/>
          <w:sz w:val="21"/>
        </w:rPr>
        <w:t>For your call with Howard Koss, our recommended sequence is: (1) the reverter, because it is the item that determines whether the deal finances, and because the Authority's own board resolution frames it as an enforcement mechanism rather than a windfall, which gives us room to offer a remedy that actually enforces; (2) the tax abatement commencement date, because it is a pure economic item with an arithmetic answer and does not require the Authority to abandon a principle; (3) percentage-rent indexation, where we can offer to keep the 2.0% rate and the $28.5M starting point and move only the trajectory; (4) the legal description and mechanics' lien, which are not negotiable at all and should be presented as corrections rather than as requests; and (5) the ROFR amendment, which we should route through Bayside's counsel so that it is understood as a lender requirement rather than a tenant concession.</w:t>
      </w:r>
    </w:p>
    <w:p>
      <w:pPr>
        <w:keepNext/>
        <w:spacing w:before="200" w:after="80"/>
        <w:jc w:val="left"/>
      </w:pPr>
      <w:r>
        <w:rPr>
          <w:rFonts w:ascii="Times New Roman" w:hAnsi="Times New Roman"/>
          <w:b/>
          <w:i w:val="0"/>
          <w:sz w:val="21"/>
        </w:rPr>
        <w:t>8.3 Escape hatches</w:t>
      </w:r>
    </w:p>
    <w:p>
      <w:pPr>
        <w:jc w:val="both"/>
      </w:pPr>
      <w:r>
        <w:rPr>
          <w:rFonts w:ascii="Times New Roman" w:hAnsi="Times New Roman"/>
          <w:b w:val="0"/>
          <w:i w:val="0"/>
          <w:sz w:val="21"/>
        </w:rPr>
        <w:t>We recommend that you preserve the following, and we have drafted them into the Lease: a termination right if the conditions precedent are not satisfied by December 31, 2025 (Section 2.7); day-for-day extension of the Milestone Dates and the Rent Commencement Date for delay in satisfying any condition precedent, so that a slow Authority does not put you behind the reverter clock (Sections 2.7 and 9.3(c)); an offset remedy for a failure to deliver the abatement (Section 6.2(d)); and a consent-deemed-granted mechanism with a fifteen-business-day deadline and a self-help right (Sections 10.9 and 16.7).</w:t>
      </w:r>
    </w:p>
    <w:p>
      <w:r>
        <w:br w:type="page"/>
      </w:r>
    </w:p>
    <w:p>
      <w:pPr>
        <w:keepNext/>
        <w:spacing w:before="320" w:after="200"/>
        <w:jc w:val="center"/>
      </w:pPr>
      <w:r>
        <w:rPr>
          <w:rFonts w:ascii="Times New Roman" w:hAnsi="Times New Roman"/>
          <w:b/>
          <w:i w:val="0"/>
          <w:sz w:val="21"/>
        </w:rPr>
        <w:t>APPENDIX A — SOURCE-TO-ISSUE LOG</w:t>
      </w:r>
    </w:p>
    <w:p>
      <w:pPr>
        <w:jc w:val="both"/>
      </w:pPr>
      <w:r>
        <w:rPr>
          <w:rFonts w:ascii="Times New Roman" w:hAnsi="Times New Roman"/>
          <w:b w:val="0"/>
          <w:i w:val="0"/>
          <w:sz w:val="21"/>
        </w:rPr>
        <w:t>Each material proposition relied on in this memorandum, traced to the document and provision in which it appears.</w:t>
      </w:r>
    </w:p>
    <w:tbl>
      <w:tblPr>
        <w:tblStyle w:val="TableGrid"/>
        <w:tblW w:type="dxa" w:w="9360"/>
        <w:jc w:val="center"/>
        <w:tblLayout w:type="fixed"/>
        <w:tblLook w:firstColumn="1" w:firstRow="1" w:lastColumn="0" w:lastRow="0" w:noHBand="0" w:noVBand="1" w:val="04A0"/>
        <w:tblLayout w:type="fixed"/>
      </w:tblPr>
      <w:tblGrid>
        <w:gridCol w:w="2088"/>
        <w:gridCol w:w="4248"/>
        <w:gridCol w:w="1944"/>
        <w:gridCol w:w="1080"/>
      </w:tblGrid>
      <w:tr>
        <w:trPr>
          <w:tblHeader/>
        </w:trPr>
        <w:tc>
          <w:tcPr>
            <w:tcW w:type="dxa" w:w="2088"/>
            <w:shd w:val="clear" w:color="auto" w:fill="E8E8E8"/>
          </w:tcPr>
          <w:p>
            <w:pPr>
              <w:spacing w:after="40"/>
            </w:pPr>
            <w:r>
              <w:rPr>
                <w:rFonts w:ascii="Times New Roman" w:hAnsi="Times New Roman"/>
                <w:b/>
                <w:i w:val="0"/>
                <w:sz w:val="17"/>
              </w:rPr>
              <w:t>Proposition</w:t>
            </w:r>
          </w:p>
        </w:tc>
        <w:tc>
          <w:tcPr>
            <w:tcW w:type="dxa" w:w="4248"/>
            <w:shd w:val="clear" w:color="auto" w:fill="E8E8E8"/>
          </w:tcPr>
          <w:p>
            <w:pPr>
              <w:spacing w:after="40"/>
            </w:pPr>
            <w:r>
              <w:rPr>
                <w:rFonts w:ascii="Times New Roman" w:hAnsi="Times New Roman"/>
                <w:b/>
                <w:i w:val="0"/>
                <w:sz w:val="17"/>
              </w:rPr>
              <w:t>Source</w:t>
            </w:r>
          </w:p>
        </w:tc>
        <w:tc>
          <w:tcPr>
            <w:tcW w:type="dxa" w:w="1944"/>
            <w:shd w:val="clear" w:color="auto" w:fill="E8E8E8"/>
          </w:tcPr>
          <w:p>
            <w:pPr>
              <w:spacing w:after="40"/>
            </w:pPr>
            <w:r>
              <w:rPr>
                <w:rFonts w:ascii="Times New Roman" w:hAnsi="Times New Roman"/>
                <w:b/>
                <w:i w:val="0"/>
                <w:sz w:val="17"/>
              </w:rPr>
              <w:t>Provision</w:t>
            </w:r>
          </w:p>
        </w:tc>
        <w:tc>
          <w:tcPr>
            <w:tcW w:type="dxa" w:w="1080"/>
            <w:shd w:val="clear" w:color="auto" w:fill="E8E8E8"/>
          </w:tcPr>
          <w:p>
            <w:pPr>
              <w:spacing w:after="40"/>
            </w:pPr>
            <w:r>
              <w:rPr>
                <w:rFonts w:ascii="Times New Roman" w:hAnsi="Times New Roman"/>
                <w:b/>
                <w:i w:val="0"/>
                <w:sz w:val="17"/>
              </w:rPr>
              <w:t>Item</w:t>
            </w:r>
          </w:p>
        </w:tc>
      </w:tr>
      <w:tr>
        <w:trPr>
          <w:cantSplit/>
        </w:trPr>
        <w:tc>
          <w:tcPr>
            <w:tcW w:type="dxa" w:w="2088"/>
          </w:tcPr>
          <w:p>
            <w:pPr>
              <w:spacing w:after="40"/>
            </w:pPr>
            <w:r>
              <w:rPr>
                <w:rFonts w:ascii="Times New Roman" w:hAnsi="Times New Roman"/>
                <w:b w:val="0"/>
                <w:i w:val="0"/>
                <w:sz w:val="17"/>
              </w:rPr>
              <w:t>Total project cost $425M; $285M loan, $95M preferred equity, $45M co-invest</w:t>
            </w:r>
          </w:p>
        </w:tc>
        <w:tc>
          <w:tcPr>
            <w:tcW w:type="dxa" w:w="4248"/>
          </w:tcPr>
          <w:p>
            <w:pPr>
              <w:spacing w:after="40"/>
            </w:pPr>
            <w:r>
              <w:rPr>
                <w:rFonts w:ascii="Times New Roman" w:hAnsi="Times New Roman"/>
                <w:b w:val="0"/>
                <w:i w:val="0"/>
                <w:sz w:val="17"/>
              </w:rPr>
              <w:t>Client email; Term Sheet §14; Loan TS §3; Resolution Recital</w:t>
            </w:r>
          </w:p>
        </w:tc>
        <w:tc>
          <w:tcPr>
            <w:tcW w:type="dxa" w:w="1944"/>
          </w:tcPr>
          <w:p>
            <w:pPr>
              <w:spacing w:after="40"/>
            </w:pPr>
            <w:r>
              <w:rPr>
                <w:rFonts w:ascii="Times New Roman" w:hAnsi="Times New Roman"/>
                <w:b w:val="0"/>
                <w:i w:val="0"/>
                <w:sz w:val="17"/>
              </w:rPr>
              <w:t>Multiple</w:t>
            </w:r>
          </w:p>
        </w:tc>
        <w:tc>
          <w:tcPr>
            <w:tcW w:type="dxa" w:w="1080"/>
          </w:tcPr>
          <w:p>
            <w:pPr>
              <w:spacing w:after="40"/>
            </w:pPr>
            <w:r>
              <w:rPr>
                <w:rFonts w:ascii="Times New Roman" w:hAnsi="Times New Roman"/>
                <w:b w:val="0"/>
                <w:i w:val="0"/>
                <w:sz w:val="17"/>
              </w:rPr>
              <w:t>46</w:t>
            </w:r>
          </w:p>
        </w:tc>
      </w:tr>
      <w:tr>
        <w:trPr>
          <w:cantSplit/>
        </w:trPr>
        <w:tc>
          <w:tcPr>
            <w:tcW w:type="dxa" w:w="2088"/>
          </w:tcPr>
          <w:p>
            <w:pPr>
              <w:spacing w:after="40"/>
            </w:pPr>
            <w:r>
              <w:rPr>
                <w:rFonts w:ascii="Times New Roman" w:hAnsi="Times New Roman"/>
                <w:b w:val="0"/>
                <w:i w:val="0"/>
                <w:sz w:val="17"/>
              </w:rPr>
              <w:t>Initial annual Base Rent $2,850,000; $237,500 monthly</w:t>
            </w:r>
          </w:p>
        </w:tc>
        <w:tc>
          <w:tcPr>
            <w:tcW w:type="dxa" w:w="4248"/>
          </w:tcPr>
          <w:p>
            <w:pPr>
              <w:spacing w:after="40"/>
            </w:pPr>
            <w:r>
              <w:rPr>
                <w:rFonts w:ascii="Times New Roman" w:hAnsi="Times New Roman"/>
                <w:b w:val="0"/>
                <w:i w:val="0"/>
                <w:sz w:val="17"/>
              </w:rPr>
              <w:t>Term Sheet §5; Resolution §1</w:t>
            </w:r>
          </w:p>
        </w:tc>
        <w:tc>
          <w:tcPr>
            <w:tcW w:type="dxa" w:w="1944"/>
          </w:tcPr>
          <w:p>
            <w:pPr>
              <w:spacing w:after="40"/>
            </w:pPr>
            <w:r>
              <w:rPr>
                <w:rFonts w:ascii="Times New Roman" w:hAnsi="Times New Roman"/>
                <w:b w:val="0"/>
                <w:i w:val="0"/>
                <w:sz w:val="17"/>
              </w:rPr>
              <w:t>§5</w:t>
            </w:r>
          </w:p>
        </w:tc>
        <w:tc>
          <w:tcPr>
            <w:tcW w:type="dxa" w:w="1080"/>
          </w:tcPr>
          <w:p>
            <w:pPr>
              <w:spacing w:after="40"/>
            </w:pPr>
            <w:r>
              <w:rPr>
                <w:rFonts w:ascii="Times New Roman" w:hAnsi="Times New Roman"/>
                <w:b w:val="0"/>
                <w:i w:val="0"/>
                <w:sz w:val="17"/>
              </w:rPr>
              <w:t>22</w:t>
            </w:r>
          </w:p>
        </w:tc>
      </w:tr>
      <w:tr>
        <w:trPr>
          <w:cantSplit/>
        </w:trPr>
        <w:tc>
          <w:tcPr>
            <w:tcW w:type="dxa" w:w="2088"/>
          </w:tcPr>
          <w:p>
            <w:pPr>
              <w:spacing w:after="40"/>
            </w:pPr>
            <w:r>
              <w:rPr>
                <w:rFonts w:ascii="Times New Roman" w:hAnsi="Times New Roman"/>
                <w:b w:val="0"/>
                <w:i w:val="0"/>
                <w:sz w:val="17"/>
              </w:rPr>
              <w:t>Fixed 2.5% escalation at Rent Years 6 and 11</w:t>
            </w:r>
          </w:p>
        </w:tc>
        <w:tc>
          <w:tcPr>
            <w:tcW w:type="dxa" w:w="4248"/>
          </w:tcPr>
          <w:p>
            <w:pPr>
              <w:spacing w:after="40"/>
            </w:pPr>
            <w:r>
              <w:rPr>
                <w:rFonts w:ascii="Times New Roman" w:hAnsi="Times New Roman"/>
                <w:b w:val="0"/>
                <w:i w:val="0"/>
                <w:sz w:val="17"/>
              </w:rPr>
              <w:t>Term Sheet §5</w:t>
            </w:r>
          </w:p>
        </w:tc>
        <w:tc>
          <w:tcPr>
            <w:tcW w:type="dxa" w:w="1944"/>
          </w:tcPr>
          <w:p>
            <w:pPr>
              <w:spacing w:after="40"/>
            </w:pPr>
            <w:r>
              <w:rPr>
                <w:rFonts w:ascii="Times New Roman" w:hAnsi="Times New Roman"/>
                <w:b w:val="0"/>
                <w:i w:val="0"/>
                <w:sz w:val="17"/>
              </w:rPr>
              <w:t>§5</w:t>
            </w:r>
          </w:p>
        </w:tc>
        <w:tc>
          <w:tcPr>
            <w:tcW w:type="dxa" w:w="1080"/>
          </w:tcPr>
          <w:p>
            <w:pPr>
              <w:spacing w:after="40"/>
            </w:pPr>
            <w:r>
              <w:rPr>
                <w:rFonts w:ascii="Times New Roman" w:hAnsi="Times New Roman"/>
                <w:b w:val="0"/>
                <w:i w:val="0"/>
                <w:sz w:val="17"/>
              </w:rPr>
              <w:t>22</w:t>
            </w:r>
          </w:p>
        </w:tc>
      </w:tr>
      <w:tr>
        <w:trPr>
          <w:cantSplit/>
        </w:trPr>
        <w:tc>
          <w:tcPr>
            <w:tcW w:type="dxa" w:w="2088"/>
          </w:tcPr>
          <w:p>
            <w:pPr>
              <w:spacing w:after="40"/>
            </w:pPr>
            <w:r>
              <w:rPr>
                <w:rFonts w:ascii="Times New Roman" w:hAnsi="Times New Roman"/>
                <w:b w:val="0"/>
                <w:i w:val="0"/>
                <w:sz w:val="17"/>
              </w:rPr>
              <w:t>CPI reset from Rent Year 16, greater of 2.5% or CPI-U Northeast</w:t>
            </w:r>
          </w:p>
        </w:tc>
        <w:tc>
          <w:tcPr>
            <w:tcW w:type="dxa" w:w="4248"/>
          </w:tcPr>
          <w:p>
            <w:pPr>
              <w:spacing w:after="40"/>
            </w:pPr>
            <w:r>
              <w:rPr>
                <w:rFonts w:ascii="Times New Roman" w:hAnsi="Times New Roman"/>
                <w:b w:val="0"/>
                <w:i w:val="0"/>
                <w:sz w:val="17"/>
              </w:rPr>
              <w:t>Term Sheet §5</w:t>
            </w:r>
          </w:p>
        </w:tc>
        <w:tc>
          <w:tcPr>
            <w:tcW w:type="dxa" w:w="1944"/>
          </w:tcPr>
          <w:p>
            <w:pPr>
              <w:spacing w:after="40"/>
            </w:pPr>
            <w:r>
              <w:rPr>
                <w:rFonts w:ascii="Times New Roman" w:hAnsi="Times New Roman"/>
                <w:b w:val="0"/>
                <w:i w:val="0"/>
                <w:sz w:val="17"/>
              </w:rPr>
              <w:t>§5</w:t>
            </w:r>
          </w:p>
        </w:tc>
        <w:tc>
          <w:tcPr>
            <w:tcW w:type="dxa" w:w="1080"/>
          </w:tcPr>
          <w:p>
            <w:pPr>
              <w:spacing w:after="40"/>
            </w:pPr>
            <w:r>
              <w:rPr>
                <w:rFonts w:ascii="Times New Roman" w:hAnsi="Times New Roman"/>
                <w:b w:val="0"/>
                <w:i w:val="0"/>
                <w:sz w:val="17"/>
              </w:rPr>
              <w:t>25</w:t>
            </w:r>
          </w:p>
        </w:tc>
      </w:tr>
      <w:tr>
        <w:trPr>
          <w:cantSplit/>
        </w:trPr>
        <w:tc>
          <w:tcPr>
            <w:tcW w:type="dxa" w:w="2088"/>
          </w:tcPr>
          <w:p>
            <w:pPr>
              <w:spacing w:after="40"/>
            </w:pPr>
            <w:r>
              <w:rPr>
                <w:rFonts w:ascii="Times New Roman" w:hAnsi="Times New Roman"/>
                <w:b w:val="0"/>
                <w:i w:val="0"/>
                <w:sz w:val="17"/>
              </w:rPr>
              <w:t>Percentage rent 2.0% over a $28,500,000 fixed breakpoint from Lease Year 6</w:t>
            </w:r>
          </w:p>
        </w:tc>
        <w:tc>
          <w:tcPr>
            <w:tcW w:type="dxa" w:w="4248"/>
          </w:tcPr>
          <w:p>
            <w:pPr>
              <w:spacing w:after="40"/>
            </w:pPr>
            <w:r>
              <w:rPr>
                <w:rFonts w:ascii="Times New Roman" w:hAnsi="Times New Roman"/>
                <w:b w:val="0"/>
                <w:i w:val="0"/>
                <w:sz w:val="17"/>
              </w:rPr>
              <w:t>Term Sheet §6; Resolution Recital (b)</w:t>
            </w:r>
          </w:p>
        </w:tc>
        <w:tc>
          <w:tcPr>
            <w:tcW w:type="dxa" w:w="1944"/>
          </w:tcPr>
          <w:p>
            <w:pPr>
              <w:spacing w:after="40"/>
            </w:pPr>
            <w:r>
              <w:rPr>
                <w:rFonts w:ascii="Times New Roman" w:hAnsi="Times New Roman"/>
                <w:b w:val="0"/>
                <w:i w:val="0"/>
                <w:sz w:val="17"/>
              </w:rPr>
              <w:t>§6</w:t>
            </w:r>
          </w:p>
        </w:tc>
        <w:tc>
          <w:tcPr>
            <w:tcW w:type="dxa" w:w="1080"/>
          </w:tcPr>
          <w:p>
            <w:pPr>
              <w:spacing w:after="40"/>
            </w:pPr>
            <w:r>
              <w:rPr>
                <w:rFonts w:ascii="Times New Roman" w:hAnsi="Times New Roman"/>
                <w:b w:val="0"/>
                <w:i w:val="0"/>
                <w:sz w:val="17"/>
              </w:rPr>
              <w:t>23</w:t>
            </w:r>
          </w:p>
        </w:tc>
      </w:tr>
      <w:tr>
        <w:trPr>
          <w:cantSplit/>
        </w:trPr>
        <w:tc>
          <w:tcPr>
            <w:tcW w:type="dxa" w:w="2088"/>
          </w:tcPr>
          <w:p>
            <w:pPr>
              <w:spacing w:after="40"/>
            </w:pPr>
            <w:r>
              <w:rPr>
                <w:rFonts w:ascii="Times New Roman" w:hAnsi="Times New Roman"/>
                <w:b w:val="0"/>
                <w:i w:val="0"/>
                <w:sz w:val="17"/>
              </w:rPr>
              <w:t>Gross Revenues exclusions left open-ended</w:t>
            </w:r>
          </w:p>
        </w:tc>
        <w:tc>
          <w:tcPr>
            <w:tcW w:type="dxa" w:w="4248"/>
          </w:tcPr>
          <w:p>
            <w:pPr>
              <w:spacing w:after="40"/>
            </w:pPr>
            <w:r>
              <w:rPr>
                <w:rFonts w:ascii="Times New Roman" w:hAnsi="Times New Roman"/>
                <w:b w:val="0"/>
                <w:i w:val="0"/>
                <w:sz w:val="17"/>
              </w:rPr>
              <w:t>Term Sheet §6</w:t>
            </w:r>
          </w:p>
        </w:tc>
        <w:tc>
          <w:tcPr>
            <w:tcW w:type="dxa" w:w="1944"/>
          </w:tcPr>
          <w:p>
            <w:pPr>
              <w:spacing w:after="40"/>
            </w:pPr>
            <w:r>
              <w:rPr>
                <w:rFonts w:ascii="Times New Roman" w:hAnsi="Times New Roman"/>
                <w:b w:val="0"/>
                <w:i w:val="0"/>
                <w:sz w:val="17"/>
              </w:rPr>
              <w:t>§6</w:t>
            </w:r>
          </w:p>
        </w:tc>
        <w:tc>
          <w:tcPr>
            <w:tcW w:type="dxa" w:w="1080"/>
          </w:tcPr>
          <w:p>
            <w:pPr>
              <w:spacing w:after="40"/>
            </w:pPr>
            <w:r>
              <w:rPr>
                <w:rFonts w:ascii="Times New Roman" w:hAnsi="Times New Roman"/>
                <w:b w:val="0"/>
                <w:i w:val="0"/>
                <w:sz w:val="17"/>
              </w:rPr>
              <w:t>24</w:t>
            </w:r>
          </w:p>
        </w:tc>
      </w:tr>
      <w:tr>
        <w:trPr>
          <w:cantSplit/>
        </w:trPr>
        <w:tc>
          <w:tcPr>
            <w:tcW w:type="dxa" w:w="2088"/>
          </w:tcPr>
          <w:p>
            <w:pPr>
              <w:spacing w:after="40"/>
            </w:pPr>
            <w:r>
              <w:rPr>
                <w:rFonts w:ascii="Times New Roman" w:hAnsi="Times New Roman"/>
                <w:b w:val="0"/>
                <w:i w:val="0"/>
                <w:sz w:val="17"/>
              </w:rPr>
              <w:t>15-year abatement at 25%/50%/75%/100% of post-development assessment</w:t>
            </w:r>
          </w:p>
        </w:tc>
        <w:tc>
          <w:tcPr>
            <w:tcW w:type="dxa" w:w="4248"/>
          </w:tcPr>
          <w:p>
            <w:pPr>
              <w:spacing w:after="40"/>
            </w:pPr>
            <w:r>
              <w:rPr>
                <w:rFonts w:ascii="Times New Roman" w:hAnsi="Times New Roman"/>
                <w:b w:val="0"/>
                <w:i w:val="0"/>
                <w:sz w:val="17"/>
              </w:rPr>
              <w:t>Term Sheet §10; Resolution Recital</w:t>
            </w:r>
          </w:p>
        </w:tc>
        <w:tc>
          <w:tcPr>
            <w:tcW w:type="dxa" w:w="1944"/>
          </w:tcPr>
          <w:p>
            <w:pPr>
              <w:spacing w:after="40"/>
            </w:pPr>
            <w:r>
              <w:rPr>
                <w:rFonts w:ascii="Times New Roman" w:hAnsi="Times New Roman"/>
                <w:b w:val="0"/>
                <w:i w:val="0"/>
                <w:sz w:val="17"/>
              </w:rPr>
              <w:t>§10</w:t>
            </w:r>
          </w:p>
        </w:tc>
        <w:tc>
          <w:tcPr>
            <w:tcW w:type="dxa" w:w="1080"/>
          </w:tcPr>
          <w:p>
            <w:pPr>
              <w:spacing w:after="40"/>
            </w:pPr>
            <w:r>
              <w:rPr>
                <w:rFonts w:ascii="Times New Roman" w:hAnsi="Times New Roman"/>
                <w:b w:val="0"/>
                <w:i w:val="0"/>
                <w:sz w:val="17"/>
              </w:rPr>
              <w:t>20, 25</w:t>
            </w:r>
          </w:p>
        </w:tc>
      </w:tr>
      <w:tr>
        <w:trPr>
          <w:cantSplit/>
        </w:trPr>
        <w:tc>
          <w:tcPr>
            <w:tcW w:type="dxa" w:w="2088"/>
          </w:tcPr>
          <w:p>
            <w:pPr>
              <w:spacing w:after="40"/>
            </w:pPr>
            <w:r>
              <w:rPr>
                <w:rFonts w:ascii="Times New Roman" w:hAnsi="Times New Roman"/>
                <w:b w:val="0"/>
                <w:i w:val="0"/>
                <w:sz w:val="17"/>
              </w:rPr>
              <w:t>Abatement period commences on the Lease Commencement Date</w:t>
            </w:r>
          </w:p>
        </w:tc>
        <w:tc>
          <w:tcPr>
            <w:tcW w:type="dxa" w:w="4248"/>
          </w:tcPr>
          <w:p>
            <w:pPr>
              <w:spacing w:after="40"/>
            </w:pPr>
            <w:r>
              <w:rPr>
                <w:rFonts w:ascii="Times New Roman" w:hAnsi="Times New Roman"/>
                <w:b w:val="0"/>
                <w:i w:val="0"/>
                <w:sz w:val="17"/>
              </w:rPr>
              <w:t>Term Sheet §10 ("Abatement Commencement")</w:t>
            </w:r>
          </w:p>
        </w:tc>
        <w:tc>
          <w:tcPr>
            <w:tcW w:type="dxa" w:w="1944"/>
          </w:tcPr>
          <w:p>
            <w:pPr>
              <w:spacing w:after="40"/>
            </w:pPr>
            <w:r>
              <w:rPr>
                <w:rFonts w:ascii="Times New Roman" w:hAnsi="Times New Roman"/>
                <w:b w:val="0"/>
                <w:i w:val="0"/>
                <w:sz w:val="17"/>
              </w:rPr>
              <w:t>§10</w:t>
            </w:r>
          </w:p>
        </w:tc>
        <w:tc>
          <w:tcPr>
            <w:tcW w:type="dxa" w:w="1080"/>
          </w:tcPr>
          <w:p>
            <w:pPr>
              <w:spacing w:after="40"/>
            </w:pPr>
            <w:r>
              <w:rPr>
                <w:rFonts w:ascii="Times New Roman" w:hAnsi="Times New Roman"/>
                <w:b w:val="0"/>
                <w:i w:val="0"/>
                <w:sz w:val="17"/>
              </w:rPr>
              <w:t>20</w:t>
            </w:r>
          </w:p>
        </w:tc>
      </w:tr>
      <w:tr>
        <w:trPr>
          <w:cantSplit/>
        </w:trPr>
        <w:tc>
          <w:tcPr>
            <w:tcW w:type="dxa" w:w="2088"/>
          </w:tcPr>
          <w:p>
            <w:pPr>
              <w:spacing w:after="40"/>
            </w:pPr>
            <w:r>
              <w:rPr>
                <w:rFonts w:ascii="Times New Roman" w:hAnsi="Times New Roman"/>
                <w:b w:val="0"/>
                <w:i w:val="0"/>
                <w:sz w:val="17"/>
              </w:rPr>
              <w:t>Abatement to be implemented by separate agreement with the City</w:t>
            </w:r>
          </w:p>
        </w:tc>
        <w:tc>
          <w:tcPr>
            <w:tcW w:type="dxa" w:w="4248"/>
          </w:tcPr>
          <w:p>
            <w:pPr>
              <w:spacing w:after="40"/>
            </w:pPr>
            <w:r>
              <w:rPr>
                <w:rFonts w:ascii="Times New Roman" w:hAnsi="Times New Roman"/>
                <w:b w:val="0"/>
                <w:i w:val="0"/>
                <w:sz w:val="17"/>
              </w:rPr>
              <w:t>Resolution Recital and §3(d)</w:t>
            </w:r>
          </w:p>
        </w:tc>
        <w:tc>
          <w:tcPr>
            <w:tcW w:type="dxa" w:w="1944"/>
          </w:tcPr>
          <w:p>
            <w:pPr>
              <w:spacing w:after="40"/>
            </w:pPr>
            <w:r>
              <w:rPr>
                <w:rFonts w:ascii="Times New Roman" w:hAnsi="Times New Roman"/>
                <w:b w:val="0"/>
                <w:i w:val="0"/>
                <w:sz w:val="17"/>
              </w:rPr>
              <w:t>Recital, §3(d)</w:t>
            </w:r>
          </w:p>
        </w:tc>
        <w:tc>
          <w:tcPr>
            <w:tcW w:type="dxa" w:w="1080"/>
          </w:tcPr>
          <w:p>
            <w:pPr>
              <w:spacing w:after="40"/>
            </w:pPr>
            <w:r>
              <w:rPr>
                <w:rFonts w:ascii="Times New Roman" w:hAnsi="Times New Roman"/>
                <w:b w:val="0"/>
                <w:i w:val="0"/>
                <w:sz w:val="17"/>
              </w:rPr>
              <w:t>3, 39</w:t>
            </w:r>
          </w:p>
        </w:tc>
      </w:tr>
      <w:tr>
        <w:trPr>
          <w:cantSplit/>
        </w:trPr>
        <w:tc>
          <w:tcPr>
            <w:tcW w:type="dxa" w:w="2088"/>
          </w:tcPr>
          <w:p>
            <w:pPr>
              <w:spacing w:after="40"/>
            </w:pPr>
            <w:r>
              <w:rPr>
                <w:rFonts w:ascii="Times New Roman" w:hAnsi="Times New Roman"/>
                <w:b w:val="0"/>
                <w:i w:val="0"/>
                <w:sz w:val="17"/>
              </w:rPr>
              <w:t>Projected post-development assessed value $178,000,000; mill rate 34.75</w:t>
            </w:r>
          </w:p>
        </w:tc>
        <w:tc>
          <w:tcPr>
            <w:tcW w:type="dxa" w:w="4248"/>
          </w:tcPr>
          <w:p>
            <w:pPr>
              <w:spacing w:after="40"/>
            </w:pPr>
            <w:r>
              <w:rPr>
                <w:rFonts w:ascii="Times New Roman" w:hAnsi="Times New Roman"/>
                <w:b w:val="0"/>
                <w:i w:val="0"/>
                <w:sz w:val="17"/>
              </w:rPr>
              <w:t>Term Sheet §10; Title Ex. 7</w:t>
            </w:r>
          </w:p>
        </w:tc>
        <w:tc>
          <w:tcPr>
            <w:tcW w:type="dxa" w:w="1944"/>
          </w:tcPr>
          <w:p>
            <w:pPr>
              <w:spacing w:after="40"/>
            </w:pPr>
            <w:r>
              <w:rPr>
                <w:rFonts w:ascii="Times New Roman" w:hAnsi="Times New Roman"/>
                <w:b w:val="0"/>
                <w:i w:val="0"/>
                <w:sz w:val="17"/>
              </w:rPr>
              <w:t>§10</w:t>
            </w:r>
          </w:p>
        </w:tc>
        <w:tc>
          <w:tcPr>
            <w:tcW w:type="dxa" w:w="1080"/>
          </w:tcPr>
          <w:p>
            <w:pPr>
              <w:spacing w:after="40"/>
            </w:pPr>
            <w:r>
              <w:rPr>
                <w:rFonts w:ascii="Times New Roman" w:hAnsi="Times New Roman"/>
                <w:b w:val="0"/>
                <w:i w:val="0"/>
                <w:sz w:val="17"/>
              </w:rPr>
              <w:t>25</w:t>
            </w:r>
          </w:p>
        </w:tc>
      </w:tr>
      <w:tr>
        <w:trPr>
          <w:cantSplit/>
        </w:trPr>
        <w:tc>
          <w:tcPr>
            <w:tcW w:type="dxa" w:w="2088"/>
          </w:tcPr>
          <w:p>
            <w:pPr>
              <w:spacing w:after="40"/>
            </w:pPr>
            <w:r>
              <w:rPr>
                <w:rFonts w:ascii="Times New Roman" w:hAnsi="Times New Roman"/>
                <w:b w:val="0"/>
                <w:i w:val="0"/>
                <w:sz w:val="17"/>
              </w:rPr>
              <w:t>Current land assessment $4,200,000; tax $145,950</w:t>
            </w:r>
          </w:p>
        </w:tc>
        <w:tc>
          <w:tcPr>
            <w:tcW w:type="dxa" w:w="4248"/>
          </w:tcPr>
          <w:p>
            <w:pPr>
              <w:spacing w:after="40"/>
            </w:pPr>
            <w:r>
              <w:rPr>
                <w:rFonts w:ascii="Times New Roman" w:hAnsi="Times New Roman"/>
                <w:b w:val="0"/>
                <w:i w:val="0"/>
                <w:sz w:val="17"/>
              </w:rPr>
              <w:t>Term Sheet §10; Title Ex. 7</w:t>
            </w:r>
          </w:p>
        </w:tc>
        <w:tc>
          <w:tcPr>
            <w:tcW w:type="dxa" w:w="1944"/>
          </w:tcPr>
          <w:p>
            <w:pPr>
              <w:spacing w:after="40"/>
            </w:pPr>
            <w:r>
              <w:rPr>
                <w:rFonts w:ascii="Times New Roman" w:hAnsi="Times New Roman"/>
                <w:b w:val="0"/>
                <w:i w:val="0"/>
                <w:sz w:val="17"/>
              </w:rPr>
              <w:t>§10</w:t>
            </w:r>
          </w:p>
        </w:tc>
        <w:tc>
          <w:tcPr>
            <w:tcW w:type="dxa" w:w="1080"/>
          </w:tcPr>
          <w:p>
            <w:pPr>
              <w:spacing w:after="40"/>
            </w:pPr>
            <w:r>
              <w:rPr>
                <w:rFonts w:ascii="Times New Roman" w:hAnsi="Times New Roman"/>
                <w:b w:val="0"/>
                <w:i w:val="0"/>
                <w:sz w:val="17"/>
              </w:rPr>
              <w:t>20</w:t>
            </w:r>
          </w:p>
        </w:tc>
      </w:tr>
      <w:tr>
        <w:trPr>
          <w:cantSplit/>
        </w:trPr>
        <w:tc>
          <w:tcPr>
            <w:tcW w:type="dxa" w:w="2088"/>
          </w:tcPr>
          <w:p>
            <w:pPr>
              <w:spacing w:after="40"/>
            </w:pPr>
            <w:r>
              <w:rPr>
                <w:rFonts w:ascii="Times New Roman" w:hAnsi="Times New Roman"/>
                <w:b w:val="0"/>
                <w:i w:val="0"/>
                <w:sz w:val="17"/>
              </w:rPr>
              <w:t>$5,700,000 letter of credit; step-down to $2,850,000 at 90% occupancy for 24 months</w:t>
            </w:r>
          </w:p>
        </w:tc>
        <w:tc>
          <w:tcPr>
            <w:tcW w:type="dxa" w:w="4248"/>
          </w:tcPr>
          <w:p>
            <w:pPr>
              <w:spacing w:after="40"/>
            </w:pPr>
            <w:r>
              <w:rPr>
                <w:rFonts w:ascii="Times New Roman" w:hAnsi="Times New Roman"/>
                <w:b w:val="0"/>
                <w:i w:val="0"/>
                <w:sz w:val="17"/>
              </w:rPr>
              <w:t>Term Sheet §8; Resolution Recital (c); Loan TS §4, §6(j)</w:t>
            </w:r>
          </w:p>
        </w:tc>
        <w:tc>
          <w:tcPr>
            <w:tcW w:type="dxa" w:w="1944"/>
          </w:tcPr>
          <w:p>
            <w:pPr>
              <w:spacing w:after="40"/>
            </w:pPr>
            <w:r>
              <w:rPr>
                <w:rFonts w:ascii="Times New Roman" w:hAnsi="Times New Roman"/>
                <w:b w:val="0"/>
                <w:i w:val="0"/>
                <w:sz w:val="17"/>
              </w:rPr>
              <w:t>§8</w:t>
            </w:r>
          </w:p>
        </w:tc>
        <w:tc>
          <w:tcPr>
            <w:tcW w:type="dxa" w:w="1080"/>
          </w:tcPr>
          <w:p>
            <w:pPr>
              <w:spacing w:after="40"/>
            </w:pPr>
            <w:r>
              <w:rPr>
                <w:rFonts w:ascii="Times New Roman" w:hAnsi="Times New Roman"/>
                <w:b w:val="0"/>
                <w:i w:val="0"/>
                <w:sz w:val="17"/>
              </w:rPr>
              <w:t>35, 36</w:t>
            </w:r>
          </w:p>
        </w:tc>
      </w:tr>
      <w:tr>
        <w:trPr>
          <w:cantSplit/>
        </w:trPr>
        <w:tc>
          <w:tcPr>
            <w:tcW w:type="dxa" w:w="2088"/>
          </w:tcPr>
          <w:p>
            <w:pPr>
              <w:spacing w:after="40"/>
            </w:pPr>
            <w:r>
              <w:rPr>
                <w:rFonts w:ascii="Times New Roman" w:hAnsi="Times New Roman"/>
                <w:b w:val="0"/>
                <w:i w:val="0"/>
                <w:sz w:val="17"/>
              </w:rPr>
              <w:t>$1,800,000 remediation credit; $2,400,000 total estimate</w:t>
            </w:r>
          </w:p>
        </w:tc>
        <w:tc>
          <w:tcPr>
            <w:tcW w:type="dxa" w:w="4248"/>
          </w:tcPr>
          <w:p>
            <w:pPr>
              <w:spacing w:after="40"/>
            </w:pPr>
            <w:r>
              <w:rPr>
                <w:rFonts w:ascii="Times New Roman" w:hAnsi="Times New Roman"/>
                <w:b w:val="0"/>
                <w:i w:val="0"/>
                <w:sz w:val="17"/>
              </w:rPr>
              <w:t>Term Sheet §7; Phase II §6; Resolution Recital (d)</w:t>
            </w:r>
          </w:p>
        </w:tc>
        <w:tc>
          <w:tcPr>
            <w:tcW w:type="dxa" w:w="1944"/>
          </w:tcPr>
          <w:p>
            <w:pPr>
              <w:spacing w:after="40"/>
            </w:pPr>
            <w:r>
              <w:rPr>
                <w:rFonts w:ascii="Times New Roman" w:hAnsi="Times New Roman"/>
                <w:b w:val="0"/>
                <w:i w:val="0"/>
                <w:sz w:val="17"/>
              </w:rPr>
              <w:t>§7</w:t>
            </w:r>
          </w:p>
        </w:tc>
        <w:tc>
          <w:tcPr>
            <w:tcW w:type="dxa" w:w="1080"/>
          </w:tcPr>
          <w:p>
            <w:pPr>
              <w:spacing w:after="40"/>
            </w:pPr>
            <w:r>
              <w:rPr>
                <w:rFonts w:ascii="Times New Roman" w:hAnsi="Times New Roman"/>
                <w:b w:val="0"/>
                <w:i w:val="0"/>
                <w:sz w:val="17"/>
              </w:rPr>
              <w:t>29–32</w:t>
            </w:r>
          </w:p>
        </w:tc>
      </w:tr>
      <w:tr>
        <w:trPr>
          <w:cantSplit/>
        </w:trPr>
        <w:tc>
          <w:tcPr>
            <w:tcW w:type="dxa" w:w="2088"/>
          </w:tcPr>
          <w:p>
            <w:pPr>
              <w:spacing w:after="40"/>
            </w:pPr>
            <w:r>
              <w:rPr>
                <w:rFonts w:ascii="Times New Roman" w:hAnsi="Times New Roman"/>
                <w:b w:val="0"/>
                <w:i w:val="0"/>
                <w:sz w:val="17"/>
              </w:rPr>
              <w:t>Remediation cost components and contingency lines</w:t>
            </w:r>
          </w:p>
        </w:tc>
        <w:tc>
          <w:tcPr>
            <w:tcW w:type="dxa" w:w="4248"/>
          </w:tcPr>
          <w:p>
            <w:pPr>
              <w:spacing w:after="40"/>
            </w:pPr>
            <w:r>
              <w:rPr>
                <w:rFonts w:ascii="Times New Roman" w:hAnsi="Times New Roman"/>
                <w:b w:val="0"/>
                <w:i w:val="0"/>
                <w:sz w:val="17"/>
              </w:rPr>
              <w:t>Phase II §6 (Area 1 and Area 2 tables)</w:t>
            </w:r>
          </w:p>
        </w:tc>
        <w:tc>
          <w:tcPr>
            <w:tcW w:type="dxa" w:w="1944"/>
          </w:tcPr>
          <w:p>
            <w:pPr>
              <w:spacing w:after="40"/>
            </w:pPr>
            <w:r>
              <w:rPr>
                <w:rFonts w:ascii="Times New Roman" w:hAnsi="Times New Roman"/>
                <w:b w:val="0"/>
                <w:i w:val="0"/>
                <w:sz w:val="17"/>
              </w:rPr>
              <w:t>§6</w:t>
            </w:r>
          </w:p>
        </w:tc>
        <w:tc>
          <w:tcPr>
            <w:tcW w:type="dxa" w:w="1080"/>
          </w:tcPr>
          <w:p>
            <w:pPr>
              <w:spacing w:after="40"/>
            </w:pPr>
            <w:r>
              <w:rPr>
                <w:rFonts w:ascii="Times New Roman" w:hAnsi="Times New Roman"/>
                <w:b w:val="0"/>
                <w:i w:val="0"/>
                <w:sz w:val="17"/>
              </w:rPr>
              <w:t>30</w:t>
            </w:r>
          </w:p>
        </w:tc>
      </w:tr>
      <w:tr>
        <w:trPr>
          <w:cantSplit/>
        </w:trPr>
        <w:tc>
          <w:tcPr>
            <w:tcW w:type="dxa" w:w="2088"/>
          </w:tcPr>
          <w:p>
            <w:pPr>
              <w:spacing w:after="40"/>
            </w:pPr>
            <w:r>
              <w:rPr>
                <w:rFonts w:ascii="Times New Roman" w:hAnsi="Times New Roman"/>
                <w:b w:val="0"/>
                <w:i w:val="0"/>
                <w:sz w:val="17"/>
              </w:rPr>
              <w:t>Contamination: 4,200 SF at up to 3,800 mg/kg; 1,600 SF at up to 1,200 mg/kg; RDEC 500 mg/kg</w:t>
            </w:r>
          </w:p>
        </w:tc>
        <w:tc>
          <w:tcPr>
            <w:tcW w:type="dxa" w:w="4248"/>
          </w:tcPr>
          <w:p>
            <w:pPr>
              <w:spacing w:after="40"/>
            </w:pPr>
            <w:r>
              <w:rPr>
                <w:rFonts w:ascii="Times New Roman" w:hAnsi="Times New Roman"/>
                <w:b w:val="0"/>
                <w:i w:val="0"/>
                <w:sz w:val="17"/>
              </w:rPr>
              <w:t>Term Sheet §7; Phase II §§4.1–4.2</w:t>
            </w:r>
          </w:p>
        </w:tc>
        <w:tc>
          <w:tcPr>
            <w:tcW w:type="dxa" w:w="1944"/>
          </w:tcPr>
          <w:p>
            <w:pPr>
              <w:spacing w:after="40"/>
            </w:pPr>
            <w:r>
              <w:rPr>
                <w:rFonts w:ascii="Times New Roman" w:hAnsi="Times New Roman"/>
                <w:b w:val="0"/>
                <w:i w:val="0"/>
                <w:sz w:val="17"/>
              </w:rPr>
              <w:t>§7</w:t>
            </w:r>
          </w:p>
        </w:tc>
        <w:tc>
          <w:tcPr>
            <w:tcW w:type="dxa" w:w="1080"/>
          </w:tcPr>
          <w:p>
            <w:pPr>
              <w:spacing w:after="40"/>
            </w:pPr>
            <w:r>
              <w:rPr>
                <w:rFonts w:ascii="Times New Roman" w:hAnsi="Times New Roman"/>
                <w:b w:val="0"/>
                <w:i w:val="0"/>
                <w:sz w:val="17"/>
              </w:rPr>
              <w:t>29–31</w:t>
            </w:r>
          </w:p>
        </w:tc>
      </w:tr>
      <w:tr>
        <w:trPr>
          <w:cantSplit/>
        </w:trPr>
        <w:tc>
          <w:tcPr>
            <w:tcW w:type="dxa" w:w="2088"/>
          </w:tcPr>
          <w:p>
            <w:pPr>
              <w:spacing w:after="40"/>
            </w:pPr>
            <w:r>
              <w:rPr>
                <w:rFonts w:ascii="Times New Roman" w:hAnsi="Times New Roman"/>
                <w:b w:val="0"/>
                <w:i w:val="0"/>
                <w:sz w:val="17"/>
              </w:rPr>
              <w:t>ELUR recorded March 22, 2018, Vol. 412, Pg. 88; ground-floor residential prohibition; 24-inch barrier</w:t>
            </w:r>
          </w:p>
        </w:tc>
        <w:tc>
          <w:tcPr>
            <w:tcW w:type="dxa" w:w="4248"/>
          </w:tcPr>
          <w:p>
            <w:pPr>
              <w:spacing w:after="40"/>
            </w:pPr>
            <w:r>
              <w:rPr>
                <w:rFonts w:ascii="Times New Roman" w:hAnsi="Times New Roman"/>
                <w:b w:val="0"/>
                <w:i w:val="0"/>
                <w:sz w:val="17"/>
              </w:rPr>
              <w:t>Term Sheet §§4, 13; Title Ex. 1; Phase II §2.3</w:t>
            </w:r>
          </w:p>
        </w:tc>
        <w:tc>
          <w:tcPr>
            <w:tcW w:type="dxa" w:w="1944"/>
          </w:tcPr>
          <w:p>
            <w:pPr>
              <w:spacing w:after="40"/>
            </w:pPr>
            <w:r>
              <w:rPr>
                <w:rFonts w:ascii="Times New Roman" w:hAnsi="Times New Roman"/>
                <w:b w:val="0"/>
                <w:i w:val="0"/>
                <w:sz w:val="17"/>
              </w:rPr>
              <w:t>Multiple</w:t>
            </w:r>
          </w:p>
        </w:tc>
        <w:tc>
          <w:tcPr>
            <w:tcW w:type="dxa" w:w="1080"/>
          </w:tcPr>
          <w:p>
            <w:pPr>
              <w:spacing w:after="40"/>
            </w:pPr>
            <w:r>
              <w:rPr>
                <w:rFonts w:ascii="Times New Roman" w:hAnsi="Times New Roman"/>
                <w:b w:val="0"/>
                <w:i w:val="0"/>
                <w:sz w:val="17"/>
              </w:rPr>
              <w:t>28</w:t>
            </w:r>
          </w:p>
        </w:tc>
      </w:tr>
      <w:tr>
        <w:trPr>
          <w:cantSplit/>
        </w:trPr>
        <w:tc>
          <w:tcPr>
            <w:tcW w:type="dxa" w:w="2088"/>
          </w:tcPr>
          <w:p>
            <w:pPr>
              <w:spacing w:after="40"/>
            </w:pPr>
            <w:r>
              <w:rPr>
                <w:rFonts w:ascii="Times New Roman" w:hAnsi="Times New Roman"/>
                <w:b w:val="0"/>
                <w:i w:val="0"/>
                <w:sz w:val="17"/>
              </w:rPr>
              <w:t>ELUR does not define whether ancillary residential spaces are "residential use"</w:t>
            </w:r>
          </w:p>
        </w:tc>
        <w:tc>
          <w:tcPr>
            <w:tcW w:type="dxa" w:w="4248"/>
          </w:tcPr>
          <w:p>
            <w:pPr>
              <w:spacing w:after="40"/>
            </w:pPr>
            <w:r>
              <w:rPr>
                <w:rFonts w:ascii="Times New Roman" w:hAnsi="Times New Roman"/>
                <w:b w:val="0"/>
                <w:i w:val="0"/>
                <w:sz w:val="17"/>
              </w:rPr>
              <w:t>Phase II §2.3</w:t>
            </w:r>
          </w:p>
        </w:tc>
        <w:tc>
          <w:tcPr>
            <w:tcW w:type="dxa" w:w="1944"/>
          </w:tcPr>
          <w:p>
            <w:pPr>
              <w:spacing w:after="40"/>
            </w:pPr>
            <w:r>
              <w:rPr>
                <w:rFonts w:ascii="Times New Roman" w:hAnsi="Times New Roman"/>
                <w:b w:val="0"/>
                <w:i w:val="0"/>
                <w:sz w:val="17"/>
              </w:rPr>
              <w:t>§2.3</w:t>
            </w:r>
          </w:p>
        </w:tc>
        <w:tc>
          <w:tcPr>
            <w:tcW w:type="dxa" w:w="1080"/>
          </w:tcPr>
          <w:p>
            <w:pPr>
              <w:spacing w:after="40"/>
            </w:pPr>
            <w:r>
              <w:rPr>
                <w:rFonts w:ascii="Times New Roman" w:hAnsi="Times New Roman"/>
                <w:b w:val="0"/>
                <w:i w:val="0"/>
                <w:sz w:val="17"/>
              </w:rPr>
              <w:t>28</w:t>
            </w:r>
          </w:p>
        </w:tc>
      </w:tr>
      <w:tr>
        <w:trPr>
          <w:cantSplit/>
        </w:trPr>
        <w:tc>
          <w:tcPr>
            <w:tcW w:type="dxa" w:w="2088"/>
          </w:tcPr>
          <w:p>
            <w:pPr>
              <w:spacing w:after="40"/>
            </w:pPr>
            <w:r>
              <w:rPr>
                <w:rFonts w:ascii="Times New Roman" w:hAnsi="Times New Roman"/>
                <w:b w:val="0"/>
                <w:i w:val="0"/>
                <w:sz w:val="17"/>
              </w:rPr>
              <w:t>Recommendation that affordable units be on upper floors</w:t>
            </w:r>
          </w:p>
        </w:tc>
        <w:tc>
          <w:tcPr>
            <w:tcW w:type="dxa" w:w="4248"/>
          </w:tcPr>
          <w:p>
            <w:pPr>
              <w:spacing w:after="40"/>
            </w:pPr>
            <w:r>
              <w:rPr>
                <w:rFonts w:ascii="Times New Roman" w:hAnsi="Times New Roman"/>
                <w:b w:val="0"/>
                <w:i w:val="0"/>
                <w:sz w:val="17"/>
              </w:rPr>
              <w:t>Phase II §2.3 and Recommendation 2</w:t>
            </w:r>
          </w:p>
        </w:tc>
        <w:tc>
          <w:tcPr>
            <w:tcW w:type="dxa" w:w="1944"/>
          </w:tcPr>
          <w:p>
            <w:pPr>
              <w:spacing w:after="40"/>
            </w:pPr>
            <w:r>
              <w:rPr>
                <w:rFonts w:ascii="Times New Roman" w:hAnsi="Times New Roman"/>
                <w:b w:val="0"/>
                <w:i w:val="0"/>
                <w:sz w:val="17"/>
              </w:rPr>
              <w:t>§2.3</w:t>
            </w:r>
          </w:p>
        </w:tc>
        <w:tc>
          <w:tcPr>
            <w:tcW w:type="dxa" w:w="1080"/>
          </w:tcPr>
          <w:p>
            <w:pPr>
              <w:spacing w:after="40"/>
            </w:pPr>
            <w:r>
              <w:rPr>
                <w:rFonts w:ascii="Times New Roman" w:hAnsi="Times New Roman"/>
                <w:b w:val="0"/>
                <w:i w:val="0"/>
                <w:sz w:val="17"/>
              </w:rPr>
              <w:t>28</w:t>
            </w:r>
          </w:p>
        </w:tc>
      </w:tr>
      <w:tr>
        <w:trPr>
          <w:cantSplit/>
        </w:trPr>
        <w:tc>
          <w:tcPr>
            <w:tcW w:type="dxa" w:w="2088"/>
          </w:tcPr>
          <w:p>
            <w:pPr>
              <w:spacing w:after="40"/>
            </w:pPr>
            <w:r>
              <w:rPr>
                <w:rFonts w:ascii="Times New Roman" w:hAnsi="Times New Roman"/>
                <w:b w:val="0"/>
                <w:i w:val="0"/>
                <w:sz w:val="17"/>
              </w:rPr>
              <w:t>Milestones 1–4: 18, 42, 60, 84 months</w:t>
            </w:r>
          </w:p>
        </w:tc>
        <w:tc>
          <w:tcPr>
            <w:tcW w:type="dxa" w:w="4248"/>
          </w:tcPr>
          <w:p>
            <w:pPr>
              <w:spacing w:after="40"/>
            </w:pPr>
            <w:r>
              <w:rPr>
                <w:rFonts w:ascii="Times New Roman" w:hAnsi="Times New Roman"/>
                <w:b w:val="0"/>
                <w:i w:val="0"/>
                <w:sz w:val="17"/>
              </w:rPr>
              <w:t>Term Sheet §9; Client email §5</w:t>
            </w:r>
          </w:p>
        </w:tc>
        <w:tc>
          <w:tcPr>
            <w:tcW w:type="dxa" w:w="1944"/>
          </w:tcPr>
          <w:p>
            <w:pPr>
              <w:spacing w:after="40"/>
            </w:pPr>
            <w:r>
              <w:rPr>
                <w:rFonts w:ascii="Times New Roman" w:hAnsi="Times New Roman"/>
                <w:b w:val="0"/>
                <w:i w:val="0"/>
                <w:sz w:val="17"/>
              </w:rPr>
              <w:t>§9</w:t>
            </w:r>
          </w:p>
        </w:tc>
        <w:tc>
          <w:tcPr>
            <w:tcW w:type="dxa" w:w="1080"/>
          </w:tcPr>
          <w:p>
            <w:pPr>
              <w:spacing w:after="40"/>
            </w:pPr>
            <w:r>
              <w:rPr>
                <w:rFonts w:ascii="Times New Roman" w:hAnsi="Times New Roman"/>
                <w:b w:val="0"/>
                <w:i w:val="0"/>
                <w:sz w:val="17"/>
              </w:rPr>
              <w:t>5, 6</w:t>
            </w:r>
          </w:p>
        </w:tc>
      </w:tr>
      <w:tr>
        <w:trPr>
          <w:cantSplit/>
        </w:trPr>
        <w:tc>
          <w:tcPr>
            <w:tcW w:type="dxa" w:w="2088"/>
          </w:tcPr>
          <w:p>
            <w:pPr>
              <w:spacing w:after="40"/>
            </w:pPr>
            <w:r>
              <w:rPr>
                <w:rFonts w:ascii="Times New Roman" w:hAnsi="Times New Roman"/>
                <w:b w:val="0"/>
                <w:i w:val="0"/>
                <w:sz w:val="17"/>
              </w:rPr>
              <w:t>Force majeure: 12 months plus 6 months for permitting; 18-month aggregate cap</w:t>
            </w:r>
          </w:p>
        </w:tc>
        <w:tc>
          <w:tcPr>
            <w:tcW w:type="dxa" w:w="4248"/>
          </w:tcPr>
          <w:p>
            <w:pPr>
              <w:spacing w:after="40"/>
            </w:pPr>
            <w:r>
              <w:rPr>
                <w:rFonts w:ascii="Times New Roman" w:hAnsi="Times New Roman"/>
                <w:b w:val="0"/>
                <w:i w:val="0"/>
                <w:sz w:val="17"/>
              </w:rPr>
              <w:t>Term Sheet §9</w:t>
            </w:r>
          </w:p>
        </w:tc>
        <w:tc>
          <w:tcPr>
            <w:tcW w:type="dxa" w:w="1944"/>
          </w:tcPr>
          <w:p>
            <w:pPr>
              <w:spacing w:after="40"/>
            </w:pPr>
            <w:r>
              <w:rPr>
                <w:rFonts w:ascii="Times New Roman" w:hAnsi="Times New Roman"/>
                <w:b w:val="0"/>
                <w:i w:val="0"/>
                <w:sz w:val="17"/>
              </w:rPr>
              <w:t>§9</w:t>
            </w:r>
          </w:p>
        </w:tc>
        <w:tc>
          <w:tcPr>
            <w:tcW w:type="dxa" w:w="1080"/>
          </w:tcPr>
          <w:p>
            <w:pPr>
              <w:spacing w:after="40"/>
            </w:pPr>
            <w:r>
              <w:rPr>
                <w:rFonts w:ascii="Times New Roman" w:hAnsi="Times New Roman"/>
                <w:b w:val="0"/>
                <w:i w:val="0"/>
                <w:sz w:val="17"/>
              </w:rPr>
              <w:t>5</w:t>
            </w:r>
          </w:p>
        </w:tc>
      </w:tr>
      <w:tr>
        <w:trPr>
          <w:cantSplit/>
        </w:trPr>
        <w:tc>
          <w:tcPr>
            <w:tcW w:type="dxa" w:w="2088"/>
          </w:tcPr>
          <w:p>
            <w:pPr>
              <w:spacing w:after="40"/>
            </w:pPr>
            <w:r>
              <w:rPr>
                <w:rFonts w:ascii="Times New Roman" w:hAnsi="Times New Roman"/>
                <w:b w:val="0"/>
                <w:i w:val="0"/>
                <w:sz w:val="17"/>
              </w:rPr>
              <w:t>Reverter on Milestones 1 and 3; 180-day cure; automatic termination; improvements forfeited without compensation</w:t>
            </w:r>
          </w:p>
        </w:tc>
        <w:tc>
          <w:tcPr>
            <w:tcW w:type="dxa" w:w="4248"/>
          </w:tcPr>
          <w:p>
            <w:pPr>
              <w:spacing w:after="40"/>
            </w:pPr>
            <w:r>
              <w:rPr>
                <w:rFonts w:ascii="Times New Roman" w:hAnsi="Times New Roman"/>
                <w:b w:val="0"/>
                <w:i w:val="0"/>
                <w:sz w:val="17"/>
              </w:rPr>
              <w:t>Term Sheet §9; Client email §2</w:t>
            </w:r>
          </w:p>
        </w:tc>
        <w:tc>
          <w:tcPr>
            <w:tcW w:type="dxa" w:w="1944"/>
          </w:tcPr>
          <w:p>
            <w:pPr>
              <w:spacing w:after="40"/>
            </w:pPr>
            <w:r>
              <w:rPr>
                <w:rFonts w:ascii="Times New Roman" w:hAnsi="Times New Roman"/>
                <w:b w:val="0"/>
                <w:i w:val="0"/>
                <w:sz w:val="17"/>
              </w:rPr>
              <w:t>§9</w:t>
            </w:r>
          </w:p>
        </w:tc>
        <w:tc>
          <w:tcPr>
            <w:tcW w:type="dxa" w:w="1080"/>
          </w:tcPr>
          <w:p>
            <w:pPr>
              <w:spacing w:after="40"/>
            </w:pPr>
            <w:r>
              <w:rPr>
                <w:rFonts w:ascii="Times New Roman" w:hAnsi="Times New Roman"/>
                <w:b w:val="0"/>
                <w:i w:val="0"/>
                <w:sz w:val="17"/>
              </w:rPr>
              <w:t>1–7</w:t>
            </w:r>
          </w:p>
        </w:tc>
      </w:tr>
      <w:tr>
        <w:trPr>
          <w:cantSplit/>
        </w:trPr>
        <w:tc>
          <w:tcPr>
            <w:tcW w:type="dxa" w:w="2088"/>
          </w:tcPr>
          <w:p>
            <w:pPr>
              <w:spacing w:after="40"/>
            </w:pPr>
            <w:r>
              <w:rPr>
                <w:rFonts w:ascii="Times New Roman" w:hAnsi="Times New Roman"/>
                <w:b w:val="0"/>
                <w:i w:val="0"/>
                <w:sz w:val="17"/>
              </w:rPr>
              <w:t>Letter of credit "entitled to draw in full" on reverter</w:t>
            </w:r>
          </w:p>
        </w:tc>
        <w:tc>
          <w:tcPr>
            <w:tcW w:type="dxa" w:w="4248"/>
          </w:tcPr>
          <w:p>
            <w:pPr>
              <w:spacing w:after="40"/>
            </w:pPr>
            <w:r>
              <w:rPr>
                <w:rFonts w:ascii="Times New Roman" w:hAnsi="Times New Roman"/>
                <w:b w:val="0"/>
                <w:i w:val="0"/>
                <w:sz w:val="17"/>
              </w:rPr>
              <w:t>Term Sheet §9(a)</w:t>
            </w:r>
          </w:p>
        </w:tc>
        <w:tc>
          <w:tcPr>
            <w:tcW w:type="dxa" w:w="1944"/>
          </w:tcPr>
          <w:p>
            <w:pPr>
              <w:spacing w:after="40"/>
            </w:pPr>
            <w:r>
              <w:rPr>
                <w:rFonts w:ascii="Times New Roman" w:hAnsi="Times New Roman"/>
                <w:b w:val="0"/>
                <w:i w:val="0"/>
                <w:sz w:val="17"/>
              </w:rPr>
              <w:t>§9</w:t>
            </w:r>
          </w:p>
        </w:tc>
        <w:tc>
          <w:tcPr>
            <w:tcW w:type="dxa" w:w="1080"/>
          </w:tcPr>
          <w:p>
            <w:pPr>
              <w:spacing w:after="40"/>
            </w:pPr>
            <w:r>
              <w:rPr>
                <w:rFonts w:ascii="Times New Roman" w:hAnsi="Times New Roman"/>
                <w:b w:val="0"/>
                <w:i w:val="0"/>
                <w:sz w:val="17"/>
              </w:rPr>
              <w:t>2</w:t>
            </w:r>
          </w:p>
        </w:tc>
      </w:tr>
      <w:tr>
        <w:trPr>
          <w:cantSplit/>
        </w:trPr>
        <w:tc>
          <w:tcPr>
            <w:tcW w:type="dxa" w:w="2088"/>
          </w:tcPr>
          <w:p>
            <w:pPr>
              <w:spacing w:after="40"/>
            </w:pPr>
            <w:r>
              <w:rPr>
                <w:rFonts w:ascii="Times New Roman" w:hAnsi="Times New Roman"/>
                <w:b w:val="0"/>
                <w:i w:val="0"/>
                <w:sz w:val="17"/>
              </w:rPr>
              <w:t>Lender protections: leasehold mortgage, SNDA, New Lease, default notices, no voluntary surrender, foreclosure</w:t>
            </w:r>
          </w:p>
        </w:tc>
        <w:tc>
          <w:tcPr>
            <w:tcW w:type="dxa" w:w="4248"/>
          </w:tcPr>
          <w:p>
            <w:pPr>
              <w:spacing w:after="40"/>
            </w:pPr>
            <w:r>
              <w:rPr>
                <w:rFonts w:ascii="Times New Roman" w:hAnsi="Times New Roman"/>
                <w:b w:val="0"/>
                <w:i w:val="0"/>
                <w:sz w:val="17"/>
              </w:rPr>
              <w:t>Term Sheet §9; Loan TS §5</w:t>
            </w:r>
          </w:p>
        </w:tc>
        <w:tc>
          <w:tcPr>
            <w:tcW w:type="dxa" w:w="1944"/>
          </w:tcPr>
          <w:p>
            <w:pPr>
              <w:spacing w:after="40"/>
            </w:pPr>
            <w:r>
              <w:rPr>
                <w:rFonts w:ascii="Times New Roman" w:hAnsi="Times New Roman"/>
                <w:b w:val="0"/>
                <w:i w:val="0"/>
                <w:sz w:val="17"/>
              </w:rPr>
              <w:t>§9</w:t>
            </w:r>
          </w:p>
        </w:tc>
        <w:tc>
          <w:tcPr>
            <w:tcW w:type="dxa" w:w="1080"/>
          </w:tcPr>
          <w:p>
            <w:pPr>
              <w:spacing w:after="40"/>
            </w:pPr>
            <w:r>
              <w:rPr>
                <w:rFonts w:ascii="Times New Roman" w:hAnsi="Times New Roman"/>
                <w:b w:val="0"/>
                <w:i w:val="0"/>
                <w:sz w:val="17"/>
              </w:rPr>
              <w:t>8–12</w:t>
            </w:r>
          </w:p>
        </w:tc>
      </w:tr>
      <w:tr>
        <w:trPr>
          <w:cantSplit/>
        </w:trPr>
        <w:tc>
          <w:tcPr>
            <w:tcW w:type="dxa" w:w="2088"/>
          </w:tcPr>
          <w:p>
            <w:pPr>
              <w:spacing w:after="40"/>
            </w:pPr>
            <w:r>
              <w:rPr>
                <w:rFonts w:ascii="Times New Roman" w:hAnsi="Times New Roman"/>
                <w:b w:val="0"/>
                <w:i w:val="0"/>
                <w:sz w:val="17"/>
              </w:rPr>
              <w:t>Bayside's nine ground-lease requirements, each a condition precedent</w:t>
            </w:r>
          </w:p>
        </w:tc>
        <w:tc>
          <w:tcPr>
            <w:tcW w:type="dxa" w:w="4248"/>
          </w:tcPr>
          <w:p>
            <w:pPr>
              <w:spacing w:after="40"/>
            </w:pPr>
            <w:r>
              <w:rPr>
                <w:rFonts w:ascii="Times New Roman" w:hAnsi="Times New Roman"/>
                <w:b w:val="0"/>
                <w:i w:val="0"/>
                <w:sz w:val="17"/>
              </w:rPr>
              <w:t>Loan TS §5, §6(a)</w:t>
            </w:r>
          </w:p>
        </w:tc>
        <w:tc>
          <w:tcPr>
            <w:tcW w:type="dxa" w:w="1944"/>
          </w:tcPr>
          <w:p>
            <w:pPr>
              <w:spacing w:after="40"/>
            </w:pPr>
            <w:r>
              <w:rPr>
                <w:rFonts w:ascii="Times New Roman" w:hAnsi="Times New Roman"/>
                <w:b w:val="0"/>
                <w:i w:val="0"/>
                <w:sz w:val="17"/>
              </w:rPr>
              <w:t>§5</w:t>
            </w:r>
          </w:p>
        </w:tc>
        <w:tc>
          <w:tcPr>
            <w:tcW w:type="dxa" w:w="1080"/>
          </w:tcPr>
          <w:p>
            <w:pPr>
              <w:spacing w:after="40"/>
            </w:pPr>
            <w:r>
              <w:rPr>
                <w:rFonts w:ascii="Times New Roman" w:hAnsi="Times New Roman"/>
                <w:b w:val="0"/>
                <w:i w:val="0"/>
                <w:sz w:val="17"/>
              </w:rPr>
              <w:t>8–12</w:t>
            </w:r>
          </w:p>
        </w:tc>
      </w:tr>
      <w:tr>
        <w:trPr>
          <w:cantSplit/>
        </w:trPr>
        <w:tc>
          <w:tcPr>
            <w:tcW w:type="dxa" w:w="2088"/>
          </w:tcPr>
          <w:p>
            <w:pPr>
              <w:spacing w:after="40"/>
            </w:pPr>
            <w:r>
              <w:rPr>
                <w:rFonts w:ascii="Times New Roman" w:hAnsi="Times New Roman"/>
                <w:b w:val="0"/>
                <w:i w:val="0"/>
                <w:sz w:val="17"/>
              </w:rPr>
              <w:t>New Lease: any termination; 60-day request; 30-day execution; 90/180-day cure</w:t>
            </w:r>
          </w:p>
        </w:tc>
        <w:tc>
          <w:tcPr>
            <w:tcW w:type="dxa" w:w="4248"/>
          </w:tcPr>
          <w:p>
            <w:pPr>
              <w:spacing w:after="40"/>
            </w:pPr>
            <w:r>
              <w:rPr>
                <w:rFonts w:ascii="Times New Roman" w:hAnsi="Times New Roman"/>
                <w:b w:val="0"/>
                <w:i w:val="0"/>
                <w:sz w:val="17"/>
              </w:rPr>
              <w:t>Loan TS §5.3</w:t>
            </w:r>
          </w:p>
        </w:tc>
        <w:tc>
          <w:tcPr>
            <w:tcW w:type="dxa" w:w="1944"/>
          </w:tcPr>
          <w:p>
            <w:pPr>
              <w:spacing w:after="40"/>
            </w:pPr>
            <w:r>
              <w:rPr>
                <w:rFonts w:ascii="Times New Roman" w:hAnsi="Times New Roman"/>
                <w:b w:val="0"/>
                <w:i w:val="0"/>
                <w:sz w:val="17"/>
              </w:rPr>
              <w:t>§5.3</w:t>
            </w:r>
          </w:p>
        </w:tc>
        <w:tc>
          <w:tcPr>
            <w:tcW w:type="dxa" w:w="1080"/>
          </w:tcPr>
          <w:p>
            <w:pPr>
              <w:spacing w:after="40"/>
            </w:pPr>
            <w:r>
              <w:rPr>
                <w:rFonts w:ascii="Times New Roman" w:hAnsi="Times New Roman"/>
                <w:b w:val="0"/>
                <w:i w:val="0"/>
                <w:sz w:val="17"/>
              </w:rPr>
              <w:t>8</w:t>
            </w:r>
          </w:p>
        </w:tc>
      </w:tr>
      <w:tr>
        <w:trPr>
          <w:cantSplit/>
        </w:trPr>
        <w:tc>
          <w:tcPr>
            <w:tcW w:type="dxa" w:w="2088"/>
          </w:tcPr>
          <w:p>
            <w:pPr>
              <w:spacing w:after="40"/>
            </w:pPr>
            <w:r>
              <w:rPr>
                <w:rFonts w:ascii="Times New Roman" w:hAnsi="Times New Roman"/>
                <w:b w:val="0"/>
                <w:i w:val="0"/>
                <w:sz w:val="17"/>
              </w:rPr>
              <w:t>Lender cure "in addition to, and not concurrent with" Tenant's</w:t>
            </w:r>
          </w:p>
        </w:tc>
        <w:tc>
          <w:tcPr>
            <w:tcW w:type="dxa" w:w="4248"/>
          </w:tcPr>
          <w:p>
            <w:pPr>
              <w:spacing w:after="40"/>
            </w:pPr>
            <w:r>
              <w:rPr>
                <w:rFonts w:ascii="Times New Roman" w:hAnsi="Times New Roman"/>
                <w:b w:val="0"/>
                <w:i w:val="0"/>
                <w:sz w:val="17"/>
              </w:rPr>
              <w:t>Loan TS §5.4</w:t>
            </w:r>
          </w:p>
        </w:tc>
        <w:tc>
          <w:tcPr>
            <w:tcW w:type="dxa" w:w="1944"/>
          </w:tcPr>
          <w:p>
            <w:pPr>
              <w:spacing w:after="40"/>
            </w:pPr>
            <w:r>
              <w:rPr>
                <w:rFonts w:ascii="Times New Roman" w:hAnsi="Times New Roman"/>
                <w:b w:val="0"/>
                <w:i w:val="0"/>
                <w:sz w:val="17"/>
              </w:rPr>
              <w:t>§5.4</w:t>
            </w:r>
          </w:p>
        </w:tc>
        <w:tc>
          <w:tcPr>
            <w:tcW w:type="dxa" w:w="1080"/>
          </w:tcPr>
          <w:p>
            <w:pPr>
              <w:spacing w:after="40"/>
            </w:pPr>
            <w:r>
              <w:rPr>
                <w:rFonts w:ascii="Times New Roman" w:hAnsi="Times New Roman"/>
                <w:b w:val="0"/>
                <w:i w:val="0"/>
                <w:sz w:val="17"/>
              </w:rPr>
              <w:t>9</w:t>
            </w:r>
          </w:p>
        </w:tc>
      </w:tr>
      <w:tr>
        <w:trPr>
          <w:cantSplit/>
        </w:trPr>
        <w:tc>
          <w:tcPr>
            <w:tcW w:type="dxa" w:w="2088"/>
          </w:tcPr>
          <w:p>
            <w:pPr>
              <w:spacing w:after="40"/>
            </w:pPr>
            <w:r>
              <w:rPr>
                <w:rFonts w:ascii="Times New Roman" w:hAnsi="Times New Roman"/>
                <w:b w:val="0"/>
                <w:i w:val="0"/>
                <w:sz w:val="17"/>
              </w:rPr>
              <w:t>Loan term 48 months plus two 6-month extensions</w:t>
            </w:r>
          </w:p>
        </w:tc>
        <w:tc>
          <w:tcPr>
            <w:tcW w:type="dxa" w:w="4248"/>
          </w:tcPr>
          <w:p>
            <w:pPr>
              <w:spacing w:after="40"/>
            </w:pPr>
            <w:r>
              <w:rPr>
                <w:rFonts w:ascii="Times New Roman" w:hAnsi="Times New Roman"/>
                <w:b w:val="0"/>
                <w:i w:val="0"/>
                <w:sz w:val="17"/>
              </w:rPr>
              <w:t>Loan TS §2</w:t>
            </w:r>
          </w:p>
        </w:tc>
        <w:tc>
          <w:tcPr>
            <w:tcW w:type="dxa" w:w="1944"/>
          </w:tcPr>
          <w:p>
            <w:pPr>
              <w:spacing w:after="40"/>
            </w:pPr>
            <w:r>
              <w:rPr>
                <w:rFonts w:ascii="Times New Roman" w:hAnsi="Times New Roman"/>
                <w:b w:val="0"/>
                <w:i w:val="0"/>
                <w:sz w:val="17"/>
              </w:rPr>
              <w:t>§2</w:t>
            </w:r>
          </w:p>
        </w:tc>
        <w:tc>
          <w:tcPr>
            <w:tcW w:type="dxa" w:w="1080"/>
          </w:tcPr>
          <w:p>
            <w:pPr>
              <w:spacing w:after="40"/>
            </w:pPr>
            <w:r>
              <w:rPr>
                <w:rFonts w:ascii="Times New Roman" w:hAnsi="Times New Roman"/>
                <w:b w:val="0"/>
                <w:i w:val="0"/>
                <w:sz w:val="17"/>
              </w:rPr>
              <w:t>13</w:t>
            </w:r>
          </w:p>
        </w:tc>
      </w:tr>
      <w:tr>
        <w:trPr>
          <w:cantSplit/>
        </w:trPr>
        <w:tc>
          <w:tcPr>
            <w:tcW w:type="dxa" w:w="2088"/>
          </w:tcPr>
          <w:p>
            <w:pPr>
              <w:spacing w:after="40"/>
            </w:pPr>
            <w:r>
              <w:rPr>
                <w:rFonts w:ascii="Times New Roman" w:hAnsi="Times New Roman"/>
                <w:b w:val="0"/>
                <w:i w:val="0"/>
                <w:sz w:val="17"/>
              </w:rPr>
              <w:t>Completion guaranty by Coventry to the Initial Maturity Date</w:t>
            </w:r>
          </w:p>
        </w:tc>
        <w:tc>
          <w:tcPr>
            <w:tcW w:type="dxa" w:w="4248"/>
          </w:tcPr>
          <w:p>
            <w:pPr>
              <w:spacing w:after="40"/>
            </w:pPr>
            <w:r>
              <w:rPr>
                <w:rFonts w:ascii="Times New Roman" w:hAnsi="Times New Roman"/>
                <w:b w:val="0"/>
                <w:i w:val="0"/>
                <w:sz w:val="17"/>
              </w:rPr>
              <w:t>Loan TS §4</w:t>
            </w:r>
          </w:p>
        </w:tc>
        <w:tc>
          <w:tcPr>
            <w:tcW w:type="dxa" w:w="1944"/>
          </w:tcPr>
          <w:p>
            <w:pPr>
              <w:spacing w:after="40"/>
            </w:pPr>
            <w:r>
              <w:rPr>
                <w:rFonts w:ascii="Times New Roman" w:hAnsi="Times New Roman"/>
                <w:b w:val="0"/>
                <w:i w:val="0"/>
                <w:sz w:val="17"/>
              </w:rPr>
              <w:t>§4</w:t>
            </w:r>
          </w:p>
        </w:tc>
        <w:tc>
          <w:tcPr>
            <w:tcW w:type="dxa" w:w="1080"/>
          </w:tcPr>
          <w:p>
            <w:pPr>
              <w:spacing w:after="40"/>
            </w:pPr>
            <w:r>
              <w:rPr>
                <w:rFonts w:ascii="Times New Roman" w:hAnsi="Times New Roman"/>
                <w:b w:val="0"/>
                <w:i w:val="0"/>
                <w:sz w:val="17"/>
              </w:rPr>
              <w:t>13</w:t>
            </w:r>
          </w:p>
        </w:tc>
      </w:tr>
      <w:tr>
        <w:trPr>
          <w:cantSplit/>
        </w:trPr>
        <w:tc>
          <w:tcPr>
            <w:tcW w:type="dxa" w:w="2088"/>
          </w:tcPr>
          <w:p>
            <w:pPr>
              <w:spacing w:after="40"/>
            </w:pPr>
            <w:r>
              <w:rPr>
                <w:rFonts w:ascii="Times New Roman" w:hAnsi="Times New Roman"/>
                <w:b w:val="0"/>
                <w:i w:val="0"/>
                <w:sz w:val="17"/>
              </w:rPr>
              <w:t>Pledge of 100% of membership interests</w:t>
            </w:r>
          </w:p>
        </w:tc>
        <w:tc>
          <w:tcPr>
            <w:tcW w:type="dxa" w:w="4248"/>
          </w:tcPr>
          <w:p>
            <w:pPr>
              <w:spacing w:after="40"/>
            </w:pPr>
            <w:r>
              <w:rPr>
                <w:rFonts w:ascii="Times New Roman" w:hAnsi="Times New Roman"/>
                <w:b w:val="0"/>
                <w:i w:val="0"/>
                <w:sz w:val="17"/>
              </w:rPr>
              <w:t>Loan TS §4</w:t>
            </w:r>
          </w:p>
        </w:tc>
        <w:tc>
          <w:tcPr>
            <w:tcW w:type="dxa" w:w="1944"/>
          </w:tcPr>
          <w:p>
            <w:pPr>
              <w:spacing w:after="40"/>
            </w:pPr>
            <w:r>
              <w:rPr>
                <w:rFonts w:ascii="Times New Roman" w:hAnsi="Times New Roman"/>
                <w:b w:val="0"/>
                <w:i w:val="0"/>
                <w:sz w:val="17"/>
              </w:rPr>
              <w:t>§4</w:t>
            </w:r>
          </w:p>
        </w:tc>
        <w:tc>
          <w:tcPr>
            <w:tcW w:type="dxa" w:w="1080"/>
          </w:tcPr>
          <w:p>
            <w:pPr>
              <w:spacing w:after="40"/>
            </w:pPr>
            <w:r>
              <w:rPr>
                <w:rFonts w:ascii="Times New Roman" w:hAnsi="Times New Roman"/>
                <w:b w:val="0"/>
                <w:i w:val="0"/>
                <w:sz w:val="17"/>
              </w:rPr>
              <w:t>43</w:t>
            </w:r>
          </w:p>
        </w:tc>
      </w:tr>
      <w:tr>
        <w:trPr>
          <w:cantSplit/>
        </w:trPr>
        <w:tc>
          <w:tcPr>
            <w:tcW w:type="dxa" w:w="2088"/>
          </w:tcPr>
          <w:p>
            <w:pPr>
              <w:spacing w:after="40"/>
            </w:pPr>
            <w:r>
              <w:rPr>
                <w:rFonts w:ascii="Times New Roman" w:hAnsi="Times New Roman"/>
                <w:b w:val="0"/>
                <w:i w:val="0"/>
                <w:sz w:val="17"/>
              </w:rPr>
              <w:t>LTV not to exceed 75%</w:t>
            </w:r>
          </w:p>
        </w:tc>
        <w:tc>
          <w:tcPr>
            <w:tcW w:type="dxa" w:w="4248"/>
          </w:tcPr>
          <w:p>
            <w:pPr>
              <w:spacing w:after="40"/>
            </w:pPr>
            <w:r>
              <w:rPr>
                <w:rFonts w:ascii="Times New Roman" w:hAnsi="Times New Roman"/>
                <w:b w:val="0"/>
                <w:i w:val="0"/>
                <w:sz w:val="17"/>
              </w:rPr>
              <w:t>Loan TS §6(k)</w:t>
            </w:r>
          </w:p>
        </w:tc>
        <w:tc>
          <w:tcPr>
            <w:tcW w:type="dxa" w:w="1944"/>
          </w:tcPr>
          <w:p>
            <w:pPr>
              <w:spacing w:after="40"/>
            </w:pPr>
            <w:r>
              <w:rPr>
                <w:rFonts w:ascii="Times New Roman" w:hAnsi="Times New Roman"/>
                <w:b w:val="0"/>
                <w:i w:val="0"/>
                <w:sz w:val="17"/>
              </w:rPr>
              <w:t>§6(k)</w:t>
            </w:r>
          </w:p>
        </w:tc>
        <w:tc>
          <w:tcPr>
            <w:tcW w:type="dxa" w:w="1080"/>
          </w:tcPr>
          <w:p>
            <w:pPr>
              <w:spacing w:after="40"/>
            </w:pPr>
            <w:r>
              <w:rPr>
                <w:rFonts w:ascii="Times New Roman" w:hAnsi="Times New Roman"/>
                <w:b w:val="0"/>
                <w:i w:val="0"/>
                <w:sz w:val="17"/>
              </w:rPr>
              <w:t>46</w:t>
            </w:r>
          </w:p>
        </w:tc>
      </w:tr>
      <w:tr>
        <w:trPr>
          <w:cantSplit/>
        </w:trPr>
        <w:tc>
          <w:tcPr>
            <w:tcW w:type="dxa" w:w="2088"/>
          </w:tcPr>
          <w:p>
            <w:pPr>
              <w:spacing w:after="40"/>
            </w:pPr>
            <w:r>
              <w:rPr>
                <w:rFonts w:ascii="Times New Roman" w:hAnsi="Times New Roman"/>
                <w:b w:val="0"/>
                <w:i w:val="0"/>
                <w:sz w:val="17"/>
              </w:rPr>
              <w:t>Flood insurance; additional insured/loss payee</w:t>
            </w:r>
          </w:p>
        </w:tc>
        <w:tc>
          <w:tcPr>
            <w:tcW w:type="dxa" w:w="4248"/>
          </w:tcPr>
          <w:p>
            <w:pPr>
              <w:spacing w:after="40"/>
            </w:pPr>
            <w:r>
              <w:rPr>
                <w:rFonts w:ascii="Times New Roman" w:hAnsi="Times New Roman"/>
                <w:b w:val="0"/>
                <w:i w:val="0"/>
                <w:sz w:val="17"/>
              </w:rPr>
              <w:t>Term Sheet §12; Loan TS §6(h)</w:t>
            </w:r>
          </w:p>
        </w:tc>
        <w:tc>
          <w:tcPr>
            <w:tcW w:type="dxa" w:w="1944"/>
          </w:tcPr>
          <w:p>
            <w:pPr>
              <w:spacing w:after="40"/>
            </w:pPr>
            <w:r>
              <w:rPr>
                <w:rFonts w:ascii="Times New Roman" w:hAnsi="Times New Roman"/>
                <w:b w:val="0"/>
                <w:i w:val="0"/>
                <w:sz w:val="17"/>
              </w:rPr>
              <w:t>Multiple</w:t>
            </w:r>
          </w:p>
        </w:tc>
        <w:tc>
          <w:tcPr>
            <w:tcW w:type="dxa" w:w="1080"/>
          </w:tcPr>
          <w:p>
            <w:pPr>
              <w:spacing w:after="40"/>
            </w:pPr>
            <w:r>
              <w:rPr>
                <w:rFonts w:ascii="Times New Roman" w:hAnsi="Times New Roman"/>
                <w:b w:val="0"/>
                <w:i w:val="0"/>
                <w:sz w:val="17"/>
              </w:rPr>
              <w:t>37</w:t>
            </w:r>
          </w:p>
        </w:tc>
      </w:tr>
      <w:tr>
        <w:trPr>
          <w:cantSplit/>
        </w:trPr>
        <w:tc>
          <w:tcPr>
            <w:tcW w:type="dxa" w:w="2088"/>
          </w:tcPr>
          <w:p>
            <w:pPr>
              <w:spacing w:after="40"/>
            </w:pPr>
            <w:r>
              <w:rPr>
                <w:rFonts w:ascii="Times New Roman" w:hAnsi="Times New Roman"/>
                <w:b w:val="0"/>
                <w:i w:val="0"/>
                <w:sz w:val="17"/>
              </w:rPr>
              <w:t>Title Commitment Effective Date June 1, 2025; expires December 1, 2025</w:t>
            </w:r>
          </w:p>
        </w:tc>
        <w:tc>
          <w:tcPr>
            <w:tcW w:type="dxa" w:w="4248"/>
          </w:tcPr>
          <w:p>
            <w:pPr>
              <w:spacing w:after="40"/>
            </w:pPr>
            <w:r>
              <w:rPr>
                <w:rFonts w:ascii="Times New Roman" w:hAnsi="Times New Roman"/>
                <w:b w:val="0"/>
                <w:i w:val="0"/>
                <w:sz w:val="17"/>
              </w:rPr>
              <w:t>Title Commitment, Conditions and Stipulations</w:t>
            </w:r>
          </w:p>
        </w:tc>
        <w:tc>
          <w:tcPr>
            <w:tcW w:type="dxa" w:w="1944"/>
          </w:tcPr>
          <w:p>
            <w:pPr>
              <w:spacing w:after="40"/>
            </w:pPr>
            <w:r>
              <w:rPr>
                <w:rFonts w:ascii="Times New Roman" w:hAnsi="Times New Roman"/>
                <w:b w:val="0"/>
                <w:i w:val="0"/>
                <w:sz w:val="17"/>
              </w:rPr>
              <w:t>—</w:t>
            </w:r>
          </w:p>
        </w:tc>
        <w:tc>
          <w:tcPr>
            <w:tcW w:type="dxa" w:w="1080"/>
          </w:tcPr>
          <w:p>
            <w:pPr>
              <w:spacing w:after="40"/>
            </w:pPr>
            <w:r>
              <w:rPr>
                <w:rFonts w:ascii="Times New Roman" w:hAnsi="Times New Roman"/>
                <w:b w:val="0"/>
                <w:i w:val="0"/>
                <w:sz w:val="17"/>
              </w:rPr>
              <w:t>19</w:t>
            </w:r>
          </w:p>
        </w:tc>
      </w:tr>
      <w:tr>
        <w:trPr>
          <w:cantSplit/>
        </w:trPr>
        <w:tc>
          <w:tcPr>
            <w:tcW w:type="dxa" w:w="2088"/>
          </w:tcPr>
          <w:p>
            <w:pPr>
              <w:spacing w:after="40"/>
            </w:pPr>
            <w:r>
              <w:rPr>
                <w:rFonts w:ascii="Times New Roman" w:hAnsi="Times New Roman"/>
                <w:b w:val="0"/>
                <w:i w:val="0"/>
                <w:sz w:val="17"/>
              </w:rPr>
              <w:t>Fee title acquired by condemnation, 2012</w:t>
            </w:r>
          </w:p>
        </w:tc>
        <w:tc>
          <w:tcPr>
            <w:tcW w:type="dxa" w:w="4248"/>
          </w:tcPr>
          <w:p>
            <w:pPr>
              <w:spacing w:after="40"/>
            </w:pPr>
            <w:r>
              <w:rPr>
                <w:rFonts w:ascii="Times New Roman" w:hAnsi="Times New Roman"/>
                <w:b w:val="0"/>
                <w:i w:val="0"/>
                <w:sz w:val="17"/>
              </w:rPr>
              <w:t>Term Sheet §2; Title §4; Survey §4</w:t>
            </w:r>
          </w:p>
        </w:tc>
        <w:tc>
          <w:tcPr>
            <w:tcW w:type="dxa" w:w="1944"/>
          </w:tcPr>
          <w:p>
            <w:pPr>
              <w:spacing w:after="40"/>
            </w:pPr>
            <w:r>
              <w:rPr>
                <w:rFonts w:ascii="Times New Roman" w:hAnsi="Times New Roman"/>
                <w:b w:val="0"/>
                <w:i w:val="0"/>
                <w:sz w:val="17"/>
              </w:rPr>
              <w:t>Multiple</w:t>
            </w:r>
          </w:p>
        </w:tc>
        <w:tc>
          <w:tcPr>
            <w:tcW w:type="dxa" w:w="1080"/>
          </w:tcPr>
          <w:p>
            <w:pPr>
              <w:spacing w:after="40"/>
            </w:pPr>
            <w:r>
              <w:rPr>
                <w:rFonts w:ascii="Times New Roman" w:hAnsi="Times New Roman"/>
                <w:b w:val="0"/>
                <w:i w:val="0"/>
                <w:sz w:val="17"/>
              </w:rPr>
              <w:t>17</w:t>
            </w:r>
          </w:p>
        </w:tc>
      </w:tr>
      <w:tr>
        <w:trPr>
          <w:cantSplit/>
        </w:trPr>
        <w:tc>
          <w:tcPr>
            <w:tcW w:type="dxa" w:w="2088"/>
          </w:tcPr>
          <w:p>
            <w:pPr>
              <w:spacing w:after="40"/>
            </w:pPr>
            <w:r>
              <w:rPr>
                <w:rFonts w:ascii="Times New Roman" w:hAnsi="Times New Roman"/>
                <w:b w:val="0"/>
                <w:i w:val="0"/>
                <w:sz w:val="17"/>
              </w:rPr>
              <w:t>Legal description (Title Exhibit A) and metes and bounds (Survey §4)</w:t>
            </w:r>
          </w:p>
        </w:tc>
        <w:tc>
          <w:tcPr>
            <w:tcW w:type="dxa" w:w="4248"/>
          </w:tcPr>
          <w:p>
            <w:pPr>
              <w:spacing w:after="40"/>
            </w:pPr>
            <w:r>
              <w:rPr>
                <w:rFonts w:ascii="Times New Roman" w:hAnsi="Times New Roman"/>
                <w:b w:val="0"/>
                <w:i w:val="0"/>
                <w:sz w:val="17"/>
              </w:rPr>
              <w:t>Title Ex. A; Survey §4</w:t>
            </w:r>
          </w:p>
        </w:tc>
        <w:tc>
          <w:tcPr>
            <w:tcW w:type="dxa" w:w="1944"/>
          </w:tcPr>
          <w:p>
            <w:pPr>
              <w:spacing w:after="40"/>
            </w:pPr>
            <w:r>
              <w:rPr>
                <w:rFonts w:ascii="Times New Roman" w:hAnsi="Times New Roman"/>
                <w:b w:val="0"/>
                <w:i w:val="0"/>
                <w:sz w:val="17"/>
              </w:rPr>
              <w:t>—</w:t>
            </w:r>
          </w:p>
        </w:tc>
        <w:tc>
          <w:tcPr>
            <w:tcW w:type="dxa" w:w="1080"/>
          </w:tcPr>
          <w:p>
            <w:pPr>
              <w:spacing w:after="40"/>
            </w:pPr>
            <w:r>
              <w:rPr>
                <w:rFonts w:ascii="Times New Roman" w:hAnsi="Times New Roman"/>
                <w:b w:val="0"/>
                <w:i w:val="0"/>
                <w:sz w:val="17"/>
              </w:rPr>
              <w:t>14, 15</w:t>
            </w:r>
          </w:p>
        </w:tc>
      </w:tr>
      <w:tr>
        <w:trPr>
          <w:cantSplit/>
        </w:trPr>
        <w:tc>
          <w:tcPr>
            <w:tcW w:type="dxa" w:w="2088"/>
          </w:tcPr>
          <w:p>
            <w:pPr>
              <w:spacing w:after="40"/>
            </w:pPr>
            <w:r>
              <w:rPr>
                <w:rFonts w:ascii="Times New Roman" w:hAnsi="Times New Roman"/>
                <w:b w:val="0"/>
                <w:i w:val="0"/>
                <w:sz w:val="17"/>
              </w:rPr>
              <w:t>Mechanics' lien $187,500, Vol. 418, Pg. 302, filed April 3, 2025</w:t>
            </w:r>
          </w:p>
        </w:tc>
        <w:tc>
          <w:tcPr>
            <w:tcW w:type="dxa" w:w="4248"/>
          </w:tcPr>
          <w:p>
            <w:pPr>
              <w:spacing w:after="40"/>
            </w:pPr>
            <w:r>
              <w:rPr>
                <w:rFonts w:ascii="Times New Roman" w:hAnsi="Times New Roman"/>
                <w:b w:val="0"/>
                <w:i w:val="0"/>
                <w:sz w:val="17"/>
              </w:rPr>
              <w:t>Term Sheet §13(6); Title Ex. 6 and Req. 7</w:t>
            </w:r>
          </w:p>
        </w:tc>
        <w:tc>
          <w:tcPr>
            <w:tcW w:type="dxa" w:w="1944"/>
          </w:tcPr>
          <w:p>
            <w:pPr>
              <w:spacing w:after="40"/>
            </w:pPr>
            <w:r>
              <w:rPr>
                <w:rFonts w:ascii="Times New Roman" w:hAnsi="Times New Roman"/>
                <w:b w:val="0"/>
                <w:i w:val="0"/>
                <w:sz w:val="17"/>
              </w:rPr>
              <w:t>Multiple</w:t>
            </w:r>
          </w:p>
        </w:tc>
        <w:tc>
          <w:tcPr>
            <w:tcW w:type="dxa" w:w="1080"/>
          </w:tcPr>
          <w:p>
            <w:pPr>
              <w:spacing w:after="40"/>
            </w:pPr>
            <w:r>
              <w:rPr>
                <w:rFonts w:ascii="Times New Roman" w:hAnsi="Times New Roman"/>
                <w:b w:val="0"/>
                <w:i w:val="0"/>
                <w:sz w:val="17"/>
              </w:rPr>
              <w:t>18</w:t>
            </w:r>
          </w:p>
        </w:tc>
      </w:tr>
      <w:tr>
        <w:trPr>
          <w:cantSplit/>
        </w:trPr>
        <w:tc>
          <w:tcPr>
            <w:tcW w:type="dxa" w:w="2088"/>
          </w:tcPr>
          <w:p>
            <w:pPr>
              <w:spacing w:after="40"/>
            </w:pPr>
            <w:r>
              <w:rPr>
                <w:rFonts w:ascii="Times New Roman" w:hAnsi="Times New Roman"/>
                <w:b w:val="0"/>
                <w:i w:val="0"/>
                <w:sz w:val="17"/>
              </w:rPr>
              <w:t>ROFR in favor of the Authority for the first 20 years; recorded 2019 declaration; no mortgagee carve-out</w:t>
            </w:r>
          </w:p>
        </w:tc>
        <w:tc>
          <w:tcPr>
            <w:tcW w:type="dxa" w:w="4248"/>
          </w:tcPr>
          <w:p>
            <w:pPr>
              <w:spacing w:after="40"/>
            </w:pPr>
            <w:r>
              <w:rPr>
                <w:rFonts w:ascii="Times New Roman" w:hAnsi="Times New Roman"/>
                <w:b w:val="0"/>
                <w:i w:val="0"/>
                <w:sz w:val="17"/>
              </w:rPr>
              <w:t>Term Sheet §11; Title Ex. 4</w:t>
            </w:r>
          </w:p>
        </w:tc>
        <w:tc>
          <w:tcPr>
            <w:tcW w:type="dxa" w:w="1944"/>
          </w:tcPr>
          <w:p>
            <w:pPr>
              <w:spacing w:after="40"/>
            </w:pPr>
            <w:r>
              <w:rPr>
                <w:rFonts w:ascii="Times New Roman" w:hAnsi="Times New Roman"/>
                <w:b w:val="0"/>
                <w:i w:val="0"/>
                <w:sz w:val="17"/>
              </w:rPr>
              <w:t>Multiple</w:t>
            </w:r>
          </w:p>
        </w:tc>
        <w:tc>
          <w:tcPr>
            <w:tcW w:type="dxa" w:w="1080"/>
          </w:tcPr>
          <w:p>
            <w:pPr>
              <w:spacing w:after="40"/>
            </w:pPr>
            <w:r>
              <w:rPr>
                <w:rFonts w:ascii="Times New Roman" w:hAnsi="Times New Roman"/>
                <w:b w:val="0"/>
                <w:i w:val="0"/>
                <w:sz w:val="17"/>
              </w:rPr>
              <w:t>12</w:t>
            </w:r>
          </w:p>
        </w:tc>
      </w:tr>
      <w:tr>
        <w:trPr>
          <w:cantSplit/>
        </w:trPr>
        <w:tc>
          <w:tcPr>
            <w:tcW w:type="dxa" w:w="2088"/>
          </w:tcPr>
          <w:p>
            <w:pPr>
              <w:spacing w:after="40"/>
            </w:pPr>
            <w:r>
              <w:rPr>
                <w:rFonts w:ascii="Times New Roman" w:hAnsi="Times New Roman"/>
                <w:b w:val="0"/>
                <w:i w:val="0"/>
                <w:sz w:val="17"/>
              </w:rPr>
              <w:t>Affordable housing 15% at 80% AMI; recorded 2019 declaration; gaps (i)–(vi)</w:t>
            </w:r>
          </w:p>
        </w:tc>
        <w:tc>
          <w:tcPr>
            <w:tcW w:type="dxa" w:w="4248"/>
          </w:tcPr>
          <w:p>
            <w:pPr>
              <w:spacing w:after="40"/>
            </w:pPr>
            <w:r>
              <w:rPr>
                <w:rFonts w:ascii="Times New Roman" w:hAnsi="Times New Roman"/>
                <w:b w:val="0"/>
                <w:i w:val="0"/>
                <w:sz w:val="17"/>
              </w:rPr>
              <w:t>Term Sheet §4; Title Ex. 5; Resolution §2(b)</w:t>
            </w:r>
          </w:p>
        </w:tc>
        <w:tc>
          <w:tcPr>
            <w:tcW w:type="dxa" w:w="1944"/>
          </w:tcPr>
          <w:p>
            <w:pPr>
              <w:spacing w:after="40"/>
            </w:pPr>
            <w:r>
              <w:rPr>
                <w:rFonts w:ascii="Times New Roman" w:hAnsi="Times New Roman"/>
                <w:b w:val="0"/>
                <w:i w:val="0"/>
                <w:sz w:val="17"/>
              </w:rPr>
              <w:t>Multiple</w:t>
            </w:r>
          </w:p>
        </w:tc>
        <w:tc>
          <w:tcPr>
            <w:tcW w:type="dxa" w:w="1080"/>
          </w:tcPr>
          <w:p>
            <w:pPr>
              <w:spacing w:after="40"/>
            </w:pPr>
            <w:r>
              <w:rPr>
                <w:rFonts w:ascii="Times New Roman" w:hAnsi="Times New Roman"/>
                <w:b w:val="0"/>
                <w:i w:val="0"/>
                <w:sz w:val="17"/>
              </w:rPr>
              <w:t>26, 27</w:t>
            </w:r>
          </w:p>
        </w:tc>
      </w:tr>
      <w:tr>
        <w:trPr>
          <w:cantSplit/>
        </w:trPr>
        <w:tc>
          <w:tcPr>
            <w:tcW w:type="dxa" w:w="2088"/>
          </w:tcPr>
          <w:p>
            <w:pPr>
              <w:spacing w:after="40"/>
            </w:pPr>
            <w:r>
              <w:rPr>
                <w:rFonts w:ascii="Times New Roman" w:hAnsi="Times New Roman"/>
                <w:b w:val="0"/>
                <w:i w:val="0"/>
                <w:sz w:val="17"/>
              </w:rPr>
              <w:t>Bulkhead, 480 linear feet, fair to poor; 40 linear feet of cap removed; assessment recommended</w:t>
            </w:r>
          </w:p>
        </w:tc>
        <w:tc>
          <w:tcPr>
            <w:tcW w:type="dxa" w:w="4248"/>
          </w:tcPr>
          <w:p>
            <w:pPr>
              <w:spacing w:after="40"/>
            </w:pPr>
            <w:r>
              <w:rPr>
                <w:rFonts w:ascii="Times New Roman" w:hAnsi="Times New Roman"/>
                <w:b w:val="0"/>
                <w:i w:val="0"/>
                <w:sz w:val="17"/>
              </w:rPr>
              <w:t>Term Sheet §2; Phase II §5 and Rec. 8; Survey §1, §3(d)(iii)</w:t>
            </w:r>
          </w:p>
        </w:tc>
        <w:tc>
          <w:tcPr>
            <w:tcW w:type="dxa" w:w="1944"/>
          </w:tcPr>
          <w:p>
            <w:pPr>
              <w:spacing w:after="40"/>
            </w:pPr>
            <w:r>
              <w:rPr>
                <w:rFonts w:ascii="Times New Roman" w:hAnsi="Times New Roman"/>
                <w:b w:val="0"/>
                <w:i w:val="0"/>
                <w:sz w:val="17"/>
              </w:rPr>
              <w:t>Multiple</w:t>
            </w:r>
          </w:p>
        </w:tc>
        <w:tc>
          <w:tcPr>
            <w:tcW w:type="dxa" w:w="1080"/>
          </w:tcPr>
          <w:p>
            <w:pPr>
              <w:spacing w:after="40"/>
            </w:pPr>
            <w:r>
              <w:rPr>
                <w:rFonts w:ascii="Times New Roman" w:hAnsi="Times New Roman"/>
                <w:b w:val="0"/>
                <w:i w:val="0"/>
                <w:sz w:val="17"/>
              </w:rPr>
              <w:t>15, 33</w:t>
            </w:r>
          </w:p>
        </w:tc>
      </w:tr>
      <w:tr>
        <w:trPr>
          <w:cantSplit/>
        </w:trPr>
        <w:tc>
          <w:tcPr>
            <w:tcW w:type="dxa" w:w="2088"/>
          </w:tcPr>
          <w:p>
            <w:pPr>
              <w:spacing w:after="40"/>
            </w:pPr>
            <w:r>
              <w:rPr>
                <w:rFonts w:ascii="Times New Roman" w:hAnsi="Times New Roman"/>
                <w:b w:val="0"/>
                <w:i w:val="0"/>
                <w:sz w:val="17"/>
              </w:rPr>
              <w:t>Site elevations and flood zone (BFE 12' NAVD88; FFE 15' NAVD88)</w:t>
            </w:r>
          </w:p>
        </w:tc>
        <w:tc>
          <w:tcPr>
            <w:tcW w:type="dxa" w:w="4248"/>
          </w:tcPr>
          <w:p>
            <w:pPr>
              <w:spacing w:after="40"/>
            </w:pPr>
            <w:r>
              <w:rPr>
                <w:rFonts w:ascii="Times New Roman" w:hAnsi="Times New Roman"/>
                <w:b w:val="0"/>
                <w:i w:val="0"/>
                <w:sz w:val="17"/>
              </w:rPr>
              <w:t>Phase II §5; Survey §2; Title Ex. 9</w:t>
            </w:r>
          </w:p>
        </w:tc>
        <w:tc>
          <w:tcPr>
            <w:tcW w:type="dxa" w:w="1944"/>
          </w:tcPr>
          <w:p>
            <w:pPr>
              <w:spacing w:after="40"/>
            </w:pPr>
            <w:r>
              <w:rPr>
                <w:rFonts w:ascii="Times New Roman" w:hAnsi="Times New Roman"/>
                <w:b w:val="0"/>
                <w:i w:val="0"/>
                <w:sz w:val="17"/>
              </w:rPr>
              <w:t>Multiple</w:t>
            </w:r>
          </w:p>
        </w:tc>
        <w:tc>
          <w:tcPr>
            <w:tcW w:type="dxa" w:w="1080"/>
          </w:tcPr>
          <w:p>
            <w:pPr>
              <w:spacing w:after="40"/>
            </w:pPr>
            <w:r>
              <w:rPr>
                <w:rFonts w:ascii="Times New Roman" w:hAnsi="Times New Roman"/>
                <w:b w:val="0"/>
                <w:i w:val="0"/>
                <w:sz w:val="17"/>
              </w:rPr>
              <w:t>31, 32</w:t>
            </w:r>
          </w:p>
        </w:tc>
      </w:tr>
      <w:tr>
        <w:trPr>
          <w:cantSplit/>
        </w:trPr>
        <w:tc>
          <w:tcPr>
            <w:tcW w:type="dxa" w:w="2088"/>
          </w:tcPr>
          <w:p>
            <w:pPr>
              <w:spacing w:after="40"/>
            </w:pPr>
            <w:r>
              <w:rPr>
                <w:rFonts w:ascii="Times New Roman" w:hAnsi="Times New Roman"/>
                <w:b w:val="0"/>
                <w:i w:val="0"/>
                <w:sz w:val="17"/>
              </w:rPr>
              <w:t>Resolution 2025-047 adopted June 5, 2025; delegation limits; material deviations to the Board</w:t>
            </w:r>
          </w:p>
        </w:tc>
        <w:tc>
          <w:tcPr>
            <w:tcW w:type="dxa" w:w="4248"/>
          </w:tcPr>
          <w:p>
            <w:pPr>
              <w:spacing w:after="40"/>
            </w:pPr>
            <w:r>
              <w:rPr>
                <w:rFonts w:ascii="Times New Roman" w:hAnsi="Times New Roman"/>
                <w:b w:val="0"/>
                <w:i w:val="0"/>
                <w:sz w:val="17"/>
              </w:rPr>
              <w:t>Resolution preamble, §4</w:t>
            </w:r>
          </w:p>
        </w:tc>
        <w:tc>
          <w:tcPr>
            <w:tcW w:type="dxa" w:w="1944"/>
          </w:tcPr>
          <w:p>
            <w:pPr>
              <w:spacing w:after="40"/>
            </w:pPr>
            <w:r>
              <w:rPr>
                <w:rFonts w:ascii="Times New Roman" w:hAnsi="Times New Roman"/>
                <w:b w:val="0"/>
                <w:i w:val="0"/>
                <w:sz w:val="17"/>
              </w:rPr>
              <w:t>Multiple</w:t>
            </w:r>
          </w:p>
        </w:tc>
        <w:tc>
          <w:tcPr>
            <w:tcW w:type="dxa" w:w="1080"/>
          </w:tcPr>
          <w:p>
            <w:pPr>
              <w:spacing w:after="40"/>
            </w:pPr>
            <w:r>
              <w:rPr>
                <w:rFonts w:ascii="Times New Roman" w:hAnsi="Times New Roman"/>
                <w:b w:val="0"/>
                <w:i w:val="0"/>
                <w:sz w:val="17"/>
              </w:rPr>
              <w:t>38</w:t>
            </w:r>
          </w:p>
        </w:tc>
      </w:tr>
      <w:tr>
        <w:trPr>
          <w:cantSplit/>
        </w:trPr>
        <w:tc>
          <w:tcPr>
            <w:tcW w:type="dxa" w:w="2088"/>
          </w:tcPr>
          <w:p>
            <w:pPr>
              <w:spacing w:after="40"/>
            </w:pPr>
            <w:r>
              <w:rPr>
                <w:rFonts w:ascii="Times New Roman" w:hAnsi="Times New Roman"/>
                <w:b w:val="0"/>
                <w:i w:val="0"/>
                <w:sz w:val="17"/>
              </w:rPr>
              <w:t>Exclusivity through December 31, 2025; binding nature of the Term Sheet</w:t>
            </w:r>
          </w:p>
        </w:tc>
        <w:tc>
          <w:tcPr>
            <w:tcW w:type="dxa" w:w="4248"/>
          </w:tcPr>
          <w:p>
            <w:pPr>
              <w:spacing w:after="40"/>
            </w:pPr>
            <w:r>
              <w:rPr>
                <w:rFonts w:ascii="Times New Roman" w:hAnsi="Times New Roman"/>
                <w:b w:val="0"/>
                <w:i w:val="0"/>
                <w:sz w:val="17"/>
              </w:rPr>
              <w:t>Term Sheet §19</w:t>
            </w:r>
          </w:p>
        </w:tc>
        <w:tc>
          <w:tcPr>
            <w:tcW w:type="dxa" w:w="1944"/>
          </w:tcPr>
          <w:p>
            <w:pPr>
              <w:spacing w:after="40"/>
            </w:pPr>
            <w:r>
              <w:rPr>
                <w:rFonts w:ascii="Times New Roman" w:hAnsi="Times New Roman"/>
                <w:b w:val="0"/>
                <w:i w:val="0"/>
                <w:sz w:val="17"/>
              </w:rPr>
              <w:t>§19</w:t>
            </w:r>
          </w:p>
        </w:tc>
        <w:tc>
          <w:tcPr>
            <w:tcW w:type="dxa" w:w="1080"/>
          </w:tcPr>
          <w:p>
            <w:pPr>
              <w:spacing w:after="40"/>
            </w:pPr>
            <w:r>
              <w:rPr>
                <w:rFonts w:ascii="Times New Roman" w:hAnsi="Times New Roman"/>
                <w:b w:val="0"/>
                <w:i w:val="0"/>
                <w:sz w:val="17"/>
              </w:rPr>
              <w:t>C23</w:t>
            </w:r>
          </w:p>
        </w:tc>
      </w:tr>
      <w:tr>
        <w:trPr>
          <w:cantSplit/>
        </w:trPr>
        <w:tc>
          <w:tcPr>
            <w:tcW w:type="dxa" w:w="2088"/>
          </w:tcPr>
          <w:p>
            <w:pPr>
              <w:spacing w:after="40"/>
            </w:pPr>
            <w:r>
              <w:rPr>
                <w:rFonts w:ascii="Times New Roman" w:hAnsi="Times New Roman"/>
                <w:b w:val="0"/>
                <w:i w:val="0"/>
                <w:sz w:val="17"/>
              </w:rPr>
              <w:t>Bayside term sheet expiration June 27, 2025; non-binding except §§11–12</w:t>
            </w:r>
          </w:p>
        </w:tc>
        <w:tc>
          <w:tcPr>
            <w:tcW w:type="dxa" w:w="4248"/>
          </w:tcPr>
          <w:p>
            <w:pPr>
              <w:spacing w:after="40"/>
            </w:pPr>
            <w:r>
              <w:rPr>
                <w:rFonts w:ascii="Times New Roman" w:hAnsi="Times New Roman"/>
                <w:b w:val="0"/>
                <w:i w:val="0"/>
                <w:sz w:val="17"/>
              </w:rPr>
              <w:t>Loan TS §12</w:t>
            </w:r>
          </w:p>
        </w:tc>
        <w:tc>
          <w:tcPr>
            <w:tcW w:type="dxa" w:w="1944"/>
          </w:tcPr>
          <w:p>
            <w:pPr>
              <w:spacing w:after="40"/>
            </w:pPr>
            <w:r>
              <w:rPr>
                <w:rFonts w:ascii="Times New Roman" w:hAnsi="Times New Roman"/>
                <w:b w:val="0"/>
                <w:i w:val="0"/>
                <w:sz w:val="17"/>
              </w:rPr>
              <w:t>§12</w:t>
            </w:r>
          </w:p>
        </w:tc>
        <w:tc>
          <w:tcPr>
            <w:tcW w:type="dxa" w:w="1080"/>
          </w:tcPr>
          <w:p>
            <w:pPr>
              <w:spacing w:after="40"/>
            </w:pPr>
            <w:r>
              <w:rPr>
                <w:rFonts w:ascii="Times New Roman" w:hAnsi="Times New Roman"/>
                <w:b w:val="0"/>
                <w:i w:val="0"/>
                <w:sz w:val="17"/>
              </w:rPr>
              <w:t>46</w:t>
            </w:r>
          </w:p>
        </w:tc>
      </w:tr>
    </w:tbl>
    <w:p>
      <w:pPr>
        <w:spacing w:after="40"/>
      </w:pPr>
    </w:p>
    <w:p>
      <w:r>
        <w:br w:type="page"/>
      </w:r>
    </w:p>
    <w:p>
      <w:pPr>
        <w:keepNext/>
        <w:spacing w:before="320" w:after="200"/>
        <w:jc w:val="center"/>
      </w:pPr>
      <w:r>
        <w:rPr>
          <w:rFonts w:ascii="Times New Roman" w:hAnsi="Times New Roman"/>
          <w:b/>
          <w:i w:val="0"/>
          <w:sz w:val="21"/>
        </w:rPr>
        <w:t>APPENDIX B — DEPARTURES FROM THE TERM SHEET</w:t>
      </w:r>
    </w:p>
    <w:p>
      <w:pPr>
        <w:jc w:val="both"/>
      </w:pPr>
      <w:r>
        <w:rPr>
          <w:rFonts w:ascii="Times New Roman" w:hAnsi="Times New Roman"/>
          <w:b w:val="0"/>
          <w:i w:val="0"/>
          <w:sz w:val="21"/>
        </w:rPr>
        <w:t>The draft departs from the Term Sheet in the following respects. Each departure is a position, not an oversight. Under Section 4(d) of Resolution No. 2025-047, any departure the Executive Director or the Authority's counsel considers material must be brought before the Board, so this list is also the agenda for the supplemental Board resolution we recommend at Section 8.1.</w:t>
      </w:r>
    </w:p>
    <w:tbl>
      <w:tblPr>
        <w:tblStyle w:val="TableGrid"/>
        <w:tblW w:type="dxa" w:w="9360"/>
        <w:jc w:val="center"/>
        <w:tblLayout w:type="fixed"/>
        <w:tblLook w:firstColumn="1" w:firstRow="1" w:lastColumn="0" w:lastRow="0" w:noHBand="0" w:noVBand="1" w:val="04A0"/>
        <w:tblLayout w:type="fixed"/>
      </w:tblPr>
      <w:tblGrid>
        <w:gridCol w:w="2160"/>
        <w:gridCol w:w="1699"/>
        <w:gridCol w:w="2808"/>
        <w:gridCol w:w="2692"/>
      </w:tblGrid>
      <w:tr>
        <w:trPr>
          <w:tblHeader/>
        </w:trPr>
        <w:tc>
          <w:tcPr>
            <w:tcW w:type="dxa" w:w="2160"/>
            <w:shd w:val="clear" w:color="auto" w:fill="E8E8E8"/>
          </w:tcPr>
          <w:p>
            <w:pPr>
              <w:spacing w:after="40"/>
            </w:pPr>
            <w:r>
              <w:rPr>
                <w:rFonts w:ascii="Times New Roman" w:hAnsi="Times New Roman"/>
                <w:b/>
                <w:i w:val="0"/>
                <w:sz w:val="17"/>
              </w:rPr>
              <w:t>Subject</w:t>
            </w:r>
          </w:p>
        </w:tc>
        <w:tc>
          <w:tcPr>
            <w:tcW w:type="dxa" w:w="1699"/>
            <w:shd w:val="clear" w:color="auto" w:fill="E8E8E8"/>
          </w:tcPr>
          <w:p>
            <w:pPr>
              <w:spacing w:after="40"/>
            </w:pPr>
            <w:r>
              <w:rPr>
                <w:rFonts w:ascii="Times New Roman" w:hAnsi="Times New Roman"/>
                <w:b/>
                <w:i w:val="0"/>
                <w:sz w:val="17"/>
              </w:rPr>
              <w:t>Term Sheet</w:t>
            </w:r>
          </w:p>
        </w:tc>
        <w:tc>
          <w:tcPr>
            <w:tcW w:type="dxa" w:w="2808"/>
            <w:shd w:val="clear" w:color="auto" w:fill="E8E8E8"/>
          </w:tcPr>
          <w:p>
            <w:pPr>
              <w:spacing w:after="40"/>
            </w:pPr>
            <w:r>
              <w:rPr>
                <w:rFonts w:ascii="Times New Roman" w:hAnsi="Times New Roman"/>
                <w:b/>
                <w:i w:val="0"/>
                <w:sz w:val="17"/>
              </w:rPr>
              <w:t>Draft position</w:t>
            </w:r>
          </w:p>
        </w:tc>
        <w:tc>
          <w:tcPr>
            <w:tcW w:type="dxa" w:w="2692"/>
            <w:shd w:val="clear" w:color="auto" w:fill="E8E8E8"/>
          </w:tcPr>
          <w:p>
            <w:pPr>
              <w:spacing w:after="40"/>
            </w:pPr>
            <w:r>
              <w:rPr>
                <w:rFonts w:ascii="Times New Roman" w:hAnsi="Times New Roman"/>
                <w:b/>
                <w:i w:val="0"/>
                <w:sz w:val="17"/>
              </w:rPr>
              <w:t>Why</w:t>
            </w:r>
          </w:p>
        </w:tc>
      </w:tr>
      <w:tr>
        <w:trPr>
          <w:cantSplit/>
        </w:trPr>
        <w:tc>
          <w:tcPr>
            <w:tcW w:type="dxa" w:w="2160"/>
          </w:tcPr>
          <w:p>
            <w:pPr>
              <w:spacing w:after="40"/>
            </w:pPr>
            <w:r>
              <w:rPr>
                <w:rFonts w:ascii="Times New Roman" w:hAnsi="Times New Roman"/>
                <w:b w:val="0"/>
                <w:i w:val="0"/>
                <w:sz w:val="17"/>
              </w:rPr>
              <w:t>Reverter — compensation for improvements</w:t>
            </w:r>
          </w:p>
        </w:tc>
        <w:tc>
          <w:tcPr>
            <w:tcW w:type="dxa" w:w="1699"/>
          </w:tcPr>
          <w:p>
            <w:pPr>
              <w:spacing w:after="40"/>
            </w:pPr>
            <w:r>
              <w:rPr>
                <w:rFonts w:ascii="Times New Roman" w:hAnsi="Times New Roman"/>
                <w:b w:val="0"/>
                <w:i w:val="0"/>
                <w:sz w:val="17"/>
              </w:rPr>
              <w:t>None (forfeiture)</w:t>
            </w:r>
          </w:p>
        </w:tc>
        <w:tc>
          <w:tcPr>
            <w:tcW w:type="dxa" w:w="2808"/>
          </w:tcPr>
          <w:p>
            <w:pPr>
              <w:spacing w:after="40"/>
            </w:pPr>
            <w:r>
              <w:rPr>
                <w:rFonts w:ascii="Times New Roman" w:hAnsi="Times New Roman"/>
                <w:b w:val="0"/>
                <w:i w:val="0"/>
                <w:sz w:val="17"/>
              </w:rPr>
              <w:t>Purchase Price = greater of FMV and Unreimbursed Hard Costs; Tenant election; no payment, no termination (TS §9 / §9.6)</w:t>
            </w:r>
          </w:p>
        </w:tc>
        <w:tc>
          <w:tcPr>
            <w:tcW w:type="dxa" w:w="2692"/>
          </w:tcPr>
          <w:p>
            <w:pPr>
              <w:spacing w:after="40"/>
            </w:pPr>
            <w:r>
              <w:rPr>
                <w:rFonts w:ascii="Times New Roman" w:hAnsi="Times New Roman"/>
                <w:b w:val="0"/>
                <w:i w:val="0"/>
                <w:sz w:val="17"/>
              </w:rPr>
              <w:t>Penalty and forfeiture exposure; lender refusal</w:t>
            </w:r>
          </w:p>
        </w:tc>
      </w:tr>
      <w:tr>
        <w:trPr>
          <w:cantSplit/>
        </w:trPr>
        <w:tc>
          <w:tcPr>
            <w:tcW w:type="dxa" w:w="2160"/>
          </w:tcPr>
          <w:p>
            <w:pPr>
              <w:spacing w:after="40"/>
            </w:pPr>
            <w:r>
              <w:rPr>
                <w:rFonts w:ascii="Times New Roman" w:hAnsi="Times New Roman"/>
                <w:b w:val="0"/>
                <w:i w:val="0"/>
                <w:sz w:val="17"/>
              </w:rPr>
              <w:t>Reverter — triggers and conditions</w:t>
            </w:r>
          </w:p>
        </w:tc>
        <w:tc>
          <w:tcPr>
            <w:tcW w:type="dxa" w:w="1699"/>
          </w:tcPr>
          <w:p>
            <w:pPr>
              <w:spacing w:after="40"/>
            </w:pPr>
            <w:r>
              <w:rPr>
                <w:rFonts w:ascii="Times New Roman" w:hAnsi="Times New Roman"/>
                <w:b w:val="0"/>
                <w:i w:val="0"/>
                <w:sz w:val="17"/>
              </w:rPr>
              <w:t>Objective missed date</w:t>
            </w:r>
          </w:p>
        </w:tc>
        <w:tc>
          <w:tcPr>
            <w:tcW w:type="dxa" w:w="2808"/>
          </w:tcPr>
          <w:p>
            <w:pPr>
              <w:spacing w:after="40"/>
            </w:pPr>
            <w:r>
              <w:rPr>
                <w:rFonts w:ascii="Times New Roman" w:hAnsi="Times New Roman"/>
                <w:b w:val="0"/>
                <w:i w:val="0"/>
                <w:sz w:val="17"/>
              </w:rPr>
              <w:t>Six conditions precedent, 90% completion safe harbor, 180-day cessation test (TS §9 / §9.4)</w:t>
            </w:r>
          </w:p>
        </w:tc>
        <w:tc>
          <w:tcPr>
            <w:tcW w:type="dxa" w:w="2692"/>
          </w:tcPr>
          <w:p>
            <w:pPr>
              <w:spacing w:after="40"/>
            </w:pPr>
            <w:r>
              <w:rPr>
                <w:rFonts w:ascii="Times New Roman" w:hAnsi="Times New Roman"/>
                <w:b w:val="0"/>
                <w:i w:val="0"/>
                <w:sz w:val="17"/>
              </w:rPr>
              <w:t>Delay is not abandonment</w:t>
            </w:r>
          </w:p>
        </w:tc>
      </w:tr>
      <w:tr>
        <w:trPr>
          <w:cantSplit/>
        </w:trPr>
        <w:tc>
          <w:tcPr>
            <w:tcW w:type="dxa" w:w="2160"/>
          </w:tcPr>
          <w:p>
            <w:pPr>
              <w:spacing w:after="40"/>
            </w:pPr>
            <w:r>
              <w:rPr>
                <w:rFonts w:ascii="Times New Roman" w:hAnsi="Times New Roman"/>
                <w:b w:val="0"/>
                <w:i w:val="0"/>
                <w:sz w:val="17"/>
              </w:rPr>
              <w:t>Reverter — security deposit</w:t>
            </w:r>
          </w:p>
        </w:tc>
        <w:tc>
          <w:tcPr>
            <w:tcW w:type="dxa" w:w="1699"/>
          </w:tcPr>
          <w:p>
            <w:pPr>
              <w:spacing w:after="40"/>
            </w:pPr>
            <w:r>
              <w:rPr>
                <w:rFonts w:ascii="Times New Roman" w:hAnsi="Times New Roman"/>
                <w:b w:val="0"/>
                <w:i w:val="0"/>
                <w:sz w:val="17"/>
              </w:rPr>
              <w:t>Draw "in full"</w:t>
            </w:r>
          </w:p>
        </w:tc>
        <w:tc>
          <w:tcPr>
            <w:tcW w:type="dxa" w:w="2808"/>
          </w:tcPr>
          <w:p>
            <w:pPr>
              <w:spacing w:after="40"/>
            </w:pPr>
            <w:r>
              <w:rPr>
                <w:rFonts w:ascii="Times New Roman" w:hAnsi="Times New Roman"/>
                <w:b w:val="0"/>
                <w:i w:val="0"/>
                <w:sz w:val="17"/>
              </w:rPr>
              <w:t>Limited to actual documented loss; excess returned (TS §9 / §§7.5, 9.6, 9.8)</w:t>
            </w:r>
          </w:p>
        </w:tc>
        <w:tc>
          <w:tcPr>
            <w:tcW w:type="dxa" w:w="2692"/>
          </w:tcPr>
          <w:p>
            <w:pPr>
              <w:spacing w:after="40"/>
            </w:pPr>
            <w:r>
              <w:rPr>
                <w:rFonts w:ascii="Times New Roman" w:hAnsi="Times New Roman"/>
                <w:b w:val="0"/>
                <w:i w:val="0"/>
                <w:sz w:val="17"/>
              </w:rPr>
              <w:t>Security is not liquidated damages</w:t>
            </w:r>
          </w:p>
        </w:tc>
      </w:tr>
      <w:tr>
        <w:trPr>
          <w:cantSplit/>
        </w:trPr>
        <w:tc>
          <w:tcPr>
            <w:tcW w:type="dxa" w:w="2160"/>
          </w:tcPr>
          <w:p>
            <w:pPr>
              <w:spacing w:after="40"/>
            </w:pPr>
            <w:r>
              <w:rPr>
                <w:rFonts w:ascii="Times New Roman" w:hAnsi="Times New Roman"/>
                <w:b w:val="0"/>
                <w:i w:val="0"/>
                <w:sz w:val="17"/>
              </w:rPr>
              <w:t>Termination</w:t>
            </w:r>
          </w:p>
        </w:tc>
        <w:tc>
          <w:tcPr>
            <w:tcW w:type="dxa" w:w="1699"/>
          </w:tcPr>
          <w:p>
            <w:pPr>
              <w:spacing w:after="40"/>
            </w:pPr>
            <w:r>
              <w:rPr>
                <w:rFonts w:ascii="Times New Roman" w:hAnsi="Times New Roman"/>
                <w:b w:val="0"/>
                <w:i w:val="0"/>
                <w:sz w:val="17"/>
              </w:rPr>
              <w:t>Automatic</w:t>
            </w:r>
          </w:p>
        </w:tc>
        <w:tc>
          <w:tcPr>
            <w:tcW w:type="dxa" w:w="2808"/>
          </w:tcPr>
          <w:p>
            <w:pPr>
              <w:spacing w:after="40"/>
            </w:pPr>
            <w:r>
              <w:rPr>
                <w:rFonts w:ascii="Times New Roman" w:hAnsi="Times New Roman"/>
                <w:b w:val="0"/>
                <w:i w:val="0"/>
                <w:sz w:val="17"/>
              </w:rPr>
              <w:t>Express election after all cure periods; conditioned on payment (TS §9 / §9.8)</w:t>
            </w:r>
          </w:p>
        </w:tc>
        <w:tc>
          <w:tcPr>
            <w:tcW w:type="dxa" w:w="2692"/>
          </w:tcPr>
          <w:p>
            <w:pPr>
              <w:spacing w:after="40"/>
            </w:pPr>
            <w:r>
              <w:rPr>
                <w:rFonts w:ascii="Times New Roman" w:hAnsi="Times New Roman"/>
                <w:b w:val="0"/>
                <w:i w:val="0"/>
                <w:sz w:val="17"/>
              </w:rPr>
              <w:t>Curability; lender rights</w:t>
            </w:r>
          </w:p>
        </w:tc>
      </w:tr>
      <w:tr>
        <w:trPr>
          <w:cantSplit/>
        </w:trPr>
        <w:tc>
          <w:tcPr>
            <w:tcW w:type="dxa" w:w="2160"/>
          </w:tcPr>
          <w:p>
            <w:pPr>
              <w:spacing w:after="40"/>
            </w:pPr>
            <w:r>
              <w:rPr>
                <w:rFonts w:ascii="Times New Roman" w:hAnsi="Times New Roman"/>
                <w:b w:val="0"/>
                <w:i w:val="0"/>
                <w:sz w:val="17"/>
              </w:rPr>
              <w:t>Cure</w:t>
            </w:r>
          </w:p>
        </w:tc>
        <w:tc>
          <w:tcPr>
            <w:tcW w:type="dxa" w:w="1699"/>
          </w:tcPr>
          <w:p>
            <w:pPr>
              <w:spacing w:after="40"/>
            </w:pPr>
            <w:r>
              <w:rPr>
                <w:rFonts w:ascii="Times New Roman" w:hAnsi="Times New Roman"/>
                <w:b w:val="0"/>
                <w:i w:val="0"/>
                <w:sz w:val="17"/>
              </w:rPr>
              <w:t>180 days</w:t>
            </w:r>
          </w:p>
        </w:tc>
        <w:tc>
          <w:tcPr>
            <w:tcW w:type="dxa" w:w="2808"/>
          </w:tcPr>
          <w:p>
            <w:pPr>
              <w:spacing w:after="40"/>
            </w:pPr>
            <w:r>
              <w:rPr>
                <w:rFonts w:ascii="Times New Roman" w:hAnsi="Times New Roman"/>
                <w:b w:val="0"/>
                <w:i w:val="0"/>
                <w:sz w:val="17"/>
              </w:rPr>
              <w:t>180 days, plus 180-day extension on certificate, plus 180-day Lender cure (TS §9 / §§9.5, 10.3)</w:t>
            </w:r>
          </w:p>
        </w:tc>
        <w:tc>
          <w:tcPr>
            <w:tcW w:type="dxa" w:w="2692"/>
          </w:tcPr>
          <w:p>
            <w:pPr>
              <w:spacing w:after="40"/>
            </w:pPr>
            <w:r>
              <w:rPr>
                <w:rFonts w:ascii="Times New Roman" w:hAnsi="Times New Roman"/>
                <w:b w:val="0"/>
                <w:i w:val="0"/>
                <w:sz w:val="17"/>
              </w:rPr>
              <w:t>Construction milestones need real cure time</w:t>
            </w:r>
          </w:p>
        </w:tc>
      </w:tr>
      <w:tr>
        <w:trPr>
          <w:cantSplit/>
        </w:trPr>
        <w:tc>
          <w:tcPr>
            <w:tcW w:type="dxa" w:w="2160"/>
          </w:tcPr>
          <w:p>
            <w:pPr>
              <w:spacing w:after="40"/>
            </w:pPr>
            <w:r>
              <w:rPr>
                <w:rFonts w:ascii="Times New Roman" w:hAnsi="Times New Roman"/>
                <w:b w:val="0"/>
                <w:i w:val="0"/>
                <w:sz w:val="17"/>
              </w:rPr>
              <w:t>Force majeure</w:t>
            </w:r>
          </w:p>
        </w:tc>
        <w:tc>
          <w:tcPr>
            <w:tcW w:type="dxa" w:w="1699"/>
          </w:tcPr>
          <w:p>
            <w:pPr>
              <w:spacing w:after="40"/>
            </w:pPr>
            <w:r>
              <w:rPr>
                <w:rFonts w:ascii="Times New Roman" w:hAnsi="Times New Roman"/>
                <w:b w:val="0"/>
                <w:i w:val="0"/>
                <w:sz w:val="17"/>
              </w:rPr>
              <w:t>18-month aggregate cap</w:t>
            </w:r>
          </w:p>
        </w:tc>
        <w:tc>
          <w:tcPr>
            <w:tcW w:type="dxa" w:w="2808"/>
          </w:tcPr>
          <w:p>
            <w:pPr>
              <w:spacing w:after="40"/>
            </w:pPr>
            <w:r>
              <w:rPr>
                <w:rFonts w:ascii="Times New Roman" w:hAnsi="Times New Roman"/>
                <w:b w:val="0"/>
                <w:i w:val="0"/>
                <w:sz w:val="17"/>
              </w:rPr>
              <w:t>Uncapped for Landlord/City delay, ELUR review, unknown contamination, third-party challenges (TS §9 / §9.3)</w:t>
            </w:r>
          </w:p>
        </w:tc>
        <w:tc>
          <w:tcPr>
            <w:tcW w:type="dxa" w:w="2692"/>
          </w:tcPr>
          <w:p>
            <w:pPr>
              <w:spacing w:after="40"/>
            </w:pPr>
            <w:r>
              <w:rPr>
                <w:rFonts w:ascii="Times New Roman" w:hAnsi="Times New Roman"/>
                <w:b w:val="0"/>
                <w:i w:val="0"/>
                <w:sz w:val="17"/>
              </w:rPr>
              <w:t>A single event should not exhaust total relief</w:t>
            </w:r>
          </w:p>
        </w:tc>
      </w:tr>
      <w:tr>
        <w:trPr>
          <w:cantSplit/>
        </w:trPr>
        <w:tc>
          <w:tcPr>
            <w:tcW w:type="dxa" w:w="2160"/>
          </w:tcPr>
          <w:p>
            <w:pPr>
              <w:spacing w:after="40"/>
            </w:pPr>
            <w:r>
              <w:rPr>
                <w:rFonts w:ascii="Times New Roman" w:hAnsi="Times New Roman"/>
                <w:b w:val="0"/>
                <w:i w:val="0"/>
                <w:sz w:val="17"/>
              </w:rPr>
              <w:t>New Lease</w:t>
            </w:r>
          </w:p>
        </w:tc>
        <w:tc>
          <w:tcPr>
            <w:tcW w:type="dxa" w:w="1699"/>
          </w:tcPr>
          <w:p>
            <w:pPr>
              <w:spacing w:after="40"/>
            </w:pPr>
            <w:r>
              <w:rPr>
                <w:rFonts w:ascii="Times New Roman" w:hAnsi="Times New Roman"/>
                <w:b w:val="0"/>
                <w:i w:val="0"/>
                <w:sz w:val="17"/>
              </w:rPr>
              <w:t>Tenant default only</w:t>
            </w:r>
          </w:p>
        </w:tc>
        <w:tc>
          <w:tcPr>
            <w:tcW w:type="dxa" w:w="2808"/>
          </w:tcPr>
          <w:p>
            <w:pPr>
              <w:spacing w:after="40"/>
            </w:pPr>
            <w:r>
              <w:rPr>
                <w:rFonts w:ascii="Times New Roman" w:hAnsi="Times New Roman"/>
                <w:b w:val="0"/>
                <w:i w:val="0"/>
                <w:sz w:val="17"/>
              </w:rPr>
              <w:t>Any termination, with Bayside's mechanics (TS §9 / §10.5)</w:t>
            </w:r>
          </w:p>
        </w:tc>
        <w:tc>
          <w:tcPr>
            <w:tcW w:type="dxa" w:w="2692"/>
          </w:tcPr>
          <w:p>
            <w:pPr>
              <w:spacing w:after="40"/>
            </w:pPr>
            <w:r>
              <w:rPr>
                <w:rFonts w:ascii="Times New Roman" w:hAnsi="Times New Roman"/>
                <w:b w:val="0"/>
                <w:i w:val="0"/>
                <w:sz w:val="17"/>
              </w:rPr>
              <w:t>Loan TS §5.3</w:t>
            </w:r>
          </w:p>
        </w:tc>
      </w:tr>
      <w:tr>
        <w:trPr>
          <w:cantSplit/>
        </w:trPr>
        <w:tc>
          <w:tcPr>
            <w:tcW w:type="dxa" w:w="2160"/>
          </w:tcPr>
          <w:p>
            <w:pPr>
              <w:spacing w:after="40"/>
            </w:pPr>
            <w:r>
              <w:rPr>
                <w:rFonts w:ascii="Times New Roman" w:hAnsi="Times New Roman"/>
                <w:b w:val="0"/>
                <w:i w:val="0"/>
                <w:sz w:val="17"/>
              </w:rPr>
              <w:t>Lender cure</w:t>
            </w:r>
          </w:p>
        </w:tc>
        <w:tc>
          <w:tcPr>
            <w:tcW w:type="dxa" w:w="1699"/>
          </w:tcPr>
          <w:p>
            <w:pPr>
              <w:spacing w:after="40"/>
            </w:pPr>
            <w:r>
              <w:rPr>
                <w:rFonts w:ascii="Times New Roman" w:hAnsi="Times New Roman"/>
                <w:b w:val="0"/>
                <w:i w:val="0"/>
                <w:sz w:val="17"/>
              </w:rPr>
              <w:t>None specific</w:t>
            </w:r>
          </w:p>
        </w:tc>
        <w:tc>
          <w:tcPr>
            <w:tcW w:type="dxa" w:w="2808"/>
          </w:tcPr>
          <w:p>
            <w:pPr>
              <w:spacing w:after="40"/>
            </w:pPr>
            <w:r>
              <w:rPr>
                <w:rFonts w:ascii="Times New Roman" w:hAnsi="Times New Roman"/>
                <w:b w:val="0"/>
                <w:i w:val="0"/>
                <w:sz w:val="17"/>
              </w:rPr>
              <w:t>60/90/180 days, in addition to Tenant's; replacement developer right (TS §9 / §10.3)</w:t>
            </w:r>
          </w:p>
        </w:tc>
        <w:tc>
          <w:tcPr>
            <w:tcW w:type="dxa" w:w="2692"/>
          </w:tcPr>
          <w:p>
            <w:pPr>
              <w:spacing w:after="40"/>
            </w:pPr>
            <w:r>
              <w:rPr>
                <w:rFonts w:ascii="Times New Roman" w:hAnsi="Times New Roman"/>
                <w:b w:val="0"/>
                <w:i w:val="0"/>
                <w:sz w:val="17"/>
              </w:rPr>
              <w:t>Loan TS §5.4</w:t>
            </w:r>
          </w:p>
        </w:tc>
      </w:tr>
      <w:tr>
        <w:trPr>
          <w:cantSplit/>
        </w:trPr>
        <w:tc>
          <w:tcPr>
            <w:tcW w:type="dxa" w:w="2160"/>
          </w:tcPr>
          <w:p>
            <w:pPr>
              <w:spacing w:after="40"/>
            </w:pPr>
            <w:r>
              <w:rPr>
                <w:rFonts w:ascii="Times New Roman" w:hAnsi="Times New Roman"/>
                <w:b w:val="0"/>
                <w:i w:val="0"/>
                <w:sz w:val="17"/>
              </w:rPr>
              <w:t>Leasehold mortgage</w:t>
            </w:r>
          </w:p>
        </w:tc>
        <w:tc>
          <w:tcPr>
            <w:tcW w:type="dxa" w:w="1699"/>
          </w:tcPr>
          <w:p>
            <w:pPr>
              <w:spacing w:after="40"/>
            </w:pPr>
            <w:r>
              <w:rPr>
                <w:rFonts w:ascii="Times New Roman" w:hAnsi="Times New Roman"/>
                <w:b w:val="0"/>
                <w:i w:val="0"/>
                <w:sz w:val="17"/>
              </w:rPr>
              <w:t>"Subject to" the Lease</w:t>
            </w:r>
          </w:p>
        </w:tc>
        <w:tc>
          <w:tcPr>
            <w:tcW w:type="dxa" w:w="2808"/>
          </w:tcPr>
          <w:p>
            <w:pPr>
              <w:spacing w:after="40"/>
            </w:pPr>
            <w:r>
              <w:rPr>
                <w:rFonts w:ascii="Times New Roman" w:hAnsi="Times New Roman"/>
                <w:b w:val="0"/>
                <w:i w:val="0"/>
                <w:sz w:val="17"/>
              </w:rPr>
              <w:t>No consent, no fee, no condition on recording or foreclosure (TS §9 / §10.1)</w:t>
            </w:r>
          </w:p>
        </w:tc>
        <w:tc>
          <w:tcPr>
            <w:tcW w:type="dxa" w:w="2692"/>
          </w:tcPr>
          <w:p>
            <w:pPr>
              <w:spacing w:after="40"/>
            </w:pPr>
            <w:r>
              <w:rPr>
                <w:rFonts w:ascii="Times New Roman" w:hAnsi="Times New Roman"/>
                <w:b w:val="0"/>
                <w:i w:val="0"/>
                <w:sz w:val="17"/>
              </w:rPr>
              <w:t>Loan TS §5.1</w:t>
            </w:r>
          </w:p>
        </w:tc>
      </w:tr>
      <w:tr>
        <w:trPr>
          <w:cantSplit/>
        </w:trPr>
        <w:tc>
          <w:tcPr>
            <w:tcW w:type="dxa" w:w="2160"/>
          </w:tcPr>
          <w:p>
            <w:pPr>
              <w:spacing w:after="40"/>
            </w:pPr>
            <w:r>
              <w:rPr>
                <w:rFonts w:ascii="Times New Roman" w:hAnsi="Times New Roman"/>
                <w:b w:val="0"/>
                <w:i w:val="0"/>
                <w:sz w:val="17"/>
              </w:rPr>
              <w:t>Rent Commencement</w:t>
            </w:r>
          </w:p>
        </w:tc>
        <w:tc>
          <w:tcPr>
            <w:tcW w:type="dxa" w:w="1699"/>
          </w:tcPr>
          <w:p>
            <w:pPr>
              <w:spacing w:after="40"/>
            </w:pPr>
            <w:r>
              <w:rPr>
                <w:rFonts w:ascii="Times New Roman" w:hAnsi="Times New Roman"/>
                <w:b w:val="0"/>
                <w:i w:val="0"/>
                <w:sz w:val="17"/>
              </w:rPr>
              <w:t>First certificate of occupancy for any portion</w:t>
            </w:r>
          </w:p>
        </w:tc>
        <w:tc>
          <w:tcPr>
            <w:tcW w:type="dxa" w:w="2808"/>
          </w:tcPr>
          <w:p>
            <w:pPr>
              <w:spacing w:after="40"/>
            </w:pPr>
            <w:r>
              <w:rPr>
                <w:rFonts w:ascii="Times New Roman" w:hAnsi="Times New Roman"/>
                <w:b w:val="0"/>
                <w:i w:val="0"/>
                <w:sz w:val="17"/>
              </w:rPr>
              <w:t>60% of the Residential Tower and 50% of the Project; temporary and ancillary certificates excluded (TS §3 / §2.4)</w:t>
            </w:r>
          </w:p>
        </w:tc>
        <w:tc>
          <w:tcPr>
            <w:tcW w:type="dxa" w:w="2692"/>
          </w:tcPr>
          <w:p>
            <w:pPr>
              <w:spacing w:after="40"/>
            </w:pPr>
            <w:r>
              <w:rPr>
                <w:rFonts w:ascii="Times New Roman" w:hAnsi="Times New Roman"/>
                <w:b w:val="0"/>
                <w:i w:val="0"/>
                <w:sz w:val="17"/>
              </w:rPr>
              <w:t>A retail suite should not start $2.85M</w:t>
            </w:r>
          </w:p>
        </w:tc>
      </w:tr>
      <w:tr>
        <w:trPr>
          <w:cantSplit/>
        </w:trPr>
        <w:tc>
          <w:tcPr>
            <w:tcW w:type="dxa" w:w="2160"/>
          </w:tcPr>
          <w:p>
            <w:pPr>
              <w:spacing w:after="40"/>
            </w:pPr>
            <w:r>
              <w:rPr>
                <w:rFonts w:ascii="Times New Roman" w:hAnsi="Times New Roman"/>
                <w:b w:val="0"/>
                <w:i w:val="0"/>
                <w:sz w:val="17"/>
              </w:rPr>
              <w:t>Abatement commencement</w:t>
            </w:r>
          </w:p>
        </w:tc>
        <w:tc>
          <w:tcPr>
            <w:tcW w:type="dxa" w:w="1699"/>
          </w:tcPr>
          <w:p>
            <w:pPr>
              <w:spacing w:after="40"/>
            </w:pPr>
            <w:r>
              <w:rPr>
                <w:rFonts w:ascii="Times New Roman" w:hAnsi="Times New Roman"/>
                <w:b w:val="0"/>
                <w:i w:val="0"/>
                <w:sz w:val="17"/>
              </w:rPr>
              <w:t>Lease Commencement Date</w:t>
            </w:r>
          </w:p>
        </w:tc>
        <w:tc>
          <w:tcPr>
            <w:tcW w:type="dxa" w:w="2808"/>
          </w:tcPr>
          <w:p>
            <w:pPr>
              <w:spacing w:after="40"/>
            </w:pPr>
            <w:r>
              <w:rPr>
                <w:rFonts w:ascii="Times New Roman" w:hAnsi="Times New Roman"/>
                <w:b w:val="0"/>
                <w:i w:val="0"/>
                <w:sz w:val="17"/>
              </w:rPr>
              <w:t>Rent Commencement Date; land-only assessment during construction (TS §10 / §6.2)</w:t>
            </w:r>
          </w:p>
        </w:tc>
        <w:tc>
          <w:tcPr>
            <w:tcW w:type="dxa" w:w="2692"/>
          </w:tcPr>
          <w:p>
            <w:pPr>
              <w:spacing w:after="40"/>
            </w:pPr>
            <w:r>
              <w:rPr>
                <w:rFonts w:ascii="Times New Roman" w:hAnsi="Times New Roman"/>
                <w:b w:val="0"/>
                <w:i w:val="0"/>
                <w:sz w:val="17"/>
              </w:rPr>
              <w:t>About $18.1M over 2025–2043; matches the City’s incentive intent</w:t>
            </w:r>
          </w:p>
        </w:tc>
      </w:tr>
      <w:tr>
        <w:trPr>
          <w:cantSplit/>
        </w:trPr>
        <w:tc>
          <w:tcPr>
            <w:tcW w:type="dxa" w:w="2160"/>
          </w:tcPr>
          <w:p>
            <w:pPr>
              <w:spacing w:after="40"/>
            </w:pPr>
            <w:r>
              <w:rPr>
                <w:rFonts w:ascii="Times New Roman" w:hAnsi="Times New Roman"/>
                <w:b w:val="0"/>
                <w:i w:val="0"/>
                <w:sz w:val="17"/>
              </w:rPr>
              <w:t>Abatement remedy</w:t>
            </w:r>
          </w:p>
        </w:tc>
        <w:tc>
          <w:tcPr>
            <w:tcW w:type="dxa" w:w="1699"/>
          </w:tcPr>
          <w:p>
            <w:pPr>
              <w:spacing w:after="40"/>
            </w:pPr>
            <w:r>
              <w:rPr>
                <w:rFonts w:ascii="Times New Roman" w:hAnsi="Times New Roman"/>
                <w:b w:val="0"/>
                <w:i w:val="0"/>
                <w:sz w:val="17"/>
              </w:rPr>
              <w:t>None</w:t>
            </w:r>
          </w:p>
        </w:tc>
        <w:tc>
          <w:tcPr>
            <w:tcW w:type="dxa" w:w="2808"/>
          </w:tcPr>
          <w:p>
            <w:pPr>
              <w:spacing w:after="40"/>
            </w:pPr>
            <w:r>
              <w:rPr>
                <w:rFonts w:ascii="Times New Roman" w:hAnsi="Times New Roman"/>
                <w:b w:val="0"/>
                <w:i w:val="0"/>
                <w:sz w:val="17"/>
              </w:rPr>
              <w:t>Rent offset for excess taxes, with interest (TS §10 / §6.2(d))</w:t>
            </w:r>
          </w:p>
        </w:tc>
        <w:tc>
          <w:tcPr>
            <w:tcW w:type="dxa" w:w="2692"/>
          </w:tcPr>
          <w:p>
            <w:pPr>
              <w:spacing w:after="40"/>
            </w:pPr>
            <w:r>
              <w:rPr>
                <w:rFonts w:ascii="Times New Roman" w:hAnsi="Times New Roman"/>
                <w:b w:val="0"/>
                <w:i w:val="0"/>
                <w:sz w:val="17"/>
              </w:rPr>
              <w:t>The Authority cannot bind the City, so the remedy must be self-executing</w:t>
            </w:r>
          </w:p>
        </w:tc>
      </w:tr>
      <w:tr>
        <w:trPr>
          <w:cantSplit/>
        </w:trPr>
        <w:tc>
          <w:tcPr>
            <w:tcW w:type="dxa" w:w="2160"/>
          </w:tcPr>
          <w:p>
            <w:pPr>
              <w:spacing w:after="40"/>
            </w:pPr>
            <w:r>
              <w:rPr>
                <w:rFonts w:ascii="Times New Roman" w:hAnsi="Times New Roman"/>
                <w:b w:val="0"/>
                <w:i w:val="0"/>
                <w:sz w:val="17"/>
              </w:rPr>
              <w:t>Percentage rent</w:t>
            </w:r>
          </w:p>
        </w:tc>
        <w:tc>
          <w:tcPr>
            <w:tcW w:type="dxa" w:w="1699"/>
          </w:tcPr>
          <w:p>
            <w:pPr>
              <w:spacing w:after="40"/>
            </w:pPr>
            <w:r>
              <w:rPr>
                <w:rFonts w:ascii="Times New Roman" w:hAnsi="Times New Roman"/>
                <w:b w:val="0"/>
                <w:i w:val="0"/>
                <w:sz w:val="17"/>
              </w:rPr>
              <w:t>Fixed $28.5M breakpoint</w:t>
            </w:r>
          </w:p>
        </w:tc>
        <w:tc>
          <w:tcPr>
            <w:tcW w:type="dxa" w:w="2808"/>
          </w:tcPr>
          <w:p>
            <w:pPr>
              <w:spacing w:after="40"/>
            </w:pPr>
            <w:r>
              <w:rPr>
                <w:rFonts w:ascii="Times New Roman" w:hAnsi="Times New Roman"/>
                <w:b w:val="0"/>
                <w:i w:val="0"/>
                <w:sz w:val="17"/>
              </w:rPr>
              <w:t>Breakpoint indexed to Base Rent, with a $28.5M floor (TS §6 / §5.3)</w:t>
            </w:r>
          </w:p>
        </w:tc>
        <w:tc>
          <w:tcPr>
            <w:tcW w:type="dxa" w:w="2692"/>
          </w:tcPr>
          <w:p>
            <w:pPr>
              <w:spacing w:after="40"/>
            </w:pPr>
            <w:r>
              <w:rPr>
                <w:rFonts w:ascii="Times New Roman" w:hAnsi="Times New Roman"/>
                <w:b w:val="0"/>
                <w:i w:val="0"/>
                <w:sz w:val="17"/>
              </w:rPr>
              <w:t>A participation, not a gross receipts tax</w:t>
            </w:r>
          </w:p>
        </w:tc>
      </w:tr>
      <w:tr>
        <w:trPr>
          <w:cantSplit/>
        </w:trPr>
        <w:tc>
          <w:tcPr>
            <w:tcW w:type="dxa" w:w="2160"/>
          </w:tcPr>
          <w:p>
            <w:pPr>
              <w:spacing w:after="40"/>
            </w:pPr>
            <w:r>
              <w:rPr>
                <w:rFonts w:ascii="Times New Roman" w:hAnsi="Times New Roman"/>
                <w:b w:val="0"/>
                <w:i w:val="0"/>
                <w:sz w:val="17"/>
              </w:rPr>
              <w:t>Base Rent CPI reset</w:t>
            </w:r>
          </w:p>
        </w:tc>
        <w:tc>
          <w:tcPr>
            <w:tcW w:type="dxa" w:w="1699"/>
          </w:tcPr>
          <w:p>
            <w:pPr>
              <w:spacing w:after="40"/>
            </w:pPr>
            <w:r>
              <w:rPr>
                <w:rFonts w:ascii="Times New Roman" w:hAnsi="Times New Roman"/>
                <w:b w:val="0"/>
                <w:i w:val="0"/>
                <w:sz w:val="17"/>
              </w:rPr>
              <w:t>No cap</w:t>
            </w:r>
          </w:p>
        </w:tc>
        <w:tc>
          <w:tcPr>
            <w:tcW w:type="dxa" w:w="2808"/>
          </w:tcPr>
          <w:p>
            <w:pPr>
              <w:spacing w:after="40"/>
            </w:pPr>
            <w:r>
              <w:rPr>
                <w:rFonts w:ascii="Times New Roman" w:hAnsi="Times New Roman"/>
                <w:b w:val="0"/>
                <w:i w:val="0"/>
                <w:sz w:val="17"/>
              </w:rPr>
              <w:t>3.0% cumulative cap and a floor at the prior year's rent (TS §5 / §4.3)</w:t>
            </w:r>
          </w:p>
        </w:tc>
        <w:tc>
          <w:tcPr>
            <w:tcW w:type="dxa" w:w="2692"/>
          </w:tcPr>
          <w:p>
            <w:pPr>
              <w:spacing w:after="40"/>
            </w:pPr>
            <w:r>
              <w:rPr>
                <w:rFonts w:ascii="Times New Roman" w:hAnsi="Times New Roman"/>
                <w:b w:val="0"/>
                <w:i w:val="0"/>
                <w:sz w:val="17"/>
              </w:rPr>
              <w:t>$47.2M rent in Rent Year 96 is not financeable</w:t>
            </w:r>
          </w:p>
        </w:tc>
      </w:tr>
      <w:tr>
        <w:trPr>
          <w:cantSplit/>
        </w:trPr>
        <w:tc>
          <w:tcPr>
            <w:tcW w:type="dxa" w:w="2160"/>
          </w:tcPr>
          <w:p>
            <w:pPr>
              <w:spacing w:after="40"/>
            </w:pPr>
            <w:r>
              <w:rPr>
                <w:rFonts w:ascii="Times New Roman" w:hAnsi="Times New Roman"/>
                <w:b w:val="0"/>
                <w:i w:val="0"/>
                <w:sz w:val="17"/>
              </w:rPr>
              <w:t>"Lease Year"</w:t>
            </w:r>
          </w:p>
        </w:tc>
        <w:tc>
          <w:tcPr>
            <w:tcW w:type="dxa" w:w="1699"/>
          </w:tcPr>
          <w:p>
            <w:pPr>
              <w:spacing w:after="40"/>
            </w:pPr>
            <w:r>
              <w:rPr>
                <w:rFonts w:ascii="Times New Roman" w:hAnsi="Times New Roman"/>
                <w:b w:val="0"/>
                <w:i w:val="0"/>
                <w:sz w:val="17"/>
              </w:rPr>
              <w:t>Used for both rent and milestones</w:t>
            </w:r>
          </w:p>
        </w:tc>
        <w:tc>
          <w:tcPr>
            <w:tcW w:type="dxa" w:w="2808"/>
          </w:tcPr>
          <w:p>
            <w:pPr>
              <w:spacing w:after="40"/>
            </w:pPr>
            <w:r>
              <w:rPr>
                <w:rFonts w:ascii="Times New Roman" w:hAnsi="Times New Roman"/>
                <w:b w:val="0"/>
                <w:i w:val="0"/>
                <w:sz w:val="17"/>
              </w:rPr>
              <w:t>"Lease Year" (term and Milestones) separated from "Rent Year" (rent) (TS §3, §5, §6, §9 / §1.1)</w:t>
            </w:r>
          </w:p>
        </w:tc>
        <w:tc>
          <w:tcPr>
            <w:tcW w:type="dxa" w:w="2692"/>
          </w:tcPr>
          <w:p>
            <w:pPr>
              <w:spacing w:after="40"/>
            </w:pPr>
            <w:r>
              <w:rPr>
                <w:rFonts w:ascii="Times New Roman" w:hAnsi="Times New Roman"/>
                <w:b w:val="0"/>
                <w:i w:val="0"/>
                <w:sz w:val="17"/>
              </w:rPr>
              <w:t>Three-year difference in escalation and percentage rent</w:t>
            </w:r>
          </w:p>
        </w:tc>
      </w:tr>
      <w:tr>
        <w:trPr>
          <w:cantSplit/>
        </w:trPr>
        <w:tc>
          <w:tcPr>
            <w:tcW w:type="dxa" w:w="2160"/>
          </w:tcPr>
          <w:p>
            <w:pPr>
              <w:spacing w:after="40"/>
            </w:pPr>
            <w:r>
              <w:rPr>
                <w:rFonts w:ascii="Times New Roman" w:hAnsi="Times New Roman"/>
                <w:b w:val="0"/>
                <w:i w:val="0"/>
                <w:sz w:val="17"/>
              </w:rPr>
              <w:t>Remediation allocation</w:t>
            </w:r>
          </w:p>
        </w:tc>
        <w:tc>
          <w:tcPr>
            <w:tcW w:type="dxa" w:w="1699"/>
          </w:tcPr>
          <w:p>
            <w:pPr>
              <w:spacing w:after="40"/>
            </w:pPr>
            <w:r>
              <w:rPr>
                <w:rFonts w:ascii="Times New Roman" w:hAnsi="Times New Roman"/>
                <w:b w:val="0"/>
                <w:i w:val="0"/>
                <w:sz w:val="17"/>
              </w:rPr>
              <w:t>Fixed $1.8M credit; uncapped Tenant overrun</w:t>
            </w:r>
          </w:p>
        </w:tc>
        <w:tc>
          <w:tcPr>
            <w:tcW w:type="dxa" w:w="2808"/>
          </w:tcPr>
          <w:p>
            <w:pPr>
              <w:spacing w:after="40"/>
            </w:pPr>
            <w:r>
              <w:rPr>
                <w:rFonts w:ascii="Times New Roman" w:hAnsi="Times New Roman"/>
                <w:b w:val="0"/>
                <w:i w:val="0"/>
                <w:sz w:val="17"/>
              </w:rPr>
              <w:t>75/25 to 150% of estimate; 100% Landlord beyond; Landlord bears off-site and undisclosed conditions (TS §7 / §8.3)</w:t>
            </w:r>
          </w:p>
        </w:tc>
        <w:tc>
          <w:tcPr>
            <w:tcW w:type="dxa" w:w="2692"/>
          </w:tcPr>
          <w:p>
            <w:pPr>
              <w:spacing w:after="40"/>
            </w:pPr>
            <w:r>
              <w:rPr>
                <w:rFonts w:ascii="Times New Roman" w:hAnsi="Times New Roman"/>
                <w:b w:val="0"/>
                <w:i w:val="0"/>
                <w:sz w:val="17"/>
              </w:rPr>
              <w:t>Implements the Term Sheet's own arithmetic</w:t>
            </w:r>
          </w:p>
        </w:tc>
      </w:tr>
      <w:tr>
        <w:trPr>
          <w:cantSplit/>
        </w:trPr>
        <w:tc>
          <w:tcPr>
            <w:tcW w:type="dxa" w:w="2160"/>
          </w:tcPr>
          <w:p>
            <w:pPr>
              <w:spacing w:after="40"/>
            </w:pPr>
            <w:r>
              <w:rPr>
                <w:rFonts w:ascii="Times New Roman" w:hAnsi="Times New Roman"/>
                <w:b w:val="0"/>
                <w:i w:val="0"/>
                <w:sz w:val="17"/>
              </w:rPr>
              <w:t>Remediation Credit</w:t>
            </w:r>
          </w:p>
        </w:tc>
        <w:tc>
          <w:tcPr>
            <w:tcW w:type="dxa" w:w="1699"/>
          </w:tcPr>
          <w:p>
            <w:pPr>
              <w:spacing w:after="40"/>
            </w:pPr>
            <w:r>
              <w:rPr>
                <w:rFonts w:ascii="Times New Roman" w:hAnsi="Times New Roman"/>
                <w:b w:val="0"/>
                <w:i w:val="0"/>
                <w:sz w:val="17"/>
              </w:rPr>
              <w:t>Applied to months 1–8 only</w:t>
            </w:r>
          </w:p>
        </w:tc>
        <w:tc>
          <w:tcPr>
            <w:tcW w:type="dxa" w:w="2808"/>
          </w:tcPr>
          <w:p>
            <w:pPr>
              <w:spacing w:after="40"/>
            </w:pPr>
            <w:r>
              <w:rPr>
                <w:rFonts w:ascii="Times New Roman" w:hAnsi="Times New Roman"/>
                <w:b w:val="0"/>
                <w:i w:val="0"/>
                <w:sz w:val="17"/>
              </w:rPr>
              <w:t>Same front-loaded schedule, plus deferral, assignability, mortgagee and New Lease availability, and cash payment if unapplied (TS §7 / §8.4)</w:t>
            </w:r>
          </w:p>
        </w:tc>
        <w:tc>
          <w:tcPr>
            <w:tcW w:type="dxa" w:w="2692"/>
          </w:tcPr>
          <w:p>
            <w:pPr>
              <w:spacing w:after="40"/>
            </w:pPr>
            <w:r>
              <w:rPr>
                <w:rFonts w:ascii="Times New Roman" w:hAnsi="Times New Roman"/>
                <w:b w:val="0"/>
                <w:i w:val="0"/>
                <w:sz w:val="17"/>
              </w:rPr>
              <w:t>$1.8M is a credit, not a use-it-or-lose-it</w:t>
            </w:r>
          </w:p>
        </w:tc>
      </w:tr>
      <w:tr>
        <w:trPr>
          <w:cantSplit/>
        </w:trPr>
        <w:tc>
          <w:tcPr>
            <w:tcW w:type="dxa" w:w="2160"/>
          </w:tcPr>
          <w:p>
            <w:pPr>
              <w:spacing w:after="40"/>
            </w:pPr>
            <w:r>
              <w:rPr>
                <w:rFonts w:ascii="Times New Roman" w:hAnsi="Times New Roman"/>
                <w:b w:val="0"/>
                <w:i w:val="0"/>
                <w:sz w:val="17"/>
              </w:rPr>
              <w:t>Bulkhead</w:t>
            </w:r>
          </w:p>
        </w:tc>
        <w:tc>
          <w:tcPr>
            <w:tcW w:type="dxa" w:w="1699"/>
          </w:tcPr>
          <w:p>
            <w:pPr>
              <w:spacing w:after="40"/>
            </w:pPr>
            <w:r>
              <w:rPr>
                <w:rFonts w:ascii="Times New Roman" w:hAnsi="Times New Roman"/>
                <w:b w:val="0"/>
                <w:i w:val="0"/>
                <w:sz w:val="17"/>
              </w:rPr>
              <w:t>Silent</w:t>
            </w:r>
          </w:p>
        </w:tc>
        <w:tc>
          <w:tcPr>
            <w:tcW w:type="dxa" w:w="2808"/>
          </w:tcPr>
          <w:p>
            <w:pPr>
              <w:spacing w:after="40"/>
            </w:pPr>
            <w:r>
              <w:rPr>
                <w:rFonts w:ascii="Times New Roman" w:hAnsi="Times New Roman"/>
                <w:b w:val="0"/>
                <w:i w:val="0"/>
                <w:sz w:val="17"/>
              </w:rPr>
              <w:t>Assessment at Landlord's cost; restoration of demolition damage or rent credit; balance to Project budget (TS silent / §8.9)</w:t>
            </w:r>
          </w:p>
        </w:tc>
        <w:tc>
          <w:tcPr>
            <w:tcW w:type="dxa" w:w="2692"/>
          </w:tcPr>
          <w:p>
            <w:pPr>
              <w:spacing w:after="40"/>
            </w:pPr>
            <w:r>
              <w:rPr>
                <w:rFonts w:ascii="Times New Roman" w:hAnsi="Times New Roman"/>
                <w:b w:val="0"/>
                <w:i w:val="0"/>
                <w:sz w:val="17"/>
              </w:rPr>
              <w:t>Uncosted capital item and Landlord's own damage</w:t>
            </w:r>
          </w:p>
        </w:tc>
      </w:tr>
      <w:tr>
        <w:trPr>
          <w:cantSplit/>
        </w:trPr>
        <w:tc>
          <w:tcPr>
            <w:tcW w:type="dxa" w:w="2160"/>
          </w:tcPr>
          <w:p>
            <w:pPr>
              <w:spacing w:after="40"/>
            </w:pPr>
            <w:r>
              <w:rPr>
                <w:rFonts w:ascii="Times New Roman" w:hAnsi="Times New Roman"/>
                <w:b w:val="0"/>
                <w:i w:val="0"/>
                <w:sz w:val="17"/>
              </w:rPr>
              <w:t>Mechanics' lien</w:t>
            </w:r>
          </w:p>
        </w:tc>
        <w:tc>
          <w:tcPr>
            <w:tcW w:type="dxa" w:w="1699"/>
          </w:tcPr>
          <w:p>
            <w:pPr>
              <w:spacing w:after="40"/>
            </w:pPr>
            <w:r>
              <w:rPr>
                <w:rFonts w:ascii="Times New Roman" w:hAnsi="Times New Roman"/>
                <w:b w:val="0"/>
                <w:i w:val="0"/>
                <w:sz w:val="17"/>
              </w:rPr>
              <w:t>Permitted Exception</w:t>
            </w:r>
          </w:p>
        </w:tc>
        <w:tc>
          <w:tcPr>
            <w:tcW w:type="dxa" w:w="2808"/>
          </w:tcPr>
          <w:p>
            <w:pPr>
              <w:spacing w:after="40"/>
            </w:pPr>
            <w:r>
              <w:rPr>
                <w:rFonts w:ascii="Times New Roman" w:hAnsi="Times New Roman"/>
                <w:b w:val="0"/>
                <w:i w:val="0"/>
                <w:sz w:val="17"/>
              </w:rPr>
              <w:t>Excluded; discharge or bond as a condition precedent (TS §13(6) / §§2.7(c), 15.4)</w:t>
            </w:r>
          </w:p>
        </w:tc>
        <w:tc>
          <w:tcPr>
            <w:tcW w:type="dxa" w:w="2692"/>
          </w:tcPr>
          <w:p>
            <w:pPr>
              <w:spacing w:after="40"/>
            </w:pPr>
            <w:r>
              <w:rPr>
                <w:rFonts w:ascii="Times New Roman" w:hAnsi="Times New Roman"/>
                <w:b w:val="0"/>
                <w:i w:val="0"/>
                <w:sz w:val="17"/>
              </w:rPr>
              <w:t>Title will not issue otherwise</w:t>
            </w:r>
          </w:p>
        </w:tc>
      </w:tr>
      <w:tr>
        <w:trPr>
          <w:cantSplit/>
        </w:trPr>
        <w:tc>
          <w:tcPr>
            <w:tcW w:type="dxa" w:w="2160"/>
          </w:tcPr>
          <w:p>
            <w:pPr>
              <w:spacing w:after="40"/>
            </w:pPr>
            <w:r>
              <w:rPr>
                <w:rFonts w:ascii="Times New Roman" w:hAnsi="Times New Roman"/>
                <w:b w:val="0"/>
                <w:i w:val="0"/>
                <w:sz w:val="17"/>
              </w:rPr>
              <w:t>Permitted Exceptions</w:t>
            </w:r>
          </w:p>
        </w:tc>
        <w:tc>
          <w:tcPr>
            <w:tcW w:type="dxa" w:w="1699"/>
          </w:tcPr>
          <w:p>
            <w:pPr>
              <w:spacing w:after="40"/>
            </w:pPr>
            <w:r>
              <w:rPr>
                <w:rFonts w:ascii="Times New Roman" w:hAnsi="Times New Roman"/>
                <w:b w:val="0"/>
                <w:i w:val="0"/>
                <w:sz w:val="17"/>
              </w:rPr>
              <w:t>Six listed</w:t>
            </w:r>
          </w:p>
        </w:tc>
        <w:tc>
          <w:tcPr>
            <w:tcW w:type="dxa" w:w="2808"/>
          </w:tcPr>
          <w:p>
            <w:pPr>
              <w:spacing w:after="40"/>
            </w:pPr>
            <w:r>
              <w:rPr>
                <w:rFonts w:ascii="Times New Roman" w:hAnsi="Times New Roman"/>
                <w:b w:val="0"/>
                <w:i w:val="0"/>
                <w:sz w:val="17"/>
              </w:rPr>
              <w:t>Nine listed; ROFR and affordable covenant conditioned on amendment and satisfaction; express exclusions (TS §13 / Exh. B)</w:t>
            </w:r>
          </w:p>
        </w:tc>
        <w:tc>
          <w:tcPr>
            <w:tcW w:type="dxa" w:w="2692"/>
          </w:tcPr>
          <w:p>
            <w:pPr>
              <w:spacing w:after="40"/>
            </w:pPr>
            <w:r>
              <w:rPr>
                <w:rFonts w:ascii="Times New Roman" w:hAnsi="Times New Roman"/>
                <w:b w:val="0"/>
                <w:i w:val="0"/>
                <w:sz w:val="17"/>
              </w:rPr>
              <w:t>Recorded instruments conflict with the financing</w:t>
            </w:r>
          </w:p>
        </w:tc>
      </w:tr>
      <w:tr>
        <w:trPr>
          <w:cantSplit/>
        </w:trPr>
        <w:tc>
          <w:tcPr>
            <w:tcW w:type="dxa" w:w="2160"/>
          </w:tcPr>
          <w:p>
            <w:pPr>
              <w:spacing w:after="40"/>
            </w:pPr>
            <w:r>
              <w:rPr>
                <w:rFonts w:ascii="Times New Roman" w:hAnsi="Times New Roman"/>
                <w:b w:val="0"/>
                <w:i w:val="0"/>
                <w:sz w:val="17"/>
              </w:rPr>
              <w:t>ROFR</w:t>
            </w:r>
          </w:p>
        </w:tc>
        <w:tc>
          <w:tcPr>
            <w:tcW w:type="dxa" w:w="1699"/>
          </w:tcPr>
          <w:p>
            <w:pPr>
              <w:spacing w:after="40"/>
            </w:pPr>
            <w:r>
              <w:rPr>
                <w:rFonts w:ascii="Times New Roman" w:hAnsi="Times New Roman"/>
                <w:b w:val="0"/>
                <w:i w:val="0"/>
                <w:sz w:val="17"/>
              </w:rPr>
              <w:t>No mortgagee carve-out</w:t>
            </w:r>
          </w:p>
        </w:tc>
        <w:tc>
          <w:tcPr>
            <w:tcW w:type="dxa" w:w="2808"/>
          </w:tcPr>
          <w:p>
            <w:pPr>
              <w:spacing w:after="40"/>
            </w:pPr>
            <w:r>
              <w:rPr>
                <w:rFonts w:ascii="Times New Roman" w:hAnsi="Times New Roman"/>
                <w:b w:val="0"/>
                <w:i w:val="0"/>
                <w:sz w:val="17"/>
              </w:rPr>
              <w:t>Express carve-outs for mortgagee transfers, foreclosure, deed in lieu, and indirect transfers (TS §11 / §11.4(e))</w:t>
            </w:r>
          </w:p>
        </w:tc>
        <w:tc>
          <w:tcPr>
            <w:tcW w:type="dxa" w:w="2692"/>
          </w:tcPr>
          <w:p>
            <w:pPr>
              <w:spacing w:after="40"/>
            </w:pPr>
            <w:r>
              <w:rPr>
                <w:rFonts w:ascii="Times New Roman" w:hAnsi="Times New Roman"/>
                <w:b w:val="0"/>
                <w:i w:val="0"/>
                <w:sz w:val="17"/>
              </w:rPr>
              <w:t>Loan TS §5.6</w:t>
            </w:r>
          </w:p>
        </w:tc>
      </w:tr>
      <w:tr>
        <w:trPr>
          <w:cantSplit/>
        </w:trPr>
        <w:tc>
          <w:tcPr>
            <w:tcW w:type="dxa" w:w="2160"/>
          </w:tcPr>
          <w:p>
            <w:pPr>
              <w:spacing w:after="40"/>
            </w:pPr>
            <w:r>
              <w:rPr>
                <w:rFonts w:ascii="Times New Roman" w:hAnsi="Times New Roman"/>
                <w:b w:val="0"/>
                <w:i w:val="0"/>
                <w:sz w:val="17"/>
              </w:rPr>
              <w:t>Assignment</w:t>
            </w:r>
          </w:p>
        </w:tc>
        <w:tc>
          <w:tcPr>
            <w:tcW w:type="dxa" w:w="1699"/>
          </w:tcPr>
          <w:p>
            <w:pPr>
              <w:spacing w:after="40"/>
            </w:pPr>
            <w:r>
              <w:rPr>
                <w:rFonts w:ascii="Times New Roman" w:hAnsi="Times New Roman"/>
                <w:b w:val="0"/>
                <w:i w:val="0"/>
                <w:sz w:val="17"/>
              </w:rPr>
              <w:t>Restrictions on "the Lease or any interest therein"</w:t>
            </w:r>
          </w:p>
        </w:tc>
        <w:tc>
          <w:tcPr>
            <w:tcW w:type="dxa" w:w="2808"/>
          </w:tcPr>
          <w:p>
            <w:pPr>
              <w:spacing w:after="40"/>
            </w:pPr>
            <w:r>
              <w:rPr>
                <w:rFonts w:ascii="Times New Roman" w:hAnsi="Times New Roman"/>
                <w:b w:val="0"/>
                <w:i w:val="0"/>
                <w:sz w:val="17"/>
              </w:rPr>
              <w:t>Permitted transfers including the 100% membership pledge, foreclosure, and internal reorganizations (TS §11 / §11.1)</w:t>
            </w:r>
          </w:p>
        </w:tc>
        <w:tc>
          <w:tcPr>
            <w:tcW w:type="dxa" w:w="2692"/>
          </w:tcPr>
          <w:p>
            <w:pPr>
              <w:spacing w:after="40"/>
            </w:pPr>
            <w:r>
              <w:rPr>
                <w:rFonts w:ascii="Times New Roman" w:hAnsi="Times New Roman"/>
                <w:b w:val="0"/>
                <w:i w:val="0"/>
                <w:sz w:val="17"/>
              </w:rPr>
              <w:t>Loan TS §4</w:t>
            </w:r>
          </w:p>
        </w:tc>
      </w:tr>
      <w:tr>
        <w:trPr>
          <w:cantSplit/>
        </w:trPr>
        <w:tc>
          <w:tcPr>
            <w:tcW w:type="dxa" w:w="2160"/>
          </w:tcPr>
          <w:p>
            <w:pPr>
              <w:spacing w:after="40"/>
            </w:pPr>
            <w:r>
              <w:rPr>
                <w:rFonts w:ascii="Times New Roman" w:hAnsi="Times New Roman"/>
                <w:b w:val="0"/>
                <w:i w:val="0"/>
                <w:sz w:val="17"/>
              </w:rPr>
              <w:t>Security deposit issuer</w:t>
            </w:r>
          </w:p>
        </w:tc>
        <w:tc>
          <w:tcPr>
            <w:tcW w:type="dxa" w:w="1699"/>
          </w:tcPr>
          <w:p>
            <w:pPr>
              <w:spacing w:after="40"/>
            </w:pPr>
            <w:r>
              <w:rPr>
                <w:rFonts w:ascii="Times New Roman" w:hAnsi="Times New Roman"/>
                <w:b w:val="0"/>
                <w:i w:val="0"/>
                <w:sz w:val="17"/>
              </w:rPr>
              <w:t>Commercial bank, U.S. or state chartered, A-/A3</w:t>
            </w:r>
          </w:p>
        </w:tc>
        <w:tc>
          <w:tcPr>
            <w:tcW w:type="dxa" w:w="2808"/>
          </w:tcPr>
          <w:p>
            <w:pPr>
              <w:spacing w:after="40"/>
            </w:pPr>
            <w:r>
              <w:rPr>
                <w:rFonts w:ascii="Times New Roman" w:hAnsi="Times New Roman"/>
                <w:b w:val="0"/>
                <w:i w:val="0"/>
                <w:sz w:val="17"/>
              </w:rPr>
              <w:t>Commercial bank or cash or affiliate guaranty; rating cure; no "federally chartered" requirement (TS §8; Resolution Recital (c) / §§7.2)</w:t>
            </w:r>
          </w:p>
        </w:tc>
        <w:tc>
          <w:tcPr>
            <w:tcW w:type="dxa" w:w="2692"/>
          </w:tcPr>
          <w:p>
            <w:pPr>
              <w:spacing w:after="40"/>
            </w:pPr>
            <w:r>
              <w:rPr>
                <w:rFonts w:ascii="Times New Roman" w:hAnsi="Times New Roman"/>
                <w:b w:val="0"/>
                <w:i w:val="0"/>
                <w:sz w:val="17"/>
              </w:rPr>
              <w:t>Board resolution conflicts with the Term Sheet and the Loan TS</w:t>
            </w:r>
          </w:p>
        </w:tc>
      </w:tr>
      <w:tr>
        <w:trPr>
          <w:cantSplit/>
        </w:trPr>
        <w:tc>
          <w:tcPr>
            <w:tcW w:type="dxa" w:w="2160"/>
          </w:tcPr>
          <w:p>
            <w:pPr>
              <w:spacing w:after="40"/>
            </w:pPr>
            <w:r>
              <w:rPr>
                <w:rFonts w:ascii="Times New Roman" w:hAnsi="Times New Roman"/>
                <w:b w:val="0"/>
                <w:i w:val="0"/>
                <w:sz w:val="17"/>
              </w:rPr>
              <w:t>Security deposit reduction</w:t>
            </w:r>
          </w:p>
        </w:tc>
        <w:tc>
          <w:tcPr>
            <w:tcW w:type="dxa" w:w="1699"/>
          </w:tcPr>
          <w:p>
            <w:pPr>
              <w:spacing w:after="40"/>
            </w:pPr>
            <w:r>
              <w:rPr>
                <w:rFonts w:ascii="Times New Roman" w:hAnsi="Times New Roman"/>
                <w:b w:val="0"/>
                <w:i w:val="0"/>
                <w:sz w:val="17"/>
              </w:rPr>
              <w:t>90% occupancy for 24 months, undefined</w:t>
            </w:r>
          </w:p>
        </w:tc>
        <w:tc>
          <w:tcPr>
            <w:tcW w:type="dxa" w:w="2808"/>
          </w:tcPr>
          <w:p>
            <w:pPr>
              <w:spacing w:after="40"/>
            </w:pPr>
            <w:r>
              <w:rPr>
                <w:rFonts w:ascii="Times New Roman" w:hAnsi="Times New Roman"/>
                <w:b w:val="0"/>
                <w:i w:val="0"/>
                <w:sz w:val="17"/>
              </w:rPr>
              <w:t>Defined Occupancy Rate, documentation, 30-day deadline, accountant determination (TS §8 / §7.4)</w:t>
            </w:r>
          </w:p>
        </w:tc>
        <w:tc>
          <w:tcPr>
            <w:tcW w:type="dxa" w:w="2692"/>
          </w:tcPr>
          <w:p>
            <w:pPr>
              <w:spacing w:after="40"/>
            </w:pPr>
            <w:r>
              <w:rPr>
                <w:rFonts w:ascii="Times New Roman" w:hAnsi="Times New Roman"/>
                <w:b w:val="0"/>
                <w:i w:val="0"/>
                <w:sz w:val="17"/>
              </w:rPr>
              <w:t>Your instruction; avoids a dispute</w:t>
            </w:r>
          </w:p>
        </w:tc>
      </w:tr>
      <w:tr>
        <w:trPr>
          <w:cantSplit/>
        </w:trPr>
        <w:tc>
          <w:tcPr>
            <w:tcW w:type="dxa" w:w="2160"/>
          </w:tcPr>
          <w:p>
            <w:pPr>
              <w:spacing w:after="40"/>
            </w:pPr>
            <w:r>
              <w:rPr>
                <w:rFonts w:ascii="Times New Roman" w:hAnsi="Times New Roman"/>
                <w:b w:val="0"/>
                <w:i w:val="0"/>
                <w:sz w:val="17"/>
              </w:rPr>
              <w:t>Insurance</w:t>
            </w:r>
          </w:p>
        </w:tc>
        <w:tc>
          <w:tcPr>
            <w:tcW w:type="dxa" w:w="1699"/>
          </w:tcPr>
          <w:p>
            <w:pPr>
              <w:spacing w:after="40"/>
            </w:pPr>
            <w:r>
              <w:rPr>
                <w:rFonts w:ascii="Times New Roman" w:hAnsi="Times New Roman"/>
                <w:b w:val="0"/>
                <w:i w:val="0"/>
                <w:sz w:val="17"/>
              </w:rPr>
              <w:t>Authority additional insured on all-risk property; NFIP maximum flood</w:t>
            </w:r>
          </w:p>
        </w:tc>
        <w:tc>
          <w:tcPr>
            <w:tcW w:type="dxa" w:w="2808"/>
          </w:tcPr>
          <w:p>
            <w:pPr>
              <w:spacing w:after="40"/>
            </w:pPr>
            <w:r>
              <w:rPr>
                <w:rFonts w:ascii="Times New Roman" w:hAnsi="Times New Roman"/>
                <w:b w:val="0"/>
                <w:i w:val="0"/>
                <w:sz w:val="17"/>
              </w:rPr>
              <w:t>Additional insured on liability only; full replacement cost flood; mortgagee first loss payee (TS §12 / §§12.1–12.2)</w:t>
            </w:r>
          </w:p>
        </w:tc>
        <w:tc>
          <w:tcPr>
            <w:tcW w:type="dxa" w:w="2692"/>
          </w:tcPr>
          <w:p>
            <w:pPr>
              <w:spacing w:after="40"/>
            </w:pPr>
            <w:r>
              <w:rPr>
                <w:rFonts w:ascii="Times New Roman" w:hAnsi="Times New Roman"/>
                <w:b w:val="0"/>
                <w:i w:val="0"/>
                <w:sz w:val="17"/>
              </w:rPr>
              <w:t>A $425M building cannot be insured at NFIP limits</w:t>
            </w:r>
          </w:p>
        </w:tc>
      </w:tr>
      <w:tr>
        <w:trPr>
          <w:cantSplit/>
        </w:trPr>
        <w:tc>
          <w:tcPr>
            <w:tcW w:type="dxa" w:w="2160"/>
          </w:tcPr>
          <w:p>
            <w:pPr>
              <w:spacing w:after="40"/>
            </w:pPr>
            <w:r>
              <w:rPr>
                <w:rFonts w:ascii="Times New Roman" w:hAnsi="Times New Roman"/>
                <w:b w:val="0"/>
                <w:i w:val="0"/>
                <w:sz w:val="17"/>
              </w:rPr>
              <w:t>Conditions precedent</w:t>
            </w:r>
          </w:p>
        </w:tc>
        <w:tc>
          <w:tcPr>
            <w:tcW w:type="dxa" w:w="1699"/>
          </w:tcPr>
          <w:p>
            <w:pPr>
              <w:spacing w:after="40"/>
            </w:pPr>
            <w:r>
              <w:rPr>
                <w:rFonts w:ascii="Times New Roman" w:hAnsi="Times New Roman"/>
                <w:b w:val="0"/>
                <w:i w:val="0"/>
                <w:sz w:val="17"/>
              </w:rPr>
              <w:t>Seven items</w:t>
            </w:r>
          </w:p>
        </w:tc>
        <w:tc>
          <w:tcPr>
            <w:tcW w:type="dxa" w:w="2808"/>
          </w:tcPr>
          <w:p>
            <w:pPr>
              <w:spacing w:after="40"/>
            </w:pPr>
            <w:r>
              <w:rPr>
                <w:rFonts w:ascii="Times New Roman" w:hAnsi="Times New Roman"/>
                <w:b w:val="0"/>
                <w:i w:val="0"/>
                <w:sz w:val="17"/>
              </w:rPr>
              <w:t>Twelve items, including lien discharge, ROFR amendment, City abatement agreement, DEEP letter, bulkhead, endorsements, certified resolution (TS §15 / §2.7)</w:t>
            </w:r>
          </w:p>
        </w:tc>
        <w:tc>
          <w:tcPr>
            <w:tcW w:type="dxa" w:w="2692"/>
          </w:tcPr>
          <w:p>
            <w:pPr>
              <w:spacing w:after="40"/>
            </w:pPr>
            <w:r>
              <w:rPr>
                <w:rFonts w:ascii="Times New Roman" w:hAnsi="Times New Roman"/>
                <w:b w:val="0"/>
                <w:i w:val="0"/>
                <w:sz w:val="17"/>
              </w:rPr>
              <w:t>Each is a closing failure otherwise</w:t>
            </w:r>
          </w:p>
        </w:tc>
      </w:tr>
      <w:tr>
        <w:trPr>
          <w:cantSplit/>
        </w:trPr>
        <w:tc>
          <w:tcPr>
            <w:tcW w:type="dxa" w:w="2160"/>
          </w:tcPr>
          <w:p>
            <w:pPr>
              <w:spacing w:after="40"/>
            </w:pPr>
            <w:r>
              <w:rPr>
                <w:rFonts w:ascii="Times New Roman" w:hAnsi="Times New Roman"/>
                <w:b w:val="0"/>
                <w:i w:val="0"/>
                <w:sz w:val="17"/>
              </w:rPr>
              <w:t>Landlord fee mortgages</w:t>
            </w:r>
          </w:p>
        </w:tc>
        <w:tc>
          <w:tcPr>
            <w:tcW w:type="dxa" w:w="1699"/>
          </w:tcPr>
          <w:p>
            <w:pPr>
              <w:spacing w:after="40"/>
            </w:pPr>
            <w:r>
              <w:rPr>
                <w:rFonts w:ascii="Times New Roman" w:hAnsi="Times New Roman"/>
                <w:b w:val="0"/>
                <w:i w:val="0"/>
                <w:sz w:val="17"/>
              </w:rPr>
              <w:t>Silent</w:t>
            </w:r>
          </w:p>
        </w:tc>
        <w:tc>
          <w:tcPr>
            <w:tcW w:type="dxa" w:w="2808"/>
          </w:tcPr>
          <w:p>
            <w:pPr>
              <w:spacing w:after="40"/>
            </w:pPr>
            <w:r>
              <w:rPr>
                <w:rFonts w:ascii="Times New Roman" w:hAnsi="Times New Roman"/>
                <w:b w:val="0"/>
                <w:i w:val="0"/>
                <w:sz w:val="17"/>
              </w:rPr>
              <w:t>Subordinated to the Lease; SNDA required (TS silent / §15.7)</w:t>
            </w:r>
          </w:p>
        </w:tc>
        <w:tc>
          <w:tcPr>
            <w:tcW w:type="dxa" w:w="2692"/>
          </w:tcPr>
          <w:p>
            <w:pPr>
              <w:spacing w:after="40"/>
            </w:pPr>
            <w:r>
              <w:rPr>
                <w:rFonts w:ascii="Times New Roman" w:hAnsi="Times New Roman"/>
                <w:b w:val="0"/>
                <w:i w:val="0"/>
                <w:sz w:val="17"/>
              </w:rPr>
              <w:t>A fee mortgage could otherwise extinguish the leasehold</w:t>
            </w:r>
          </w:p>
        </w:tc>
      </w:tr>
      <w:tr>
        <w:trPr>
          <w:cantSplit/>
        </w:trPr>
        <w:tc>
          <w:tcPr>
            <w:tcW w:type="dxa" w:w="2160"/>
          </w:tcPr>
          <w:p>
            <w:pPr>
              <w:spacing w:after="40"/>
            </w:pPr>
            <w:r>
              <w:rPr>
                <w:rFonts w:ascii="Times New Roman" w:hAnsi="Times New Roman"/>
                <w:b w:val="0"/>
                <w:i w:val="0"/>
                <w:sz w:val="17"/>
              </w:rPr>
              <w:t>Dispute resolution</w:t>
            </w:r>
          </w:p>
        </w:tc>
        <w:tc>
          <w:tcPr>
            <w:tcW w:type="dxa" w:w="1699"/>
          </w:tcPr>
          <w:p>
            <w:pPr>
              <w:spacing w:after="40"/>
            </w:pPr>
            <w:r>
              <w:rPr>
                <w:rFonts w:ascii="Times New Roman" w:hAnsi="Times New Roman"/>
                <w:b w:val="0"/>
                <w:i w:val="0"/>
                <w:sz w:val="17"/>
              </w:rPr>
              <w:t>Mediation then Superior Court, "Judicial District of Port Calloway"</w:t>
            </w:r>
          </w:p>
        </w:tc>
        <w:tc>
          <w:tcPr>
            <w:tcW w:type="dxa" w:w="2808"/>
          </w:tcPr>
          <w:p>
            <w:pPr>
              <w:spacing w:after="40"/>
            </w:pPr>
            <w:r>
              <w:rPr>
                <w:rFonts w:ascii="Times New Roman" w:hAnsi="Times New Roman"/>
                <w:b w:val="0"/>
                <w:i w:val="0"/>
                <w:sz w:val="17"/>
              </w:rPr>
              <w:t>Mediation with carve-outs; New Haven venue (TS §19 / §§17.2–17.3)</w:t>
            </w:r>
          </w:p>
        </w:tc>
        <w:tc>
          <w:tcPr>
            <w:tcW w:type="dxa" w:w="2692"/>
          </w:tcPr>
          <w:p>
            <w:pPr>
              <w:spacing w:after="40"/>
            </w:pPr>
            <w:r>
              <w:rPr>
                <w:rFonts w:ascii="Times New Roman" w:hAnsi="Times New Roman"/>
                <w:b w:val="0"/>
                <w:i w:val="0"/>
                <w:sz w:val="17"/>
              </w:rPr>
              <w:t>No such district exists; mediation would delay lender remedies</w:t>
            </w:r>
          </w:p>
        </w:tc>
      </w:tr>
      <w:tr>
        <w:trPr>
          <w:cantSplit/>
        </w:trPr>
        <w:tc>
          <w:tcPr>
            <w:tcW w:type="dxa" w:w="2160"/>
          </w:tcPr>
          <w:p>
            <w:pPr>
              <w:spacing w:after="40"/>
            </w:pPr>
            <w:r>
              <w:rPr>
                <w:rFonts w:ascii="Times New Roman" w:hAnsi="Times New Roman"/>
                <w:b w:val="0"/>
                <w:i w:val="0"/>
                <w:sz w:val="17"/>
              </w:rPr>
              <w:t>Environmental indemnity</w:t>
            </w:r>
          </w:p>
        </w:tc>
        <w:tc>
          <w:tcPr>
            <w:tcW w:type="dxa" w:w="1699"/>
          </w:tcPr>
          <w:p>
            <w:pPr>
              <w:spacing w:after="40"/>
            </w:pPr>
            <w:r>
              <w:rPr>
                <w:rFonts w:ascii="Times New Roman" w:hAnsi="Times New Roman"/>
                <w:b w:val="0"/>
                <w:i w:val="0"/>
                <w:sz w:val="17"/>
              </w:rPr>
              <w:t>Silent as to pre-existing conditions</w:t>
            </w:r>
          </w:p>
        </w:tc>
        <w:tc>
          <w:tcPr>
            <w:tcW w:type="dxa" w:w="2808"/>
          </w:tcPr>
          <w:p>
            <w:pPr>
              <w:spacing w:after="40"/>
            </w:pPr>
            <w:r>
              <w:rPr>
                <w:rFonts w:ascii="Times New Roman" w:hAnsi="Times New Roman"/>
                <w:b w:val="0"/>
                <w:i w:val="0"/>
                <w:sz w:val="17"/>
              </w:rPr>
              <w:t>Landlord indemnity for pre-existing and off-site conditions (TS silent / §8.7(b))</w:t>
            </w:r>
          </w:p>
        </w:tc>
        <w:tc>
          <w:tcPr>
            <w:tcW w:type="dxa" w:w="2692"/>
          </w:tcPr>
          <w:p>
            <w:pPr>
              <w:spacing w:after="40"/>
            </w:pPr>
            <w:r>
              <w:rPr>
                <w:rFonts w:ascii="Times New Roman" w:hAnsi="Times New Roman"/>
                <w:b w:val="0"/>
                <w:i w:val="0"/>
                <w:sz w:val="17"/>
              </w:rPr>
              <w:t>Tenant did not operate the shipyard</w:t>
            </w:r>
          </w:p>
        </w:tc>
      </w:tr>
      <w:tr>
        <w:trPr>
          <w:cantSplit/>
        </w:trPr>
        <w:tc>
          <w:tcPr>
            <w:tcW w:type="dxa" w:w="2160"/>
          </w:tcPr>
          <w:p>
            <w:pPr>
              <w:spacing w:after="40"/>
            </w:pPr>
            <w:r>
              <w:rPr>
                <w:rFonts w:ascii="Times New Roman" w:hAnsi="Times New Roman"/>
                <w:b w:val="0"/>
                <w:i w:val="0"/>
                <w:sz w:val="17"/>
              </w:rPr>
              <w:t>Confidentiality / FOIA</w:t>
            </w:r>
          </w:p>
        </w:tc>
        <w:tc>
          <w:tcPr>
            <w:tcW w:type="dxa" w:w="1699"/>
          </w:tcPr>
          <w:p>
            <w:pPr>
              <w:spacing w:after="40"/>
            </w:pPr>
            <w:r>
              <w:rPr>
                <w:rFonts w:ascii="Times New Roman" w:hAnsi="Times New Roman"/>
                <w:b w:val="0"/>
                <w:i w:val="0"/>
                <w:sz w:val="17"/>
              </w:rPr>
              <w:t>"To the extent permitted by law"</w:t>
            </w:r>
          </w:p>
        </w:tc>
        <w:tc>
          <w:tcPr>
            <w:tcW w:type="dxa" w:w="2808"/>
          </w:tcPr>
          <w:p>
            <w:pPr>
              <w:spacing w:after="40"/>
            </w:pPr>
            <w:r>
              <w:rPr>
                <w:rFonts w:ascii="Times New Roman" w:hAnsi="Times New Roman"/>
                <w:b w:val="0"/>
                <w:i w:val="0"/>
                <w:sz w:val="17"/>
              </w:rPr>
              <w:t>Advance notice, exemption assertion, cooperation on protective order (TS §19 / §§17.4–17.5)</w:t>
            </w:r>
          </w:p>
        </w:tc>
        <w:tc>
          <w:tcPr>
            <w:tcW w:type="dxa" w:w="2692"/>
          </w:tcPr>
          <w:p>
            <w:pPr>
              <w:spacing w:after="40"/>
            </w:pPr>
            <w:r>
              <w:rPr>
                <w:rFonts w:ascii="Times New Roman" w:hAnsi="Times New Roman"/>
                <w:b w:val="0"/>
                <w:i w:val="0"/>
                <w:sz w:val="17"/>
              </w:rPr>
              <w:t>Financial statements will be requested under FOIA</w:t>
            </w:r>
          </w:p>
        </w:tc>
      </w:tr>
    </w:tbl>
    <w:p>
      <w:pPr>
        <w:spacing w:after="40"/>
      </w:pPr>
    </w:p>
    <w:p>
      <w:r>
        <w:br w:type="page"/>
      </w:r>
    </w:p>
    <w:p>
      <w:pPr>
        <w:jc w:val="both"/>
      </w:pPr>
      <w:r>
        <w:rPr>
          <w:rFonts w:ascii="Times New Roman" w:hAnsi="Times New Roman"/>
          <w:b w:val="0"/>
          <w:i w:val="0"/>
          <w:sz w:val="18"/>
        </w:rPr>
        <w:t>This memorandum was prepared by Hargrove &amp; Linden LLP for Meridian Gateway Holdings LLC in connection with the negotiation of a ground lease of 10-30 Pier Street, Port Calloway, Connecticut. It is privileged and confidential, is prepared in anticipation of negotiation and possible litigation, and is not to be disclosed to any third party other than Meridian's lenders, investors, and advisors. It reflects the documents identified in Section 2.1 as of the date above and does not address the documents identified in Section 2.2. Figures have been independently recomputed from the source documents; where a recomputation differs from a stated figure, the difference is identified. Legal conclusions in Section VI are provided for negotiation purposes and require confirmation as described in Section 2.3.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
      <w:rPr>
        <w:rFonts w:ascii="Times New Roman" w:hAnsi="Times New Roman"/>
        <w:sz w:val="16"/>
      </w:rPr>
      <w:t>Hargrove &amp; Linden LLP — Privileged and Confidential — Attorney Work Product</w:t>
      <w:tab/>
    </w:r>
    <w:r>
      <w:rPr>
        <w:rFonts w:ascii="Times New Roman" w:hAnsi="Times New Roman"/>
        <w:sz w:val="16"/>
      </w:rPr>
      <w:t xml:space="preserve">Page </w:t>
    </w:r>
    <w:r>
      <w:rPr>
        <w:rFonts w:ascii="Times New Roman" w:hAnsi="Times New Roman"/>
        <w:sz w:val="16"/>
      </w:rPr>
      <w:fldChar w:fldCharType="begin"/>
    </w:r>
    <w:r>
      <w:rPr>
        <w:rFonts w:ascii="Times New Roman" w:hAnsi="Times New Roman"/>
        <w:sz w:val="16"/>
      </w:rPr>
      <w:instrText xml:space="preserve"> PAGE </w:instrText>
    </w:r>
    <w:r>
      <w:rPr>
        <w:rFonts w:ascii="Times New Roman" w:hAnsi="Times New Roman"/>
        <w:sz w:val="16"/>
      </w:rPr>
      <w:fldChar w:fldCharType="separate"/>
    </w:r>
    <w:r>
      <w:rPr>
        <w:rFonts w:ascii="Times New Roman" w:hAnsi="Times New Roman"/>
        <w:sz w:val="16"/>
      </w:rPr>
      <w:t>1</w:t>
    </w:r>
    <w:r>
      <w:rPr>
        <w:rFonts w:ascii="Times New Roman" w:hAnsi="Times New Roman"/>
        <w:sz w:val="16"/>
      </w:rPr>
      <w:fldChar w:fldCharType="end"/>
    </w:r>
    <w:r>
      <w:rPr>
        <w:rFonts w:ascii="Times New Roman" w:hAnsi="Times New Roman"/>
        <w:sz w:val="16"/>
      </w:rPr>
      <w:t xml:space="preserve"> of </w:t>
    </w:r>
    <w:r>
      <w:rPr>
        <w:rFonts w:ascii="Times New Roman" w:hAnsi="Times New Roman"/>
        <w:sz w:val="16"/>
      </w:rPr>
      <w:fldChar w:fldCharType="begin"/>
    </w:r>
    <w:r>
      <w:rPr>
        <w:rFonts w:ascii="Times New Roman" w:hAnsi="Times New Roman"/>
        <w:sz w:val="16"/>
      </w:rPr>
      <w:instrText xml:space="preserve"> NUMPAGES </w:instrText>
    </w:r>
    <w:r>
      <w:rPr>
        <w:rFonts w:ascii="Times New Roman" w:hAnsi="Times New Roman"/>
        <w:sz w:val="16"/>
      </w:rPr>
      <w:fldChar w:fldCharType="separate"/>
    </w:r>
    <w:r>
      <w:rPr>
        <w:rFonts w:ascii="Times New Roman" w:hAnsi="Times New Roman"/>
        <w:sz w:val="16"/>
      </w:rPr>
      <w:t>1</w:t>
    </w:r>
    <w:r>
      <w:rPr>
        <w:rFonts w:ascii="Times New Roman" w:hAnsi="Times New Roman"/>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