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Dataset</w:t>
      </w:r>
    </w:p>
    <w:p>
      <w:pPr>
        <w:pStyle w:val="Heading2"/>
      </w:pPr>
      <w:r>
        <w:rPr>
          <w:rFonts w:ascii="Arial" w:cs="Arial" w:eastAsia="Arial" w:hAnsi="Arial"/>
        </w:rPr>
        <w:t xml:space="preserve">A. Source and composition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targets four object categories relevant to weapon screening: knife, long_gun, other, and pistol. Images were extracted as frames from video footage, which has a direct consequence for split construction discussed in Section C. After curation and splitting, the dataset comprises 26,528 images containing 38,167 annotated instances (Table 1). The class distribution is moderately imbalanced - pistol (34.7% of instances) and long_gun (27.7%) are the most frequent, followed by other (21.5%) and knife (16.1%). The split preserves a 70/15/15 ratio for both images and every individual class (each class is within roughly 1% of 70/15/15 across the three subsets).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300"/>
        <w:gridCol w:w="1380"/>
        <w:gridCol w:w="1340"/>
        <w:gridCol w:w="1500"/>
        <w:gridCol w:w="1320"/>
        <w:gridCol w:w="134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knife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long_gun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pistol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18,579 (70.0%)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26,614 (69.7%)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4,247 (68.9%)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7,375 (69.8%)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5,692 (69.4%)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9,300 (70.2%)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3,978 (15.0%)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5,665 (14.8%)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950 (15.4%)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1,537 (14.6%)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1,240 (15.1%)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1,938 (14.6%)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3,971 (15.0%)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5,888 (15.4%)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966 (15.7%)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1,647 (15.6%)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1,271 (15.5%)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2,004 (15.1%)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26,528 (100%)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38,167 (100%)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6,163 (16.1%)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10,559 (27.7%)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8,203 (21.5%)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13,242 (34.7%)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 Dataset composition. For the split rows, the class percentages are the split's share of that class (showing the ~70/15/15 balance); in the Total row the class percentage is the class's share of all instances.</w:t>
      </w:r>
    </w:p>
    <w:p>
      <w:pPr>
        <w:pStyle w:val="Heading2"/>
      </w:pPr>
      <w:r>
        <w:rPr>
          <w:rFonts w:ascii="Arial" w:cs="Arial" w:eastAsia="Arial" w:hAnsi="Arial"/>
        </w:rPr>
        <w:t xml:space="preserve">B. Annotation correction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An initial analysis revealed that the other category - a heterogeneous catch-all for non-weapon objects - was systematically under-annotated: many genuine instances were left unlabelled, so a detector correctly localising them was penalised as producing false positives. We therefore applied a model-assisted annotation-correction pass, in which a trained detector proposed candidate other instances that were then human-reviewed and merged back into the labels. All results in this paper use the corrected annotations.</w:t>
      </w:r>
    </w:p>
    <w:p>
      <w:pPr>
        <w:pStyle w:val="Heading2"/>
      </w:pPr>
      <w:r>
        <w:rPr>
          <w:rFonts w:ascii="Arial" w:cs="Arial" w:eastAsia="Arial" w:hAnsi="Arial"/>
        </w:rPr>
        <w:t xml:space="preserve">C. Leakage-free splitting by near-duplicate clustering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Because the images are video frames, temporally adjacent frames are near-identical, and a naive per-frame split would place near-duplicates in different subsets - leaking evaluation content into training and overstating accuracy. To prevent this we adopt a near-duplicate-aware splitting procedure. Each image is encoded by a 64-bit perceptual hash (difference hash); any two images within a Hamming distance of five are linked, and connected components are extracted with a union-find, grouping mutually near-identical frames into clusters. This yields 19,036 clusters over the 26,528 images (15,549 singletons; largest cluster 188 frames).</w:t>
      </w:r>
    </w:p>
    <w:p>
      <w:pPr>
        <w:spacing w:after="150" w:line="27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entire cluster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then assigned to a single split by a stratified greedy that targets the 70/15/15 ratio for the total image count and for every class simultaneously (Figure 1). Because no cluster is divided across subsets, no near-duplicate frame can cross a split boundary. We confirmed this with a cross-split near-duplicate audit of the final split: there are zero near-duplicate images between any pair of subsets (Table 4). The evaluation is therefore leakage-free, and the reported metrics reflect genuine generalisation rather than memorised near-duplicates.</w:t>
      </w:r>
    </w:p>
    <w:p>
      <w:pPr>
        <w:spacing w:after="40" w:before="120"/>
        <w:jc w:val="center"/>
      </w:pPr>
      <w:r>
        <w:drawing>
          <wp:inline distT="0" distB="0" distL="0" distR="0">
            <wp:extent cx="58293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The leakage-free splitting procedure. Step 1: each frame is reduced to a 64-bit perceptual hash; frames within Hamming distance 5 are linked, and connected components (union-find) form clusters of mutually near-identical frames. Step 2: each whole cluster is assigned to a single split, with a greedy targeting 70/15/15 for the total image count and for every class. Because a cluster is never divided, no near-duplicate frame can appear in two subsets - unlike a naive per-frame split, which would place the same scene in both train and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pair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near-duplicate 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leakage rate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 - val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 -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 -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 Cross-split near-duplicate audit of the final split (difference hash, Hamming &lt;= 5). No near-duplicate images occur across any pair of subsets - the split is leakage-free.</w:t>
      </w:r>
    </w:p>
    <w:p>
      <w:pPr>
        <w:pStyle w:val="Heading2"/>
      </w:pPr>
      <w:r>
        <w:rPr>
          <w:rFonts w:ascii="Arial" w:cs="Arial" w:eastAsia="Arial" w:hAnsi="Arial"/>
        </w:rPr>
        <w:t xml:space="preserve">D. Object-size distribution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To characterise detection difficulty we categorise every instance by absolute scale, defined as the square root of the bounding-box area in pixels at the image's native resolution: small (&lt; 48 px), medium (48-96 px) and large (&gt;= 96 px). The dataset is dominated by large objects (70.2%), with 22.0% medium and only 7.8% small instances (Table 2). The distribution is consistent across the three splits, confirming the split does not bias object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(&lt; 48 px)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(48-96 px)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 (&gt;= 96 px)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2,132 (8.0%)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5,845 (22.0%)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18,637 (70.0%)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414 (7.3%)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1,179 (20.8%)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4,072 (71.9%)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442 (7.5%)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1,355 (23.0%)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4,091 (69.5%)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2,988 (7.8%)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8,379 (22.0%)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26,800 (70.2%)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 Object-size distribution per split (scale = sqrt of box area in pixels; percentages are within each split). Small objects are scarce (~7.8%), making small-object accuracy the hardest and most informative metric.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The scarcity of small objects is strongly class-dependent (Table 3): pistol is by far the smallest class, with 13.6% of its instances small (1,801 of 13,242), reflecting that handguns frequently appear small and distant. The remaining classes are predominantly large (74-79%). This concentration of small, hard instances in the pistol class - together with the heterogeneous other class - is what the architecture and loss design in the following sections specifically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75"/>
        <w:gridCol w:w="1875"/>
        <w:gridCol w:w="1875"/>
        <w:gridCol w:w="1875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(% of all)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knife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294 (4.8%)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1,289 (20.9%)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4,580 (74.3%)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6,163 (16.1%)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long_gun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429 (4.1%)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1,843 (17.5%)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8,287 (78.5%)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10,559 (27.7%)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other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464 (5.7%)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1,728 (21.1%)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6,011 (73.3%)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8,203 (21.5%)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pistol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1,801 (13.6%)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3,519 (26.6%)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7,922 (59.8%)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13,242 (34.7%)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 Per-class object-size breakdown over the full dataset. Small/Medium/Large percentages are within each class; the Total column is the class's share of all instances.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e5885e67798381881a3409f68dfd230f2488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2026-06-27T13:50:48.601Z</dcterms:created>
  <dcterms:modified xsi:type="dcterms:W3CDTF">2026-06-27T13:50:48.608Z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