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Dataset</w:t>
      </w:r>
    </w:p>
    <w:p>
      <w:pPr>
        <w:pStyle w:val="Heading2"/>
      </w:pPr>
      <w:r>
        <w:rPr>
          <w:rFonts w:ascii="Arial" w:cs="Arial" w:eastAsia="Arial" w:hAnsi="Arial"/>
        </w:rPr>
        <w:t xml:space="preserve">A. Source and composition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The dataset targets four object categories relevant to weapon screening: knife, long_gun, other, and pistol. Images were extracted as frames from video footage, which has a direct consequence for split construction discussed in Section C. After curation and splitting, the dataset comprises 26,528 images containing 38,167 annotated instances (Table 1). The class distribution is moderately imbalanced - pistol (34.7% of instances) and long_gun (27.7%) are the most frequent, followed by other (21.5%) and knife (16.1%). The split preserves a 70/15/15 ratio for both images and every individual class (each class is within roughly 1% of 70/15/15 across the three subsets).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0"/>
        <w:gridCol w:w="1300"/>
        <w:gridCol w:w="1380"/>
        <w:gridCol w:w="1340"/>
        <w:gridCol w:w="1500"/>
        <w:gridCol w:w="1320"/>
        <w:gridCol w:w="1340"/>
      </w:tblGrid>
      <w:tr>
        <w:trPr>
          <w:tblHeader/>
        </w:trP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Images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Instances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knife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long_gun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pistol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18,579 (70.0%)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26,614 (69.7%)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4,247 (68.9%)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7,375 (69.8%)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5,692 (69.4%)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9,300 (70.2%)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val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3,978 (15.0%)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5,665 (14.8%)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950 (15.4%)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1,537 (14.6%)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1,240 (15.1%)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1,938 (14.6%)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test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3,971 (15.0%)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5,888 (15.4%)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966 (15.7%)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1,647 (15.6%)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1,271 (15.5%)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2,004 (15.1%)</w:t>
            </w:r>
          </w:p>
        </w:tc>
      </w:tr>
      <w:tr>
        <w:tc>
          <w:tcPr>
            <w:tcW w:type="dxa" w:w="1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26,528 (100%)</w:t>
            </w:r>
          </w:p>
        </w:tc>
        <w:tc>
          <w:tcPr>
            <w:tcW w:type="dxa" w:w="1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38,167 (100%)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6,163 (16.1%)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10,559 (27.7%)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8,203 (21.5%)</w:t>
            </w:r>
          </w:p>
        </w:tc>
        <w:tc>
          <w:tcPr>
            <w:tcW w:type="dxa" w:w="1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13,242 (34.7%)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1. Dataset composition. For the split rows, the class percentages are the split's share of that class (showing the ~70/15/15 balance); in the Total row the class percentage is the class's share of all instances.</w:t>
      </w:r>
    </w:p>
    <w:p>
      <w:pPr>
        <w:pStyle w:val="Heading2"/>
      </w:pPr>
      <w:r>
        <w:rPr>
          <w:rFonts w:ascii="Arial" w:cs="Arial" w:eastAsia="Arial" w:hAnsi="Arial"/>
        </w:rPr>
        <w:t xml:space="preserve">B. Annotation correction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An initial analysis revealed that the other category - a heterogeneous catch-all for non-weapon objects - was systematically under-annotated: many genuine instances were left unlabelled, so a detector correctly localising them was penalised as producing false positives. We therefore applied a model-assisted annotation-correction pass, in which a trained detector proposed candidate other instances that were then human-reviewed and merged back into the labels. All results in this paper use the corrected annotations.</w:t>
      </w:r>
    </w:p>
    <w:p>
      <w:pPr>
        <w:pStyle w:val="Heading2"/>
      </w:pPr>
      <w:r>
        <w:rPr>
          <w:rFonts w:ascii="Arial" w:cs="Arial" w:eastAsia="Arial" w:hAnsi="Arial"/>
        </w:rPr>
        <w:t xml:space="preserve">C. Leakage-free splitting by near-duplicate clustering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Because the images are video frames, temporally adjacent frames are near-identical, and a naive per-frame split would place near-duplicates in different subsets - leaking evaluation content into training and overstating accuracy. To prevent this we adopt a near-duplicate-aware splitting procedure. Each image is encoded by a 64-bit perceptual hash (difference hash); any two images within a Hamming distance of five are linked, and connected components are extracted with a union-find, grouping mutually near-identical frames into clusters. This yields 19,036 clusters over the 26,528 images (15,549 singletons; largest cluster 188 frames).</w:t>
      </w:r>
    </w:p>
    <w:p>
      <w:pPr>
        <w:spacing w:after="150" w:line="27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Each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entire cluster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is then assigned to a single split by a stratified greedy that targets the 70/15/15 ratio for the total image count and for every class simultaneously (Figure 1). Because no cluster is divided across subsets, no near-duplicate frame can cross a split boundary. We confirmed this with a cross-split near-duplicate audit of the final split: there are zero near-duplicate images between any pair of subsets (Table 4). The evaluation is therefore leakage-free, and the reported metrics reflect genuine generalisation rather than memorised near-duplicates.</w:t>
      </w:r>
    </w:p>
    <w:p>
      <w:pPr>
        <w:spacing w:after="40" w:before="120"/>
        <w:jc w:val="center"/>
      </w:pPr>
      <w:r>
        <w:drawing>
          <wp:inline distT="0" distB="0" distL="0" distR="0">
            <wp:extent cx="58293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1. The leakage-free splitting procedure. Step 1: each frame is reduced to a 64-bit perceptual hash; frames within Hamming distance 5 are linked, and connected components (union-find) form clusters of mutually near-identical frames. Step 2: each whole cluster is assigned to a single split, with a greedy targeting 70/15/15 for the total image count and for every class. Because a cluster is never divided, no near-duplicate frame can appear in two subsets - unlike a naive per-frame split, which would place the same scene in both train and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 pair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near-duplicate images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leakage rate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 - val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 -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val - test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4. Cross-split near-duplicate audit of the final split (difference hash, Hamming &lt;= 5). No near-duplicate images occur across any pair of subsets - the split is leakage-free.</w:t>
      </w:r>
    </w:p>
    <w:p>
      <w:pPr>
        <w:pStyle w:val="Heading2"/>
      </w:pPr>
      <w:r>
        <w:rPr>
          <w:rFonts w:ascii="Arial" w:cs="Arial" w:eastAsia="Arial" w:hAnsi="Arial"/>
        </w:rPr>
        <w:t xml:space="preserve">D. Object-size distribution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To characterise detection difficulty we categorise every instance by absolute scale, defined as the square root of the bounding-box area in pixels at the image's native resolution: small (&lt; 48 px), medium (48-96 px) and large (&gt;= 96 px). The dataset is dominated by large objects (70.2%), with 22.0% medium and only 7.8% small instances (Table 2). The distribution is consistent across the three splits, confirming the split does not bias object scale.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Split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 (&lt; 48 px)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(48-96 px)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 (&gt;= 96 px)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train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2,132 (8.0%)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5,845 (22.0%)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18,637 (70.0%)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val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414 (7.3%)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1,179 (20.8%)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4,072 (71.9%)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442 (7.5%)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1,355 (23.0%)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4,091 (69.5%)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2,988 (7.8%)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8,379 (22.0%)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26,800 (70.2%)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2. Object-size distribution per split (scale = sqrt of box area in pixels; percentages are within each split). Small objects are scarce (~7.8%), making small-object accuracy the hardest and most informative metric.</w:t>
      </w:r>
    </w:p>
    <w:p>
      <w:pPr>
        <w:spacing w:after="150" w:line="274"/>
        <w:jc w:val="both"/>
      </w:pPr>
      <w:r>
        <w:rPr>
          <w:rFonts w:ascii="Arial" w:cs="Arial" w:eastAsia="Arial" w:hAnsi="Arial"/>
          <w:sz w:val="22"/>
          <w:szCs w:val="22"/>
        </w:rPr>
        <w:t xml:space="preserve">The scarcity of small objects is strongly class-dependent (Table 3): pistol is by far the smallest class, with 13.6% of its instances small (1,801 of 13,242), reflecting that handguns frequently appear small and distant. The remaining classes are predominantly large (74-79%). This concentration of small, hard instances in the pistol class - together with the heterogeneous other class - is what the architecture and loss design in the following sections specifically target.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875"/>
        <w:gridCol w:w="1875"/>
        <w:gridCol w:w="1875"/>
        <w:gridCol w:w="1875"/>
      </w:tblGrid>
      <w:tr>
        <w:trPr>
          <w:tblHeader/>
        </w:trP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(% of all)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knife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294 (4.8%)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1,289 (20.9%)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4,580 (74.3%)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6,163 (16.1%)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long_gun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429 (4.1%)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1,843 (17.5%)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8,287 (78.5%)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10,559 (27.7%)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other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464 (5.7%)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1,728 (21.1%)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6,011 (73.3%)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8,203 (21.5%)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1B1B"/>
                <w:sz w:val="18"/>
                <w:szCs w:val="18"/>
              </w:rPr>
              <w:t xml:space="preserve">pistol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1,801 (13.6%)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3,519 (26.6%)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7,922 (59.8%)</w:t>
            </w:r>
          </w:p>
        </w:tc>
        <w:tc>
          <w:tcPr>
            <w:tcW w:type="dxa" w:w="18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18"/>
                <w:szCs w:val="18"/>
              </w:rPr>
              <w:t xml:space="preserve">13,242 (34.7%)</w:t>
            </w:r>
          </w:p>
        </w:tc>
      </w:tr>
    </w:tbl>
    <w:p>
      <w:pPr>
        <w:spacing w:after="220" w:before="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3. Per-class object-size breakdown over the full dataset. Small/Medium/Large percentages are within each class; the Total column is the class's share of all instances.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11cef11ad52ec7e1dd2bff40f584bea2173ce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2026-06-27T13:38:05.947Z</dcterms:created>
  <dcterms:modified xsi:type="dcterms:W3CDTF">2026-06-27T13:38:05.947Z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