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D6B"/>
          <w:sz w:val="40"/>
        </w:rPr>
        <w:t>Custom Loss Function</w:t>
      </w:r>
    </w:p>
    <w:p>
      <w:pPr>
        <w:jc w:val="center"/>
      </w:pPr>
      <w:r>
        <w:rPr>
          <w:color w:val="44474C"/>
          <w:sz w:val="26"/>
        </w:rPr>
        <w:t>Weapon Detection — YOLOv12s Ablation Study</w:t>
      </w:r>
    </w:p>
    <w:p/>
    <w:p>
      <w:pPr>
        <w:pStyle w:val="Heading1"/>
      </w:pPr>
      <w:r>
        <w:t>A. Overview</w:t>
      </w:r>
    </w:p>
    <w:p>
      <w:pPr>
        <w:spacing w:after="120"/>
      </w:pPr>
      <w:r>
        <w:rPr>
          <w:sz w:val="22"/>
        </w:rPr>
        <w:t>The custom loss replaces the stock YOLOv8/v12 detection loss with a version structured around five independently togglable ablation sections (A–E). Every parameter is read directly from model.args at training time, so the same code supports the full ablation grid without any source edits — each run simply passes different keyword arguments to model.train().</w:t>
      </w:r>
    </w:p>
    <w:p>
      <w:pPr>
        <w:spacing w:after="120"/>
      </w:pPr>
      <w:r>
        <w:rPr>
          <w:sz w:val="22"/>
        </w:rPr>
        <w:t>The base loss keeps the standard three-component structure of YOLOv8: a bounding-box regression loss (IoU + DFL), a classification loss (BCE), and a distribution focal loss for box refinement. The custom modifications sit on top of this structure, adding size-aware weighting, a small-object center loss, adaptive gradient clipping, tunable TAL assignment, and optional shape-aware label assignment.</w:t>
      </w:r>
    </w:p>
    <w:p>
      <w:pPr>
        <w:pStyle w:val="Heading1"/>
      </w:pPr>
      <w:r>
        <w:t>B. Base Loss Components</w:t>
      </w:r>
    </w:p>
    <w:p>
      <w:pPr>
        <w:pStyle w:val="Heading2"/>
      </w:pPr>
      <w:r>
        <w:t>VarifocalLoss</w:t>
      </w:r>
    </w:p>
    <w:p>
      <w:pPr>
        <w:spacing w:after="120"/>
      </w:pPr>
      <w:r>
        <w:rPr>
          <w:sz w:val="22"/>
        </w:rPr>
        <w:t>Implements the Varifocal Loss of Zhang et al. The weight per prediction combines a focal term on negative predictions (scaled by alpha * sigmoid(pred)^gamma) with the ground-truth IoU score on positive predictions, producing a loss that is simultaneously hard-negative mining and quality-aware.</w:t>
      </w:r>
    </w:p>
    <w:p>
      <w:pPr>
        <w:spacing w:after="80"/>
        <w:ind w:left="576"/>
      </w:pPr>
      <w:r>
        <w:rPr>
          <w:rFonts w:ascii="Courier New" w:hAnsi="Courier New"/>
          <w:color w:val="1F3D6B"/>
          <w:sz w:val="18"/>
        </w:rPr>
        <w:t>weight = alpha * pred.sigmoid()^gamma * (1 - label) + gt_score * label</w:t>
      </w:r>
    </w:p>
    <w:p>
      <w:pPr>
        <w:pStyle w:val="Heading2"/>
      </w:pPr>
      <w:r>
        <w:t>FocalLoss</w:t>
      </w:r>
    </w:p>
    <w:p>
      <w:pPr>
        <w:spacing w:after="120"/>
      </w:pPr>
      <w:r>
        <w:rPr>
          <w:sz w:val="22"/>
        </w:rPr>
        <w:t>Standard Focal Loss for class imbalance. Modulates the BCE loss by (1 - p_t)^gamma, down-weighting well-classified examples. An optional alpha factor further re-balances foreground/background. Default: gamma=1.5, alpha=0.25, reduction=sum. Used by the OBB head variant.</w:t>
      </w:r>
    </w:p>
    <w:p>
      <w:pPr>
        <w:pStyle w:val="Heading2"/>
      </w:pPr>
      <w:r>
        <w:t>DFLoss (Distribution Focal Loss)</w:t>
      </w:r>
    </w:p>
    <w:p>
      <w:pPr>
        <w:spacing w:after="120"/>
      </w:pPr>
      <w:r>
        <w:rPr>
          <w:sz w:val="22"/>
        </w:rPr>
        <w:t>Box regression is formulated as a discrete probability distribution over reg_max=16 integer bins. DFLoss linearly interpolates between the two nearest integers via cross-entropy, giving a soft continuous regression target within the integer grid. Each predicted side (left/top/right/bottom) produces one scalar loss value.</w:t>
      </w:r>
    </w:p>
    <w:p>
      <w:pPr>
        <w:spacing w:after="80"/>
        <w:ind w:left="576"/>
      </w:pPr>
      <w:r>
        <w:rPr>
          <w:rFonts w:ascii="Courier New" w:hAnsi="Courier New"/>
          <w:color w:val="1F3D6B"/>
          <w:sz w:val="18"/>
        </w:rPr>
        <w:t>loss = CE(pred, floor(t)) * (ceil(t)-t) + CE(pred, ceil(t)) * (t-floor(t))</w:t>
      </w:r>
    </w:p>
    <w:p>
      <w:pPr>
        <w:pStyle w:val="Heading1"/>
      </w:pPr>
      <w:r>
        <w:t>C. BboxLoss — Size-Aware Weighting &amp; Adaptive Clipping</w:t>
      </w:r>
    </w:p>
    <w:p>
      <w:pPr>
        <w:spacing w:after="120"/>
      </w:pPr>
      <w:r>
        <w:rPr>
          <w:sz w:val="22"/>
        </w:rPr>
        <w:t>BboxLoss wraps the IoU (CIoU) and DFL regression losses and adds two dataset-specific modifications targeting the weapon dataset's strong scale imbalance (7.8% small, 70.2% large objects).</w:t>
      </w:r>
    </w:p>
    <w:p>
      <w:pPr>
        <w:pStyle w:val="Heading2"/>
      </w:pPr>
      <w:r>
        <w:t>Section A — Size-Aware Weighting</w:t>
      </w:r>
    </w:p>
    <w:p>
      <w:pPr>
        <w:spacing w:after="120"/>
      </w:pPr>
      <w:r>
        <w:rPr>
          <w:sz w:val="22"/>
        </w:rPr>
        <w:t>The per-sample weight that scales each box's IoU and DFL loss combines two signals: a **score weight** (the TAL assignment score, indicating label quality) and an **area weight** (inverse of box area, so smaller boxes receive larger weight). Their blend is controlled by alpha, which decays linearly from alpha_start to alpha_end over training:</w:t>
      </w:r>
    </w:p>
    <w:p>
      <w:pPr>
        <w:spacing w:after="80"/>
        <w:ind w:left="576"/>
      </w:pPr>
      <w:r>
        <w:rPr>
          <w:rFonts w:ascii="Courier New" w:hAnsi="Courier New"/>
          <w:color w:val="1F3D6B"/>
          <w:sz w:val="18"/>
        </w:rPr>
        <w:t>weight = alpha * area_weight + (1 - alpha) * score_weight</w:t>
      </w:r>
    </w:p>
    <w:p>
      <w:pPr>
        <w:spacing w:after="120"/>
      </w:pPr>
      <w:r>
        <w:rPr>
          <w:sz w:val="22"/>
        </w:rPr>
        <w:t>At the start of training alpha is high (0.9), emphasising area-based weighting and pushing the model to focus on small objects. As training progresses and the model has learned the scale distribution, alpha decays toward 0.5, restoring more weight to assignment-quality signals. A separate **small_obj_boost** multiplier (default 1.5x) is applied to any foreground box whose area falls below (small_obj_px / min_stride)^2 pixels.</w:t>
      </w:r>
    </w:p>
    <w:p>
      <w:pPr>
        <w:pStyle w:val="Heading2"/>
      </w:pPr>
      <w:r>
        <w:t>Section C — Adaptive Gradient Clipping</w:t>
      </w:r>
    </w:p>
    <w:p>
      <w:pPr>
        <w:spacing w:after="120"/>
      </w:pPr>
      <w:r>
        <w:rPr>
          <w:sz w:val="22"/>
        </w:rPr>
        <w:t>Per-sample IoU and DFL loss values are clipped before aggregation. The clip threshold itself decays linearly from a loose early-training value to a tighter late-training value, preventing gradient spikes during the unstable early epochs while enforcing tighter discipline once the model has converged:</w:t>
      </w:r>
    </w:p>
    <w:p>
      <w:pPr>
        <w:spacing w:after="80"/>
        <w:ind w:left="576"/>
      </w:pPr>
      <w:r>
        <w:rPr>
          <w:rFonts w:ascii="Courier New" w:hAnsi="Courier New"/>
          <w:color w:val="1F3D6B"/>
          <w:sz w:val="18"/>
        </w:rPr>
        <w:t>max_iou_clip: iou_clip_start → iou_clip_end  (default 20.0 → 10.0)</w:t>
      </w:r>
    </w:p>
    <w:p>
      <w:pPr>
        <w:spacing w:after="80"/>
        <w:ind w:left="576"/>
      </w:pPr>
      <w:r>
        <w:rPr>
          <w:rFonts w:ascii="Courier New" w:hAnsi="Courier New"/>
          <w:color w:val="1F3D6B"/>
          <w:sz w:val="18"/>
        </w:rPr>
        <w:t>max_dfl_clip: dfl_clip_start → dfl_clip_end  (default 10.0 →  5.0)</w:t>
      </w:r>
    </w:p>
    <w:p>
      <w:pPr>
        <w:spacing w:after="120"/>
      </w:pPr>
      <w:r>
        <w:rPr>
          <w:sz w:val="22"/>
        </w:rPr>
        <w:t>Clipping is applied per-sample (divided by 10 to scale to per-sample magnitude) before the sum/normalise aggregation.</w:t>
      </w:r>
    </w:p>
    <w:p>
      <w:pPr>
        <w:pStyle w:val="Heading1"/>
      </w:pPr>
      <w:r>
        <w:t>D. v8DetectionLoss — Full Ablation Configuration</w:t>
      </w:r>
    </w:p>
    <w:p>
      <w:pPr>
        <w:spacing w:after="120"/>
      </w:pPr>
      <w:r>
        <w:rPr>
          <w:sz w:val="22"/>
        </w:rPr>
        <w:t>v8DetectionLoss is the main training loss. It orchestrates the three-component loss (box/cls/dfl), reads all ablation parameters from model.args, and adds two further modifications beyond those in BboxLoss.</w:t>
      </w:r>
    </w:p>
    <w:p>
      <w:pPr>
        <w:pStyle w:val="Heading2"/>
      </w:pPr>
      <w:r>
        <w:t>Section B — Center Loss for Small Objects</w:t>
      </w:r>
    </w:p>
    <w:p>
      <w:pPr>
        <w:spacing w:after="120"/>
      </w:pPr>
      <w:r>
        <w:rPr>
          <w:sz w:val="22"/>
        </w:rPr>
        <w:t>An auxiliary L1 center-point loss is added to the box regression loss, active only on foreground predictions whose target area falls below the small-object threshold. The motivation is that IoU loss is unstable for very small boxes (a 1-pixel shift is a large IoU change), so an explicit L1 penalty on center coordinates provides a cleaner gradient signal during early training.</w:t>
      </w:r>
    </w:p>
    <w:p>
      <w:pPr>
        <w:spacing w:after="120"/>
      </w:pPr>
      <w:r>
        <w:rPr>
          <w:sz w:val="22"/>
        </w:rPr>
        <w:t>The center loss weight decays progressively from center_loss_weight_init toward center_loss_weight_min over center_loss_decay_epochs epochs, then stays at the minimum. Setting center_loss_weight_init=0.0 (the default) disables center loss entirely, making it ablation-safe.</w:t>
      </w:r>
    </w:p>
    <w:p>
      <w:pPr>
        <w:spacing w:after="80"/>
        <w:ind w:left="576"/>
      </w:pPr>
      <w:r>
        <w:rPr>
          <w:rFonts w:ascii="Courier New" w:hAnsi="Courier New"/>
          <w:color w:val="1F3D6B"/>
          <w:sz w:val="18"/>
        </w:rPr>
        <w:t>weight = center_loss_weight_init * (1 - epoch/decay_epochs)</w:t>
      </w:r>
    </w:p>
    <w:p>
      <w:pPr>
        <w:spacing w:after="80"/>
        <w:ind w:left="576"/>
      </w:pPr>
      <w:r>
        <w:rPr>
          <w:rFonts w:ascii="Courier New" w:hAnsi="Courier New"/>
          <w:color w:val="1F3D6B"/>
          <w:sz w:val="18"/>
        </w:rPr>
        <w:t>weight = max(weight, center_loss_weight_min)</w:t>
      </w:r>
    </w:p>
    <w:p>
      <w:pPr>
        <w:pStyle w:val="Heading2"/>
      </w:pPr>
      <w:r>
        <w:t>Section D — TAL Assignment Parameters</w:t>
      </w:r>
    </w:p>
    <w:p>
      <w:pPr>
        <w:spacing w:after="120"/>
      </w:pPr>
      <w:r>
        <w:rPr>
          <w:sz w:val="22"/>
        </w:rPr>
        <w:t>The Task-Aligned Label Assigner controls which anchors are treated as foreground for each ground-truth box. Three parameters are exposed:</w:t>
      </w:r>
    </w:p>
    <w:p>
      <w:pPr>
        <w:pStyle w:val="ListBullet"/>
        <w:spacing w:after="60"/>
      </w:pPr>
      <w:r>
        <w:rPr>
          <w:b w:val="0"/>
          <w:sz w:val="22"/>
        </w:rPr>
      </w:r>
      <w:r>
        <w:rPr>
          <w:b/>
          <w:sz w:val="22"/>
        </w:rPr>
        <w:t>tal_topk</w:t>
      </w:r>
      <w:r>
        <w:rPr>
          <w:b w:val="0"/>
          <w:sz w:val="22"/>
        </w:rPr>
        <w:t xml:space="preserve"> (default 10) — number of top-scoring anchors selected per GT box. Lower values are more selective.</w:t>
      </w:r>
    </w:p>
    <w:p>
      <w:pPr>
        <w:pStyle w:val="ListBullet"/>
        <w:spacing w:after="60"/>
      </w:pPr>
      <w:r>
        <w:rPr>
          <w:b w:val="0"/>
          <w:sz w:val="22"/>
        </w:rPr>
      </w:r>
      <w:r>
        <w:rPr>
          <w:b/>
          <w:sz w:val="22"/>
        </w:rPr>
        <w:t>tal_alpha</w:t>
      </w:r>
      <w:r>
        <w:rPr>
          <w:b w:val="0"/>
          <w:sz w:val="22"/>
        </w:rPr>
        <w:t xml:space="preserve"> (default 0.5) — weight of classification score in the alignment metric.</w:t>
      </w:r>
    </w:p>
    <w:p>
      <w:pPr>
        <w:pStyle w:val="ListBullet"/>
        <w:spacing w:after="60"/>
      </w:pPr>
      <w:r>
        <w:rPr>
          <w:b w:val="0"/>
          <w:sz w:val="22"/>
        </w:rPr>
      </w:r>
      <w:r>
        <w:rPr>
          <w:b/>
          <w:sz w:val="22"/>
        </w:rPr>
        <w:t>tal_beta</w:t>
      </w:r>
      <w:r>
        <w:rPr>
          <w:b w:val="0"/>
          <w:sz w:val="22"/>
        </w:rPr>
        <w:t xml:space="preserve"> (default 6.0) — weight of IoU score in the alignment metric. Higher values favour geometrically precise assignments.</w:t>
      </w:r>
    </w:p>
    <w:p>
      <w:pPr>
        <w:spacing w:after="120"/>
      </w:pPr>
      <w:r>
        <w:rPr>
          <w:sz w:val="22"/>
        </w:rPr>
        <w:t>The alignment metric is: score^alpha * IoU^beta. The top-k anchors by this metric are assigned as positive.</w:t>
      </w:r>
    </w:p>
    <w:p>
      <w:pPr>
        <w:pStyle w:val="Heading2"/>
      </w:pPr>
      <w:r>
        <w:t>Section E — Shape-Aware TAL (optional)</w:t>
      </w:r>
    </w:p>
    <w:p>
      <w:pPr>
        <w:spacing w:after="120"/>
      </w:pPr>
      <w:r>
        <w:rPr>
          <w:sz w:val="22"/>
        </w:rPr>
        <w:t>When use_shape_tal=True, the standard TaskAlignedAssigner is replaced with a ShapeAwareTaskAlignedAssigner that additionally conditions assignment on aspect ratio similarity between the anchor and the GT box. This targets elongated weapons (long_gun) where standard IoU-based assignment may prefer anchors with the wrong shape. Two additional parameters control its behaviour:</w:t>
      </w:r>
    </w:p>
    <w:p>
      <w:pPr>
        <w:pStyle w:val="ListBullet"/>
        <w:spacing w:after="60"/>
      </w:pPr>
      <w:r>
        <w:rPr>
          <w:b w:val="0"/>
          <w:sz w:val="22"/>
        </w:rPr>
      </w:r>
      <w:r>
        <w:rPr>
          <w:b/>
          <w:sz w:val="22"/>
        </w:rPr>
        <w:t>shape_gamma</w:t>
      </w:r>
      <w:r>
        <w:rPr>
          <w:b w:val="0"/>
          <w:sz w:val="22"/>
        </w:rPr>
        <w:t xml:space="preserve"> (default 1.0) — exponent on the shape similarity term.</w:t>
      </w:r>
    </w:p>
    <w:p>
      <w:pPr>
        <w:pStyle w:val="ListBullet"/>
        <w:spacing w:after="60"/>
      </w:pPr>
      <w:r>
        <w:rPr>
          <w:b w:val="0"/>
          <w:sz w:val="22"/>
        </w:rPr>
      </w:r>
      <w:r>
        <w:rPr>
          <w:b/>
          <w:sz w:val="22"/>
        </w:rPr>
        <w:t>shape_min</w:t>
      </w:r>
      <w:r>
        <w:rPr>
          <w:b w:val="0"/>
          <w:sz w:val="22"/>
        </w:rPr>
        <w:t xml:space="preserve"> (default 0.3) — minimum shape similarity below which an anchor is ineligible regardless of IoU.</w:t>
      </w:r>
    </w:p>
    <w:p>
      <w:pPr>
        <w:pStyle w:val="Heading1"/>
      </w:pPr>
      <w:r>
        <w:t>E. Auxiliary Loss Wrappers</w:t>
      </w:r>
    </w:p>
    <w:p>
      <w:pPr>
        <w:pStyle w:val="Heading2"/>
      </w:pPr>
      <w:r>
        <w:t>DetectAuxLoss — Dual-Head Deep Supervision</w:t>
      </w:r>
    </w:p>
    <w:p>
      <w:pPr>
        <w:spacing w:after="120"/>
      </w:pPr>
      <w:r>
        <w:rPr>
          <w:sz w:val="22"/>
        </w:rPr>
        <w:t>Introduced in Round 20 of the architecture search. A parallel auxiliary detection head is attached to the same feature maps as the main head and supervised during training; it is dropped at inference. The total loss is:</w:t>
      </w:r>
    </w:p>
    <w:p>
      <w:pPr>
        <w:spacing w:after="80"/>
        <w:ind w:left="576"/>
      </w:pPr>
      <w:r>
        <w:rPr>
          <w:rFonts w:ascii="Courier New" w:hAnsi="Courier New"/>
          <w:color w:val="1F3D6B"/>
          <w:sz w:val="18"/>
        </w:rPr>
        <w:t>L_total = L_main + aux_weight * L_aux</w:t>
      </w:r>
    </w:p>
    <w:p>
      <w:pPr>
        <w:spacing w:after="120"/>
      </w:pPr>
      <w:r>
        <w:rPr>
          <w:sz w:val="22"/>
        </w:rPr>
        <w:t>Both heads share the same v8DetectionLoss instance and the same stride set, so the auxiliary loss is a full detection loss, not a simplified surrogate. The aux_weight (default 0.25, overridable via the YAML head parameter) controls how strongly the auxiliary gradient influences the shared neck features. At validation the model runs in eval mode and returns only the main head features, so the loss falls back transparently to plain v8DetectionLoss.</w:t>
      </w:r>
    </w:p>
    <w:p>
      <w:pPr>
        <w:pStyle w:val="Heading2"/>
      </w:pPr>
      <w:r>
        <w:t>DetectObjLoss — Objectness Branch Supervision</w:t>
      </w:r>
    </w:p>
    <w:p>
      <w:pPr>
        <w:spacing w:after="120"/>
      </w:pPr>
      <w:r>
        <w:rPr>
          <w:sz w:val="22"/>
        </w:rPr>
        <w:t>Introduced in Round 24. DetectObj adds a dedicated per-anchor objectness logit (foreground/background binary) to the detection head. DetectObjLoss supervises this branch against the TAL foreground mask using an additional BCE term:</w:t>
      </w:r>
    </w:p>
    <w:p>
      <w:pPr>
        <w:spacing w:after="80"/>
        <w:ind w:left="576"/>
      </w:pPr>
      <w:r>
        <w:rPr>
          <w:rFonts w:ascii="Courier New" w:hAnsi="Courier New"/>
          <w:color w:val="1F3D6B"/>
          <w:sz w:val="18"/>
        </w:rPr>
        <w:t>loss_obj = BCE(pred_obj, fg_mask)  weighted by obj_weight</w:t>
      </w:r>
    </w:p>
    <w:p>
      <w:pPr>
        <w:spacing w:after="120"/>
      </w:pPr>
      <w:r>
        <w:rPr>
          <w:sz w:val="22"/>
        </w:rPr>
        <w:t>The objectness signal is designed to improve precision on the other class by explicitly teaching the model to suppress background-like anchors, independently of the multi-class classification score. This was explored as a targeted intervention for false-positive reduction on context-defined distractors.</w:t>
      </w:r>
    </w:p>
    <w:p>
      <w:pPr>
        <w:pStyle w:val="Heading1"/>
      </w:pPr>
      <w:r>
        <w:t>F. Parameter Reference</w:t>
      </w:r>
    </w:p>
    <w:p>
      <w:pPr>
        <w:spacing w:after="120"/>
      </w:pPr>
      <w:r>
        <w:rPr>
          <w:sz w:val="22"/>
        </w:rPr>
        <w:t>All parameters are passed as keyword arguments to model.train(). Omitting any parameter activates its default value.</w:t>
      </w:r>
    </w:p>
    <w:p/>
    <w:tbl>
      <w:tblPr>
        <w:tblStyle w:val="TableGrid"/>
        <w:tblW w:type="auto" w:w="0"/>
        <w:jc w:val="left"/>
        <w:tblLook w:firstColumn="1" w:firstRow="1" w:lastColumn="0" w:lastRow="0" w:noHBand="0" w:noVBand="1" w:val="04A0"/>
      </w:tblPr>
      <w:tblGrid>
        <w:gridCol w:w="2196"/>
        <w:gridCol w:w="2196"/>
        <w:gridCol w:w="2196"/>
        <w:gridCol w:w="2196"/>
      </w:tblGrid>
      <w:tr>
        <w:tc>
          <w:tcPr>
            <w:tcW w:type="dxa" w:w="2160"/>
            <w:shd w:val="clear" w:color="auto" w:fill="BDD7EE"/>
          </w:tcPr>
          <w:p>
            <w:pPr>
              <w:jc w:val="center"/>
            </w:pPr>
            <w:r>
              <w:rPr>
                <w:b/>
                <w:sz w:val="20"/>
              </w:rPr>
              <w:t>Parameter</w:t>
            </w:r>
          </w:p>
        </w:tc>
        <w:tc>
          <w:tcPr>
            <w:tcW w:type="dxa" w:w="1584"/>
            <w:shd w:val="clear" w:color="auto" w:fill="BDD7EE"/>
          </w:tcPr>
          <w:p>
            <w:pPr>
              <w:jc w:val="center"/>
            </w:pPr>
            <w:r>
              <w:rPr>
                <w:b/>
                <w:sz w:val="20"/>
              </w:rPr>
              <w:t>Default</w:t>
            </w:r>
          </w:p>
        </w:tc>
        <w:tc>
          <w:tcPr>
            <w:tcW w:type="dxa" w:w="1584"/>
            <w:shd w:val="clear" w:color="auto" w:fill="BDD7EE"/>
          </w:tcPr>
          <w:p>
            <w:pPr>
              <w:jc w:val="center"/>
            </w:pPr>
            <w:r>
              <w:rPr>
                <w:b/>
                <w:sz w:val="20"/>
              </w:rPr>
              <w:t>Section</w:t>
            </w:r>
          </w:p>
        </w:tc>
        <w:tc>
          <w:tcPr>
            <w:tcW w:type="dxa" w:w="4032"/>
            <w:shd w:val="clear" w:color="auto" w:fill="BDD7EE"/>
          </w:tcPr>
          <w:p>
            <w:pPr>
              <w:jc w:val="center"/>
            </w:pPr>
            <w:r>
              <w:rPr>
                <w:b/>
                <w:sz w:val="20"/>
              </w:rPr>
              <w:t>Description</w:t>
            </w:r>
          </w:p>
        </w:tc>
      </w:tr>
      <w:tr>
        <w:tc>
          <w:tcPr>
            <w:tcW w:type="dxa" w:w="2160"/>
          </w:tcPr>
          <w:p>
            <w:r>
              <w:rPr>
                <w:rFonts w:ascii="Courier New" w:hAnsi="Courier New"/>
                <w:sz w:val="18"/>
              </w:rPr>
              <w:t>alpha_start</w:t>
            </w:r>
          </w:p>
        </w:tc>
        <w:tc>
          <w:tcPr>
            <w:tcW w:type="dxa" w:w="1584"/>
          </w:tcPr>
          <w:p>
            <w:r>
              <w:rPr>
                <w:sz w:val="20"/>
              </w:rPr>
              <w:t>0.9</w:t>
            </w:r>
          </w:p>
        </w:tc>
        <w:tc>
          <w:tcPr>
            <w:tcW w:type="dxa" w:w="1584"/>
          </w:tcPr>
          <w:p>
            <w:r>
              <w:rPr>
                <w:sz w:val="20"/>
              </w:rPr>
              <w:t>A</w:t>
            </w:r>
          </w:p>
        </w:tc>
        <w:tc>
          <w:tcPr>
            <w:tcW w:type="dxa" w:w="4032"/>
          </w:tcPr>
          <w:p>
            <w:r>
              <w:rPr>
                <w:sz w:val="20"/>
              </w:rPr>
              <w:t>Initial blend weight for area vs. score weighting</w:t>
            </w:r>
          </w:p>
        </w:tc>
      </w:tr>
      <w:tr>
        <w:tc>
          <w:tcPr>
            <w:tcW w:type="dxa" w:w="2160"/>
          </w:tcPr>
          <w:p>
            <w:r>
              <w:rPr>
                <w:rFonts w:ascii="Courier New" w:hAnsi="Courier New"/>
                <w:sz w:val="18"/>
              </w:rPr>
              <w:t>alpha_end</w:t>
            </w:r>
          </w:p>
        </w:tc>
        <w:tc>
          <w:tcPr>
            <w:tcW w:type="dxa" w:w="1584"/>
          </w:tcPr>
          <w:p>
            <w:r>
              <w:rPr>
                <w:sz w:val="20"/>
              </w:rPr>
              <w:t>0.5</w:t>
            </w:r>
          </w:p>
        </w:tc>
        <w:tc>
          <w:tcPr>
            <w:tcW w:type="dxa" w:w="1584"/>
          </w:tcPr>
          <w:p>
            <w:r>
              <w:rPr>
                <w:sz w:val="20"/>
              </w:rPr>
              <w:t>A</w:t>
            </w:r>
          </w:p>
        </w:tc>
        <w:tc>
          <w:tcPr>
            <w:tcW w:type="dxa" w:w="4032"/>
          </w:tcPr>
          <w:p>
            <w:r>
              <w:rPr>
                <w:sz w:val="20"/>
              </w:rPr>
              <w:t>Final blend weight (reached at end of training)</w:t>
            </w:r>
          </w:p>
        </w:tc>
      </w:tr>
      <w:tr>
        <w:tc>
          <w:tcPr>
            <w:tcW w:type="dxa" w:w="2160"/>
          </w:tcPr>
          <w:p>
            <w:r>
              <w:rPr>
                <w:rFonts w:ascii="Courier New" w:hAnsi="Courier New"/>
                <w:sz w:val="18"/>
              </w:rPr>
              <w:t>alpha_min</w:t>
            </w:r>
          </w:p>
        </w:tc>
        <w:tc>
          <w:tcPr>
            <w:tcW w:type="dxa" w:w="1584"/>
          </w:tcPr>
          <w:p>
            <w:r>
              <w:rPr>
                <w:sz w:val="20"/>
              </w:rPr>
              <w:t>0.3</w:t>
            </w:r>
          </w:p>
        </w:tc>
        <w:tc>
          <w:tcPr>
            <w:tcW w:type="dxa" w:w="1584"/>
          </w:tcPr>
          <w:p>
            <w:r>
              <w:rPr>
                <w:sz w:val="20"/>
              </w:rPr>
              <w:t>A</w:t>
            </w:r>
          </w:p>
        </w:tc>
        <w:tc>
          <w:tcPr>
            <w:tcW w:type="dxa" w:w="4032"/>
          </w:tcPr>
          <w:p>
            <w:r>
              <w:rPr>
                <w:sz w:val="20"/>
              </w:rPr>
              <w:t>Lower clamp on alpha</w:t>
            </w:r>
          </w:p>
        </w:tc>
      </w:tr>
      <w:tr>
        <w:tc>
          <w:tcPr>
            <w:tcW w:type="dxa" w:w="2160"/>
          </w:tcPr>
          <w:p>
            <w:r>
              <w:rPr>
                <w:rFonts w:ascii="Courier New" w:hAnsi="Courier New"/>
                <w:sz w:val="18"/>
              </w:rPr>
              <w:t>alpha_max</w:t>
            </w:r>
          </w:p>
        </w:tc>
        <w:tc>
          <w:tcPr>
            <w:tcW w:type="dxa" w:w="1584"/>
          </w:tcPr>
          <w:p>
            <w:r>
              <w:rPr>
                <w:sz w:val="20"/>
              </w:rPr>
              <w:t>0.9</w:t>
            </w:r>
          </w:p>
        </w:tc>
        <w:tc>
          <w:tcPr>
            <w:tcW w:type="dxa" w:w="1584"/>
          </w:tcPr>
          <w:p>
            <w:r>
              <w:rPr>
                <w:sz w:val="20"/>
              </w:rPr>
              <w:t>A</w:t>
            </w:r>
          </w:p>
        </w:tc>
        <w:tc>
          <w:tcPr>
            <w:tcW w:type="dxa" w:w="4032"/>
          </w:tcPr>
          <w:p>
            <w:r>
              <w:rPr>
                <w:sz w:val="20"/>
              </w:rPr>
              <w:t>Upper clamp on alpha</w:t>
            </w:r>
          </w:p>
        </w:tc>
      </w:tr>
      <w:tr>
        <w:tc>
          <w:tcPr>
            <w:tcW w:type="dxa" w:w="2160"/>
          </w:tcPr>
          <w:p>
            <w:r>
              <w:rPr>
                <w:rFonts w:ascii="Courier New" w:hAnsi="Courier New"/>
                <w:sz w:val="18"/>
              </w:rPr>
              <w:t>small_obj_px</w:t>
            </w:r>
          </w:p>
        </w:tc>
        <w:tc>
          <w:tcPr>
            <w:tcW w:type="dxa" w:w="1584"/>
          </w:tcPr>
          <w:p>
            <w:r>
              <w:rPr>
                <w:sz w:val="20"/>
              </w:rPr>
              <w:t>70</w:t>
            </w:r>
          </w:p>
        </w:tc>
        <w:tc>
          <w:tcPr>
            <w:tcW w:type="dxa" w:w="1584"/>
          </w:tcPr>
          <w:p>
            <w:r>
              <w:rPr>
                <w:sz w:val="20"/>
              </w:rPr>
              <w:t>A</w:t>
            </w:r>
          </w:p>
        </w:tc>
        <w:tc>
          <w:tcPr>
            <w:tcW w:type="dxa" w:w="4032"/>
          </w:tcPr>
          <w:p>
            <w:r>
              <w:rPr>
                <w:sz w:val="20"/>
              </w:rPr>
              <w:t>Pixel threshold for small-object boost</w:t>
            </w:r>
          </w:p>
        </w:tc>
      </w:tr>
      <w:tr>
        <w:tc>
          <w:tcPr>
            <w:tcW w:type="dxa" w:w="2160"/>
          </w:tcPr>
          <w:p>
            <w:r>
              <w:rPr>
                <w:rFonts w:ascii="Courier New" w:hAnsi="Courier New"/>
                <w:sz w:val="18"/>
              </w:rPr>
              <w:t>small_obj_boost</w:t>
            </w:r>
          </w:p>
        </w:tc>
        <w:tc>
          <w:tcPr>
            <w:tcW w:type="dxa" w:w="1584"/>
          </w:tcPr>
          <w:p>
            <w:r>
              <w:rPr>
                <w:sz w:val="20"/>
              </w:rPr>
              <w:t>1.5</w:t>
            </w:r>
          </w:p>
        </w:tc>
        <w:tc>
          <w:tcPr>
            <w:tcW w:type="dxa" w:w="1584"/>
          </w:tcPr>
          <w:p>
            <w:r>
              <w:rPr>
                <w:sz w:val="20"/>
              </w:rPr>
              <w:t>A</w:t>
            </w:r>
          </w:p>
        </w:tc>
        <w:tc>
          <w:tcPr>
            <w:tcW w:type="dxa" w:w="4032"/>
          </w:tcPr>
          <w:p>
            <w:r>
              <w:rPr>
                <w:sz w:val="20"/>
              </w:rPr>
              <w:t>Weight multiplier applied to small-object boxes</w:t>
            </w:r>
          </w:p>
        </w:tc>
      </w:tr>
      <w:tr>
        <w:tc>
          <w:tcPr>
            <w:tcW w:type="dxa" w:w="2160"/>
          </w:tcPr>
          <w:p>
            <w:r>
              <w:rPr>
                <w:rFonts w:ascii="Courier New" w:hAnsi="Courier New"/>
                <w:sz w:val="18"/>
              </w:rPr>
              <w:t>center_loss_weight_init</w:t>
            </w:r>
          </w:p>
        </w:tc>
        <w:tc>
          <w:tcPr>
            <w:tcW w:type="dxa" w:w="1584"/>
          </w:tcPr>
          <w:p>
            <w:r>
              <w:rPr>
                <w:sz w:val="20"/>
              </w:rPr>
              <w:t>0.0</w:t>
            </w:r>
          </w:p>
        </w:tc>
        <w:tc>
          <w:tcPr>
            <w:tcW w:type="dxa" w:w="1584"/>
          </w:tcPr>
          <w:p>
            <w:r>
              <w:rPr>
                <w:sz w:val="20"/>
              </w:rPr>
              <w:t>B</w:t>
            </w:r>
          </w:p>
        </w:tc>
        <w:tc>
          <w:tcPr>
            <w:tcW w:type="dxa" w:w="4032"/>
          </w:tcPr>
          <w:p>
            <w:r>
              <w:rPr>
                <w:sz w:val="20"/>
              </w:rPr>
              <w:t>Initial center-loss weight (0 = disabled)</w:t>
            </w:r>
          </w:p>
        </w:tc>
      </w:tr>
      <w:tr>
        <w:tc>
          <w:tcPr>
            <w:tcW w:type="dxa" w:w="2160"/>
          </w:tcPr>
          <w:p>
            <w:r>
              <w:rPr>
                <w:rFonts w:ascii="Courier New" w:hAnsi="Courier New"/>
                <w:sz w:val="18"/>
              </w:rPr>
              <w:t>center_loss_weight_min</w:t>
            </w:r>
          </w:p>
        </w:tc>
        <w:tc>
          <w:tcPr>
            <w:tcW w:type="dxa" w:w="1584"/>
          </w:tcPr>
          <w:p>
            <w:r>
              <w:rPr>
                <w:sz w:val="20"/>
              </w:rPr>
              <w:t>0.01</w:t>
            </w:r>
          </w:p>
        </w:tc>
        <w:tc>
          <w:tcPr>
            <w:tcW w:type="dxa" w:w="1584"/>
          </w:tcPr>
          <w:p>
            <w:r>
              <w:rPr>
                <w:sz w:val="20"/>
              </w:rPr>
              <w:t>B</w:t>
            </w:r>
          </w:p>
        </w:tc>
        <w:tc>
          <w:tcPr>
            <w:tcW w:type="dxa" w:w="4032"/>
          </w:tcPr>
          <w:p>
            <w:r>
              <w:rPr>
                <w:sz w:val="20"/>
              </w:rPr>
              <w:t>Minimum center-loss weight after decay</w:t>
            </w:r>
          </w:p>
        </w:tc>
      </w:tr>
      <w:tr>
        <w:tc>
          <w:tcPr>
            <w:tcW w:type="dxa" w:w="2160"/>
          </w:tcPr>
          <w:p>
            <w:r>
              <w:rPr>
                <w:rFonts w:ascii="Courier New" w:hAnsi="Courier New"/>
                <w:sz w:val="18"/>
              </w:rPr>
              <w:t>center_loss_decay_epochs</w:t>
            </w:r>
          </w:p>
        </w:tc>
        <w:tc>
          <w:tcPr>
            <w:tcW w:type="dxa" w:w="1584"/>
          </w:tcPr>
          <w:p>
            <w:r>
              <w:rPr>
                <w:sz w:val="20"/>
              </w:rPr>
              <w:t>35</w:t>
            </w:r>
          </w:p>
        </w:tc>
        <w:tc>
          <w:tcPr>
            <w:tcW w:type="dxa" w:w="1584"/>
          </w:tcPr>
          <w:p>
            <w:r>
              <w:rPr>
                <w:sz w:val="20"/>
              </w:rPr>
              <w:t>B</w:t>
            </w:r>
          </w:p>
        </w:tc>
        <w:tc>
          <w:tcPr>
            <w:tcW w:type="dxa" w:w="4032"/>
          </w:tcPr>
          <w:p>
            <w:r>
              <w:rPr>
                <w:sz w:val="20"/>
              </w:rPr>
              <w:t>Epochs over which center-loss weight decays</w:t>
            </w:r>
          </w:p>
        </w:tc>
      </w:tr>
      <w:tr>
        <w:tc>
          <w:tcPr>
            <w:tcW w:type="dxa" w:w="2160"/>
          </w:tcPr>
          <w:p>
            <w:r>
              <w:rPr>
                <w:rFonts w:ascii="Courier New" w:hAnsi="Courier New"/>
                <w:sz w:val="18"/>
              </w:rPr>
              <w:t>iou_clip_start</w:t>
            </w:r>
          </w:p>
        </w:tc>
        <w:tc>
          <w:tcPr>
            <w:tcW w:type="dxa" w:w="1584"/>
          </w:tcPr>
          <w:p>
            <w:r>
              <w:rPr>
                <w:sz w:val="20"/>
              </w:rPr>
              <w:t>20.0</w:t>
            </w:r>
          </w:p>
        </w:tc>
        <w:tc>
          <w:tcPr>
            <w:tcW w:type="dxa" w:w="1584"/>
          </w:tcPr>
          <w:p>
            <w:r>
              <w:rPr>
                <w:sz w:val="20"/>
              </w:rPr>
              <w:t>C</w:t>
            </w:r>
          </w:p>
        </w:tc>
        <w:tc>
          <w:tcPr>
            <w:tcW w:type="dxa" w:w="4032"/>
          </w:tcPr>
          <w:p>
            <w:r>
              <w:rPr>
                <w:sz w:val="20"/>
              </w:rPr>
              <w:t>Initial per-sample IoU loss clip value</w:t>
            </w:r>
          </w:p>
        </w:tc>
      </w:tr>
      <w:tr>
        <w:tc>
          <w:tcPr>
            <w:tcW w:type="dxa" w:w="2160"/>
          </w:tcPr>
          <w:p>
            <w:r>
              <w:rPr>
                <w:rFonts w:ascii="Courier New" w:hAnsi="Courier New"/>
                <w:sz w:val="18"/>
              </w:rPr>
              <w:t>iou_clip_end</w:t>
            </w:r>
          </w:p>
        </w:tc>
        <w:tc>
          <w:tcPr>
            <w:tcW w:type="dxa" w:w="1584"/>
          </w:tcPr>
          <w:p>
            <w:r>
              <w:rPr>
                <w:sz w:val="20"/>
              </w:rPr>
              <w:t>10.0</w:t>
            </w:r>
          </w:p>
        </w:tc>
        <w:tc>
          <w:tcPr>
            <w:tcW w:type="dxa" w:w="1584"/>
          </w:tcPr>
          <w:p>
            <w:r>
              <w:rPr>
                <w:sz w:val="20"/>
              </w:rPr>
              <w:t>C</w:t>
            </w:r>
          </w:p>
        </w:tc>
        <w:tc>
          <w:tcPr>
            <w:tcW w:type="dxa" w:w="4032"/>
          </w:tcPr>
          <w:p>
            <w:r>
              <w:rPr>
                <w:sz w:val="20"/>
              </w:rPr>
              <w:t>Final per-sample IoU loss clip value</w:t>
            </w:r>
          </w:p>
        </w:tc>
      </w:tr>
      <w:tr>
        <w:tc>
          <w:tcPr>
            <w:tcW w:type="dxa" w:w="2160"/>
          </w:tcPr>
          <w:p>
            <w:r>
              <w:rPr>
                <w:rFonts w:ascii="Courier New" w:hAnsi="Courier New"/>
                <w:sz w:val="18"/>
              </w:rPr>
              <w:t>dfl_clip_start</w:t>
            </w:r>
          </w:p>
        </w:tc>
        <w:tc>
          <w:tcPr>
            <w:tcW w:type="dxa" w:w="1584"/>
          </w:tcPr>
          <w:p>
            <w:r>
              <w:rPr>
                <w:sz w:val="20"/>
              </w:rPr>
              <w:t>10.0</w:t>
            </w:r>
          </w:p>
        </w:tc>
        <w:tc>
          <w:tcPr>
            <w:tcW w:type="dxa" w:w="1584"/>
          </w:tcPr>
          <w:p>
            <w:r>
              <w:rPr>
                <w:sz w:val="20"/>
              </w:rPr>
              <w:t>C</w:t>
            </w:r>
          </w:p>
        </w:tc>
        <w:tc>
          <w:tcPr>
            <w:tcW w:type="dxa" w:w="4032"/>
          </w:tcPr>
          <w:p>
            <w:r>
              <w:rPr>
                <w:sz w:val="20"/>
              </w:rPr>
              <w:t>Initial per-sample DFL loss clip value</w:t>
            </w:r>
          </w:p>
        </w:tc>
      </w:tr>
      <w:tr>
        <w:tc>
          <w:tcPr>
            <w:tcW w:type="dxa" w:w="2160"/>
          </w:tcPr>
          <w:p>
            <w:r>
              <w:rPr>
                <w:rFonts w:ascii="Courier New" w:hAnsi="Courier New"/>
                <w:sz w:val="18"/>
              </w:rPr>
              <w:t>dfl_clip_end</w:t>
            </w:r>
          </w:p>
        </w:tc>
        <w:tc>
          <w:tcPr>
            <w:tcW w:type="dxa" w:w="1584"/>
          </w:tcPr>
          <w:p>
            <w:r>
              <w:rPr>
                <w:sz w:val="20"/>
              </w:rPr>
              <w:t>5.0</w:t>
            </w:r>
          </w:p>
        </w:tc>
        <w:tc>
          <w:tcPr>
            <w:tcW w:type="dxa" w:w="1584"/>
          </w:tcPr>
          <w:p>
            <w:r>
              <w:rPr>
                <w:sz w:val="20"/>
              </w:rPr>
              <w:t>C</w:t>
            </w:r>
          </w:p>
        </w:tc>
        <w:tc>
          <w:tcPr>
            <w:tcW w:type="dxa" w:w="4032"/>
          </w:tcPr>
          <w:p>
            <w:r>
              <w:rPr>
                <w:sz w:val="20"/>
              </w:rPr>
              <w:t>Final per-sample DFL loss clip value</w:t>
            </w:r>
          </w:p>
        </w:tc>
      </w:tr>
      <w:tr>
        <w:tc>
          <w:tcPr>
            <w:tcW w:type="dxa" w:w="2160"/>
          </w:tcPr>
          <w:p>
            <w:r>
              <w:rPr>
                <w:rFonts w:ascii="Courier New" w:hAnsi="Courier New"/>
                <w:sz w:val="18"/>
              </w:rPr>
              <w:t>tal_topk</w:t>
            </w:r>
          </w:p>
        </w:tc>
        <w:tc>
          <w:tcPr>
            <w:tcW w:type="dxa" w:w="1584"/>
          </w:tcPr>
          <w:p>
            <w:r>
              <w:rPr>
                <w:sz w:val="20"/>
              </w:rPr>
              <w:t>10</w:t>
            </w:r>
          </w:p>
        </w:tc>
        <w:tc>
          <w:tcPr>
            <w:tcW w:type="dxa" w:w="1584"/>
          </w:tcPr>
          <w:p>
            <w:r>
              <w:rPr>
                <w:sz w:val="20"/>
              </w:rPr>
              <w:t>D</w:t>
            </w:r>
          </w:p>
        </w:tc>
        <w:tc>
          <w:tcPr>
            <w:tcW w:type="dxa" w:w="4032"/>
          </w:tcPr>
          <w:p>
            <w:r>
              <w:rPr>
                <w:sz w:val="20"/>
              </w:rPr>
              <w:t>Top-k anchors selected per GT box by TAL</w:t>
            </w:r>
          </w:p>
        </w:tc>
      </w:tr>
      <w:tr>
        <w:tc>
          <w:tcPr>
            <w:tcW w:type="dxa" w:w="2160"/>
          </w:tcPr>
          <w:p>
            <w:r>
              <w:rPr>
                <w:rFonts w:ascii="Courier New" w:hAnsi="Courier New"/>
                <w:sz w:val="18"/>
              </w:rPr>
              <w:t>tal_alpha</w:t>
            </w:r>
          </w:p>
        </w:tc>
        <w:tc>
          <w:tcPr>
            <w:tcW w:type="dxa" w:w="1584"/>
          </w:tcPr>
          <w:p>
            <w:r>
              <w:rPr>
                <w:sz w:val="20"/>
              </w:rPr>
              <w:t>0.5</w:t>
            </w:r>
          </w:p>
        </w:tc>
        <w:tc>
          <w:tcPr>
            <w:tcW w:type="dxa" w:w="1584"/>
          </w:tcPr>
          <w:p>
            <w:r>
              <w:rPr>
                <w:sz w:val="20"/>
              </w:rPr>
              <w:t>D</w:t>
            </w:r>
          </w:p>
        </w:tc>
        <w:tc>
          <w:tcPr>
            <w:tcW w:type="dxa" w:w="4032"/>
          </w:tcPr>
          <w:p>
            <w:r>
              <w:rPr>
                <w:sz w:val="20"/>
              </w:rPr>
              <w:t>Classification score weight in TAL metric</w:t>
            </w:r>
          </w:p>
        </w:tc>
      </w:tr>
      <w:tr>
        <w:tc>
          <w:tcPr>
            <w:tcW w:type="dxa" w:w="2160"/>
          </w:tcPr>
          <w:p>
            <w:r>
              <w:rPr>
                <w:rFonts w:ascii="Courier New" w:hAnsi="Courier New"/>
                <w:sz w:val="18"/>
              </w:rPr>
              <w:t>tal_beta</w:t>
            </w:r>
          </w:p>
        </w:tc>
        <w:tc>
          <w:tcPr>
            <w:tcW w:type="dxa" w:w="1584"/>
          </w:tcPr>
          <w:p>
            <w:r>
              <w:rPr>
                <w:sz w:val="20"/>
              </w:rPr>
              <w:t>6.0</w:t>
            </w:r>
          </w:p>
        </w:tc>
        <w:tc>
          <w:tcPr>
            <w:tcW w:type="dxa" w:w="1584"/>
          </w:tcPr>
          <w:p>
            <w:r>
              <w:rPr>
                <w:sz w:val="20"/>
              </w:rPr>
              <w:t>D</w:t>
            </w:r>
          </w:p>
        </w:tc>
        <w:tc>
          <w:tcPr>
            <w:tcW w:type="dxa" w:w="4032"/>
          </w:tcPr>
          <w:p>
            <w:r>
              <w:rPr>
                <w:sz w:val="20"/>
              </w:rPr>
              <w:t>IoU score weight in TAL metric</w:t>
            </w:r>
          </w:p>
        </w:tc>
      </w:tr>
      <w:tr>
        <w:tc>
          <w:tcPr>
            <w:tcW w:type="dxa" w:w="2160"/>
          </w:tcPr>
          <w:p>
            <w:r>
              <w:rPr>
                <w:rFonts w:ascii="Courier New" w:hAnsi="Courier New"/>
                <w:sz w:val="18"/>
              </w:rPr>
              <w:t>use_shape_tal</w:t>
            </w:r>
          </w:p>
        </w:tc>
        <w:tc>
          <w:tcPr>
            <w:tcW w:type="dxa" w:w="1584"/>
          </w:tcPr>
          <w:p>
            <w:r>
              <w:rPr>
                <w:sz w:val="20"/>
              </w:rPr>
              <w:t>False</w:t>
            </w:r>
          </w:p>
        </w:tc>
        <w:tc>
          <w:tcPr>
            <w:tcW w:type="dxa" w:w="1584"/>
          </w:tcPr>
          <w:p>
            <w:r>
              <w:rPr>
                <w:sz w:val="20"/>
              </w:rPr>
              <w:t>E</w:t>
            </w:r>
          </w:p>
        </w:tc>
        <w:tc>
          <w:tcPr>
            <w:tcW w:type="dxa" w:w="4032"/>
          </w:tcPr>
          <w:p>
            <w:r>
              <w:rPr>
                <w:sz w:val="20"/>
              </w:rPr>
              <w:t>Enable shape-aware TAL assigner</w:t>
            </w:r>
          </w:p>
        </w:tc>
      </w:tr>
      <w:tr>
        <w:tc>
          <w:tcPr>
            <w:tcW w:type="dxa" w:w="2160"/>
          </w:tcPr>
          <w:p>
            <w:r>
              <w:rPr>
                <w:rFonts w:ascii="Courier New" w:hAnsi="Courier New"/>
                <w:sz w:val="18"/>
              </w:rPr>
              <w:t>shape_gamma</w:t>
            </w:r>
          </w:p>
        </w:tc>
        <w:tc>
          <w:tcPr>
            <w:tcW w:type="dxa" w:w="1584"/>
          </w:tcPr>
          <w:p>
            <w:r>
              <w:rPr>
                <w:sz w:val="20"/>
              </w:rPr>
              <w:t>1.0</w:t>
            </w:r>
          </w:p>
        </w:tc>
        <w:tc>
          <w:tcPr>
            <w:tcW w:type="dxa" w:w="1584"/>
          </w:tcPr>
          <w:p>
            <w:r>
              <w:rPr>
                <w:sz w:val="20"/>
              </w:rPr>
              <w:t>E</w:t>
            </w:r>
          </w:p>
        </w:tc>
        <w:tc>
          <w:tcPr>
            <w:tcW w:type="dxa" w:w="4032"/>
          </w:tcPr>
          <w:p>
            <w:r>
              <w:rPr>
                <w:sz w:val="20"/>
              </w:rPr>
              <w:t>Shape similarity exponent in shape-aware TAL</w:t>
            </w:r>
          </w:p>
        </w:tc>
      </w:tr>
      <w:tr>
        <w:tc>
          <w:tcPr>
            <w:tcW w:type="dxa" w:w="2160"/>
          </w:tcPr>
          <w:p>
            <w:r>
              <w:rPr>
                <w:rFonts w:ascii="Courier New" w:hAnsi="Courier New"/>
                <w:sz w:val="18"/>
              </w:rPr>
              <w:t>shape_min</w:t>
            </w:r>
          </w:p>
        </w:tc>
        <w:tc>
          <w:tcPr>
            <w:tcW w:type="dxa" w:w="1584"/>
          </w:tcPr>
          <w:p>
            <w:r>
              <w:rPr>
                <w:sz w:val="20"/>
              </w:rPr>
              <w:t>0.3</w:t>
            </w:r>
          </w:p>
        </w:tc>
        <w:tc>
          <w:tcPr>
            <w:tcW w:type="dxa" w:w="1584"/>
          </w:tcPr>
          <w:p>
            <w:r>
              <w:rPr>
                <w:sz w:val="20"/>
              </w:rPr>
              <w:t>E</w:t>
            </w:r>
          </w:p>
        </w:tc>
        <w:tc>
          <w:tcPr>
            <w:tcW w:type="dxa" w:w="4032"/>
          </w:tcPr>
          <w:p>
            <w:r>
              <w:rPr>
                <w:sz w:val="20"/>
              </w:rPr>
              <w:t>Minimum shape similarity for anchor eligibility</w:t>
            </w:r>
          </w:p>
        </w:tc>
      </w:tr>
    </w:tbl>
    <w:p/>
    <w:p>
      <w:pPr>
        <w:pStyle w:val="Heading1"/>
      </w:pPr>
      <w:r>
        <w:t>G. Ablation Sections Summary</w:t>
      </w:r>
    </w:p>
    <w:tbl>
      <w:tblPr>
        <w:tblStyle w:val="TableGrid"/>
        <w:tblW w:type="auto" w:w="0"/>
        <w:jc w:val="left"/>
        <w:tblLook w:firstColumn="1" w:firstRow="1" w:lastColumn="0" w:lastRow="0" w:noHBand="0" w:noVBand="1" w:val="04A0"/>
      </w:tblPr>
      <w:tblGrid>
        <w:gridCol w:w="2928"/>
        <w:gridCol w:w="2928"/>
        <w:gridCol w:w="2928"/>
      </w:tblGrid>
      <w:tr>
        <w:tc>
          <w:tcPr>
            <w:tcW w:type="dxa" w:w="1152"/>
            <w:shd w:val="clear" w:color="auto" w:fill="BDD7EE"/>
          </w:tcPr>
          <w:p>
            <w:pPr>
              <w:jc w:val="center"/>
            </w:pPr>
            <w:r>
              <w:rPr>
                <w:b/>
                <w:sz w:val="20"/>
              </w:rPr>
              <w:t>Section</w:t>
            </w:r>
          </w:p>
        </w:tc>
        <w:tc>
          <w:tcPr>
            <w:tcW w:type="dxa" w:w="2592"/>
            <w:shd w:val="clear" w:color="auto" w:fill="BDD7EE"/>
          </w:tcPr>
          <w:p>
            <w:pPr>
              <w:jc w:val="center"/>
            </w:pPr>
            <w:r>
              <w:rPr>
                <w:b/>
                <w:sz w:val="20"/>
              </w:rPr>
              <w:t>Name</w:t>
            </w:r>
          </w:p>
        </w:tc>
        <w:tc>
          <w:tcPr>
            <w:tcW w:type="dxa" w:w="5616"/>
            <w:shd w:val="clear" w:color="auto" w:fill="BDD7EE"/>
          </w:tcPr>
          <w:p>
            <w:pPr>
              <w:jc w:val="center"/>
            </w:pPr>
            <w:r>
              <w:rPr>
                <w:b/>
                <w:sz w:val="20"/>
              </w:rPr>
              <w:t>What it does</w:t>
            </w:r>
          </w:p>
        </w:tc>
      </w:tr>
      <w:tr>
        <w:tc>
          <w:tcPr>
            <w:tcW w:type="dxa" w:w="1152"/>
          </w:tcPr>
          <w:p>
            <w:pPr>
              <w:jc w:val="center"/>
            </w:pPr>
            <w:r>
              <w:rPr>
                <w:b/>
                <w:sz w:val="20"/>
              </w:rPr>
              <w:t>A</w:t>
            </w:r>
          </w:p>
        </w:tc>
        <w:tc>
          <w:tcPr>
            <w:tcW w:type="dxa" w:w="2592"/>
          </w:tcPr>
          <w:p>
            <w:r>
              <w:rPr>
                <w:sz w:val="20"/>
              </w:rPr>
              <w:t>Size-Aware Weighting</w:t>
            </w:r>
          </w:p>
        </w:tc>
        <w:tc>
          <w:tcPr>
            <w:tcW w:type="dxa" w:w="5616"/>
          </w:tcPr>
          <w:p>
            <w:r>
              <w:rPr>
                <w:sz w:val="20"/>
              </w:rPr>
              <w:t>Inverse-area weights + small-object boost + dynamic alpha blend; compensates for the 70:8 large-to-small imbalance in the dataset.</w:t>
            </w:r>
          </w:p>
        </w:tc>
      </w:tr>
      <w:tr>
        <w:tc>
          <w:tcPr>
            <w:tcW w:type="dxa" w:w="1152"/>
          </w:tcPr>
          <w:p>
            <w:pPr>
              <w:jc w:val="center"/>
            </w:pPr>
            <w:r>
              <w:rPr>
                <w:b/>
                <w:sz w:val="20"/>
              </w:rPr>
              <w:t>B</w:t>
            </w:r>
          </w:p>
        </w:tc>
        <w:tc>
          <w:tcPr>
            <w:tcW w:type="dxa" w:w="2592"/>
          </w:tcPr>
          <w:p>
            <w:r>
              <w:rPr>
                <w:sz w:val="20"/>
              </w:rPr>
              <w:t>Center Loss</w:t>
            </w:r>
          </w:p>
        </w:tc>
        <w:tc>
          <w:tcPr>
            <w:tcW w:type="dxa" w:w="5616"/>
          </w:tcPr>
          <w:p>
            <w:r>
              <w:rPr>
                <w:sz w:val="20"/>
              </w:rPr>
              <w:t>Auxiliary L1 center-point loss on small-object foreground predictions; provides stable gradients early in training when IoU is noisy.</w:t>
            </w:r>
          </w:p>
        </w:tc>
      </w:tr>
      <w:tr>
        <w:tc>
          <w:tcPr>
            <w:tcW w:type="dxa" w:w="1152"/>
          </w:tcPr>
          <w:p>
            <w:pPr>
              <w:jc w:val="center"/>
            </w:pPr>
            <w:r>
              <w:rPr>
                <w:b/>
                <w:sz w:val="20"/>
              </w:rPr>
              <w:t>C</w:t>
            </w:r>
          </w:p>
        </w:tc>
        <w:tc>
          <w:tcPr>
            <w:tcW w:type="dxa" w:w="2592"/>
          </w:tcPr>
          <w:p>
            <w:r>
              <w:rPr>
                <w:sz w:val="20"/>
              </w:rPr>
              <w:t>Adaptive Clipping</w:t>
            </w:r>
          </w:p>
        </w:tc>
        <w:tc>
          <w:tcPr>
            <w:tcW w:type="dxa" w:w="5616"/>
          </w:tcPr>
          <w:p>
            <w:r>
              <w:rPr>
                <w:sz w:val="20"/>
              </w:rPr>
              <w:t>Per-sample IoU/DFL loss clipping with thresholds that decay from loose to tight; prevents gradient spikes in early epochs.</w:t>
            </w:r>
          </w:p>
        </w:tc>
      </w:tr>
      <w:tr>
        <w:tc>
          <w:tcPr>
            <w:tcW w:type="dxa" w:w="1152"/>
          </w:tcPr>
          <w:p>
            <w:pPr>
              <w:jc w:val="center"/>
            </w:pPr>
            <w:r>
              <w:rPr>
                <w:b/>
                <w:sz w:val="20"/>
              </w:rPr>
              <w:t>D</w:t>
            </w:r>
          </w:p>
        </w:tc>
        <w:tc>
          <w:tcPr>
            <w:tcW w:type="dxa" w:w="2592"/>
          </w:tcPr>
          <w:p>
            <w:r>
              <w:rPr>
                <w:sz w:val="20"/>
              </w:rPr>
              <w:t>TAL Assignment</w:t>
            </w:r>
          </w:p>
        </w:tc>
        <w:tc>
          <w:tcPr>
            <w:tcW w:type="dxa" w:w="5616"/>
          </w:tcPr>
          <w:p>
            <w:r>
              <w:rPr>
                <w:sz w:val="20"/>
              </w:rPr>
              <w:t>Exposes topk, alpha, beta of the Task-Aligned Assigner; allows tuning of how many and how confidently anchors are assigned to GT boxes.</w:t>
            </w:r>
          </w:p>
        </w:tc>
      </w:tr>
      <w:tr>
        <w:tc>
          <w:tcPr>
            <w:tcW w:type="dxa" w:w="1152"/>
          </w:tcPr>
          <w:p>
            <w:pPr>
              <w:jc w:val="center"/>
            </w:pPr>
            <w:r>
              <w:rPr>
                <w:b/>
                <w:sz w:val="20"/>
              </w:rPr>
              <w:t>E</w:t>
            </w:r>
          </w:p>
        </w:tc>
        <w:tc>
          <w:tcPr>
            <w:tcW w:type="dxa" w:w="2592"/>
          </w:tcPr>
          <w:p>
            <w:r>
              <w:rPr>
                <w:sz w:val="20"/>
              </w:rPr>
              <w:t>Shape-Aware TAL</w:t>
            </w:r>
          </w:p>
        </w:tc>
        <w:tc>
          <w:tcPr>
            <w:tcW w:type="dxa" w:w="5616"/>
          </w:tcPr>
          <w:p>
            <w:r>
              <w:rPr>
                <w:sz w:val="20"/>
              </w:rPr>
              <w:t>Optional drop-in replacement for TAL that adds aspect-ratio similarity; targets elongated weapon classes (long_gun).</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