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Architectural Ablation Study</w:t>
      </w:r>
    </w:p>
    <w:p>
      <w:pPr>
        <w:pStyle w:val="Heading2"/>
      </w:pPr>
      <w:r>
        <w:rPr>
          <w:rFonts w:ascii="Arial" w:cs="Arial" w:eastAsia="Arial" w:hAnsi="Arial"/>
        </w:rPr>
        <w:t xml:space="preserve">A. Ablation protocol</w:t>
      </w:r>
    </w:p>
    <w:p>
      <w:pPr>
        <w:spacing w:after="160" w:line="276"/>
        <w:jc w:val="both"/>
      </w:pPr>
      <w:r>
        <w:rPr>
          <w:rFonts w:ascii="Arial" w:cs="Arial" w:eastAsia="Arial" w:hAnsi="Arial"/>
          <w:sz w:val="22"/>
          <w:szCs w:val="22"/>
        </w:rPr>
        <w:t xml:space="preserve">To isolate the contribution of each architectural component we conducted a progressive ablation study spanning more than forty controlled configurations. Every candidate module was introduced as an append-only block on top of the stock YOLOv12s backbone and path-aggregation neck, leaving the original feature extractor untouched. Each block is zero-gated: it is added to its input through a learnable scalar that is initialized to zero, so that at the start of training the augmented network is functionally identical to the baseline. This permits the pretrained backbone and neck weights to transfer in full through an index-remapped loader, and guarantees that a module can only improve, never destabilize, the initial model.</w:t>
      </w:r>
    </w:p>
    <w:p>
      <w:pPr>
        <w:spacing w:after="160" w:line="276"/>
        <w:jc w:val="both"/>
      </w:pPr>
      <w:r>
        <w:rPr>
          <w:rFonts w:ascii="Arial" w:cs="Arial" w:eastAsia="Arial" w:hAnsi="Arial"/>
          <w:sz w:val="22"/>
          <w:szCs w:val="22"/>
        </w:rPr>
        <w:t xml:space="preserve">All auxiliary detection heads are used only during training and are removed at inference; consequently every architectural gain reported below is obtained at the baseline's inference cost and parameter budget. Unless stated otherwise, the two configurations in any comparison share the same dataset split, batch size, training schedule and loss recipe, so that observed differences are attributable to the architecture in isolation. Results are reported on the corrected evaluation set.</w:t>
      </w:r>
    </w:p>
    <w:p>
      <w:pPr>
        <w:pStyle w:val="Heading2"/>
      </w:pPr>
      <w:r>
        <w:rPr>
          <w:rFonts w:ascii="Arial" w:cs="Arial" w:eastAsia="Arial" w:hAnsi="Arial"/>
        </w:rPr>
        <w:t xml:space="preserve">B. Mechanisms explored</w:t>
      </w:r>
    </w:p>
    <w:p>
      <w:pPr>
        <w:spacing w:after="160" w:line="276"/>
        <w:jc w:val="both"/>
      </w:pPr>
      <w:r>
        <w:rPr>
          <w:rFonts w:ascii="Arial" w:cs="Arial" w:eastAsia="Arial" w:hAnsi="Arial"/>
          <w:sz w:val="22"/>
          <w:szCs w:val="22"/>
        </w:rPr>
        <w:t xml:space="preserve">We organized the search into the mechanism families summarized in Table I. Early experiments inserted standard channel and spatial attention modules into the deeper neck levels; these proved neutral on this task. A large-kernel context line of work — square large-kernel attention, strip attention, and several gated fusions of the two — identified a wide-fuse block at the P4 level as the most effective context operator. Adding a train-only auxiliary head on top of this block (the r21 design) gave a further gain. Subsequent rounds probed alternative detection heads (decoupled, objectness, cosine and mixture-prototype classifiers) and additional detection scales (a stride-4 P2 head, deeper towers), none of which improved the corrected-data result. The decisive advances came from three complementary ideas: a small-kernel detail guard for the high-resolution level, a dual-path auxiliary supervision scheme, and a per-scale global-context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4110"/>
        <w:gridCol w:w="2500"/>
      </w:tblGrid>
      <w:tr>
        <w:trPr>
          <w:tblHeader/>
        </w:trPr>
        <w:tc>
          <w:tcPr>
            <w:tcW w:type="dxa" w:w="27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Mechanism family</w:t>
            </w:r>
          </w:p>
        </w:tc>
        <w:tc>
          <w:tcPr>
            <w:tcW w:type="dxa" w:w="411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Representative variants</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Outcome</w:t>
            </w:r>
          </w:p>
        </w:tc>
      </w:tr>
      <w:tr>
        <w:tc>
          <w:tcPr>
            <w:tcW w:type="dxa" w:w="27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Channel / spatial attention</w:t>
            </w:r>
          </w:p>
        </w:tc>
        <w:tc>
          <w:tcPr>
            <w:tcW w:type="dxa" w:w="41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SE, CBAM, EMA, SimAM, coordinate attention (at P4/P5)</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Neutral</w:t>
            </w:r>
          </w:p>
        </w:tc>
      </w:tr>
      <w:tr>
        <w:tc>
          <w:tcPr>
            <w:tcW w:type="dxa" w:w="27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Large-kernel context fusion</w:t>
            </w:r>
          </w:p>
        </w:tc>
        <w:tc>
          <w:tcPr>
            <w:tcW w:type="dxa" w:w="41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ZGLKA (square k=11), LSKA strip-23, WideFuse, WideFuse3, CompactFuse, SelectFuse</w:t>
            </w:r>
          </w:p>
        </w:tc>
        <w:tc>
          <w:tcPr>
            <w:tcW w:type="dxa" w:w="2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WideFuse @ P4 best context block</w:t>
            </w:r>
          </w:p>
        </w:tc>
      </w:tr>
      <w:tr>
        <w:tc>
          <w:tcPr>
            <w:tcW w:type="dxa" w:w="27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Auxiliary supervision</w:t>
            </w:r>
          </w:p>
        </w:tc>
        <w:tc>
          <w:tcPr>
            <w:tcW w:type="dxa" w:w="41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DetectAux (train-only mirror head)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Helps; basis of the r21 design</w:t>
            </w:r>
          </w:p>
        </w:tc>
      </w:tr>
      <w:tr>
        <w:tc>
          <w:tcPr>
            <w:tcW w:type="dxa" w:w="27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Alternative detection heads</w:t>
            </w:r>
          </w:p>
        </w:tc>
        <w:tc>
          <w:tcPr>
            <w:tcW w:type="dxa" w:w="41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decoupled, objectness, cosine, mixture-prototype (MultiProto)</w:t>
            </w:r>
          </w:p>
        </w:tc>
        <w:tc>
          <w:tcPr>
            <w:tcW w:type="dxa" w:w="2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Neutral / negative</w:t>
            </w:r>
          </w:p>
        </w:tc>
      </w:tr>
      <w:tr>
        <w:tc>
          <w:tcPr>
            <w:tcW w:type="dxa" w:w="27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Extra scale / resolution</w:t>
            </w:r>
          </w:p>
        </w:tc>
        <w:tc>
          <w:tcPr>
            <w:tcW w:type="dxa" w:w="41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P2 (stride-4) head, deeper P3 head, P3 attention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Neutral / negative</w:t>
            </w:r>
          </w:p>
        </w:tc>
      </w:tr>
      <w:tr>
        <w:tc>
          <w:tcPr>
            <w:tcW w:type="dxa" w:w="27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Small-object detail guard</w:t>
            </w:r>
          </w:p>
        </w:tc>
        <w:tc>
          <w:tcPr>
            <w:tcW w:type="dxa" w:w="41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ZGSmallDetail (k3 + k5 depthwise) @ P3</w:t>
            </w:r>
          </w:p>
        </w:tc>
        <w:tc>
          <w:tcPr>
            <w:tcW w:type="dxa" w:w="2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Helps small objects</w:t>
            </w:r>
          </w:p>
        </w:tc>
      </w:tr>
      <w:tr>
        <w:tc>
          <w:tcPr>
            <w:tcW w:type="dxa" w:w="27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Hybrid receptive-field fusion</w:t>
            </w:r>
          </w:p>
        </w:tc>
        <w:tc>
          <w:tcPr>
            <w:tcW w:type="dxa" w:w="41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ZGLSKAWideFuseV2 (strip-23 + small-RF) @ P4</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Helps</w:t>
            </w:r>
          </w:p>
        </w:tc>
      </w:tr>
      <w:tr>
        <w:tc>
          <w:tcPr>
            <w:tcW w:type="dxa" w:w="27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Dual-path supervision</w:t>
            </w:r>
          </w:p>
        </w:tc>
        <w:tc>
          <w:tcPr>
            <w:tcW w:type="dxa" w:w="41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DetectAuxDual (enhanced → main, raw → aux)</w:t>
            </w:r>
          </w:p>
        </w:tc>
        <w:tc>
          <w:tcPr>
            <w:tcW w:type="dxa" w:w="25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left"/>
            </w:pPr>
            <w:r>
              <w:rPr>
                <w:rFonts w:ascii="Arial" w:cs="Arial" w:eastAsia="Arial" w:hAnsi="Arial"/>
                <w:b/>
                <w:bCs/>
                <w:color w:val="1B1B1B"/>
                <w:sz w:val="19"/>
                <w:szCs w:val="19"/>
              </w:rPr>
              <w:t xml:space="preserve">Key gain (+1.1 mAP50)</w:t>
            </w:r>
          </w:p>
        </w:tc>
      </w:tr>
      <w:tr>
        <w:tc>
          <w:tcPr>
            <w:tcW w:type="dxa" w:w="27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Global context</w:t>
            </w:r>
          </w:p>
        </w:tc>
        <w:tc>
          <w:tcPr>
            <w:tcW w:type="dxa" w:w="41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ZGGlobalContext (per-scale, gated)</w:t>
            </w:r>
          </w:p>
        </w:tc>
        <w:tc>
          <w:tcPr>
            <w:tcW w:type="dxa" w:w="25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left"/>
            </w:pPr>
            <w:r>
              <w:rPr>
                <w:rFonts w:ascii="Arial" w:cs="Arial" w:eastAsia="Arial" w:hAnsi="Arial"/>
                <w:b/>
                <w:bCs/>
                <w:color w:val="1B1B1B"/>
                <w:sz w:val="19"/>
                <w:szCs w:val="19"/>
              </w:rPr>
              <w:t xml:space="preserve">Best overall (proposed)</w:t>
            </w:r>
          </w:p>
        </w:tc>
      </w:tr>
      <w:tr>
        <w:tc>
          <w:tcPr>
            <w:tcW w:type="dxa" w:w="27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Neck topology</w:t>
            </w:r>
          </w:p>
        </w:tc>
        <w:tc>
          <w:tcPr>
            <w:tcW w:type="dxa" w:w="41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BiFPN weighted fusion, DySample upsampling, gather–distribute</w:t>
            </w:r>
          </w:p>
        </w:tc>
        <w:tc>
          <w:tcPr>
            <w:tcW w:type="dxa" w:w="2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Neutral / negative</w:t>
            </w:r>
          </w:p>
        </w:tc>
      </w:tr>
    </w:tbl>
    <w:p>
      <w:pPr>
        <w:spacing w:after="220" w:before="60"/>
        <w:jc w:val="left"/>
      </w:pPr>
      <w:r>
        <w:rPr>
          <w:rFonts w:ascii="Arial" w:cs="Arial" w:eastAsia="Arial" w:hAnsi="Arial"/>
          <w:i/>
          <w:iCs/>
          <w:color w:val="555555"/>
          <w:sz w:val="18"/>
          <w:szCs w:val="18"/>
        </w:rPr>
        <w:t xml:space="preserve">Table I. Families of architectural mechanisms explored during the ablation, with representative variants and their qualitative outcome on the corrected dataset.</w:t>
      </w:r>
    </w:p>
    <w:p>
      <w:pPr>
        <w:pStyle w:val="Heading2"/>
      </w:pPr>
      <w:r>
        <w:rPr>
          <w:rFonts w:ascii="Arial" w:cs="Arial" w:eastAsia="Arial" w:hAnsi="Arial"/>
        </w:rPr>
        <w:t xml:space="preserve">C. Proposed architecture</w:t>
      </w:r>
    </w:p>
    <w:p>
      <w:pPr>
        <w:spacing w:after="160" w:line="276"/>
        <w:jc w:val="both"/>
      </w:pPr>
      <w:r>
        <w:rPr>
          <w:rFonts w:ascii="Arial" w:cs="Arial" w:eastAsia="Arial" w:hAnsi="Arial"/>
          <w:b w:val="false"/>
          <w:bCs w:val="false"/>
          <w:i w:val="false"/>
          <w:iCs w:val="false"/>
          <w:sz w:val="22"/>
          <w:szCs w:val="22"/>
        </w:rPr>
        <w:t xml:space="preserve">The configuration that consistently dominated the search — referred to here as the proposed architecture and illustrated in Fig. 1 — augments the stock neck with three additions. First, a </w:t>
      </w:r>
      <w:r>
        <w:rPr>
          <w:rFonts w:ascii="Arial" w:cs="Arial" w:eastAsia="Arial" w:hAnsi="Arial"/>
          <w:b/>
          <w:bCs/>
          <w:i w:val="false"/>
          <w:iCs w:val="false"/>
          <w:sz w:val="22"/>
          <w:szCs w:val="22"/>
        </w:rPr>
        <w:t xml:space="preserve">scale-matched enhancement</w:t>
      </w:r>
      <w:r>
        <w:rPr>
          <w:rFonts w:ascii="Arial" w:cs="Arial" w:eastAsia="Arial" w:hAnsi="Arial"/>
          <w:b w:val="false"/>
          <w:bCs w:val="false"/>
          <w:i w:val="false"/>
          <w:iCs w:val="false"/>
          <w:sz w:val="22"/>
          <w:szCs w:val="22"/>
        </w:rPr>
        <w:t xml:space="preserve"> applies a different operator to each pyramid level: a small-kernel detail block (parallel 3×3 and 5×5 depthwise convolutions) at P3 for fine structure, a hybrid wide-fuse block (square large-kernel attention together with a strip and a small-receptive-field path) at P4, and a large-kernel context block at P5. Second, a </w:t>
      </w:r>
      <w:r>
        <w:rPr>
          <w:rFonts w:ascii="Arial" w:cs="Arial" w:eastAsia="Arial" w:hAnsi="Arial"/>
          <w:b/>
          <w:bCs/>
          <w:i w:val="false"/>
          <w:iCs w:val="false"/>
          <w:sz w:val="22"/>
          <w:szCs w:val="22"/>
        </w:rPr>
        <w:t xml:space="preserve">per-scale global-context block</w:t>
      </w:r>
      <w:r>
        <w:rPr>
          <w:rFonts w:ascii="Arial" w:cs="Arial" w:eastAsia="Arial" w:hAnsi="Arial"/>
          <w:b w:val="false"/>
          <w:bCs w:val="false"/>
          <w:i w:val="false"/>
          <w:iCs w:val="false"/>
          <w:sz w:val="22"/>
          <w:szCs w:val="22"/>
        </w:rPr>
        <w:t xml:space="preserve"> injects a whole-image descriptor into every spatial location through a gated, channel-wise recalibration. Third, a </w:t>
      </w:r>
      <w:r>
        <w:rPr>
          <w:rFonts w:ascii="Arial" w:cs="Arial" w:eastAsia="Arial" w:hAnsi="Arial"/>
          <w:b/>
          <w:bCs/>
          <w:i w:val="false"/>
          <w:iCs w:val="false"/>
          <w:sz w:val="22"/>
          <w:szCs w:val="22"/>
        </w:rPr>
        <w:t xml:space="preserve">dual-path detection head</w:t>
      </w:r>
      <w:r>
        <w:rPr>
          <w:rFonts w:ascii="Arial" w:cs="Arial" w:eastAsia="Arial" w:hAnsi="Arial"/>
          <w:b w:val="false"/>
          <w:bCs w:val="false"/>
          <w:i w:val="false"/>
          <w:iCs w:val="false"/>
          <w:sz w:val="22"/>
          <w:szCs w:val="22"/>
        </w:rPr>
        <w:t xml:space="preserve"> feeds the enhanced features to the main (inference) towers while a train-only auxiliary head is anchored on the raw neck features. The internal structure of each module is given in Fig. 2. Every block is channel-preserving and zero-gated, so the addition is strictly append-only.</w:t>
      </w:r>
    </w:p>
    <w:p>
      <w:pPr>
        <w:pStyle w:val="Heading2"/>
      </w:pPr>
      <w:r>
        <w:rPr>
          <w:rFonts w:ascii="Arial" w:cs="Arial" w:eastAsia="Arial" w:hAnsi="Arial"/>
        </w:rPr>
        <w:t xml:space="preserve">D. Why the winning design works</w:t>
      </w:r>
    </w:p>
    <w:p>
      <w:pPr>
        <w:spacing w:after="160" w:line="276"/>
        <w:jc w:val="both"/>
      </w:pPr>
      <w:r>
        <w:rPr>
          <w:rFonts w:ascii="Arial" w:cs="Arial" w:eastAsia="Arial" w:hAnsi="Arial"/>
          <w:b/>
          <w:bCs/>
          <w:i w:val="false"/>
          <w:iCs w:val="false"/>
          <w:sz w:val="22"/>
          <w:szCs w:val="22"/>
        </w:rPr>
        <w:t xml:space="preserve">Dual-path supervision. </w:t>
      </w:r>
      <w:r>
        <w:rPr>
          <w:rFonts w:ascii="Arial" w:cs="Arial" w:eastAsia="Arial" w:hAnsi="Arial"/>
          <w:sz w:val="22"/>
          <w:szCs w:val="22"/>
        </w:rPr>
        <w:t xml:space="preserve">A conventional auxiliary head mirrors the main head and therefore observes the same features, so its gradient carries little new information. The proposed head instead routes the enhanced features to the main towers and anchors the auxiliary towers on the raw, pre-enhancement features. The backbone must then satisfy two objectives at once — producing context-rich features for the main head while preserving the raw detail demanded by the auxiliary head — which prevents the representation from drifting toward large-object context at the expense of fine detail. This single change accounts for the largest architectural gain in the study (roughly +1.1 mAP50 over a mirrored auxiliary head under identical loss).</w:t>
      </w:r>
    </w:p>
    <w:p>
      <w:pPr>
        <w:spacing w:after="160" w:line="276"/>
        <w:jc w:val="both"/>
      </w:pPr>
      <w:r>
        <w:rPr>
          <w:rFonts w:ascii="Arial" w:cs="Arial" w:eastAsia="Arial" w:hAnsi="Arial"/>
          <w:b/>
          <w:bCs/>
          <w:i w:val="false"/>
          <w:iCs w:val="false"/>
          <w:sz w:val="22"/>
          <w:szCs w:val="22"/>
        </w:rPr>
        <w:t xml:space="preserve">Scale-matched enhancement. </w:t>
      </w:r>
      <w:r>
        <w:rPr>
          <w:rFonts w:ascii="Arial" w:cs="Arial" w:eastAsia="Arial" w:hAnsi="Arial"/>
          <w:sz w:val="22"/>
          <w:szCs w:val="22"/>
        </w:rPr>
        <w:t xml:space="preserve">The diagnosis driving this design is that the detector already recovers small objects (recall on small instances is high) but mis-scores them, because the large-receptive-field operators that benefit medium and large objects smooth away the fine features small objects depend on. Matching the operator to the scale — detail at P3, hybrid at P4, context at P5 — resolves this tension. The ablation is explicit: replacing the P3 detail block with a context block degrades small-object accuracy, confirming that context is the wrong operator at the high-resolution level.</w:t>
      </w:r>
    </w:p>
    <w:p>
      <w:pPr>
        <w:spacing w:after="160" w:line="276"/>
        <w:jc w:val="both"/>
      </w:pPr>
      <w:r>
        <w:rPr>
          <w:rFonts w:ascii="Arial" w:cs="Arial" w:eastAsia="Arial" w:hAnsi="Arial"/>
          <w:b/>
          <w:bCs/>
          <w:i w:val="false"/>
          <w:iCs w:val="false"/>
          <w:sz w:val="22"/>
          <w:szCs w:val="22"/>
        </w:rPr>
        <w:t xml:space="preserve">Enhancement on the inference path. </w:t>
      </w:r>
      <w:r>
        <w:rPr>
          <w:rFonts w:ascii="Arial" w:cs="Arial" w:eastAsia="Arial" w:hAnsi="Arial"/>
          <w:sz w:val="22"/>
          <w:szCs w:val="22"/>
        </w:rPr>
        <w:t xml:space="preserve">A controlled comparison places the P3 detail block on the auxiliary (training-only) branch in one variant and on the main (inference) branch in the other. The auxiliary placement reshuffles per-class accuracy without a net gain, whereas the main-path placement raises small-object accuracy cleanly. The conclusion is that an enhancement only helps if it is present at inference; supervising a feature the deployed head never sees is insufficient.</w:t>
      </w:r>
    </w:p>
    <w:p>
      <w:pPr>
        <w:spacing w:after="160" w:line="276"/>
        <w:jc w:val="both"/>
      </w:pPr>
      <w:r>
        <w:rPr>
          <w:rFonts w:ascii="Arial" w:cs="Arial" w:eastAsia="Arial" w:hAnsi="Arial"/>
          <w:b/>
          <w:bCs/>
          <w:i w:val="false"/>
          <w:iCs w:val="false"/>
          <w:sz w:val="22"/>
          <w:szCs w:val="22"/>
        </w:rPr>
        <w:t xml:space="preserve">Global context for a heterogeneous class. </w:t>
      </w:r>
      <w:r>
        <w:rPr>
          <w:rFonts w:ascii="Arial" w:cs="Arial" w:eastAsia="Arial" w:hAnsi="Arial"/>
          <w:sz w:val="22"/>
          <w:szCs w:val="22"/>
        </w:rPr>
        <w:t xml:space="preserve">The most difficult class is the catch-all “other” category, which is defined largely by what surrounds it and is therefore ambiguous to a purely local receptive field. The global-context block supplies each location with a whole-image descriptor at negligible cost, and it produced the best balance of small-object and localization accuracy of any neck variant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300"/>
        <w:gridCol w:w="3410"/>
      </w:tblGrid>
      <w:tr>
        <w:trPr>
          <w:tblHeader/>
        </w:trPr>
        <w:tc>
          <w:tcPr>
            <w:tcW w:type="dxa" w:w="26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Ablation question</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Comparison</w:t>
            </w:r>
          </w:p>
        </w:tc>
        <w:tc>
          <w:tcPr>
            <w:tcW w:type="dxa" w:w="341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Finding</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Where to place the detail enhancement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aux path (R33) vs. main / inference path (R34)</w:t>
            </w:r>
          </w:p>
        </w:tc>
        <w:tc>
          <w:tcPr>
            <w:tcW w:type="dxa" w:w="34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Main path wins: small AP recovered without the per-class collateral loss seen on the aux path.</w:t>
            </w:r>
          </w:p>
        </w:tc>
      </w:tr>
      <w:tr>
        <w:tc>
          <w:tcPr>
            <w:tcW w:type="dxa" w:w="26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Which neck paradigm</w:t>
            </w:r>
          </w:p>
        </w:tc>
        <w:tc>
          <w:tcPr>
            <w:tcW w:type="dxa" w:w="33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BiFPN vs. content-aware upsampling vs. gather–distribute vs. per-scale global context</w:t>
            </w:r>
          </w:p>
        </w:tc>
        <w:tc>
          <w:tcPr>
            <w:tcW w:type="dxa" w:w="34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Global context wins on both small and mAP50-95; weighted fusion and gather–distribute underperform.</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bCs/>
                <w:color w:val="1B1B1B"/>
                <w:sz w:val="19"/>
                <w:szCs w:val="19"/>
              </w:rPr>
              <w:t xml:space="preserve">Is the bottleneck head capacity?</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standard vs. deeper P3 detection towers</w:t>
            </w:r>
          </w:p>
        </w:tc>
        <w:tc>
          <w:tcPr>
            <w:tcW w:type="dxa" w:w="34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Deeper towers do not help (small AP drops) — the limit is not representational capacity.</w:t>
            </w:r>
          </w:p>
        </w:tc>
      </w:tr>
      <w:tr>
        <w:tc>
          <w:tcPr>
            <w:tcW w:type="dxa" w:w="26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bCs/>
                <w:color w:val="1B1B1B"/>
                <w:sz w:val="19"/>
                <w:szCs w:val="19"/>
              </w:rPr>
              <w:t xml:space="preserve">Do the best blocks stack?</w:t>
            </w:r>
          </w:p>
        </w:tc>
        <w:tc>
          <w:tcPr>
            <w:tcW w:type="dxa" w:w="33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global context + content-aware upsampling</w:t>
            </w:r>
          </w:p>
        </w:tc>
        <w:tc>
          <w:tcPr>
            <w:tcW w:type="dxa" w:w="341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No: the combination falls below either component — the design is saturated.</w:t>
            </w:r>
          </w:p>
        </w:tc>
      </w:tr>
    </w:tbl>
    <w:p>
      <w:pPr>
        <w:spacing w:after="220" w:before="60"/>
        <w:jc w:val="left"/>
      </w:pPr>
      <w:r>
        <w:rPr>
          <w:rFonts w:ascii="Arial" w:cs="Arial" w:eastAsia="Arial" w:hAnsi="Arial"/>
          <w:i/>
          <w:iCs/>
          <w:color w:val="555555"/>
          <w:sz w:val="18"/>
          <w:szCs w:val="18"/>
        </w:rPr>
        <w:t xml:space="preserve">Table II. Key controlled ablations that decided the final design. Each row isolates a single design question.</w:t>
      </w:r>
    </w:p>
    <w:p>
      <w:pPr>
        <w:pStyle w:val="Heading2"/>
      </w:pPr>
      <w:r>
        <w:rPr>
          <w:rFonts w:ascii="Arial" w:cs="Arial" w:eastAsia="Arial" w:hAnsi="Arial"/>
        </w:rPr>
        <w:t xml:space="preserve">E. Negative results and saturation</w:t>
      </w:r>
    </w:p>
    <w:p>
      <w:pPr>
        <w:spacing w:after="160" w:line="276"/>
        <w:jc w:val="both"/>
      </w:pPr>
      <w:r>
        <w:rPr>
          <w:rFonts w:ascii="Arial" w:cs="Arial" w:eastAsia="Arial" w:hAnsi="Arial"/>
          <w:sz w:val="22"/>
          <w:szCs w:val="22"/>
        </w:rPr>
        <w:t xml:space="preserve">Equally informative are the mechanisms that did not help. Additional detection scales (a P2 head), alternative heads (decoupled, objectness, mixture-prototype), deeper detection towers, learnable weighted fusion (BiFPN-style), content-aware upsampling and a global gather–distribute neck were all neutral or negative on the corrected data. Two patterns emerge. First, the recall–precision gap that motivated the detail blocks is not closed by adding capacity — deeper towers do not help — indicating the limitation is the nature of the features, not their quantity. Second, once the proposed blocks are in place, further additions interfere rather than compound: combining the two strongest neck blocks falls below either alone. Three consecutive late-round additions failing to improve the design is consistent with a converged, saturated architecture, and we report these as a deliberate boundary of the search.</w:t>
      </w:r>
    </w:p>
    <w:p>
      <w:pPr>
        <w:pStyle w:val="Heading2"/>
      </w:pPr>
      <w:r>
        <w:rPr>
          <w:rFonts w:ascii="Arial" w:cs="Arial" w:eastAsia="Arial" w:hAnsi="Arial"/>
        </w:rPr>
        <w:t xml:space="preserve">F. Overall contribution</w:t>
      </w:r>
    </w:p>
    <w:p>
      <w:pPr>
        <w:spacing w:after="160" w:line="276"/>
        <w:jc w:val="both"/>
      </w:pPr>
      <w:r>
        <w:rPr>
          <w:rFonts w:ascii="Arial" w:cs="Arial" w:eastAsia="Arial" w:hAnsi="Arial"/>
          <w:sz w:val="22"/>
          <w:szCs w:val="22"/>
        </w:rPr>
        <w:t xml:space="preserve">Table III summarizes the end-to-end effect on the full corrected dataset under a clean, same-configuration comparison. The architecture alone raises mAP50 by 3.5 points (+4.3% relative) and small-object AP50 by 4.3 points (+6.7%) over the stock baseline, with consistent gains in precision and recall, and the architecture result is averaged over two random seeds. Adding the tuned assignment-and-loss recipe on top contributes a further small-object increase, for a combined improvement of 4.0 mAP50 points (+4.9%) and 6.8 points (+10.7%) on small objects. Seed-averaged results for the remaining configurations are reported in the following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Model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mAP50</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mAP50-95</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Prec.</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Rec.</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AP50 small</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Baseline (stock YOLOv12s, default loss)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81.17</w:t>
            </w:r>
          </w:p>
        </w:tc>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51.59</w:t>
            </w:r>
          </w:p>
        </w:tc>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83.27</w:t>
            </w:r>
          </w:p>
        </w:tc>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74.70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64.00</w:t>
            </w:r>
          </w:p>
        </w:tc>
      </w:tr>
      <w:tr>
        <w:tc>
          <w:tcPr>
            <w:tcW w:type="dxa" w:w="336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left"/>
            </w:pPr>
            <w:r>
              <w:rPr>
                <w:rFonts w:ascii="Arial" w:cs="Arial" w:eastAsia="Arial" w:hAnsi="Arial"/>
                <w:b w:val="false"/>
                <w:bCs w:val="false"/>
                <w:color w:val="1B1B1B"/>
                <w:sz w:val="19"/>
                <w:szCs w:val="19"/>
              </w:rPr>
              <w:t xml:space="preserve">+ proposed architecture (default loss)</w:t>
            </w:r>
          </w:p>
        </w:tc>
        <w:tc>
          <w:tcPr>
            <w:tcW w:type="dxa" w:w="12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84.66</w:t>
            </w:r>
          </w:p>
        </w:tc>
        <w:tc>
          <w:tcPr>
            <w:tcW w:type="dxa" w:w="12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55.60</w:t>
            </w:r>
          </w:p>
        </w:tc>
        <w:tc>
          <w:tcPr>
            <w:tcW w:type="dxa" w:w="12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85.01</w:t>
            </w:r>
          </w:p>
        </w:tc>
        <w:tc>
          <w:tcPr>
            <w:tcW w:type="dxa" w:w="12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78.36</w:t>
            </w:r>
          </w:p>
        </w:tc>
        <w:tc>
          <w:tcPr>
            <w:tcW w:type="dxa" w:w="12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pPr>
              <w:jc w:val="center"/>
            </w:pPr>
            <w:r>
              <w:rPr>
                <w:rFonts w:ascii="Arial" w:cs="Arial" w:eastAsia="Arial" w:hAnsi="Arial"/>
                <w:b w:val="false"/>
                <w:bCs w:val="false"/>
                <w:color w:val="1B1B1B"/>
                <w:sz w:val="19"/>
                <w:szCs w:val="19"/>
              </w:rPr>
              <w:t xml:space="preserve">68.30</w:t>
            </w:r>
          </w:p>
        </w:tc>
      </w:tr>
      <w:tr>
        <w:tc>
          <w:tcPr>
            <w:tcW w:type="dxa" w:w="336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left"/>
            </w:pPr>
            <w:r>
              <w:rPr>
                <w:rFonts w:ascii="Arial" w:cs="Arial" w:eastAsia="Arial" w:hAnsi="Arial"/>
                <w:b/>
                <w:bCs/>
                <w:color w:val="1B1B1B"/>
                <w:sz w:val="19"/>
                <w:szCs w:val="19"/>
              </w:rPr>
              <w:t xml:space="preserve">+ proposed architecture + tuned loss</w:t>
            </w:r>
          </w:p>
        </w:tc>
        <w:tc>
          <w:tcPr>
            <w:tcW w:type="dxa" w:w="12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center"/>
            </w:pPr>
            <w:r>
              <w:rPr>
                <w:rFonts w:ascii="Arial" w:cs="Arial" w:eastAsia="Arial" w:hAnsi="Arial"/>
                <w:b/>
                <w:bCs/>
                <w:color w:val="1B1B1B"/>
                <w:sz w:val="19"/>
                <w:szCs w:val="19"/>
              </w:rPr>
              <w:t xml:space="preserve">85.18</w:t>
            </w:r>
          </w:p>
        </w:tc>
        <w:tc>
          <w:tcPr>
            <w:tcW w:type="dxa" w:w="12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center"/>
            </w:pPr>
            <w:r>
              <w:rPr>
                <w:rFonts w:ascii="Arial" w:cs="Arial" w:eastAsia="Arial" w:hAnsi="Arial"/>
                <w:b/>
                <w:bCs/>
                <w:color w:val="1B1B1B"/>
                <w:sz w:val="19"/>
                <w:szCs w:val="19"/>
              </w:rPr>
              <w:t xml:space="preserve">55.34</w:t>
            </w:r>
          </w:p>
        </w:tc>
        <w:tc>
          <w:tcPr>
            <w:tcW w:type="dxa" w:w="12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center"/>
            </w:pPr>
            <w:r>
              <w:rPr>
                <w:rFonts w:ascii="Arial" w:cs="Arial" w:eastAsia="Arial" w:hAnsi="Arial"/>
                <w:b/>
                <w:bCs/>
                <w:color w:val="1B1B1B"/>
                <w:sz w:val="19"/>
                <w:szCs w:val="19"/>
              </w:rPr>
              <w:t xml:space="preserve">86.51</w:t>
            </w:r>
          </w:p>
        </w:tc>
        <w:tc>
          <w:tcPr>
            <w:tcW w:type="dxa" w:w="12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center"/>
            </w:pPr>
            <w:r>
              <w:rPr>
                <w:rFonts w:ascii="Arial" w:cs="Arial" w:eastAsia="Arial" w:hAnsi="Arial"/>
                <w:b/>
                <w:bCs/>
                <w:color w:val="1B1B1B"/>
                <w:sz w:val="19"/>
                <w:szCs w:val="19"/>
              </w:rPr>
              <w:t xml:space="preserve">79.98</w:t>
            </w:r>
          </w:p>
        </w:tc>
        <w:tc>
          <w:tcPr>
            <w:tcW w:type="dxa" w:w="1200"/>
            <w:tcBorders>
              <w:top w:val="single" w:color="BBBBBB" w:sz="1"/>
              <w:left w:val="single" w:color="BBBBBB" w:sz="1"/>
              <w:bottom w:val="single" w:color="BBBBBB" w:sz="1"/>
              <w:right w:val="single" w:color="BBBBBB" w:sz="1"/>
            </w:tcBorders>
            <w:shd w:fill="EAF1FB" w:val="clear"/>
            <w:tcMar>
              <w:top w:type="dxa" w:w="60"/>
              <w:left w:type="dxa" w:w="110"/>
              <w:bottom w:type="dxa" w:w="60"/>
              <w:right w:type="dxa" w:w="110"/>
            </w:tcMar>
          </w:tcPr>
          <w:p>
            <w:pPr>
              <w:jc w:val="center"/>
            </w:pPr>
            <w:r>
              <w:rPr>
                <w:rFonts w:ascii="Arial" w:cs="Arial" w:eastAsia="Arial" w:hAnsi="Arial"/>
                <w:b/>
                <w:bCs/>
                <w:color w:val="1B1B1B"/>
                <w:sz w:val="19"/>
                <w:szCs w:val="19"/>
              </w:rPr>
              <w:t xml:space="preserve">70.84</w:t>
            </w:r>
          </w:p>
        </w:tc>
      </w:tr>
    </w:tbl>
    <w:p>
      <w:pPr>
        <w:spacing w:after="220" w:before="60"/>
        <w:jc w:val="left"/>
      </w:pPr>
      <w:r>
        <w:rPr>
          <w:rFonts w:ascii="Arial" w:cs="Arial" w:eastAsia="Arial" w:hAnsi="Arial"/>
          <w:i/>
          <w:iCs/>
          <w:color w:val="555555"/>
          <w:sz w:val="18"/>
          <w:szCs w:val="18"/>
        </w:rPr>
        <w:t xml:space="preserve">Table III. End-to-end results on the full corrected test set (values in %). The architecture row is reported as the mean of two seeds; the baseline and tuned-loss rows are single runs pending seed averaging.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2026-06-26T16:08:22.202Z</dcterms:created>
  <dcterms:modified xsi:type="dcterms:W3CDTF">2026-06-26T16:08:22.203Z</dcterms:modified>
</cp:coreProperties>
</file>

<file path=docProps/custom.xml><?xml version="1.0" encoding="utf-8"?>
<Properties xmlns="http://schemas.openxmlformats.org/officeDocument/2006/custom-properties" xmlns:vt="http://schemas.openxmlformats.org/officeDocument/2006/docPropsVTypes"/>
</file>