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2556B" w14:textId="77777777" w:rsidR="000769B8" w:rsidRPr="00342687" w:rsidRDefault="000769B8" w:rsidP="000769B8">
      <w:pPr>
        <w:pStyle w:val="H2Cont"/>
        <w:numPr>
          <w:ilvl w:val="0"/>
          <w:numId w:val="2"/>
        </w:numPr>
        <w:spacing w:before="0"/>
      </w:pPr>
      <w:r>
        <w:t>SMALL OBJECT–AWARE LOSS AND ASSIGNMENT</w:t>
      </w:r>
    </w:p>
    <w:p w14:paraId="4CF3D5D8" w14:textId="77777777" w:rsidR="000769B8" w:rsidRPr="00342687" w:rsidRDefault="000769B8" w:rsidP="000769B8">
      <w:pPr>
        <w:pStyle w:val="PARAIndent"/>
        <w:ind w:firstLine="0"/>
      </w:pPr>
      <w:r>
        <w:t>The standard YOLOv12 loss is effective for general-purpose detection, but it suffers when applied to small, cluttered, or occluded targets such as firearms in surveillance footage. Our contributions address exactly these limitations and propose a new definition of the overall loss function, as described below.</w:t>
      </w:r>
    </w:p>
    <w:p w14:paraId="415F8F91" w14:textId="77777777" w:rsidR="000769B8" w:rsidRPr="00342687" w:rsidRDefault="000769B8" w:rsidP="000769B8">
      <w:pPr>
        <w:pStyle w:val="PARAIndent"/>
        <w:spacing w:before="240"/>
        <w:ind w:firstLine="0"/>
      </w:pPr>
      <w:r>
        <w:rPr>
          <w:i/>
          <w:iCs/>
        </w:rPr>
        <w:t>A1. Dynamic curriculum weighting</w:t>
      </w:r>
    </w:p>
    <w:p w14:paraId="0A138E30" w14:textId="77777777" w:rsidR="000769B8" w:rsidRPr="00342687" w:rsidRDefault="000769B8" w:rsidP="000769B8">
      <w:pPr>
        <w:pStyle w:val="PARAIndent"/>
        <w:ind w:firstLine="0"/>
      </w:pPr>
      <w:r>
        <w:t>In the standard YOLO12 model all positives are weighted roughly equally after assignment, hence large boxes dominate because their Intersection over Union (IoU) gradients are stronger. We introduce a dynamic curriculum weighting that combines inverse-area scaling with confidence-score weighting. Small objects, therefore, start with greater influence, preventing them from being ignored in early optimization.</w:t>
      </w:r>
    </w:p>
    <w:p w14:paraId="2B42791E" w14:textId="77777777" w:rsidR="000769B8" w:rsidRPr="00342687" w:rsidRDefault="000769B8" w:rsidP="000769B8">
      <w:pPr>
        <w:pStyle w:val="PARAIndent"/>
        <w:ind w:firstLine="142"/>
      </w:pPr>
      <w:r>
        <w:t xml:space="preserve">For each positive (foreground) assignment </w:t>
      </w:r>
      <w:r>
        <w:rPr>
          <w:i/>
          <w:iCs/>
        </w:rPr>
        <w:t>j</w:t>
      </w:r>
      <w:r>
        <w:t>, we compute a combined weight:</w:t>
      </w:r>
    </w:p>
    <w:p w14:paraId="302D37C9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t xml:space="preserve">                  </w:t>
      </w:r>
      <w:r>
        <w:rPr>
          <w:position w:val="-12"/>
        </w:rPr>
        <w:object w:dxaOrig="2160" w:dyaOrig="340" w14:anchorId="795BB3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16.9pt" o:ole="">
            <v:imagedata r:id="rId5" o:title=""/>
          </v:shape>
          <o:OLEObject Type="Embed" ProgID="Equation.DSMT4" ShapeID="_x0000_i1025" DrawAspect="Content" ObjectID="_1844341589" r:id="rId6"/>
        </w:object>
      </w:r>
      <w:r>
        <w:t xml:space="preserve">                   (1)</w:t>
      </w:r>
    </w:p>
    <w:p w14:paraId="51C1E339" w14:textId="77777777" w:rsidR="000769B8" w:rsidRPr="00342687" w:rsidRDefault="000769B8" w:rsidP="000769B8">
      <w:pPr>
        <w:pStyle w:val="PARAIndent"/>
        <w:ind w:firstLine="0"/>
      </w:pPr>
      <w:r>
        <w:t xml:space="preserve">where </w:t>
      </w:r>
      <w:r>
        <w:rPr>
          <w:i/>
          <w:iCs/>
        </w:rPr>
        <w:t>t</w:t>
      </w:r>
      <w:r>
        <w:t xml:space="preserve"> is the training epoch,</w:t>
      </w:r>
      <w:r>
        <w:rPr>
          <w:position w:val="-12"/>
        </w:rPr>
        <w:object w:dxaOrig="780" w:dyaOrig="320" w14:anchorId="4E05C2F5">
          <v:shape id="_x0000_i1026" type="#_x0000_t75" style="width:38.75pt;height:15.8pt" o:ole="">
            <v:imagedata r:id="rId7" o:title=""/>
          </v:shape>
          <o:OLEObject Type="Embed" ProgID="Equation.DSMT4" ShapeID="_x0000_i1026" DrawAspect="Content" ObjectID="_1844341590" r:id="rId8"/>
        </w:object>
      </w:r>
      <w:r>
        <w:t xml:space="preserve">is the target score, and </w:t>
      </w:r>
      <w:r>
        <w:rPr>
          <w:position w:val="-12"/>
        </w:rPr>
        <w:object w:dxaOrig="240" w:dyaOrig="320" w14:anchorId="4E150AD8">
          <v:shape id="_x0000_i1027" type="#_x0000_t75" style="width:12pt;height:15.8pt" o:ole="">
            <v:imagedata r:id="rId9" o:title=""/>
          </v:shape>
          <o:OLEObject Type="Embed" ProgID="Equation.DSMT4" ShapeID="_x0000_i1027" DrawAspect="Content" ObjectID="_1844341591" r:id="rId10"/>
        </w:object>
      </w:r>
      <w:r>
        <w:t>is a normalized inverse-area term:</w:t>
      </w:r>
    </w:p>
    <w:p w14:paraId="1636ED4F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  <w:jc w:val="right"/>
      </w:pPr>
      <w:r>
        <w:t xml:space="preserve">                </w:t>
      </w:r>
      <w:r>
        <w:rPr>
          <w:position w:val="-28"/>
        </w:rPr>
        <w:object w:dxaOrig="3080" w:dyaOrig="639" w14:anchorId="184DD225">
          <v:shape id="_x0000_i1028" type="#_x0000_t75" style="width:153.8pt;height:31.65pt" o:ole="">
            <v:imagedata r:id="rId11" o:title=""/>
          </v:shape>
          <o:OLEObject Type="Embed" ProgID="Equation.DSMT4" ShapeID="_x0000_i1028" DrawAspect="Content" ObjectID="_1844341592" r:id="rId12"/>
        </w:object>
      </w:r>
      <w:r>
        <w:t xml:space="preserve">           (2)</w:t>
      </w:r>
    </w:p>
    <w:p w14:paraId="543A9CE1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</w:pPr>
      <w:r>
        <w:t>with</w:t>
      </w:r>
      <w:r>
        <w:rPr>
          <w:position w:val="-12"/>
        </w:rPr>
        <w:object w:dxaOrig="1820" w:dyaOrig="320" w14:anchorId="7C838877">
          <v:shape id="_x0000_i1029" type="#_x0000_t75" style="width:91.1pt;height:15.8pt" o:ole="">
            <v:imagedata r:id="rId13" o:title=""/>
          </v:shape>
          <o:OLEObject Type="Embed" ProgID="Equation.DSMT4" ShapeID="_x0000_i1029" DrawAspect="Content" ObjectID="_1844341593" r:id="rId14"/>
        </w:object>
      </w:r>
      <w:r>
        <w:t xml:space="preserve">the ground-truth area (in input pixel coordinates), </w:t>
      </w:r>
      <w:r>
        <w:rPr>
          <w:color w:val="EE0000"/>
          <w:position w:val="-10"/>
        </w:rPr>
        <w:object w:dxaOrig="499" w:dyaOrig="279" w14:anchorId="5D1731D1">
          <v:shape id="_x0000_i1030" type="#_x0000_t75" style="width:25.1pt;height:13.65pt" o:ole="">
            <v:imagedata r:id="rId15" o:title=""/>
          </v:shape>
          <o:OLEObject Type="Embed" ProgID="Equation.DSMT4" ShapeID="_x0000_i1030" DrawAspect="Content" ObjectID="_1844341594" r:id="rId16"/>
        </w:object>
      </w:r>
      <w:r>
        <w:t xml:space="preserve">, and </w:t>
      </w:r>
      <w:r>
        <w:rPr>
          <w:i/>
          <w:iCs/>
        </w:rPr>
        <w:t>P</w:t>
      </w:r>
      <w:r>
        <w:t xml:space="preserve"> the set of positives in the batch. Boxes whose area falls below a threshold τ = pₛ² (with pₛ = 40 px) additionally receive a constant small-object boost (factor 2.5) applied to the inverse-area term ãⱼ, i.e. ãⱼ ← 2.5·ãⱼ for Aⱼ &lt; τ, further amplifying the influence of the smallest targets. The mixing coefficient </w:t>
      </w:r>
      <w:r>
        <w:rPr>
          <w:i/>
          <w:iCs/>
        </w:rPr>
        <w:t>α</w:t>
      </w:r>
      <w:r>
        <w:rPr>
          <w:i/>
          <w:iCs/>
          <w:vertAlign w:val="superscript"/>
        </w:rPr>
        <w:t>(t)</w:t>
      </w:r>
      <w:r>
        <w:t xml:space="preserve">  follows a curriculum:</w:t>
      </w:r>
    </w:p>
    <w:p w14:paraId="67A151E1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  <w:jc w:val="right"/>
      </w:pPr>
      <w:r>
        <w:rPr>
          <w:position w:val="-20"/>
        </w:rPr>
        <w:object w:dxaOrig="1440" w:dyaOrig="540" w14:anchorId="5DDF110A">
          <v:shape id="_x0000_i1031" type="#_x0000_t75" style="width:1in;height:26.75pt" o:ole="">
            <v:imagedata r:id="rId17" o:title=""/>
          </v:shape>
          <o:OLEObject Type="Embed" ProgID="Equation.DSMT4" ShapeID="_x0000_i1031" DrawAspect="Content" ObjectID="_1844341595" r:id="rId18"/>
        </w:object>
      </w:r>
      <w:r>
        <w:t xml:space="preserve">                        (3)</w:t>
      </w:r>
    </w:p>
    <w:p w14:paraId="32CF2564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</w:pPr>
      <w:r>
        <w:t>enabling the transition from early area-dominant (favoring small objects) to later balanced learning (</w:t>
      </w:r>
      <w:r>
        <w:rPr>
          <w:i/>
          <w:iCs/>
        </w:rPr>
        <w:t>T</w:t>
      </w:r>
      <w:r>
        <w:t xml:space="preserve"> is the total number of training epochs).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1</w:t>
      </w:r>
      <w:r>
        <w:t xml:space="preserve"> and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2</w:t>
      </w:r>
      <w:r>
        <w:t xml:space="preserve"> are hyperparameters optimally tuned via grid search. </w:t>
      </w:r>
    </w:p>
    <w:p w14:paraId="4FDA4272" w14:textId="77777777" w:rsidR="000769B8" w:rsidRPr="00342687" w:rsidRDefault="000769B8" w:rsidP="000769B8">
      <w:pPr>
        <w:pStyle w:val="PARAIndent"/>
        <w:spacing w:before="120" w:after="120" w:line="240" w:lineRule="auto"/>
        <w:ind w:firstLine="142"/>
      </w:pPr>
      <w:r>
        <w:t>We apply</w:t>
      </w:r>
      <w:r>
        <w:rPr>
          <w:position w:val="-12"/>
        </w:rPr>
        <w:object w:dxaOrig="400" w:dyaOrig="340" w14:anchorId="519D9EF9">
          <v:shape id="_x0000_i1032" type="#_x0000_t75" style="width:20.2pt;height:16.9pt" o:ole="">
            <v:imagedata r:id="rId19" o:title=""/>
          </v:shape>
          <o:OLEObject Type="Embed" ProgID="Equation.DSMT4" ShapeID="_x0000_i1032" DrawAspect="Content" ObjectID="_1844341596" r:id="rId20"/>
        </w:object>
      </w:r>
      <w:r>
        <w:t>to both the Complete-IoU (CIoU) regression loss (written IoU(·,·) in Eq. (4) for brevity) and the Distribution Focal Loss (DFL) terms used in the baseline model, defined as:</w:t>
      </w:r>
    </w:p>
    <w:p w14:paraId="0333F672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22"/>
        </w:rPr>
        <w:object w:dxaOrig="2980" w:dyaOrig="560" w14:anchorId="26E89757">
          <v:shape id="_x0000_i1033" type="#_x0000_t75" style="width:148.9pt;height:28.35pt" o:ole="">
            <v:imagedata r:id="rId21" o:title=""/>
          </v:shape>
          <o:OLEObject Type="Embed" ProgID="Equation.DSMT4" ShapeID="_x0000_i1033" DrawAspect="Content" ObjectID="_1844341597" r:id="rId22"/>
        </w:object>
      </w:r>
      <w:r>
        <w:t xml:space="preserve">              (4)</w:t>
      </w:r>
    </w:p>
    <w:p w14:paraId="7B821D85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where</w:t>
      </w:r>
      <w:r>
        <w:rPr>
          <w:position w:val="-16"/>
        </w:rPr>
        <w:object w:dxaOrig="920" w:dyaOrig="380" w14:anchorId="4402B920">
          <v:shape id="_x0000_i1034" type="#_x0000_t75" style="width:46.35pt;height:19.1pt" o:ole="">
            <v:imagedata r:id="rId23" o:title=""/>
          </v:shape>
          <o:OLEObject Type="Embed" ProgID="Equation.DSMT4" ShapeID="_x0000_i1034" DrawAspect="Content" ObjectID="_1844341598" r:id="rId24"/>
        </w:object>
      </w:r>
      <w:r>
        <w:t xml:space="preserve">is a normalization term, </w:t>
      </w:r>
      <w:r>
        <w:rPr>
          <w:i/>
          <w:iCs/>
        </w:rPr>
        <w:t>b</w:t>
      </w:r>
      <w:r>
        <w:rPr>
          <w:i/>
          <w:iCs/>
          <w:vertAlign w:val="subscript"/>
        </w:rPr>
        <w:t>j</w:t>
      </w:r>
      <w:r>
        <w:t xml:space="preserve"> and </w:t>
      </w:r>
      <w:r>
        <w:rPr>
          <w:position w:val="-12"/>
        </w:rPr>
        <w:object w:dxaOrig="220" w:dyaOrig="360" w14:anchorId="3784D645">
          <v:shape id="_x0000_i1035" type="#_x0000_t75" style="width:10.9pt;height:18pt" o:ole="">
            <v:imagedata r:id="rId25" o:title=""/>
          </v:shape>
          <o:OLEObject Type="Embed" ProgID="Equation.DSMT4" ShapeID="_x0000_i1035" DrawAspect="Content" ObjectID="_1844341599" r:id="rId26"/>
        </w:object>
      </w:r>
      <w:r>
        <w:t>are the ground-truth and predicted boxes, respectively.</w:t>
      </w:r>
    </w:p>
    <w:p w14:paraId="49B37AAB" w14:textId="77777777" w:rsidR="000769B8" w:rsidRPr="00342687" w:rsidRDefault="000769B8" w:rsidP="000769B8">
      <w:pPr>
        <w:pStyle w:val="PARAIndent"/>
        <w:spacing w:after="120" w:line="240" w:lineRule="auto"/>
        <w:ind w:firstLine="142"/>
        <w:jc w:val="right"/>
      </w:pPr>
      <w:r>
        <w:rPr>
          <w:position w:val="-22"/>
        </w:rPr>
        <w:object w:dxaOrig="4120" w:dyaOrig="560" w14:anchorId="7E1CE024">
          <v:shape id="_x0000_i1036" type="#_x0000_t75" style="width:205.65pt;height:28.35pt" o:ole="">
            <v:imagedata r:id="rId27" o:title=""/>
          </v:shape>
          <o:OLEObject Type="Embed" ProgID="Equation.DSMT4" ShapeID="_x0000_i1036" DrawAspect="Content" ObjectID="_1844341600" r:id="rId28"/>
        </w:object>
      </w:r>
      <w:r>
        <w:t xml:space="preserve">  (5)</w:t>
      </w:r>
    </w:p>
    <w:p w14:paraId="0575CC90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 xml:space="preserve">where CE is the cross-entropy loss, with </w:t>
      </w:r>
      <w:r>
        <w:rPr>
          <w:i/>
          <w:iCs/>
        </w:rPr>
        <w:t>p</w:t>
      </w:r>
      <w:r>
        <w:rPr>
          <w:i/>
          <w:iCs/>
          <w:vertAlign w:val="subscript"/>
        </w:rPr>
        <w:t>j</w:t>
      </w:r>
      <w:r>
        <w:t xml:space="preserve"> representing the predicted logits over discrete bins, applied per edge and averaged in our implementation. For each box edge, the ground-truth continuous coordinate (</w:t>
      </w:r>
      <w:r>
        <w:rPr>
          <w:i/>
          <w:iCs/>
        </w:rPr>
        <w:t>e.g.</w:t>
      </w:r>
      <w:r>
        <w:t xml:space="preserve">, </w:t>
      </w:r>
      <w:r>
        <w:rPr>
          <w:i/>
          <w:iCs/>
        </w:rPr>
        <w:t>y</w:t>
      </w:r>
      <w:r>
        <w:t xml:space="preserve">) is rounded to its two adjacent integer bins </w:t>
      </w:r>
      <w:r>
        <w:rPr>
          <w:i/>
          <w:iCs/>
        </w:rPr>
        <w:t>l = floor(y)</w:t>
      </w:r>
      <w:r>
        <w:t xml:space="preserve"> and </w:t>
      </w:r>
      <w:r>
        <w:rPr>
          <w:i/>
          <w:iCs/>
        </w:rPr>
        <w:t>r</w:t>
      </w:r>
      <w:r>
        <w:t xml:space="preserve"> = </w:t>
      </w:r>
      <w:r>
        <w:rPr>
          <w:i/>
          <w:iCs/>
        </w:rPr>
        <w:t>l</w:t>
      </w:r>
      <w:r>
        <w:t xml:space="preserve"> + 1, weighted by linear interpolation coefficients </w:t>
      </w:r>
      <w:r>
        <w:rPr>
          <w:i/>
          <w:iCs/>
        </w:rPr>
        <w:t>w</w:t>
      </w:r>
      <w:r>
        <w:rPr>
          <w:i/>
          <w:iCs/>
          <w:vertAlign w:val="subscript"/>
        </w:rPr>
        <w:t>r</w:t>
      </w:r>
      <w:r>
        <w:t xml:space="preserve"> = </w:t>
      </w:r>
      <w:r>
        <w:rPr>
          <w:i/>
          <w:iCs/>
        </w:rPr>
        <w:t>r</w:t>
      </w:r>
      <w:r>
        <w:t xml:space="preserve"> - </w:t>
      </w:r>
      <w:r>
        <w:rPr>
          <w:i/>
          <w:iCs/>
        </w:rPr>
        <w:t>y</w:t>
      </w:r>
      <w:r>
        <w:t xml:space="preserve"> and </w:t>
      </w:r>
      <w:r>
        <w:rPr>
          <w:i/>
          <w:iCs/>
        </w:rPr>
        <w:t>w</w:t>
      </w:r>
      <w:r>
        <w:rPr>
          <w:i/>
          <w:iCs/>
          <w:vertAlign w:val="subscript"/>
        </w:rPr>
        <w:t>l</w:t>
      </w:r>
      <w:r>
        <w:t xml:space="preserve"> = </w:t>
      </w:r>
      <w:r>
        <w:rPr>
          <w:i/>
          <w:iCs/>
        </w:rPr>
        <w:t>y</w:t>
      </w:r>
      <w:r>
        <w:t xml:space="preserve"> - </w:t>
      </w:r>
      <w:r>
        <w:rPr>
          <w:i/>
          <w:iCs/>
        </w:rPr>
        <w:t>l</w:t>
      </w:r>
      <w:r>
        <w:t>.</w:t>
      </w:r>
    </w:p>
    <w:p w14:paraId="13356D02" w14:textId="77777777" w:rsidR="000769B8" w:rsidRPr="00342687" w:rsidRDefault="000769B8" w:rsidP="000769B8">
      <w:pPr>
        <w:pStyle w:val="PARAIndent"/>
        <w:spacing w:before="240"/>
        <w:ind w:firstLine="0"/>
      </w:pPr>
      <w:r>
        <w:rPr>
          <w:i/>
          <w:iCs/>
        </w:rPr>
        <w:t>A2. Auxiliary center loss for small objects</w:t>
      </w:r>
    </w:p>
    <w:p w14:paraId="03A39E27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YOLO12 models use IoU-based regression losses, which are small for tiny boxes because small shifts cause IoU to collapse, even when centers are close. To compensate for that, we added a lightweight L1 penalty on box centers applied only to small objects, scaled with a decaying schedule:</w:t>
      </w:r>
    </w:p>
    <w:p w14:paraId="36F6E907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32"/>
        </w:rPr>
        <w:object w:dxaOrig="3960" w:dyaOrig="660" w14:anchorId="34CFC56E">
          <v:shape id="_x0000_i1037" type="#_x0000_t75" style="width:198.55pt;height:33.25pt" o:ole="">
            <v:imagedata r:id="rId29" o:title=""/>
          </v:shape>
          <o:OLEObject Type="Embed" ProgID="Equation.DSMT4" ShapeID="_x0000_i1037" DrawAspect="Content" ObjectID="_1844341601" r:id="rId30"/>
        </w:object>
      </w:r>
      <w:r>
        <w:t xml:space="preserve">    (6)</w:t>
      </w:r>
    </w:p>
    <w:p w14:paraId="3956877D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scaled by a decaying weight given by</w:t>
      </w:r>
      <w:r>
        <w:rPr>
          <w:position w:val="-26"/>
        </w:rPr>
        <w:object w:dxaOrig="2540" w:dyaOrig="620" w14:anchorId="21D5ECA6">
          <v:shape id="_x0000_i1038" type="#_x0000_t75" style="width:127.1pt;height:31.1pt" o:ole="">
            <v:imagedata r:id="rId31" o:title=""/>
          </v:shape>
          <o:OLEObject Type="Embed" ProgID="Equation.DSMT4" ShapeID="_x0000_i1038" DrawAspect="Content" ObjectID="_1844341602" r:id="rId32"/>
        </w:object>
      </w:r>
      <w:r>
        <w:t>, where the binary mask 1</w:t>
      </w:r>
      <w:r>
        <w:rPr>
          <w:i/>
          <w:iCs/>
          <w:vertAlign w:val="subscript"/>
        </w:rPr>
        <w:t>small</w:t>
      </w:r>
      <w:r>
        <w:t xml:space="preserve"> isolates the small targets (area lower than 40×40 pixels), </w:t>
      </w:r>
      <w:r>
        <w:rPr>
          <w:i/>
          <w:iCs/>
        </w:rPr>
        <w:t>c</w:t>
      </w:r>
      <w:r>
        <w:rPr>
          <w:i/>
          <w:iCs/>
          <w:vertAlign w:val="subscript"/>
        </w:rPr>
        <w:t>j</w:t>
      </w:r>
      <w:r>
        <w:t xml:space="preserve"> and </w:t>
      </w:r>
      <w:r>
        <w:rPr>
          <w:position w:val="-12"/>
        </w:rPr>
        <w:object w:dxaOrig="220" w:dyaOrig="320" w14:anchorId="26E44E0F">
          <v:shape id="_x0000_i1039" type="#_x0000_t75" style="width:10.9pt;height:15.8pt" o:ole="">
            <v:imagedata r:id="rId33" o:title=""/>
          </v:shape>
          <o:OLEObject Type="Embed" ProgID="Equation.DSMT4" ShapeID="_x0000_i1039" DrawAspect="Content" ObjectID="_1844341603" r:id="rId34"/>
        </w:object>
      </w:r>
      <w:r>
        <w:t xml:space="preserve">are the ground-truth and predicted bounding box centers, respectively.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3</w:t>
      </w:r>
      <w:r>
        <w:t xml:space="preserve"> and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4</w:t>
      </w:r>
      <w:r>
        <w:t xml:space="preserve"> are hyperparameters optimally tuned via grid search. The center alignment loss stabilizes training, especially </w:t>
        <w:lastRenderedPageBreak/>
        <w:t>during the early epochs, and improves the precision of localizing small handguns/knives, reducing “miss by a few pixels” errors.</w:t>
      </w:r>
    </w:p>
    <w:p w14:paraId="47988700" w14:textId="77777777" w:rsidR="000769B8" w:rsidRPr="00342687" w:rsidRDefault="000769B8" w:rsidP="000769B8">
      <w:pPr>
        <w:pStyle w:val="PARAIndent"/>
        <w:spacing w:before="240"/>
        <w:ind w:firstLine="0"/>
      </w:pPr>
      <w:r>
        <w:rPr>
          <w:i/>
          <w:iCs/>
        </w:rPr>
        <w:t>A3. Adaptive loss clipping</w:t>
      </w:r>
    </w:p>
    <w:p w14:paraId="417FD481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The YOLO12 training procedure occasionally produces unstable spikes (</w:t>
      </w:r>
      <w:r>
        <w:rPr>
          <w:i/>
          <w:iCs/>
        </w:rPr>
        <w:t>e.g.</w:t>
      </w:r>
      <w:r>
        <w:t>, mislabeled data or hard positives) that can destabilize optimization, especially in cluttered security footage. To alleviate this, we propose the per-sample clipping of the IoU and DFL losses with epoch-dependent ceilings:</w:t>
      </w:r>
    </w:p>
    <w:p w14:paraId="600839F8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64"/>
        </w:rPr>
        <w:object w:dxaOrig="4239" w:dyaOrig="1380" w14:anchorId="1F93604E">
          <v:shape id="_x0000_i1040" type="#_x0000_t75" style="width:212.2pt;height:69.25pt" o:ole="">
            <v:imagedata r:id="rId35" o:title=""/>
          </v:shape>
          <o:OLEObject Type="Embed" ProgID="Equation.DSMT4" ShapeID="_x0000_i1040" DrawAspect="Content" ObjectID="_1844341604" r:id="rId36"/>
        </w:object>
      </w:r>
      <w:r>
        <w:t>(7)</w:t>
      </w:r>
    </w:p>
    <w:p w14:paraId="36A4C885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 xml:space="preserve">where the introduction of clipping thresholds for MIoU and MDFL prevents gradient explosions during early training, yielding smoother loss curves and more stable convergence.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5</w:t>
      </w:r>
      <w:r>
        <w:t>-</w:t>
      </w:r>
      <w:r>
        <w:rPr>
          <w:rFonts w:cs="Times New Roman"/>
        </w:rPr>
        <w:t>α</w:t>
      </w:r>
      <w:r>
        <w:rPr>
          <w:vertAlign w:val="subscript"/>
        </w:rPr>
        <w:t>8</w:t>
      </w:r>
      <w:r>
        <w:t xml:space="preserve"> are hyperparameters optimally tuned via grid search.</w:t>
      </w:r>
    </w:p>
    <w:p w14:paraId="4F4760EB" w14:textId="77777777" w:rsidR="000769B8" w:rsidRPr="00342687" w:rsidRDefault="000769B8" w:rsidP="000769B8">
      <w:pPr>
        <w:pStyle w:val="PARAIndent"/>
        <w:ind w:firstLine="0"/>
      </w:pPr>
      <w:r>
        <w:rPr>
          <w:i/>
          <w:iCs/>
        </w:rPr>
        <w:t>A4. Assignment tuned towards small objects</w:t>
      </w:r>
    </w:p>
    <w:p w14:paraId="005E0A04" w14:textId="77777777" w:rsidR="000769B8" w:rsidRPr="00342687" w:rsidRDefault="000769B8" w:rsidP="000769B8">
      <w:pPr>
        <w:pStyle w:val="FigCaption"/>
        <w:numPr>
          <w:ilvl w:val="0"/>
          <w:numId w:val="0"/>
        </w:numPr>
        <w:spacing w:before="0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>The Task-Aligned Assigner (TAL) module in the standard YOLO12 model uses a small top-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k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candidate pool (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e.g.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k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=10), which may cause false negatives in small-object detection, since none of the anchors may overlap with the target. To prevent this, we increased the candidate pool dimensionality to 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k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= 13, which yields more anchor candidates per ground-truth box and improves recall on small targets. We additionally tune the Task-Aligned metric’s exponents — the score exponent (0.7) and the IoU exponent (4.0), versus the YOLO12 defaults of 0.5 and 6.0 — to better balance classification confidence and localization quality during assignment.</w:t>
      </w:r>
    </w:p>
    <w:p w14:paraId="32B2EB7C" w14:textId="77777777" w:rsidR="000769B8" w:rsidRPr="00342687" w:rsidRDefault="000769B8" w:rsidP="000769B8">
      <w:pPr>
        <w:pStyle w:val="PARAIndent"/>
        <w:spacing w:after="120" w:line="240" w:lineRule="auto"/>
        <w:ind w:firstLine="142"/>
      </w:pPr>
      <w:r>
        <w:t>The overall detection objective combines these innovations as follows:</w:t>
      </w:r>
    </w:p>
    <w:p w14:paraId="1500B816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10"/>
        </w:rPr>
        <w:object w:dxaOrig="4180" w:dyaOrig="320" w14:anchorId="2749A4E3">
          <v:shape id="_x0000_i1057" type="#_x0000_t75" style="width:208.9pt;height:15.8pt" o:ole="">
            <v:imagedata r:id="rId37" o:title=""/>
          </v:shape>
          <o:OLEObject Type="Embed" ProgID="Equation.DSMT4" ShapeID="_x0000_i1057" DrawAspect="Content" ObjectID="_1844341605" r:id="rId38"/>
        </w:object>
      </w:r>
      <w:r>
        <w:t xml:space="preserve">   (8)</w:t>
      </w:r>
    </w:p>
    <w:p w14:paraId="57A2E328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 xml:space="preserve">with the </w:t>
      </w:r>
      <w:r>
        <w:rPr>
          <w:i/>
          <w:iCs/>
        </w:rPr>
        <w:t>λ</w:t>
      </w:r>
      <w:r>
        <w:rPr>
          <w:i/>
          <w:iCs/>
          <w:vertAlign w:val="subscript"/>
        </w:rPr>
        <w:t>box</w:t>
      </w:r>
      <w:r>
        <w:t xml:space="preserve">, </w:t>
      </w:r>
      <w:r>
        <w:rPr>
          <w:i/>
          <w:iCs/>
        </w:rPr>
        <w:t>λ</w:t>
      </w:r>
      <w:r>
        <w:rPr>
          <w:i/>
          <w:iCs/>
          <w:vertAlign w:val="subscript"/>
        </w:rPr>
        <w:t>DFL</w:t>
      </w:r>
      <w:r>
        <w:t xml:space="preserve">, and </w:t>
      </w:r>
      <w:r>
        <w:rPr>
          <w:i/>
          <w:iCs/>
        </w:rPr>
        <w:t>λ</w:t>
      </w:r>
      <w:r>
        <w:rPr>
          <w:i/>
          <w:iCs/>
          <w:vertAlign w:val="subscript"/>
        </w:rPr>
        <w:t>cls</w:t>
      </w:r>
      <w:r>
        <w:t xml:space="preserve"> weights set as in the original YOLO12 model — except the classification gain, which we raise to 1.2 — while </w:t>
      </w:r>
      <w:r>
        <w:rPr>
          <w:i/>
          <w:iCs/>
        </w:rPr>
        <w:t>λ</w:t>
      </w:r>
      <w:r>
        <w:rPr>
          <w:i/>
          <w:iCs/>
          <w:vertAlign w:val="superscript"/>
        </w:rPr>
        <w:t>(t)</w:t>
      </w:r>
      <w:r>
        <w:rPr>
          <w:i/>
          <w:iCs/>
          <w:vertAlign w:val="subscript"/>
        </w:rPr>
        <w:t>center</w:t>
      </w:r>
      <w:r>
        <w:t xml:space="preserve"> is indicated in section A2.</w:t>
      </w:r>
    </w:p>
    <w:p w14:paraId="1EF15418" w14:textId="77777777" w:rsidR="000769B8" w:rsidRPr="00342687" w:rsidRDefault="000769B8" w:rsidP="000769B8">
      <w:pPr>
        <w:pStyle w:val="FigCaption"/>
        <w:numPr>
          <w:ilvl w:val="0"/>
          <w:numId w:val="0"/>
        </w:numPr>
        <w:spacing w:before="0"/>
        <w:ind w:firstLine="142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>In conclusion, the combined effect of dynamic curriculum weighting, the new center-oriented loss, adaptive clipping, and an expanded assignment target improved small-object detection performance and led to more stable training behavior.</w:t>
      </w:r>
    </w:p>
    <w:p w14:paraId="3B059814" w14:textId="77777777" w:rsidR="0047008D" w:rsidRDefault="0047008D"/>
    <w:sectPr w:rsidR="00470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CBB"/>
    <w:multiLevelType w:val="multilevel"/>
    <w:tmpl w:val="7C88D4CC"/>
    <w:lvl w:ilvl="0">
      <w:start w:val="2"/>
      <w:numFmt w:val="upperLetter"/>
      <w:pStyle w:val="H2Cont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A0F58"/>
    <w:multiLevelType w:val="multilevel"/>
    <w:tmpl w:val="A3CEC990"/>
    <w:styleLink w:val="H2afterH1New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4232A68"/>
    <w:multiLevelType w:val="multilevel"/>
    <w:tmpl w:val="A3CEC990"/>
    <w:numStyleLink w:val="H2afterH1New"/>
  </w:abstractNum>
  <w:abstractNum w:abstractNumId="3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B8"/>
    <w:rsid w:val="000769B8"/>
    <w:rsid w:val="0047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B03F"/>
  <w15:chartTrackingRefBased/>
  <w15:docId w15:val="{D5FD2965-8B84-4144-9FE9-94626369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Indent">
    <w:name w:val="PARA_Indent"/>
    <w:basedOn w:val="Normal"/>
    <w:rsid w:val="000769B8"/>
    <w:pPr>
      <w:suppressAutoHyphens/>
      <w:autoSpaceDE w:val="0"/>
      <w:autoSpaceDN w:val="0"/>
      <w:adjustRightInd w:val="0"/>
      <w:spacing w:after="0" w:line="240" w:lineRule="exact"/>
      <w:ind w:firstLine="200"/>
      <w:jc w:val="both"/>
    </w:pPr>
    <w:rPr>
      <w:rFonts w:ascii="Times New Roman" w:eastAsia="Times New Roman" w:hAnsi="Times New Roman" w:cs="TimesLTStd-Roman"/>
      <w:spacing w:val="-2"/>
      <w:sz w:val="20"/>
      <w:szCs w:val="20"/>
    </w:rPr>
  </w:style>
  <w:style w:type="numbering" w:customStyle="1" w:styleId="H2afterH1New">
    <w:name w:val="H2 after H1_New"/>
    <w:rsid w:val="000769B8"/>
    <w:pPr>
      <w:numPr>
        <w:numId w:val="1"/>
      </w:numPr>
    </w:pPr>
  </w:style>
  <w:style w:type="paragraph" w:customStyle="1" w:styleId="H2Cont">
    <w:name w:val="H2_Cont"/>
    <w:rsid w:val="000769B8"/>
    <w:pPr>
      <w:numPr>
        <w:numId w:val="3"/>
      </w:numPr>
      <w:spacing w:before="260" w:after="0" w:line="240" w:lineRule="auto"/>
    </w:pPr>
    <w:rPr>
      <w:rFonts w:ascii="Helvetica" w:eastAsia="Times New Roman" w:hAnsi="Helvetica" w:cs="Times New Roman"/>
      <w:b/>
      <w:bCs/>
      <w:i/>
      <w:iCs/>
      <w:color w:val="58595B"/>
      <w:sz w:val="18"/>
      <w:szCs w:val="20"/>
    </w:rPr>
  </w:style>
  <w:style w:type="paragraph" w:customStyle="1" w:styleId="FigCaption">
    <w:name w:val="Fig Caption"/>
    <w:basedOn w:val="Normal"/>
    <w:rsid w:val="000769B8"/>
    <w:pPr>
      <w:numPr>
        <w:numId w:val="4"/>
      </w:numPr>
      <w:autoSpaceDE w:val="0"/>
      <w:autoSpaceDN w:val="0"/>
      <w:adjustRightInd w:val="0"/>
      <w:spacing w:before="140" w:after="0" w:line="240" w:lineRule="auto"/>
    </w:pPr>
    <w:rPr>
      <w:rFonts w:ascii="Helvetica" w:eastAsia="Times New Roman" w:hAnsi="Helvetica" w:cs="FormataOTF-Bold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Catargiu</dc:creator>
  <cp:keywords/>
  <dc:description/>
  <cp:lastModifiedBy>Constantin Catargiu</cp:lastModifiedBy>
  <cp:revision>1</cp:revision>
  <dcterms:created xsi:type="dcterms:W3CDTF">2026-06-30T13:19:00Z</dcterms:created>
  <dcterms:modified xsi:type="dcterms:W3CDTF">2026-06-30T13:20:00Z</dcterms:modified>
</cp:coreProperties>
</file>