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5.7  Seed Reproducibility Study</w:t>
      </w:r>
    </w:p>
    <w:p>
      <w:pPr>
        <w:spacing w:after="160" w:line="276"/>
        <w:jc w:val="both"/>
      </w:pPr>
      <w:r>
        <w:rPr>
          <w:rFonts w:ascii="Arial" w:cs="Arial" w:eastAsia="Arial" w:hAnsi="Arial"/>
          <w:sz w:val="22"/>
          <w:szCs w:val="22"/>
        </w:rPr>
        <w:t xml:space="preserve">Neural-network training is stochastic: weight initialisation, batch ordering, and non-deterministic GPU kernels all depend on the random seed, so two runs that differ only in seed can yield different test-set scores. Reporting a contribution from a single run therefore risks mistaking a lucky seed for a real improvement — a particular concern here, where configurations differ by only a few percentage points. To rule this out we train each configuration over three independent seeds and report the result as </w:t>
      </w:r>
      <w:r>
        <w:rPr>
          <w:rFonts w:ascii="Arial" w:cs="Arial" w:eastAsia="Arial" w:hAnsi="Arial"/>
          <w:i/>
          <w:iCs/>
          <w:sz w:val="22"/>
          <w:szCs w:val="22"/>
        </w:rPr>
        <w:t xml:space="preserve">mean ± standard deviation</w:t>
      </w:r>
      <w:r>
        <w:rPr>
          <w:rFonts w:ascii="Arial" w:cs="Arial" w:eastAsia="Arial" w:hAnsi="Arial"/>
          <w:sz w:val="22"/>
          <w:szCs w:val="22"/>
        </w:rPr>
        <w:t xml:space="preserve">.</w:t>
      </w:r>
    </w:p>
    <w:p>
      <w:pPr>
        <w:spacing w:after="160" w:line="276"/>
        <w:jc w:val="both"/>
      </w:pPr>
      <w:r>
        <w:rPr>
          <w:rFonts w:ascii="Arial" w:cs="Arial" w:eastAsia="Arial" w:hAnsi="Arial"/>
          <w:sz w:val="22"/>
          <w:szCs w:val="22"/>
        </w:rPr>
        <w:t xml:space="preserve">Four configurations form a clean two-by-two ablation: the </w:t>
      </w:r>
      <w:r>
        <w:rPr>
          <w:rFonts w:ascii="Arial" w:cs="Arial" w:eastAsia="Arial" w:hAnsi="Arial"/>
          <w:i/>
          <w:iCs/>
          <w:sz w:val="22"/>
          <w:szCs w:val="22"/>
        </w:rPr>
        <w:t xml:space="preserve">Baseline</w:t>
      </w:r>
      <w:r>
        <w:rPr>
          <w:rFonts w:ascii="Arial" w:cs="Arial" w:eastAsia="Arial" w:hAnsi="Arial"/>
          <w:sz w:val="22"/>
          <w:szCs w:val="22"/>
        </w:rPr>
        <w:t xml:space="preserve"> (stock YOLOv12s, default loss), the baseline with our </w:t>
      </w:r>
      <w:r>
        <w:rPr>
          <w:rFonts w:ascii="Arial" w:cs="Arial" w:eastAsia="Arial" w:hAnsi="Arial"/>
          <w:i/>
          <w:iCs/>
          <w:sz w:val="22"/>
          <w:szCs w:val="22"/>
        </w:rPr>
        <w:t xml:space="preserve">Custom Loss</w:t>
      </w:r>
      <w:r>
        <w:rPr>
          <w:rFonts w:ascii="Arial" w:cs="Arial" w:eastAsia="Arial" w:hAnsi="Arial"/>
          <w:sz w:val="22"/>
          <w:szCs w:val="22"/>
        </w:rPr>
        <w:t xml:space="preserve"> only, with our </w:t>
      </w:r>
      <w:r>
        <w:rPr>
          <w:rFonts w:ascii="Arial" w:cs="Arial" w:eastAsia="Arial" w:hAnsi="Arial"/>
          <w:i/>
          <w:iCs/>
          <w:sz w:val="22"/>
          <w:szCs w:val="22"/>
        </w:rPr>
        <w:t xml:space="preserve">Custom Architecture</w:t>
      </w:r>
      <w:r>
        <w:rPr>
          <w:rFonts w:ascii="Arial" w:cs="Arial" w:eastAsia="Arial" w:hAnsi="Arial"/>
          <w:sz w:val="22"/>
          <w:szCs w:val="22"/>
        </w:rPr>
        <w:t xml:space="preserve"> only, and the full </w:t>
      </w:r>
      <w:r>
        <w:rPr>
          <w:rFonts w:ascii="Arial" w:cs="Arial" w:eastAsia="Arial" w:hAnsi="Arial"/>
          <w:i/>
          <w:iCs/>
          <w:sz w:val="22"/>
          <w:szCs w:val="22"/>
        </w:rPr>
        <w:t xml:space="preserve">Proposed</w:t>
      </w:r>
      <w:r>
        <w:rPr>
          <w:rFonts w:ascii="Arial" w:cs="Arial" w:eastAsia="Arial" w:hAnsi="Arial"/>
          <w:sz w:val="22"/>
          <w:szCs w:val="22"/>
        </w:rPr>
        <w:t xml:space="preserve"> model combining both. Each is trained three times (</w:t>
      </w:r>
      <w:r>
        <w:rPr>
          <w:rFonts w:ascii="Arial" w:cs="Arial" w:eastAsia="Arial" w:hAnsi="Arial"/>
          <w:i/>
          <w:iCs/>
          <w:sz w:val="22"/>
          <w:szCs w:val="22"/>
        </w:rPr>
        <w:t xml:space="preserve">n</w:t>
      </w:r>
      <w:r>
        <w:rPr>
          <w:rFonts w:ascii="Arial" w:cs="Arial" w:eastAsia="Arial" w:hAnsi="Arial"/>
          <w:sz w:val="22"/>
          <w:szCs w:val="22"/>
        </w:rPr>
        <w:t xml:space="preserve"> = 3) with all other factors fixed — same full revised dataset, 640 px input, batch 48, 90 epochs (mosaic off for the last 10), deterministic execution. The standard deviation then shows directly whether the gap between configurations exceeds the noise floor of training.</w:t>
      </w:r>
    </w:p>
    <w:p>
      <w:pPr>
        <w:spacing w:after="100" w:before="80"/>
      </w:pPr>
      <w:r>
        <w:rPr>
          <w:rFonts w:ascii="Arial" w:cs="Arial" w:eastAsia="Arial" w:hAnsi="Arial"/>
          <w:b/>
          <w:bCs/>
          <w:sz w:val="20"/>
          <w:szCs w:val="20"/>
        </w:rPr>
        <w:t xml:space="preserve">Table 8. </w:t>
      </w:r>
      <w:r>
        <w:rPr>
          <w:rFonts w:ascii="Arial" w:cs="Arial" w:eastAsia="Arial" w:hAnsi="Arial"/>
          <w:i/>
          <w:iCs/>
          <w:sz w:val="20"/>
          <w:szCs w:val="20"/>
        </w:rPr>
        <w:t xml:space="preserve">Seed reproducibility study on the test set. Results are reported as mean ± standard deviation over </w:t>
      </w:r>
      <w:r>
        <w:rPr>
          <w:rFonts w:ascii="Arial" w:cs="Arial" w:eastAsia="Arial" w:hAnsi="Arial"/>
          <w:i/>
          <w:iCs/>
          <w:sz w:val="20"/>
          <w:szCs w:val="20"/>
        </w:rPr>
        <w:t xml:space="preserve">n</w:t>
      </w:r>
      <w:r>
        <w:rPr>
          <w:rFonts w:ascii="Arial" w:cs="Arial" w:eastAsia="Arial" w:hAnsi="Arial"/>
          <w:i/>
          <w:iCs/>
          <w:sz w:val="20"/>
          <w:szCs w:val="20"/>
        </w:rPr>
        <w:t xml:space="preserve"> independent training runs. The best configuration is highlighted in 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20"/>
        <w:gridCol w:w="940"/>
        <w:gridCol w:w="1040"/>
        <w:gridCol w:w="920"/>
        <w:gridCol w:w="880"/>
        <w:gridCol w:w="1000"/>
        <w:gridCol w:w="1000"/>
        <w:gridCol w:w="1160"/>
      </w:tblGrid>
      <w:tr>
        <w:trPr>
          <w:tblHeader/>
        </w:trPr>
        <w:tc>
          <w:tcPr>
            <w:tcW w:type="dxa" w:w="1900"/>
            <w:tcBorders>
              <w:top w:val="single" w:color="BFBFBF" w:sz="4"/>
              <w:left w:val="single" w:color="BFBFBF" w:sz="4"/>
              <w:bottom w:val="single" w:color="BFBFBF" w:sz="4"/>
              <w:right w:val="single" w:color="BFBFBF" w:sz="4"/>
            </w:tcBorders>
            <w:shd w:fill="2E5C8A" w:val="clear"/>
            <w:tcMar>
              <w:top w:type="dxa" w:w="60"/>
              <w:left w:type="dxa" w:w="70"/>
              <w:bottom w:type="dxa" w:w="60"/>
              <w:right w:type="dxa" w:w="70"/>
            </w:tcMar>
            <w:vAlign w:val="center"/>
          </w:tcPr>
          <w:p>
            <w:pPr>
              <w:jc w:val="center"/>
            </w:pPr>
            <w:r>
              <w:rPr>
                <w:rFonts w:ascii="Arial" w:cs="Arial" w:eastAsia="Arial" w:hAnsi="Arial"/>
                <w:b/>
                <w:bCs/>
                <w:color w:val="FFFFFF"/>
                <w:sz w:val="15"/>
                <w:szCs w:val="15"/>
              </w:rPr>
              <w:t xml:space="preserve">Configuration</w:t>
            </w:r>
          </w:p>
        </w:tc>
        <w:tc>
          <w:tcPr>
            <w:tcW w:type="dxa" w:w="520"/>
            <w:tcBorders>
              <w:top w:val="single" w:color="BFBFBF" w:sz="4"/>
              <w:left w:val="single" w:color="BFBFBF" w:sz="4"/>
              <w:bottom w:val="single" w:color="BFBFBF" w:sz="4"/>
              <w:right w:val="single" w:color="BFBFBF" w:sz="4"/>
            </w:tcBorders>
            <w:shd w:fill="2E5C8A" w:val="clear"/>
            <w:tcMar>
              <w:top w:type="dxa" w:w="60"/>
              <w:left w:type="dxa" w:w="70"/>
              <w:bottom w:type="dxa" w:w="60"/>
              <w:right w:type="dxa" w:w="70"/>
            </w:tcMar>
            <w:vAlign w:val="center"/>
          </w:tcPr>
          <w:p>
            <w:pPr>
              <w:jc w:val="center"/>
            </w:pPr>
            <w:r>
              <w:rPr>
                <w:rFonts w:ascii="Arial" w:cs="Arial" w:eastAsia="Arial" w:hAnsi="Arial"/>
                <w:b/>
                <w:bCs/>
                <w:color w:val="FFFFFF"/>
                <w:sz w:val="15"/>
                <w:szCs w:val="15"/>
              </w:rPr>
              <w:t xml:space="preserve">n</w:t>
            </w:r>
          </w:p>
        </w:tc>
        <w:tc>
          <w:tcPr>
            <w:tcW w:type="dxa" w:w="940"/>
            <w:tcBorders>
              <w:top w:val="single" w:color="BFBFBF" w:sz="4"/>
              <w:left w:val="single" w:color="BFBFBF" w:sz="4"/>
              <w:bottom w:val="single" w:color="BFBFBF" w:sz="4"/>
              <w:right w:val="single" w:color="BFBFBF" w:sz="4"/>
            </w:tcBorders>
            <w:shd w:fill="2E5C8A" w:val="clear"/>
            <w:tcMar>
              <w:top w:type="dxa" w:w="60"/>
              <w:left w:type="dxa" w:w="70"/>
              <w:bottom w:type="dxa" w:w="60"/>
              <w:right w:type="dxa" w:w="70"/>
            </w:tcMar>
            <w:vAlign w:val="center"/>
          </w:tcPr>
          <w:p>
            <w:pPr>
              <w:jc w:val="center"/>
            </w:pPr>
            <w:r>
              <w:rPr>
                <w:rFonts w:ascii="Arial" w:cs="Arial" w:eastAsia="Arial" w:hAnsi="Arial"/>
                <w:b/>
                <w:bCs/>
                <w:color w:val="FFFFFF"/>
                <w:sz w:val="15"/>
                <w:szCs w:val="15"/>
              </w:rPr>
              <w:t xml:space="preserve">mAP@50</w:t>
            </w:r>
          </w:p>
        </w:tc>
        <w:tc>
          <w:tcPr>
            <w:tcW w:type="dxa" w:w="1040"/>
            <w:tcBorders>
              <w:top w:val="single" w:color="BFBFBF" w:sz="4"/>
              <w:left w:val="single" w:color="BFBFBF" w:sz="4"/>
              <w:bottom w:val="single" w:color="BFBFBF" w:sz="4"/>
              <w:right w:val="single" w:color="BFBFBF" w:sz="4"/>
            </w:tcBorders>
            <w:shd w:fill="2E5C8A" w:val="clear"/>
            <w:tcMar>
              <w:top w:type="dxa" w:w="60"/>
              <w:left w:type="dxa" w:w="70"/>
              <w:bottom w:type="dxa" w:w="60"/>
              <w:right w:type="dxa" w:w="70"/>
            </w:tcMar>
            <w:vAlign w:val="center"/>
          </w:tcPr>
          <w:p>
            <w:pPr>
              <w:jc w:val="center"/>
            </w:pPr>
            <w:r>
              <w:rPr>
                <w:rFonts w:ascii="Arial" w:cs="Arial" w:eastAsia="Arial" w:hAnsi="Arial"/>
                <w:b/>
                <w:bCs/>
                <w:color w:val="FFFFFF"/>
                <w:sz w:val="15"/>
                <w:szCs w:val="15"/>
              </w:rPr>
              <w:t xml:space="preserve">mAP@50-95</w:t>
            </w:r>
          </w:p>
        </w:tc>
        <w:tc>
          <w:tcPr>
            <w:tcW w:type="dxa" w:w="920"/>
            <w:tcBorders>
              <w:top w:val="single" w:color="BFBFBF" w:sz="4"/>
              <w:left w:val="single" w:color="BFBFBF" w:sz="4"/>
              <w:bottom w:val="single" w:color="BFBFBF" w:sz="4"/>
              <w:right w:val="single" w:color="BFBFBF" w:sz="4"/>
            </w:tcBorders>
            <w:shd w:fill="2E5C8A" w:val="clear"/>
            <w:tcMar>
              <w:top w:type="dxa" w:w="60"/>
              <w:left w:type="dxa" w:w="70"/>
              <w:bottom w:type="dxa" w:w="60"/>
              <w:right w:type="dxa" w:w="70"/>
            </w:tcMar>
            <w:vAlign w:val="center"/>
          </w:tcPr>
          <w:p>
            <w:pPr>
              <w:jc w:val="center"/>
            </w:pPr>
            <w:r>
              <w:rPr>
                <w:rFonts w:ascii="Arial" w:cs="Arial" w:eastAsia="Arial" w:hAnsi="Arial"/>
                <w:b/>
                <w:bCs/>
                <w:color w:val="FFFFFF"/>
                <w:sz w:val="15"/>
                <w:szCs w:val="15"/>
              </w:rPr>
              <w:t xml:space="preserve">Precision</w:t>
            </w:r>
          </w:p>
        </w:tc>
        <w:tc>
          <w:tcPr>
            <w:tcW w:type="dxa" w:w="880"/>
            <w:tcBorders>
              <w:top w:val="single" w:color="BFBFBF" w:sz="4"/>
              <w:left w:val="single" w:color="BFBFBF" w:sz="4"/>
              <w:bottom w:val="single" w:color="BFBFBF" w:sz="4"/>
              <w:right w:val="single" w:color="BFBFBF" w:sz="4"/>
            </w:tcBorders>
            <w:shd w:fill="2E5C8A" w:val="clear"/>
            <w:tcMar>
              <w:top w:type="dxa" w:w="60"/>
              <w:left w:type="dxa" w:w="70"/>
              <w:bottom w:type="dxa" w:w="60"/>
              <w:right w:type="dxa" w:w="70"/>
            </w:tcMar>
            <w:vAlign w:val="center"/>
          </w:tcPr>
          <w:p>
            <w:pPr>
              <w:jc w:val="center"/>
            </w:pPr>
            <w:r>
              <w:rPr>
                <w:rFonts w:ascii="Arial" w:cs="Arial" w:eastAsia="Arial" w:hAnsi="Arial"/>
                <w:b/>
                <w:bCs/>
                <w:color w:val="FFFFFF"/>
                <w:sz w:val="15"/>
                <w:szCs w:val="15"/>
              </w:rPr>
              <w:t xml:space="preserve">Recall</w:t>
            </w:r>
          </w:p>
        </w:tc>
        <w:tc>
          <w:tcPr>
            <w:tcW w:type="dxa" w:w="1000"/>
            <w:tcBorders>
              <w:top w:val="single" w:color="BFBFBF" w:sz="4"/>
              <w:left w:val="single" w:color="BFBFBF" w:sz="4"/>
              <w:bottom w:val="single" w:color="BFBFBF" w:sz="4"/>
              <w:right w:val="single" w:color="BFBFBF" w:sz="4"/>
            </w:tcBorders>
            <w:shd w:fill="2E5C8A" w:val="clear"/>
            <w:tcMar>
              <w:top w:type="dxa" w:w="60"/>
              <w:left w:type="dxa" w:w="70"/>
              <w:bottom w:type="dxa" w:w="60"/>
              <w:right w:type="dxa" w:w="70"/>
            </w:tcMar>
            <w:vAlign w:val="center"/>
          </w:tcPr>
          <w:p>
            <w:pPr>
              <w:jc w:val="center"/>
            </w:pPr>
            <w:r>
              <w:rPr>
                <w:rFonts w:ascii="Arial" w:cs="Arial" w:eastAsia="Arial" w:hAnsi="Arial"/>
                <w:b/>
                <w:bCs/>
                <w:color w:val="FFFFFF"/>
                <w:sz w:val="15"/>
                <w:szCs w:val="15"/>
              </w:rPr>
              <w:t xml:space="preserve">mAP@50 (S)</w:t>
            </w:r>
          </w:p>
        </w:tc>
        <w:tc>
          <w:tcPr>
            <w:tcW w:type="dxa" w:w="1000"/>
            <w:tcBorders>
              <w:top w:val="single" w:color="BFBFBF" w:sz="4"/>
              <w:left w:val="single" w:color="BFBFBF" w:sz="4"/>
              <w:bottom w:val="single" w:color="BFBFBF" w:sz="4"/>
              <w:right w:val="single" w:color="BFBFBF" w:sz="4"/>
            </w:tcBorders>
            <w:shd w:fill="2E5C8A" w:val="clear"/>
            <w:tcMar>
              <w:top w:type="dxa" w:w="60"/>
              <w:left w:type="dxa" w:w="70"/>
              <w:bottom w:type="dxa" w:w="60"/>
              <w:right w:type="dxa" w:w="70"/>
            </w:tcMar>
            <w:vAlign w:val="center"/>
          </w:tcPr>
          <w:p>
            <w:pPr>
              <w:jc w:val="center"/>
            </w:pPr>
            <w:r>
              <w:rPr>
                <w:rFonts w:ascii="Arial" w:cs="Arial" w:eastAsia="Arial" w:hAnsi="Arial"/>
                <w:b/>
                <w:bCs/>
                <w:color w:val="FFFFFF"/>
                <w:sz w:val="15"/>
                <w:szCs w:val="15"/>
              </w:rPr>
              <w:t xml:space="preserve">mAP@50 (M)</w:t>
            </w:r>
          </w:p>
        </w:tc>
        <w:tc>
          <w:tcPr>
            <w:tcW w:type="dxa" w:w="1160"/>
            <w:tcBorders>
              <w:top w:val="single" w:color="BFBFBF" w:sz="4"/>
              <w:left w:val="single" w:color="BFBFBF" w:sz="4"/>
              <w:bottom w:val="single" w:color="BFBFBF" w:sz="4"/>
              <w:right w:val="single" w:color="BFBFBF" w:sz="4"/>
            </w:tcBorders>
            <w:shd w:fill="2E5C8A" w:val="clear"/>
            <w:tcMar>
              <w:top w:type="dxa" w:w="60"/>
              <w:left w:type="dxa" w:w="70"/>
              <w:bottom w:type="dxa" w:w="60"/>
              <w:right w:type="dxa" w:w="70"/>
            </w:tcMar>
            <w:vAlign w:val="center"/>
          </w:tcPr>
          <w:p>
            <w:pPr>
              <w:jc w:val="center"/>
            </w:pPr>
            <w:r>
              <w:rPr>
                <w:rFonts w:ascii="Arial" w:cs="Arial" w:eastAsia="Arial" w:hAnsi="Arial"/>
                <w:b/>
                <w:bCs/>
                <w:color w:val="FFFFFF"/>
                <w:sz w:val="15"/>
                <w:szCs w:val="15"/>
              </w:rPr>
              <w:t xml:space="preserve">mAP@50 (L)</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60"/>
            </w:tcMar>
            <w:vAlign w:val="center"/>
          </w:tcPr>
          <w:p>
            <w:r>
              <w:rPr>
                <w:rFonts w:ascii="Arial" w:cs="Arial" w:eastAsia="Arial" w:hAnsi="Arial"/>
                <w:b w:val="false"/>
                <w:bCs w:val="false"/>
                <w:sz w:val="16"/>
                <w:szCs w:val="16"/>
              </w:rPr>
              <w:t xml:space="preserve">Baseline (YOLOv12s)</w:t>
            </w:r>
          </w:p>
        </w:tc>
        <w:tc>
          <w:tcPr>
            <w:tcW w:type="dxa" w:w="52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3</w:t>
            </w:r>
          </w:p>
        </w:tc>
        <w:tc>
          <w:tcPr>
            <w:tcW w:type="dxa" w:w="94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0.812</w:t>
            </w:r>
          </w:p>
          <w:p>
            <w:pPr>
              <w:jc w:val="center"/>
            </w:pPr>
            <w:r>
              <w:rPr>
                <w:rFonts w:ascii="Arial" w:cs="Arial" w:eastAsia="Arial" w:hAnsi="Arial"/>
                <w:color w:val="595959"/>
                <w:sz w:val="12"/>
                <w:szCs w:val="12"/>
              </w:rPr>
              <w:t xml:space="preserve">±0.0006</w:t>
            </w:r>
          </w:p>
        </w:tc>
        <w:tc>
          <w:tcPr>
            <w:tcW w:type="dxa" w:w="104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0.516</w:t>
            </w:r>
          </w:p>
          <w:p>
            <w:pPr>
              <w:jc w:val="center"/>
            </w:pPr>
            <w:r>
              <w:rPr>
                <w:rFonts w:ascii="Arial" w:cs="Arial" w:eastAsia="Arial" w:hAnsi="Arial"/>
                <w:color w:val="595959"/>
                <w:sz w:val="12"/>
                <w:szCs w:val="12"/>
              </w:rPr>
              <w:t xml:space="preserve">±0.0011</w:t>
            </w:r>
          </w:p>
        </w:tc>
        <w:tc>
          <w:tcPr>
            <w:tcW w:type="dxa" w:w="92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0.833</w:t>
            </w:r>
          </w:p>
          <w:p>
            <w:pPr>
              <w:jc w:val="center"/>
            </w:pPr>
            <w:r>
              <w:rPr>
                <w:rFonts w:ascii="Arial" w:cs="Arial" w:eastAsia="Arial" w:hAnsi="Arial"/>
                <w:color w:val="595959"/>
                <w:sz w:val="12"/>
                <w:szCs w:val="12"/>
              </w:rPr>
              <w:t xml:space="preserve">±0.0034</w:t>
            </w:r>
          </w:p>
        </w:tc>
        <w:tc>
          <w:tcPr>
            <w:tcW w:type="dxa" w:w="88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0.747</w:t>
            </w:r>
          </w:p>
          <w:p>
            <w:pPr>
              <w:jc w:val="center"/>
            </w:pPr>
            <w:r>
              <w:rPr>
                <w:rFonts w:ascii="Arial" w:cs="Arial" w:eastAsia="Arial" w:hAnsi="Arial"/>
                <w:color w:val="595959"/>
                <w:sz w:val="12"/>
                <w:szCs w:val="12"/>
              </w:rPr>
              <w:t xml:space="preserve">±0.0019</w:t>
            </w:r>
          </w:p>
        </w:tc>
        <w:tc>
          <w:tcPr>
            <w:tcW w:type="dxa" w:w="100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0.640</w:t>
            </w:r>
          </w:p>
          <w:p>
            <w:pPr>
              <w:jc w:val="center"/>
            </w:pPr>
            <w:r>
              <w:rPr>
                <w:rFonts w:ascii="Arial" w:cs="Arial" w:eastAsia="Arial" w:hAnsi="Arial"/>
                <w:color w:val="595959"/>
                <w:sz w:val="12"/>
                <w:szCs w:val="12"/>
              </w:rPr>
              <w:t xml:space="preserve">±0.0102</w:t>
            </w:r>
          </w:p>
        </w:tc>
        <w:tc>
          <w:tcPr>
            <w:tcW w:type="dxa" w:w="100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0.781</w:t>
            </w:r>
          </w:p>
          <w:p>
            <w:pPr>
              <w:jc w:val="center"/>
            </w:pPr>
            <w:r>
              <w:rPr>
                <w:rFonts w:ascii="Arial" w:cs="Arial" w:eastAsia="Arial" w:hAnsi="Arial"/>
                <w:color w:val="595959"/>
                <w:sz w:val="12"/>
                <w:szCs w:val="12"/>
              </w:rPr>
              <w:t xml:space="preserve">±0.0025</w:t>
            </w:r>
          </w:p>
        </w:tc>
        <w:tc>
          <w:tcPr>
            <w:tcW w:type="dxa" w:w="116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0.848</w:t>
            </w:r>
          </w:p>
          <w:p>
            <w:pPr>
              <w:jc w:val="center"/>
            </w:pPr>
            <w:r>
              <w:rPr>
                <w:rFonts w:ascii="Arial" w:cs="Arial" w:eastAsia="Arial" w:hAnsi="Arial"/>
                <w:color w:val="595959"/>
                <w:sz w:val="12"/>
                <w:szCs w:val="12"/>
              </w:rPr>
              <w:t xml:space="preserve">±0.0009</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60"/>
            </w:tcMar>
            <w:vAlign w:val="center"/>
          </w:tcPr>
          <w:p>
            <w:r>
              <w:rPr>
                <w:rFonts w:ascii="Arial" w:cs="Arial" w:eastAsia="Arial" w:hAnsi="Arial"/>
                <w:b w:val="false"/>
                <w:bCs w:val="false"/>
                <w:sz w:val="16"/>
                <w:szCs w:val="16"/>
              </w:rPr>
              <w:t xml:space="preserve">+ Custom Loss</w:t>
            </w:r>
          </w:p>
        </w:tc>
        <w:tc>
          <w:tcPr>
            <w:tcW w:type="dxa" w:w="52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3</w:t>
            </w:r>
          </w:p>
        </w:tc>
        <w:tc>
          <w:tcPr>
            <w:tcW w:type="dxa" w:w="94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0.839</w:t>
            </w:r>
          </w:p>
          <w:p>
            <w:pPr>
              <w:jc w:val="center"/>
            </w:pPr>
            <w:r>
              <w:rPr>
                <w:rFonts w:ascii="Arial" w:cs="Arial" w:eastAsia="Arial" w:hAnsi="Arial"/>
                <w:color w:val="595959"/>
                <w:sz w:val="12"/>
                <w:szCs w:val="12"/>
              </w:rPr>
              <w:t xml:space="preserve">±0.0007</w:t>
            </w:r>
          </w:p>
        </w:tc>
        <w:tc>
          <w:tcPr>
            <w:tcW w:type="dxa" w:w="104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0.539</w:t>
            </w:r>
          </w:p>
          <w:p>
            <w:pPr>
              <w:jc w:val="center"/>
            </w:pPr>
            <w:r>
              <w:rPr>
                <w:rFonts w:ascii="Arial" w:cs="Arial" w:eastAsia="Arial" w:hAnsi="Arial"/>
                <w:color w:val="595959"/>
                <w:sz w:val="12"/>
                <w:szCs w:val="12"/>
              </w:rPr>
              <w:t xml:space="preserve">±0.0015</w:t>
            </w:r>
          </w:p>
        </w:tc>
        <w:tc>
          <w:tcPr>
            <w:tcW w:type="dxa" w:w="92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0.852</w:t>
            </w:r>
          </w:p>
          <w:p>
            <w:pPr>
              <w:jc w:val="center"/>
            </w:pPr>
            <w:r>
              <w:rPr>
                <w:rFonts w:ascii="Arial" w:cs="Arial" w:eastAsia="Arial" w:hAnsi="Arial"/>
                <w:color w:val="595959"/>
                <w:sz w:val="12"/>
                <w:szCs w:val="12"/>
              </w:rPr>
              <w:t xml:space="preserve">±0.0025</w:t>
            </w:r>
          </w:p>
        </w:tc>
        <w:tc>
          <w:tcPr>
            <w:tcW w:type="dxa" w:w="88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0.782</w:t>
            </w:r>
          </w:p>
          <w:p>
            <w:pPr>
              <w:jc w:val="center"/>
            </w:pPr>
            <w:r>
              <w:rPr>
                <w:rFonts w:ascii="Arial" w:cs="Arial" w:eastAsia="Arial" w:hAnsi="Arial"/>
                <w:color w:val="595959"/>
                <w:sz w:val="12"/>
                <w:szCs w:val="12"/>
              </w:rPr>
              <w:t xml:space="preserve">±0.0017</w:t>
            </w:r>
          </w:p>
        </w:tc>
        <w:tc>
          <w:tcPr>
            <w:tcW w:type="dxa" w:w="100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0.681</w:t>
            </w:r>
          </w:p>
          <w:p>
            <w:pPr>
              <w:jc w:val="center"/>
            </w:pPr>
            <w:r>
              <w:rPr>
                <w:rFonts w:ascii="Arial" w:cs="Arial" w:eastAsia="Arial" w:hAnsi="Arial"/>
                <w:color w:val="595959"/>
                <w:sz w:val="12"/>
                <w:szCs w:val="12"/>
              </w:rPr>
              <w:t xml:space="preserve">±0.0155</w:t>
            </w:r>
          </w:p>
        </w:tc>
        <w:tc>
          <w:tcPr>
            <w:tcW w:type="dxa" w:w="100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0.818</w:t>
            </w:r>
          </w:p>
          <w:p>
            <w:pPr>
              <w:jc w:val="center"/>
            </w:pPr>
            <w:r>
              <w:rPr>
                <w:rFonts w:ascii="Arial" w:cs="Arial" w:eastAsia="Arial" w:hAnsi="Arial"/>
                <w:color w:val="595959"/>
                <w:sz w:val="12"/>
                <w:szCs w:val="12"/>
              </w:rPr>
              <w:t xml:space="preserve">±0.0018</w:t>
            </w:r>
          </w:p>
        </w:tc>
        <w:tc>
          <w:tcPr>
            <w:tcW w:type="dxa" w:w="116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0.866</w:t>
            </w:r>
          </w:p>
          <w:p>
            <w:pPr>
              <w:jc w:val="center"/>
            </w:pPr>
            <w:r>
              <w:rPr>
                <w:rFonts w:ascii="Arial" w:cs="Arial" w:eastAsia="Arial" w:hAnsi="Arial"/>
                <w:color w:val="595959"/>
                <w:sz w:val="12"/>
                <w:szCs w:val="12"/>
              </w:rPr>
              <w:t xml:space="preserve">±0.0001</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60"/>
            </w:tcMar>
            <w:vAlign w:val="center"/>
          </w:tcPr>
          <w:p>
            <w:r>
              <w:rPr>
                <w:rFonts w:ascii="Arial" w:cs="Arial" w:eastAsia="Arial" w:hAnsi="Arial"/>
                <w:b w:val="false"/>
                <w:bCs w:val="false"/>
                <w:sz w:val="16"/>
                <w:szCs w:val="16"/>
              </w:rPr>
              <w:t xml:space="preserve">+ Custom Architecture</w:t>
            </w:r>
          </w:p>
        </w:tc>
        <w:tc>
          <w:tcPr>
            <w:tcW w:type="dxa" w:w="52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3</w:t>
            </w:r>
          </w:p>
        </w:tc>
        <w:tc>
          <w:tcPr>
            <w:tcW w:type="dxa" w:w="94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0.845</w:t>
            </w:r>
          </w:p>
          <w:p>
            <w:pPr>
              <w:jc w:val="center"/>
            </w:pPr>
            <w:r>
              <w:rPr>
                <w:rFonts w:ascii="Arial" w:cs="Arial" w:eastAsia="Arial" w:hAnsi="Arial"/>
                <w:color w:val="595959"/>
                <w:sz w:val="12"/>
                <w:szCs w:val="12"/>
              </w:rPr>
              <w:t xml:space="preserve">±0.0008</w:t>
            </w:r>
          </w:p>
        </w:tc>
        <w:tc>
          <w:tcPr>
            <w:tcW w:type="dxa" w:w="104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0.557</w:t>
            </w:r>
          </w:p>
          <w:p>
            <w:pPr>
              <w:jc w:val="center"/>
            </w:pPr>
            <w:r>
              <w:rPr>
                <w:rFonts w:ascii="Arial" w:cs="Arial" w:eastAsia="Arial" w:hAnsi="Arial"/>
                <w:color w:val="595959"/>
                <w:sz w:val="12"/>
                <w:szCs w:val="12"/>
              </w:rPr>
              <w:t xml:space="preserve">±0.0014</w:t>
            </w:r>
          </w:p>
        </w:tc>
        <w:tc>
          <w:tcPr>
            <w:tcW w:type="dxa" w:w="92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0.853</w:t>
            </w:r>
          </w:p>
          <w:p>
            <w:pPr>
              <w:jc w:val="center"/>
            </w:pPr>
            <w:r>
              <w:rPr>
                <w:rFonts w:ascii="Arial" w:cs="Arial" w:eastAsia="Arial" w:hAnsi="Arial"/>
                <w:color w:val="595959"/>
                <w:sz w:val="12"/>
                <w:szCs w:val="12"/>
              </w:rPr>
              <w:t xml:space="preserve">±0.0094</w:t>
            </w:r>
          </w:p>
        </w:tc>
        <w:tc>
          <w:tcPr>
            <w:tcW w:type="dxa" w:w="88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0.780</w:t>
            </w:r>
          </w:p>
          <w:p>
            <w:pPr>
              <w:jc w:val="center"/>
            </w:pPr>
            <w:r>
              <w:rPr>
                <w:rFonts w:ascii="Arial" w:cs="Arial" w:eastAsia="Arial" w:hAnsi="Arial"/>
                <w:color w:val="595959"/>
                <w:sz w:val="12"/>
                <w:szCs w:val="12"/>
              </w:rPr>
              <w:t xml:space="preserve">±0.0044</w:t>
            </w:r>
          </w:p>
        </w:tc>
        <w:tc>
          <w:tcPr>
            <w:tcW w:type="dxa" w:w="100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0.664</w:t>
            </w:r>
          </w:p>
          <w:p>
            <w:pPr>
              <w:jc w:val="center"/>
            </w:pPr>
            <w:r>
              <w:rPr>
                <w:rFonts w:ascii="Arial" w:cs="Arial" w:eastAsia="Arial" w:hAnsi="Arial"/>
                <w:color w:val="595959"/>
                <w:sz w:val="12"/>
                <w:szCs w:val="12"/>
              </w:rPr>
              <w:t xml:space="preserve">±0.0065</w:t>
            </w:r>
          </w:p>
        </w:tc>
        <w:tc>
          <w:tcPr>
            <w:tcW w:type="dxa" w:w="100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0.797</w:t>
            </w:r>
          </w:p>
          <w:p>
            <w:pPr>
              <w:jc w:val="center"/>
            </w:pPr>
            <w:r>
              <w:rPr>
                <w:rFonts w:ascii="Arial" w:cs="Arial" w:eastAsia="Arial" w:hAnsi="Arial"/>
                <w:color w:val="595959"/>
                <w:sz w:val="12"/>
                <w:szCs w:val="12"/>
              </w:rPr>
              <w:t xml:space="preserve">±0.0022</w:t>
            </w:r>
          </w:p>
        </w:tc>
        <w:tc>
          <w:tcPr>
            <w:tcW w:type="dxa" w:w="1160"/>
            <w:tcBorders>
              <w:top w:val="single" w:color="BFBFBF" w:sz="4"/>
              <w:left w:val="single" w:color="BFBFBF" w:sz="4"/>
              <w:bottom w:val="single" w:color="BFBFBF" w:sz="4"/>
              <w:right w:val="single" w:color="BFBFBF" w:sz="4"/>
            </w:tcBorders>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0.856</w:t>
            </w:r>
          </w:p>
          <w:p>
            <w:pPr>
              <w:jc w:val="center"/>
            </w:pPr>
            <w:r>
              <w:rPr>
                <w:rFonts w:ascii="Arial" w:cs="Arial" w:eastAsia="Arial" w:hAnsi="Arial"/>
                <w:color w:val="595959"/>
                <w:sz w:val="12"/>
                <w:szCs w:val="12"/>
              </w:rPr>
              <w:t xml:space="preserve">±0.0008</w:t>
            </w:r>
          </w:p>
        </w:tc>
      </w:tr>
      <w:tr>
        <w:tc>
          <w:tcPr>
            <w:tcW w:type="dxa" w:w="1900"/>
            <w:tcBorders>
              <w:top w:val="single" w:color="BFBFBF" w:sz="4"/>
              <w:left w:val="single" w:color="BFBFBF" w:sz="4"/>
              <w:bottom w:val="single" w:color="BFBFBF" w:sz="4"/>
              <w:right w:val="single" w:color="BFBFBF" w:sz="4"/>
            </w:tcBorders>
            <w:shd w:fill="DCEFD8" w:val="clear"/>
            <w:tcMar>
              <w:top w:type="dxa" w:w="50"/>
              <w:left w:type="dxa" w:w="90"/>
              <w:bottom w:type="dxa" w:w="50"/>
              <w:right w:type="dxa" w:w="60"/>
            </w:tcMar>
            <w:vAlign w:val="center"/>
          </w:tcPr>
          <w:p>
            <w:r>
              <w:rPr>
                <w:rFonts w:ascii="Arial" w:cs="Arial" w:eastAsia="Arial" w:hAnsi="Arial"/>
                <w:b/>
                <w:bCs/>
                <w:sz w:val="16"/>
                <w:szCs w:val="16"/>
              </w:rPr>
              <w:t xml:space="preserve">+ Custom Loss + Arch. (Proposed)</w:t>
            </w:r>
          </w:p>
        </w:tc>
        <w:tc>
          <w:tcPr>
            <w:tcW w:type="dxa" w:w="520"/>
            <w:tcBorders>
              <w:top w:val="single" w:color="BFBFBF" w:sz="4"/>
              <w:left w:val="single" w:color="BFBFBF" w:sz="4"/>
              <w:bottom w:val="single" w:color="BFBFBF" w:sz="4"/>
              <w:right w:val="single" w:color="BFBFBF" w:sz="4"/>
            </w:tcBorders>
            <w:shd w:fill="DCEFD8" w:val="clear"/>
            <w:tcMar>
              <w:top w:type="dxa" w:w="50"/>
              <w:left w:type="dxa" w:w="50"/>
              <w:bottom w:type="dxa" w:w="50"/>
              <w:right w:type="dxa" w:w="50"/>
            </w:tcMar>
            <w:vAlign w:val="center"/>
          </w:tcPr>
          <w:p>
            <w:pPr>
              <w:jc w:val="center"/>
            </w:pPr>
            <w:r>
              <w:rPr>
                <w:rFonts w:ascii="Arial" w:cs="Arial" w:eastAsia="Arial" w:hAnsi="Arial"/>
                <w:b w:val="false"/>
                <w:bCs w:val="false"/>
                <w:color w:val="000000"/>
                <w:sz w:val="16"/>
                <w:szCs w:val="16"/>
              </w:rPr>
              <w:t xml:space="preserve">3</w:t>
            </w:r>
          </w:p>
        </w:tc>
        <w:tc>
          <w:tcPr>
            <w:tcW w:type="dxa" w:w="940"/>
            <w:tcBorders>
              <w:top w:val="single" w:color="BFBFBF" w:sz="4"/>
              <w:left w:val="single" w:color="BFBFBF" w:sz="4"/>
              <w:bottom w:val="single" w:color="BFBFBF" w:sz="4"/>
              <w:right w:val="single" w:color="BFBFBF" w:sz="4"/>
            </w:tcBorders>
            <w:shd w:fill="DCEFD8" w:val="clear"/>
            <w:tcMar>
              <w:top w:type="dxa" w:w="50"/>
              <w:left w:type="dxa" w:w="50"/>
              <w:bottom w:type="dxa" w:w="50"/>
              <w:right w:type="dxa" w:w="50"/>
            </w:tcMar>
            <w:vAlign w:val="center"/>
          </w:tcPr>
          <w:p>
            <w:pPr>
              <w:jc w:val="center"/>
            </w:pPr>
            <w:r>
              <w:rPr>
                <w:rFonts w:ascii="Arial" w:cs="Arial" w:eastAsia="Arial" w:hAnsi="Arial"/>
                <w:b/>
                <w:bCs/>
                <w:color w:val="000000"/>
                <w:sz w:val="16"/>
                <w:szCs w:val="16"/>
              </w:rPr>
              <w:t xml:space="preserve">0.852</w:t>
            </w:r>
          </w:p>
          <w:p>
            <w:pPr>
              <w:jc w:val="center"/>
            </w:pPr>
            <w:r>
              <w:rPr>
                <w:rFonts w:ascii="Arial" w:cs="Arial" w:eastAsia="Arial" w:hAnsi="Arial"/>
                <w:color w:val="595959"/>
                <w:sz w:val="12"/>
                <w:szCs w:val="12"/>
              </w:rPr>
              <w:t xml:space="preserve">±0.0002</w:t>
            </w:r>
          </w:p>
        </w:tc>
        <w:tc>
          <w:tcPr>
            <w:tcW w:type="dxa" w:w="1040"/>
            <w:tcBorders>
              <w:top w:val="single" w:color="BFBFBF" w:sz="4"/>
              <w:left w:val="single" w:color="BFBFBF" w:sz="4"/>
              <w:bottom w:val="single" w:color="BFBFBF" w:sz="4"/>
              <w:right w:val="single" w:color="BFBFBF" w:sz="4"/>
            </w:tcBorders>
            <w:shd w:fill="DCEFD8" w:val="clear"/>
            <w:tcMar>
              <w:top w:type="dxa" w:w="50"/>
              <w:left w:type="dxa" w:w="50"/>
              <w:bottom w:type="dxa" w:w="50"/>
              <w:right w:type="dxa" w:w="50"/>
            </w:tcMar>
            <w:vAlign w:val="center"/>
          </w:tcPr>
          <w:p>
            <w:pPr>
              <w:jc w:val="center"/>
            </w:pPr>
            <w:r>
              <w:rPr>
                <w:rFonts w:ascii="Arial" w:cs="Arial" w:eastAsia="Arial" w:hAnsi="Arial"/>
                <w:b/>
                <w:bCs/>
                <w:color w:val="000000"/>
                <w:sz w:val="16"/>
                <w:szCs w:val="16"/>
              </w:rPr>
              <w:t xml:space="preserve">0.553</w:t>
            </w:r>
          </w:p>
          <w:p>
            <w:pPr>
              <w:jc w:val="center"/>
            </w:pPr>
            <w:r>
              <w:rPr>
                <w:rFonts w:ascii="Arial" w:cs="Arial" w:eastAsia="Arial" w:hAnsi="Arial"/>
                <w:color w:val="595959"/>
                <w:sz w:val="12"/>
                <w:szCs w:val="12"/>
              </w:rPr>
              <w:t xml:space="preserve">±0.0021</w:t>
            </w:r>
          </w:p>
        </w:tc>
        <w:tc>
          <w:tcPr>
            <w:tcW w:type="dxa" w:w="920"/>
            <w:tcBorders>
              <w:top w:val="single" w:color="BFBFBF" w:sz="4"/>
              <w:left w:val="single" w:color="BFBFBF" w:sz="4"/>
              <w:bottom w:val="single" w:color="BFBFBF" w:sz="4"/>
              <w:right w:val="single" w:color="BFBFBF" w:sz="4"/>
            </w:tcBorders>
            <w:shd w:fill="DCEFD8" w:val="clear"/>
            <w:tcMar>
              <w:top w:type="dxa" w:w="50"/>
              <w:left w:type="dxa" w:w="50"/>
              <w:bottom w:type="dxa" w:w="50"/>
              <w:right w:type="dxa" w:w="50"/>
            </w:tcMar>
            <w:vAlign w:val="center"/>
          </w:tcPr>
          <w:p>
            <w:pPr>
              <w:jc w:val="center"/>
            </w:pPr>
            <w:r>
              <w:rPr>
                <w:rFonts w:ascii="Arial" w:cs="Arial" w:eastAsia="Arial" w:hAnsi="Arial"/>
                <w:b/>
                <w:bCs/>
                <w:color w:val="000000"/>
                <w:sz w:val="16"/>
                <w:szCs w:val="16"/>
              </w:rPr>
              <w:t xml:space="preserve">0.865</w:t>
            </w:r>
          </w:p>
          <w:p>
            <w:pPr>
              <w:jc w:val="center"/>
            </w:pPr>
            <w:r>
              <w:rPr>
                <w:rFonts w:ascii="Arial" w:cs="Arial" w:eastAsia="Arial" w:hAnsi="Arial"/>
                <w:color w:val="595959"/>
                <w:sz w:val="12"/>
                <w:szCs w:val="12"/>
              </w:rPr>
              <w:t xml:space="preserve">±0.0031</w:t>
            </w:r>
          </w:p>
        </w:tc>
        <w:tc>
          <w:tcPr>
            <w:tcW w:type="dxa" w:w="880"/>
            <w:tcBorders>
              <w:top w:val="single" w:color="BFBFBF" w:sz="4"/>
              <w:left w:val="single" w:color="BFBFBF" w:sz="4"/>
              <w:bottom w:val="single" w:color="BFBFBF" w:sz="4"/>
              <w:right w:val="single" w:color="BFBFBF" w:sz="4"/>
            </w:tcBorders>
            <w:shd w:fill="DCEFD8" w:val="clear"/>
            <w:tcMar>
              <w:top w:type="dxa" w:w="50"/>
              <w:left w:type="dxa" w:w="50"/>
              <w:bottom w:type="dxa" w:w="50"/>
              <w:right w:type="dxa" w:w="50"/>
            </w:tcMar>
            <w:vAlign w:val="center"/>
          </w:tcPr>
          <w:p>
            <w:pPr>
              <w:jc w:val="center"/>
            </w:pPr>
            <w:r>
              <w:rPr>
                <w:rFonts w:ascii="Arial" w:cs="Arial" w:eastAsia="Arial" w:hAnsi="Arial"/>
                <w:b/>
                <w:bCs/>
                <w:color w:val="000000"/>
                <w:sz w:val="16"/>
                <w:szCs w:val="16"/>
              </w:rPr>
              <w:t xml:space="preserve">0.800</w:t>
            </w:r>
          </w:p>
          <w:p>
            <w:pPr>
              <w:jc w:val="center"/>
            </w:pPr>
            <w:r>
              <w:rPr>
                <w:rFonts w:ascii="Arial" w:cs="Arial" w:eastAsia="Arial" w:hAnsi="Arial"/>
                <w:color w:val="595959"/>
                <w:sz w:val="12"/>
                <w:szCs w:val="12"/>
              </w:rPr>
              <w:t xml:space="preserve">±0.0007</w:t>
            </w:r>
          </w:p>
        </w:tc>
        <w:tc>
          <w:tcPr>
            <w:tcW w:type="dxa" w:w="1000"/>
            <w:tcBorders>
              <w:top w:val="single" w:color="BFBFBF" w:sz="4"/>
              <w:left w:val="single" w:color="BFBFBF" w:sz="4"/>
              <w:bottom w:val="single" w:color="BFBFBF" w:sz="4"/>
              <w:right w:val="single" w:color="BFBFBF" w:sz="4"/>
            </w:tcBorders>
            <w:shd w:fill="DCEFD8" w:val="clear"/>
            <w:tcMar>
              <w:top w:type="dxa" w:w="50"/>
              <w:left w:type="dxa" w:w="50"/>
              <w:bottom w:type="dxa" w:w="50"/>
              <w:right w:type="dxa" w:w="50"/>
            </w:tcMar>
            <w:vAlign w:val="center"/>
          </w:tcPr>
          <w:p>
            <w:pPr>
              <w:jc w:val="center"/>
            </w:pPr>
            <w:r>
              <w:rPr>
                <w:rFonts w:ascii="Arial" w:cs="Arial" w:eastAsia="Arial" w:hAnsi="Arial"/>
                <w:b/>
                <w:bCs/>
                <w:color w:val="000000"/>
                <w:sz w:val="16"/>
                <w:szCs w:val="16"/>
              </w:rPr>
              <w:t xml:space="preserve">0.708</w:t>
            </w:r>
          </w:p>
          <w:p>
            <w:pPr>
              <w:jc w:val="center"/>
            </w:pPr>
            <w:r>
              <w:rPr>
                <w:rFonts w:ascii="Arial" w:cs="Arial" w:eastAsia="Arial" w:hAnsi="Arial"/>
                <w:color w:val="595959"/>
                <w:sz w:val="12"/>
                <w:szCs w:val="12"/>
              </w:rPr>
              <w:t xml:space="preserve">±0.0129</w:t>
            </w:r>
          </w:p>
        </w:tc>
        <w:tc>
          <w:tcPr>
            <w:tcW w:type="dxa" w:w="1000"/>
            <w:tcBorders>
              <w:top w:val="single" w:color="BFBFBF" w:sz="4"/>
              <w:left w:val="single" w:color="BFBFBF" w:sz="4"/>
              <w:bottom w:val="single" w:color="BFBFBF" w:sz="4"/>
              <w:right w:val="single" w:color="BFBFBF" w:sz="4"/>
            </w:tcBorders>
            <w:shd w:fill="DCEFD8" w:val="clear"/>
            <w:tcMar>
              <w:top w:type="dxa" w:w="50"/>
              <w:left w:type="dxa" w:w="50"/>
              <w:bottom w:type="dxa" w:w="50"/>
              <w:right w:type="dxa" w:w="50"/>
            </w:tcMar>
            <w:vAlign w:val="center"/>
          </w:tcPr>
          <w:p>
            <w:pPr>
              <w:jc w:val="center"/>
            </w:pPr>
            <w:r>
              <w:rPr>
                <w:rFonts w:ascii="Arial" w:cs="Arial" w:eastAsia="Arial" w:hAnsi="Arial"/>
                <w:b/>
                <w:bCs/>
                <w:color w:val="000000"/>
                <w:sz w:val="16"/>
                <w:szCs w:val="16"/>
              </w:rPr>
              <w:t xml:space="preserve">0.826</w:t>
            </w:r>
          </w:p>
          <w:p>
            <w:pPr>
              <w:jc w:val="center"/>
            </w:pPr>
            <w:r>
              <w:rPr>
                <w:rFonts w:ascii="Arial" w:cs="Arial" w:eastAsia="Arial" w:hAnsi="Arial"/>
                <w:color w:val="595959"/>
                <w:sz w:val="12"/>
                <w:szCs w:val="12"/>
              </w:rPr>
              <w:t xml:space="preserve">±0.0021</w:t>
            </w:r>
          </w:p>
        </w:tc>
        <w:tc>
          <w:tcPr>
            <w:tcW w:type="dxa" w:w="1160"/>
            <w:tcBorders>
              <w:top w:val="single" w:color="BFBFBF" w:sz="4"/>
              <w:left w:val="single" w:color="BFBFBF" w:sz="4"/>
              <w:bottom w:val="single" w:color="BFBFBF" w:sz="4"/>
              <w:right w:val="single" w:color="BFBFBF" w:sz="4"/>
            </w:tcBorders>
            <w:shd w:fill="DCEFD8" w:val="clear"/>
            <w:tcMar>
              <w:top w:type="dxa" w:w="50"/>
              <w:left w:type="dxa" w:w="50"/>
              <w:bottom w:type="dxa" w:w="50"/>
              <w:right w:type="dxa" w:w="50"/>
            </w:tcMar>
            <w:vAlign w:val="center"/>
          </w:tcPr>
          <w:p>
            <w:pPr>
              <w:jc w:val="center"/>
            </w:pPr>
            <w:r>
              <w:rPr>
                <w:rFonts w:ascii="Arial" w:cs="Arial" w:eastAsia="Arial" w:hAnsi="Arial"/>
                <w:b/>
                <w:bCs/>
                <w:color w:val="000000"/>
                <w:sz w:val="16"/>
                <w:szCs w:val="16"/>
              </w:rPr>
              <w:t xml:space="preserve">0.872</w:t>
            </w:r>
          </w:p>
          <w:p>
            <w:pPr>
              <w:jc w:val="center"/>
            </w:pPr>
            <w:r>
              <w:rPr>
                <w:rFonts w:ascii="Arial" w:cs="Arial" w:eastAsia="Arial" w:hAnsi="Arial"/>
                <w:color w:val="595959"/>
                <w:sz w:val="12"/>
                <w:szCs w:val="12"/>
              </w:rPr>
              <w:t xml:space="preserve">±0.0019</w:t>
            </w:r>
          </w:p>
        </w:tc>
      </w:tr>
    </w:tbl>
    <w:p>
      <w:pPr>
        <w:spacing w:after="160" w:before="120"/>
        <w:jc w:val="both"/>
      </w:pPr>
      <w:r>
        <w:rPr>
          <w:rFonts w:ascii="Arial" w:cs="Arial" w:eastAsia="Arial" w:hAnsi="Arial"/>
          <w:sz w:val="22"/>
          <w:szCs w:val="22"/>
        </w:rPr>
        <w:t xml:space="preserve">Table 8 reports seed-averaged test-set performance. The Proposed model is best on the principal metrics (mAP@50 0.852, precision 0.865, recall 0.800, small-object mAP@50 0.708). The key result is the scale of the standard deviations: mAP@50 varies by at most 0.0008 across seeds — and only 0.0002 for the Proposed model — whereas the gaps between configurations are an order of magnitude larger (+2.7 points for the loss alone, +3.3 for the architecture alone, +4.0 for the full model, 0.812 → 0.852). Each gain therefore far exceeds run-to-run noise and cannot be ascribed to seed selection.</w:t>
      </w:r>
    </w:p>
    <w:p>
      <w:pPr>
        <w:spacing w:after="160" w:line="276"/>
        <w:jc w:val="both"/>
      </w:pPr>
      <w:r>
        <w:rPr>
          <w:rFonts w:ascii="Arial" w:cs="Arial" w:eastAsia="Arial" w:hAnsi="Arial"/>
          <w:sz w:val="22"/>
          <w:szCs w:val="22"/>
        </w:rPr>
        <w:t xml:space="preserve">The same pattern holds at the stricter mAP@50–95 (0.553–0.557 vs the baseline’s 0.516), and the two contributions are complementary — each helps in isolation and combining them is strongest. Only the small-object metric shows sizeable variance (std up to ~0.015), as expected from fewer small instances, yet the Proposed model’s 6.8-point gain there still clears the spread. Reporting mean ± std over multiple seeds thus gives a far more trustworthy basis than a single run, and is the protocol we adopt for all headline comparisons.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2026-06-30T12:02:49.314Z</dcterms:created>
  <dcterms:modified xsi:type="dcterms:W3CDTF">2026-06-30T12:02:49.335Z</dcterms:modified>
</cp:coreProperties>
</file>

<file path=docProps/custom.xml><?xml version="1.0" encoding="utf-8"?>
<Properties xmlns="http://schemas.openxmlformats.org/officeDocument/2006/custom-properties" xmlns:vt="http://schemas.openxmlformats.org/officeDocument/2006/docPropsVTypes"/>
</file>