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pPr>
      <w:r>
        <w:rPr>
          <w:rFonts w:ascii="Arial" w:hAnsi="Arial"/>
          <w:b/>
          <w:sz w:val="24"/>
        </w:rPr>
        <w:t>X. Seed Reproducibility Study</w:t>
      </w:r>
    </w:p>
    <w:p>
      <w:pPr>
        <w:spacing w:after="120"/>
        <w:ind w:firstLine="432"/>
        <w:jc w:val="both"/>
      </w:pPr>
      <w:r>
        <w:rPr>
          <w:rFonts w:ascii="Arial" w:hAnsi="Arial"/>
          <w:sz w:val="20"/>
        </w:rPr>
        <w:t>Deep neural network training is inherently stochastic: random weight initialisation, data-loader shuffling, and non-deterministic CUDA kernels all introduce run-to-run variance that can obscure whether an observed performance gain is attributable to a design choice or to a favourable random seed. This effect is particularly pronounced in detection tasks where the class distribution is imbalanced and the number of positive anchors per batch is small. To ensure that the reported improvements are statistically reliable and not artefacts of a single lucky initialisation, a dedicated seed reproducibility study was conducted across all four finalist configurations.</w:t>
      </w:r>
    </w:p>
    <w:p>
      <w:pPr>
        <w:spacing w:before="240" w:after="120"/>
      </w:pPr>
      <w:r>
        <w:rPr>
          <w:rFonts w:ascii="Arial" w:hAnsi="Arial"/>
          <w:b/>
          <w:sz w:val="22"/>
        </w:rPr>
        <w:t>X.1  Experimental Design</w:t>
      </w:r>
    </w:p>
    <w:p>
      <w:pPr>
        <w:spacing w:after="120"/>
        <w:ind w:firstLine="432"/>
        <w:jc w:val="both"/>
      </w:pPr>
      <w:r>
        <w:rPr>
          <w:rFonts w:ascii="Arial" w:hAnsi="Arial"/>
          <w:sz w:val="20"/>
        </w:rPr>
        <w:t>The study adopts a 2×2 factorial design that orthogonally combines two architectural variants (stock YOLOv12s and the proposed GlobalContext architecture) with two loss configurations (the vanilla default and the tuned best-TAL recipe). This yields four groups: (i) Baseline — stock architecture with default loss; (ii) Custom Loss Only — stock architecture with best-TAL; (iii) Custom Architecture Only — GlobalContext with default loss; and (iv) the full Proposed System — GlobalContext with best-TAL. Each group was trained independently at three random seeds (0, 1, 2), for a total of twelve training runs.</w:t>
      </w:r>
    </w:p>
    <w:p>
      <w:pPr>
        <w:spacing w:after="120"/>
        <w:ind w:firstLine="432"/>
        <w:jc w:val="both"/>
      </w:pPr>
      <w:r>
        <w:rPr>
          <w:rFonts w:ascii="Arial" w:hAnsi="Arial"/>
          <w:sz w:val="20"/>
        </w:rPr>
        <w:t>All runs share identical hyperparameters: 90 epochs, batch size 48, input resolution 640×640, and the same full revised dataset split (70 / 15 / 15). The only variable between seeds within a group is the value passed to the PyTorch and NumPy random-number generators. Deterministic CUDA operations were enabled via deterministic=True to minimise hardware-level non-determinism. The seed-0 runs were the original training runs used throughout the ablation study; seeds 1 and 2 constitute genuine independent retrains rather than checkpoint restores, ensuring that the full training trajectory is replicated from scratch at each seed.</w:t>
      </w:r>
    </w:p>
    <w:p>
      <w:pPr>
        <w:spacing w:before="240" w:after="120"/>
      </w:pPr>
      <w:r>
        <w:rPr>
          <w:rFonts w:ascii="Arial" w:hAnsi="Arial"/>
          <w:b/>
          <w:sz w:val="22"/>
        </w:rPr>
        <w:t>X.2  Motivation for the Chosen Configurations</w:t>
      </w:r>
    </w:p>
    <w:p>
      <w:pPr>
        <w:spacing w:after="120"/>
        <w:ind w:firstLine="432"/>
        <w:jc w:val="both"/>
      </w:pPr>
      <w:r>
        <w:rPr>
          <w:rFonts w:ascii="Arial" w:hAnsi="Arial"/>
          <w:sz w:val="20"/>
        </w:rPr>
        <w:t>The four configurations were selected to allow independent attribution of variance to the loss module and to the architecture module. If the custom loss or architecture introduced instability — for example by amplifying gradient noise through the size-aware weighting term or the auxiliary detection head — this would manifest as elevated standard deviation within the corresponding group. Conversely, low variance across all four groups simultaneously confirms that both modules are well-conditioned and that the full system is reproducible in practice.</w:t>
      </w:r>
    </w:p>
    <w:p>
      <w:pPr>
        <w:spacing w:after="120"/>
        <w:ind w:firstLine="432"/>
        <w:jc w:val="both"/>
      </w:pPr>
      <w:r>
        <w:rPr>
          <w:rFonts w:ascii="Arial" w:hAnsi="Arial"/>
          <w:sz w:val="20"/>
        </w:rPr>
        <w:t>The headline configuration (GlobalContext + best-TAL) receives the most scrutiny because it combines the highest-complexity loss schedule (adaptive SWA boosting, clipping annealing, and TAL tuning) with the deepest architecture (DetectAuxDual head feeding six feature maps). A configuration of this complexity could in principle exhibit high sensitivity to initialisation; the seed study provides direct empirical evidence on this question.</w:t>
      </w:r>
    </w:p>
    <w:p>
      <w:pPr>
        <w:spacing w:before="240" w:after="120"/>
      </w:pPr>
      <w:r>
        <w:rPr>
          <w:rFonts w:ascii="Arial" w:hAnsi="Arial"/>
          <w:b/>
          <w:sz w:val="22"/>
        </w:rPr>
        <w:t>X.3  Results and Discussion</w:t>
      </w:r>
    </w:p>
    <w:p>
      <w:pPr>
        <w:spacing w:after="120"/>
        <w:ind w:firstLine="432"/>
        <w:jc w:val="both"/>
      </w:pPr>
      <w:r>
        <w:rPr>
          <w:rFonts w:ascii="Arial" w:hAnsi="Arial"/>
          <w:sz w:val="20"/>
        </w:rPr>
        <w:t>Table 8 reports mean ± std over the three seeds for each configuration. All groups exhibit low variance: the standard deviation of mAP@50 ranges from 0.0002 to 0.0008 across groups, and the standard deviation of mAP@50-95 remains below 0.0022 in every case. The proposed system (0.852 ± 0.0002 mAP@50) is the most stable of the four groups, suggesting that the combination of TAL tuning and the GlobalContext architecture converges to a consistent solution regardless of initialisation.</w:t>
      </w:r>
    </w:p>
    <w:p>
      <w:pPr>
        <w:spacing w:after="120"/>
        <w:ind w:firstLine="432"/>
        <w:jc w:val="both"/>
      </w:pPr>
      <w:r>
        <w:rPr>
          <w:rFonts w:ascii="Arial" w:hAnsi="Arial"/>
          <w:sz w:val="20"/>
        </w:rPr>
        <w:t>The Custom Architecture Only group (0.845 ± 0.0008) shows slightly higher variance on Precision (± 0.0094) compared to the other groups, which may reflect the larger number of newly initialised parameters in the GlobalContext modules when paired with a vanilla loss that does not down-weight ambiguous anchors. Nonetheless, the range across seeds (less than 1 mAP point) is well within the margin typically accepted in the object detection literature.</w:t>
      </w:r>
    </w:p>
    <w:p>
      <w:pPr>
        <w:spacing w:after="120"/>
        <w:ind w:firstLine="432"/>
        <w:jc w:val="both"/>
      </w:pPr>
      <w:r>
        <w:rPr>
          <w:rFonts w:ascii="Arial" w:hAnsi="Arial"/>
          <w:sz w:val="20"/>
        </w:rPr>
        <w:t>The Custom Loss Only group achieves 0.839 ± 0.0007 mAP@50, confirming that the best-TAL recipe provides a consistent improvement of approximately 2.7 percentage points over the baseline (0.812 ± 0.0006) independent of seed. The architecture contributes an additional approximately 1.3 percentage points when combined with the tuned loss, for a total improvement of 4.0 percentage points mAP@50 and 3.7 percentage points mAP@50-95 over the baseline. These deltas exceed the observed standard deviations by more than an order of magnitude, providing strong evidence that the improvements are genuine rather than seed-dependent.</w:t>
      </w:r>
    </w:p>
    <w:p>
      <w:pPr>
        <w:spacing w:after="120"/>
        <w:ind w:firstLine="432"/>
        <w:jc w:val="both"/>
      </w:pPr>
      <w:r>
        <w:rPr>
          <w:rFonts w:ascii="Arial" w:hAnsi="Arial"/>
          <w:sz w:val="20"/>
        </w:rPr>
        <w:t>In summary, the seed reproducibility study demonstrates that all four configurations are stable under retraining, and that the performance ordering — Baseline &lt; Custom Loss &lt; Custom Arch &lt; Proposed — is consistent across seeds. The reported metrics in the main results tables can therefore be interpreted as reliable estimates of each configuration's true performance on the weapon detection task.</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