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Dataset</w:t>
      </w:r>
    </w:p>
    <w:p>
      <w:pPr>
        <w:pStyle w:val="Heading2"/>
      </w:pPr>
      <w:r>
        <w:rPr>
          <w:rFonts w:ascii="Arial" w:cs="Arial" w:eastAsia="Arial" w:hAnsi="Arial"/>
        </w:rPr>
        <w:t xml:space="preserve">A. Source and composition</w:t>
      </w:r>
    </w:p>
    <w:p>
      <w:pPr>
        <w:spacing w:after="150" w:line="274"/>
        <w:jc w:val="both"/>
      </w:pPr>
      <w:r>
        <w:rPr>
          <w:rFonts w:ascii="Arial" w:cs="Arial" w:eastAsia="Arial" w:hAnsi="Arial"/>
          <w:sz w:val="22"/>
          <w:szCs w:val="22"/>
        </w:rPr>
        <w:t xml:space="preserve">The dataset targets four object categories relevant to weapon screening: knife, long_gun, other, and pistol. Images were extracted as frames from video footage, which has a direct consequence for split construction discussed in Section C. After curation and splitting, the dataset comprises 26,528 images containing 38,167 annotated instances (Table 1). The class distribution is moderately imbalanced — pistol (34.7% of instances) and long_gun (27.7%) are the most frequent, followed by other (21.5%) and knife (16.1%). The split preserves a 70/15/15 ratio for both images and every individual class (each class is within roughly 1% of 70/15/15 across the three subsets).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300"/>
        <w:gridCol w:w="1380"/>
        <w:gridCol w:w="1340"/>
        <w:gridCol w:w="1500"/>
        <w:gridCol w:w="1320"/>
        <w:gridCol w:w="1340"/>
      </w:tblGrid>
      <w:tr>
        <w:trPr>
          <w:tblHeader/>
        </w:trP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Split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Images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Instances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knife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long_gun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pistol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train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18,579 (70.0%)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26,614 (69.7%)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4,247 (68.9%)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7,375 (69.8%)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5,692 (69.4%)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9,300 (70.2%)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val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3,978 (15.0%)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5,665 (14.8%)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950 (15.4%)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1,537 (14.6%)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1,240 (15.1%)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1,938 (14.6%)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test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3,971 (15.0%)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5,888 (15.4%)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966 (15.7%)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1,647 (15.6%)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1,271 (15.5%)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2,004 (15.1%)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26,528 (100%)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38,167 (100%)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6,163 (16.1%)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10,559 (27.7%)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8,203 (21.5%)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13,242 (34.7%)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1. Dataset composition. For the split rows, the class percentages are the split's share of that class (showing the ~70/15/15 balance); in the Total row the class percentage is the class's share of all instances.</w:t>
      </w:r>
    </w:p>
    <w:p>
      <w:pPr>
        <w:pStyle w:val="Heading2"/>
      </w:pPr>
      <w:r>
        <w:rPr>
          <w:rFonts w:ascii="Arial" w:cs="Arial" w:eastAsia="Arial" w:hAnsi="Arial"/>
        </w:rPr>
        <w:t xml:space="preserve">B. Annotation correction</w:t>
      </w:r>
    </w:p>
    <w:p>
      <w:pPr>
        <w:spacing w:after="150" w:line="274"/>
        <w:jc w:val="both"/>
      </w:pPr>
      <w:r>
        <w:rPr>
          <w:rFonts w:ascii="Arial" w:cs="Arial" w:eastAsia="Arial" w:hAnsi="Arial"/>
          <w:sz w:val="22"/>
          <w:szCs w:val="22"/>
        </w:rPr>
        <w:t xml:space="preserve">An initial analysis revealed that the other category — a heterogeneous catch-all for non-weapon objects — was systematically under-annotated: many genuine instances were left unlabelled, so a detector correctly localising them was penalised as producing false positives. We therefore applied a model-assisted annotation-correction pass, in which a trained detector proposed candidate other instances that were then human-reviewed and merged back into the labels. All results in this paper use the corrected annotations.</w:t>
      </w:r>
    </w:p>
    <w:p>
      <w:pPr>
        <w:pStyle w:val="Heading2"/>
      </w:pPr>
      <w:r>
        <w:rPr>
          <w:rFonts w:ascii="Arial" w:cs="Arial" w:eastAsia="Arial" w:hAnsi="Arial"/>
        </w:rPr>
        <w:t xml:space="preserve">C. Leakage-free splitting by near-duplicate clustering</w:t>
      </w:r>
    </w:p>
    <w:p>
      <w:pPr>
        <w:spacing w:after="150" w:line="274"/>
        <w:jc w:val="both"/>
      </w:pPr>
      <w:r>
        <w:rPr>
          <w:rFonts w:ascii="Arial" w:cs="Arial" w:eastAsia="Arial" w:hAnsi="Arial"/>
          <w:sz w:val="22"/>
          <w:szCs w:val="22"/>
        </w:rPr>
        <w:t xml:space="preserve">Because the images are video frames, temporally adjacent frames are near-identical, and a naive per-frame split would place near-duplicates in different subsets — leaking evaluation content into training and overstating accuracy. To prevent this we adopt a near-duplicate-aware splitting procedure. Each image is encoded by a 64-bit perceptual hash (difference hash); any two images within a Hamming distance of five are linked, and connected components are extracted with a union-find, grouping mutually near-identical frames into clusters. This yields 19,036 clusters over the 26,528 images (15,549 singletons; largest cluster 188 frames).</w:t>
      </w:r>
    </w:p>
    <w:p>
      <w:pPr>
        <w:spacing w:after="150" w:line="27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Each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entire cluster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is then assigned to a single split by a stratified greedy that targets the 70/15/15 ratio for the total image count and for every class simultaneously. Because no cluster is divided across subsets, no near-duplicate frame can cross a split boundary. We confirmed this with a cross-split near-duplicate audit of the final split: there are zero near-duplicate images between any pair of subsets (Table 4). The evaluation is therefore leakage-free, and the reported metrics reflect genuine generalisation rather than memorised near-duplicates.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Split pair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near-duplicate images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leakage rate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train – val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train – 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val – 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0.0%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4. Cross-split near-duplicate audit of the final split (difference hash, Hamming &lt;= 5). No near-duplicate images occur across any pair of subsets — the split is leakage-free.</w:t>
      </w:r>
    </w:p>
    <w:p>
      <w:pPr>
        <w:pStyle w:val="Heading2"/>
      </w:pPr>
      <w:r>
        <w:rPr>
          <w:rFonts w:ascii="Arial" w:cs="Arial" w:eastAsia="Arial" w:hAnsi="Arial"/>
        </w:rPr>
        <w:t xml:space="preserve">D. Object-size distribution</w:t>
      </w:r>
    </w:p>
    <w:p>
      <w:pPr>
        <w:spacing w:after="150" w:line="274"/>
        <w:jc w:val="both"/>
      </w:pPr>
      <w:r>
        <w:rPr>
          <w:rFonts w:ascii="Arial" w:cs="Arial" w:eastAsia="Arial" w:hAnsi="Arial"/>
          <w:sz w:val="22"/>
          <w:szCs w:val="22"/>
        </w:rPr>
        <w:t xml:space="preserve">To characterise detection difficulty we categorise every instance by absolute scale, defined as the square root of the bounding-box area in pixels at the image's native resolution: small (&lt; 48 px), medium (48-96 px) and large (&gt;= 96 px). The dataset is dominated by large objects (70.2%), with 22.0% medium and only 7.8% small instances (Table 2). The distribution is consistent across the three splits, confirming the split does not bias object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Small (&lt; 48 px)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 (48-96 px)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 (&gt;= 96 px)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train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2,132 (8.0%)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5,845 (22.0%)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18,637 (70.0%)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val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414 (7.3%)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1,179 (20.8%)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4,072 (71.9%)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442 (7.5%)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1,355 (23.0%)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4,091 (69.5%)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2,988 (7.8%)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8,379 (22.0%)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26,800 (70.2%)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2. Object-size distribution per split (scale = sqrt of box area in pixels; percentages are within each split). Small objects are scarce (~7.8%), making small-object accuracy the hardest and most informative metric.</w:t>
      </w:r>
    </w:p>
    <w:p>
      <w:pPr>
        <w:spacing w:after="150" w:line="274"/>
        <w:jc w:val="both"/>
      </w:pPr>
      <w:r>
        <w:rPr>
          <w:rFonts w:ascii="Arial" w:cs="Arial" w:eastAsia="Arial" w:hAnsi="Arial"/>
          <w:sz w:val="22"/>
          <w:szCs w:val="22"/>
        </w:rPr>
        <w:t xml:space="preserve">The scarcity of small objects is strongly class-dependent (Table 3): pistol is by far the smallest class, with 13.6% of its instances small (1,801 of 13,242), reflecting that handguns frequently appear small and distant. The remaining classes are predominantly large (74-79%). This concentration of small, hard instances in the pistol class — together with the heterogeneous other class — is what the architecture and loss design in the following sections specifically 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875"/>
        <w:gridCol w:w="1875"/>
        <w:gridCol w:w="1875"/>
        <w:gridCol w:w="1875"/>
      </w:tblGrid>
      <w:tr>
        <w:trPr>
          <w:tblHeader/>
        </w:trP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Small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(% of all)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knife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294 (4.8%)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1,289 (20.9%)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4,580 (74.3%)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6,163 (16.1%)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long_gun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429 (4.1%)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1,843 (17.5%)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8,287 (78.5%)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10,559 (27.7%)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other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464 (5.7%)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1,728 (21.1%)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6,011 (73.3%)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8,203 (21.5%)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pistol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1,801 (13.6%)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3,519 (26.6%)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7,922 (59.8%)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13,242 (34.7%)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3. Per-class object-size breakdown over the full dataset. Small/Medium/Large percentages are within each class; the Total column is the class's share of all instances.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2026-06-27T12:59:59.377Z</dcterms:created>
  <dcterms:modified xsi:type="dcterms:W3CDTF">2026-06-27T12:59:59.378Z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