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Segoe UI" w:cs="Segoe UI" w:eastAsia="Segoe UI" w:hAnsi="Segoe UI"/>
        </w:rPr>
        <w:t xml:space="preserve">iConta — Design System</w:t>
      </w:r>
    </w:p>
    <w:p>
      <w:pPr>
        <w:spacing w:after="80"/>
      </w:pPr>
      <w:r>
        <w:rPr>
          <w:rFonts w:ascii="Segoe UI" w:cs="Segoe UI" w:eastAsia="Segoe UI" w:hAnsi="Segoe UI"/>
          <w:i/>
          <w:iCs/>
          <w:color w:val="666666"/>
          <w:sz w:val="21"/>
          <w:szCs w:val="21"/>
        </w:rPr>
        <w:t xml:space="preserve">Document normativ · v1.0 · 8 iulie 2026</w:t>
      </w:r>
    </w:p>
    <w:p>
      <w:p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Acest document este REFERINȚA OBLIGATORIE pentru orice ecran nou și pentru auditul celor existente. Nicio abatere fără actualizarea prealabilă a acestui document.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0. Principii generale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Nicio clasă vizuală nouă. Orice element nou folosește exclusiv clasele din acest document. Clase suplimentare = doar hook JS sau poziționare (margin/width), niciodată culori/fonturi/umbre/dimensiuni.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Când se descoperă o inconsistență: STOP, se corectează, apoi se continuă. Zero datorie tehnică vizuală.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La orice decizie de schimbare de comportament se verifică TOATE locurile unde comportamentul vechi există, nu doar cel discutat.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Textele afișate folosesc diacritice românești complete; codul/comentariile/markerii — fără diacritice.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Mesajele către utilizator sunt clare și strict folositoare: spun ce s-a întâmplat și ce are de făcut. Nicio etichetă ambiguă (ex: nu "Emailul tău (principal)" ci "Emailul cu care intri în portal").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1. Butoane — set închis</w:t>
      </w:r>
    </w:p>
    <w:p>
      <w:p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Toate butoanele au umbră. Butoanele deschise la culoare au și bordură. Padding unic 9px 18px (excepții: .buton-mic, .btn-nav). Set ÎNCHIS — nu se adaugă clase noi.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5800"/>
      </w:tblGrid>
      <w:tr>
        <w:tc>
          <w:tcPr>
            <w:tcW w:type="dxa" w:w="2100"/>
            <w:shd w:fill="D9E2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Mostră</w:t>
            </w:r>
          </w:p>
        </w:tc>
        <w:tc>
          <w:tcPr>
            <w:tcW w:type="dxa" w:w="2500"/>
            <w:shd w:fill="D9E2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Clasă</w:t>
            </w:r>
          </w:p>
        </w:tc>
        <w:tc>
          <w:tcPr>
            <w:tcW w:type="dxa" w:w="5800"/>
            <w:shd w:fill="D9E2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Rol + caracteristici</w:t>
            </w:r>
          </w:p>
        </w:tc>
      </w:tr>
      <w:tr>
        <w:tc>
          <w:tcPr>
            <w:tcW w:type="dxa" w:w="2100"/>
            <w:shd w:fill="3D8F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Salvează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.buton-primar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Acțiunea principală. Albastru #3d8fd6, text alb, fără bordură.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padding 9px 18px · font var(--text-mic) · weight 600 · radius var(--raza)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umbră 0 2px 6px rgba(20,30,45,0.25) · hover: albastru închis + translateY(-1px)</w:t>
            </w:r>
          </w:p>
        </w:tc>
      </w:tr>
      <w:tr>
        <w:tc>
          <w:tcPr>
            <w:tcW w:type="dxa" w:w="2100"/>
            <w:shd w:fill="EEF1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2535"/>
                <w:sz w:val="19"/>
                <w:szCs w:val="19"/>
              </w:rPr>
              <w:t xml:space="preserve">Renunță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.buton-secundar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Acțiuni secundare. Alb, text ardezie, bordură 1px #d5dae2.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padding 9px 18px · umbră 0 2px 6px rgba(20,30,45,0.18)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hover: fundal gri deschis + translateY(-1px)</w:t>
            </w:r>
          </w:p>
        </w:tc>
      </w:tr>
      <w:tr>
        <w:tc>
          <w:tcPr>
            <w:tcW w:type="dxa" w:w="2100"/>
            <w:shd w:fill="FF3B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Revocă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.buton-sters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Ștergere / revocare / distructiv. Roșu #ff3b30, text alb.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padding 9px 18px · weight 600 · umbră standard · hover roșu închis</w:t>
            </w:r>
          </w:p>
        </w:tc>
      </w:tr>
      <w:tr>
        <w:tc>
          <w:tcPr>
            <w:tcW w:type="dxa" w:w="2100"/>
            <w:shd w:fill="1D7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Aprobă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.buton-verde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Aprobare / confirmare pozitivă. Verde semafor #1d7a4d.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padding 9px 18px · weight 600 · umbră standard · hover verde închis</w:t>
            </w:r>
          </w:p>
        </w:tc>
      </w:tr>
      <w:tr>
        <w:tc>
          <w:tcPr>
            <w:tcW w:type="dxa" w:w="2100"/>
            <w:shd w:fill="FF3B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Șterge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.buton-mic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MODIFICATOR de mărime, se combină: class="buton-sters buton-mic".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padding 4px 10px !important · font 12.5px · pentru rânduri de tabel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3D8FD6"/>
                <w:sz w:val="19"/>
                <w:szCs w:val="19"/>
              </w:rPr>
              <w:t xml:space="preserve">Vezi tot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.btn-link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Acțiune discretă tip link. Fără fundal/bordură/umbră.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Text albastru subliniat · padding 0</w:t>
            </w:r>
          </w:p>
        </w:tc>
      </w:tr>
      <w:tr>
        <w:tc>
          <w:tcPr>
            <w:tcW w:type="dxa" w:w="21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←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.btn-nav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Exclusiv navigare. 32×32px fix, radius 8, portocaliu #f97316.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Duce MEREU un pas înapoi (vezi cap. Navigare).</w:t>
            </w:r>
          </w:p>
        </w:tc>
      </w:tr>
      <w:tr>
        <w:tc>
          <w:tcPr>
            <w:tcW w:type="dxa" w:w="2100"/>
            <w:shd w:fill="1A5A9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Stornează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.buton-activ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STARE, nu buton: marchează butonul cu zona toggle deschisă.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Albastru închis #1a5a94 + umbră interioară. Se adaugă/scoate din JS.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Definit ULTIMUL în stil.css (câștigă cascada peste mapări).</w:t>
            </w:r>
          </w:p>
        </w:tc>
      </w:tr>
      <w:tr>
        <w:tc>
          <w:tcPr>
            <w:tcW w:type="dxa" w:w="2100"/>
            <w:shd w:fill="CFE0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B3440"/>
                <w:sz w:val="19"/>
                <w:szCs w:val="19"/>
              </w:rPr>
              <w:t xml:space="preserve">Date cabinet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.acces-card / .meniu-card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Item de meniu — deschide o secțiune la selecție.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Fundal #cfe0f7 · bordură 1px #a8c4e8 · padding 18px 20px · radius 12px</w:t>
            </w:r>
          </w:p>
          <w:p>
            <w:pPr>
              <w:jc w:val="left"/>
            </w:pPr>
            <w:r>
              <w:rPr>
                <w:rFonts w:ascii="Segoe UI" w:cs="Segoe UI" w:eastAsia="Segoe UI" w:hAnsi="Segoe UI"/>
                <w:color w:val="000000"/>
                <w:sz w:val="19"/>
                <w:szCs w:val="19"/>
              </w:rPr>
              <w:t xml:space="preserve">.meniu-card adaugă width 100% + margin-bottom 12px</w:t>
            </w:r>
          </w:p>
        </w:tc>
      </w:tr>
    </w:tbl>
    <w:p>
      <w:p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/>
      </w:r>
    </w:p>
    <w:p>
      <w:p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Feedback obligatoriu: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Butoane cu zonă toggle (deschid/închid un panou): primesc .buton-activ cât timp zona e deschisă; deschiderea unei zone închide zonele-frate.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Acțiuni asincrone: butonul se dezactivează + textul devine "Se salvează…" / "Se trimite…" pe durata cererii.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2. Pattern-ul fundamental: nimic vizibil decât la selecție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Un ecran arată la deschidere DOAR: titlu + informația de stare esențială + itemii de meniu (.acces-card/.meniu-card) sau lista care este însăși scopul ecranului.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Formularele de adăugare/editare/configurare NU apar la deschidere — apar la apăsarea unui buton dedicat (ex: "Invită client nou", "Schimbă adresa de email", "Configurează magazinul").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Excepție legitimă: ecranele-formular, unde formularul ESTE scopul selectat din meniu (ex: Raport Z, Bilanț, Emitere factură).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Chiar și listele goale se supun regulii: "Niciun document încă" apare după selecție, nu ca secțiuni multiple afișate simultan.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Formularele deschise la selecție au întotdeauna buton "Renunță" (.btn-link sau .buton-secundar) care revine la ecranul anterior.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3. Navigare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Săgeata portocalie (.btn-nav) duce MEREU exact un pas înapoi în ierarhia ecranului, niciodată direct la închidere (except: nivelul rădăcină al ferestrei, unde pasul înapoi = închiderea ferestrei).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Mecanismul: nav.setInapoi(fn) — obligatoriu apelat la începutul FIECĂRUI sub-ecran: rădăcina cu undefined/null, sub-ecranele cu funcția ecranului părinte.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Wizard cu pași: pasN → setInapoi(pasN-1). Confirmarea finală duce înapoi la rădăcină.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X-ul închide fereastra de oriunde. Săgeata nu ține locul lui 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Capcană cunoscută: setInapoi către un ecran care redirecționează înapoi = buclă. Ecranele-poartă (ex: configurare obligatorie) primesc setInapoi(undefined).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4. Casete de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Orice bloc de date (tabel, totaluri, liste de înregistrări) stă în casetă pe FOND ALB cu bordură 1px var(--linie) și border-radius var(--raza) — distinct de fundalul ferestrei.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Tabele: titlurile de coloană și valorile aliniate identic la STÂNGA, cu o singură excepție: coloanele de sume monetare — titlu și valori la DREAPTA, astfel încât separatorul zecimal să cadă pe aceeași verticală.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Toate sumele monetare cu exact 2 zecimale, format românesc (1.234,56). Cantitățile fără zecimale inutile (1.150, nu 1150.000). Procentele compacte (11%, nu 11.00 %).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Blocurile de totaluri au aceeași margine dreaptă și același padding ca tabelul de deasupra — sumele din tot documentul au separatorul pe aceeași verticală.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Etichetă și valoare pe același rând se separă clar (flex space-between + gap) — niciodată lipite ("Bază 11%13.800").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5. Casete de atenționare și confirmări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Stil unic global: .caseta-atentie — fundal #fdf3f3, bordură 2px #d98c8c, radius var(--raza), max-width 560px, mesaj în .ca-mesaj.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Caseta conține DOAR mesajul. Butoanele de acțiune stau SUB casetă, în afara ei, pe clase canonice (Confirm = .buton-primar, Renunță = .buton-secundar).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confirm() și alert() native de browser sunt INTERZISE pentru confirmări de acțiuni — se folosește confirmaCaseta(zona, mesaj, laConfirm, {textOk}) din api.js.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Mesajul spune exact ce se întâmplă și dacă e ireversibil (ex: "Se creează o factură de stornare… Acțiunea nu poate fi anulată.").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6. Mesaje de stare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Succes: text verde #1d7a4d, weight 600, afișat pe ecranul principal DUPĂ revenirea din formular (pattern mesajSucces + randare).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Eroare de câmp/formular: &lt;span class="msg-eroare"&gt; (roșu), lângă câmpul sau butonul relevant. Niciodată tăcere la o acțiune eșuată sau blocată.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Validări preventive cu mesaj explicativ, nu doar refuz (ex: serie numerică: "Seria e un prefix cu litere (ex: KAI-). Numărul se pune în câmpul următor.").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7. Documente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Tabelele PDF respectă aceleași reguli de aliniere ca HTML (cap. 4): stânga peste tot, sume la dreapta cu separatorul aliniat, formate compacte.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Lățimile coloanelor dimensionate ca nicio valoare uzuală să nu se frângă pe două rânduri.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Preferință: tabele reportlab Table cu colWidths explicite (ca factura_pdf.py), nu drawString cu coordonate manuale.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Generatoare de verificat la audit: documente_api.py (balanță), stat_plata_api.py (fluturași) — încă pe canvas manual.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8. Semafoare (standard existent, reconfirmat)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Mereu vertical, ordinea ROȘU → GALBEN → VERDE (urgența întâi).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Bulină LED 16px cu gradient + etichetă text explicită, 10px.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Culori canonice: verde #1d7a4d · galben #c9961f · roșu #ff3b30.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9. Ferestre de lucru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Overlay umbrit uniform rgba(20,30,45,0.55) pentru TOATE ferestrele, inclusiv login/înregistrare. Card central alb.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max-height calc(100vh - 48px); la tabele lungi: antet + butoane fixe, doar tabelul derulează (o singură bară).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.fer-larg max-width 1000px doar pentru tabele.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Nicio fereastră nu iese din ecran.</w:t>
      </w:r>
    </w:p>
    <w:p>
      <w:pPr>
        <w:pStyle w:val="Heading1"/>
        <w:spacing w:after="120" w:before="300"/>
      </w:pPr>
      <w:r>
        <w:rPr>
          <w:rFonts w:ascii="Segoe UI" w:cs="Segoe UI" w:eastAsia="Segoe UI" w:hAnsi="Segoe UI"/>
        </w:rPr>
        <w:t xml:space="preserve">10. Procedură de lucru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Orice element UI nou: se alege din acest document. Dacă nu există → se discută, se adaugă AICI întâi, apoi se implementează.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Audit de conformitate: la fiecare ecran atins (test funcțional sau modificare) se verifică și conformitatea cu capitolele 1–9.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Acest document se versionează împreună cu codul (docx în repo + sinteză în ICONTA_STATUS.md).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2026-07-08T16:54:00.164Z</dcterms:created>
  <dcterms:modified xsi:type="dcterms:W3CDTF">2026-07-08T16:54:00.180Z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