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Alicia Mancebo Colomer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99109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Alicia Mancebo Colome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91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8.9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8.2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7.5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8.2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9.1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9.1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9.1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8.7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8.4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7.9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9.9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9.2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8.5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8.7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8.4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8.7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8.2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9.1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8.1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Alicia Mancebo Colom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