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i w:val="1"/>
          <w:iCs w:val="1"/>
          <w:sz w:val="20"/>
          <w:szCs w:val="20"/>
          <w:rtl w:val="0"/>
          <w:lang w:val="en-US"/>
        </w:rPr>
        <w:t xml:space="preserve">For context on this tool, read </w:t>
      </w:r>
      <w:r>
        <w:rPr>
          <w:rStyle w:val="Hyperlink.0"/>
        </w:rPr>
        <w:fldChar w:fldCharType="begin" w:fldLock="0"/>
      </w:r>
      <w:r>
        <w:rPr>
          <w:rStyle w:val="Hyperlink.0"/>
        </w:rPr>
        <w:instrText xml:space="preserve"> HYPERLINK "https://infraeng.dev/decision-log/"</w:instrText>
      </w:r>
      <w:r>
        <w:rPr>
          <w:rStyle w:val="Hyperlink.0"/>
        </w:rPr>
        <w:fldChar w:fldCharType="separate" w:fldLock="0"/>
      </w:r>
      <w:r>
        <w:rPr>
          <w:rStyle w:val="Hyperlink.0"/>
          <w:rtl w:val="0"/>
        </w:rPr>
        <w:t>Decision Log @ Infrastructure Engineering</w:t>
      </w:r>
      <w:r>
        <w:rPr/>
        <w:fldChar w:fldCharType="end" w:fldLock="0"/>
      </w:r>
    </w:p>
    <w:p>
      <w:pPr>
        <w:pStyle w:val="Body"/>
      </w:pPr>
    </w:p>
    <w:p>
      <w:pPr>
        <w:pStyle w:val="Title"/>
      </w:pPr>
      <w:bookmarkStart w:name="_abc5akyi6h4" w:id="0"/>
      <w:bookmarkEnd w:id="0"/>
      <w:r>
        <w:rPr>
          <w:rStyle w:val="None"/>
          <w:rFonts w:cs="Arial Unicode MS" w:eastAsia="Arial Unicode MS"/>
          <w:rtl w:val="0"/>
          <w:lang w:val="en-US"/>
        </w:rPr>
        <w:t>I</w:t>
      </w:r>
      <w:r>
        <w:rPr>
          <w:rStyle w:val="None"/>
          <w:rFonts w:cs="Arial Unicode MS" w:eastAsia="Arial Unicode MS"/>
          <w:rtl w:val="0"/>
          <w:lang w:val="en-US"/>
        </w:rPr>
        <w:t>nfra Decision Log</w:t>
      </w:r>
    </w:p>
    <w:p>
      <w:pPr>
        <w:pStyle w:val="Body"/>
        <w:rPr>
          <w:rStyle w:val="None"/>
          <w:i w:val="1"/>
          <w:iCs w:val="1"/>
          <w:sz w:val="18"/>
          <w:szCs w:val="18"/>
        </w:rPr>
      </w:pPr>
      <w:r>
        <w:rPr>
          <w:rStyle w:val="None"/>
          <w:i w:val="1"/>
          <w:iCs w:val="1"/>
          <w:sz w:val="20"/>
          <w:szCs w:val="20"/>
          <w:rtl w:val="0"/>
          <w:lang w:val="en-US"/>
        </w:rPr>
        <w:t>Questions? Reach out in #decisions-infra on Slack</w:t>
      </w:r>
    </w:p>
    <w:p>
      <w:pPr>
        <w:pStyle w:val="Body"/>
        <w:rPr>
          <w:rStyle w:val="None"/>
          <w:sz w:val="20"/>
          <w:szCs w:val="20"/>
        </w:rPr>
      </w:pPr>
    </w:p>
    <w:p>
      <w:pPr>
        <w:pStyle w:val="Body"/>
        <w:rPr>
          <w:rStyle w:val="None"/>
          <w:sz w:val="20"/>
          <w:szCs w:val="20"/>
        </w:rPr>
      </w:pPr>
      <w:r>
        <w:rPr>
          <w:rStyle w:val="None"/>
          <w:sz w:val="20"/>
          <w:szCs w:val="20"/>
          <w:rtl w:val="0"/>
          <w:lang w:val="en-US"/>
        </w:rPr>
        <w:t>This document tracks open and finalized decisions for the Infrastructure organization.</w:t>
      </w:r>
    </w:p>
    <w:p>
      <w:pPr>
        <w:pStyle w:val="Heading"/>
      </w:pPr>
      <w:bookmarkStart w:name="_fxlt9mf9r2un" w:id="1"/>
      <w:bookmarkEnd w:id="1"/>
      <w:r>
        <w:rPr>
          <w:rStyle w:val="None"/>
          <w:rFonts w:cs="Arial Unicode MS" w:eastAsia="Arial Unicode MS"/>
          <w:rtl w:val="0"/>
        </w:rPr>
        <w:t>O</w:t>
      </w:r>
      <w:r>
        <w:rPr>
          <w:rStyle w:val="None"/>
          <w:rFonts w:cs="Arial Unicode MS" w:eastAsia="Arial Unicode MS"/>
          <w:rtl w:val="0"/>
          <w:lang w:val="en-US"/>
        </w:rPr>
        <w:t>pen Decisions</w:t>
      </w:r>
    </w:p>
    <w:p>
      <w:pPr>
        <w:pStyle w:val="Body"/>
        <w:rPr>
          <w:rStyle w:val="None"/>
          <w:sz w:val="20"/>
          <w:szCs w:val="20"/>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0"/>
        <w:gridCol w:w="2340"/>
        <w:gridCol w:w="2340"/>
        <w:gridCol w:w="2340"/>
      </w:tblGrid>
      <w:tr>
        <w:tblPrEx>
          <w:shd w:val="clear" w:color="auto" w:fill="ced7e7"/>
        </w:tblPrEx>
        <w:trPr>
          <w:trHeight w:val="233"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Body"/>
              <w:widowControl w:val="0"/>
              <w:spacing w:line="240" w:lineRule="auto"/>
            </w:pPr>
            <w:r>
              <w:rPr>
                <w:rStyle w:val="None"/>
                <w:b w:val="1"/>
                <w:bCs w:val="1"/>
                <w:sz w:val="20"/>
                <w:szCs w:val="20"/>
                <w:rtl w:val="0"/>
                <w:lang w:val="en-US"/>
              </w:rPr>
              <w:t>Question</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Body"/>
              <w:widowControl w:val="0"/>
              <w:spacing w:line="240" w:lineRule="auto"/>
            </w:pPr>
            <w:r>
              <w:rPr>
                <w:rStyle w:val="None"/>
                <w:b w:val="1"/>
                <w:bCs w:val="1"/>
                <w:sz w:val="20"/>
                <w:szCs w:val="20"/>
                <w:rtl w:val="0"/>
                <w:lang w:val="en-US"/>
              </w:rPr>
              <w:t>DRI</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Body"/>
              <w:widowControl w:val="0"/>
              <w:spacing w:line="240" w:lineRule="auto"/>
            </w:pPr>
            <w:r>
              <w:rPr>
                <w:rStyle w:val="None"/>
                <w:b w:val="1"/>
                <w:bCs w:val="1"/>
                <w:sz w:val="20"/>
                <w:szCs w:val="20"/>
                <w:rtl w:val="0"/>
                <w:lang w:val="en-US"/>
              </w:rPr>
              <w:t>Date Added</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Body"/>
              <w:widowControl w:val="0"/>
              <w:spacing w:line="240" w:lineRule="auto"/>
            </w:pPr>
            <w:r>
              <w:rPr>
                <w:rStyle w:val="None"/>
                <w:b w:val="1"/>
                <w:bCs w:val="1"/>
                <w:sz w:val="20"/>
                <w:szCs w:val="20"/>
                <w:rtl w:val="0"/>
                <w:lang w:val="en-US"/>
              </w:rPr>
              <w:t>Notes</w:t>
            </w:r>
          </w:p>
        </w:tc>
      </w:tr>
      <w:tr>
        <w:tblPrEx>
          <w:shd w:val="clear" w:color="auto" w:fill="ced7e7"/>
        </w:tblPrEx>
        <w:trPr>
          <w:trHeight w:val="1553"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sz w:val="20"/>
                <w:szCs w:val="20"/>
                <w:rtl w:val="0"/>
                <w:lang w:val="en-US"/>
              </w:rPr>
              <w:t>Our migration away from the monolith is in year two and almost all new feature work still requires monolith changes. Should we revisit our strategy?</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sz w:val="20"/>
                <w:szCs w:val="20"/>
                <w:rtl w:val="0"/>
                <w:lang w:val="en-US"/>
              </w:rPr>
              <w:t>Michelle</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sz w:val="20"/>
                <w:szCs w:val="20"/>
                <w:rtl w:val="0"/>
                <w:lang w:val="en-US"/>
              </w:rPr>
              <w:t>2022/1/10</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sz w:val="20"/>
                <w:szCs w:val="20"/>
                <w:u w:val="none"/>
                <w:rtl w:val="0"/>
                <w:lang w:val="en-US"/>
              </w:rPr>
              <w:t xml:space="preserve">Discuss in </w:t>
            </w:r>
            <w:r>
              <w:rPr>
                <w:rStyle w:val="None"/>
                <w:sz w:val="20"/>
                <w:szCs w:val="20"/>
                <w:u w:val="single"/>
                <w:rtl w:val="0"/>
                <w:lang w:val="en-US"/>
              </w:rPr>
              <w:t>#decision-monolith</w:t>
            </w:r>
          </w:p>
        </w:tc>
      </w:tr>
      <w:tr>
        <w:tblPrEx>
          <w:shd w:val="clear" w:color="auto" w:fill="ced7e7"/>
        </w:tblPrEx>
        <w:trPr>
          <w:trHeight w:val="893"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sz w:val="20"/>
                <w:szCs w:val="20"/>
                <w:rtl w:val="0"/>
                <w:lang w:val="en-US"/>
              </w:rPr>
              <w:t>How should we prioritize migrating frontend Javascript to TypeScript?</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sz w:val="20"/>
                <w:szCs w:val="20"/>
                <w:rtl w:val="0"/>
                <w:lang w:val="en-US"/>
              </w:rPr>
              <w:t>Elizabeth</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sz w:val="20"/>
                <w:szCs w:val="20"/>
                <w:rtl w:val="0"/>
                <w:lang w:val="en-US"/>
              </w:rPr>
              <w:t>2022/1/17</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sz w:val="20"/>
                <w:szCs w:val="20"/>
                <w:u w:val="none"/>
                <w:rtl w:val="0"/>
                <w:lang w:val="en-US"/>
              </w:rPr>
              <w:t xml:space="preserve">Discuss in </w:t>
            </w:r>
            <w:r>
              <w:rPr>
                <w:rStyle w:val="None"/>
                <w:sz w:val="20"/>
                <w:szCs w:val="20"/>
                <w:u w:val="single"/>
                <w:rtl w:val="0"/>
                <w:lang w:val="en-US"/>
              </w:rPr>
              <w:t>#decision-typescript</w:t>
            </w:r>
          </w:p>
        </w:tc>
      </w:tr>
      <w:tr>
        <w:tblPrEx>
          <w:shd w:val="clear" w:color="auto" w:fill="ced7e7"/>
        </w:tblPrEx>
        <w:trPr>
          <w:trHeight w:val="893"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sz w:val="20"/>
                <w:szCs w:val="20"/>
                <w:rtl w:val="0"/>
                <w:lang w:val="en-US"/>
              </w:rPr>
              <w:t>Should we migrate our internal event collector and storage to Segment?</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sz w:val="20"/>
                <w:szCs w:val="20"/>
                <w:rtl w:val="0"/>
                <w:lang w:val="en-US"/>
              </w:rPr>
              <w:t>Jeremy</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sz w:val="20"/>
                <w:szCs w:val="20"/>
                <w:rtl w:val="0"/>
                <w:lang w:val="en-US"/>
              </w:rPr>
              <w:t>2022/2/1</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sz w:val="20"/>
                <w:szCs w:val="20"/>
                <w:u w:val="none"/>
                <w:rtl w:val="0"/>
                <w:lang w:val="en-US"/>
              </w:rPr>
              <w:t xml:space="preserve">Discuss in </w:t>
            </w:r>
            <w:r>
              <w:rPr>
                <w:rStyle w:val="None"/>
                <w:sz w:val="20"/>
                <w:szCs w:val="20"/>
                <w:u w:val="single"/>
                <w:rtl w:val="0"/>
                <w:lang w:val="en-US"/>
              </w:rPr>
              <w:t>#decision-segment</w:t>
            </w:r>
          </w:p>
        </w:tc>
      </w:tr>
    </w:tbl>
    <w:p>
      <w:pPr>
        <w:pStyle w:val="Body"/>
        <w:widowControl w:val="0"/>
        <w:spacing w:line="240" w:lineRule="auto"/>
        <w:rPr>
          <w:rStyle w:val="None"/>
          <w:sz w:val="20"/>
          <w:szCs w:val="20"/>
        </w:rPr>
      </w:pPr>
    </w:p>
    <w:p>
      <w:pPr>
        <w:pStyle w:val="Body"/>
        <w:rPr>
          <w:rStyle w:val="None"/>
          <w:sz w:val="20"/>
          <w:szCs w:val="20"/>
        </w:rPr>
      </w:pPr>
    </w:p>
    <w:p>
      <w:pPr>
        <w:pStyle w:val="Heading"/>
        <w:rPr>
          <w:rStyle w:val="None"/>
          <w:sz w:val="20"/>
          <w:szCs w:val="20"/>
        </w:rPr>
      </w:pPr>
      <w:bookmarkStart w:name="_ghjy2cr9qk" w:id="2"/>
      <w:bookmarkEnd w:id="2"/>
      <w:r>
        <w:rPr>
          <w:rStyle w:val="None"/>
          <w:rFonts w:cs="Arial Unicode MS" w:eastAsia="Arial Unicode MS"/>
          <w:rtl w:val="0"/>
        </w:rPr>
        <w:t>F</w:t>
      </w:r>
      <w:r>
        <w:rPr>
          <w:rStyle w:val="None"/>
          <w:rFonts w:cs="Arial Unicode MS" w:eastAsia="Arial Unicode MS"/>
          <w:rtl w:val="0"/>
          <w:lang w:val="en-US"/>
        </w:rPr>
        <w:t>inalized Decisions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0"/>
        <w:gridCol w:w="2340"/>
        <w:gridCol w:w="2340"/>
        <w:gridCol w:w="2340"/>
      </w:tblGrid>
      <w:tr>
        <w:tblPrEx>
          <w:shd w:val="clear" w:color="auto" w:fill="ced7e7"/>
        </w:tblPrEx>
        <w:trPr>
          <w:trHeight w:val="233"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Body"/>
              <w:widowControl w:val="0"/>
              <w:spacing w:line="240" w:lineRule="auto"/>
            </w:pPr>
            <w:r>
              <w:rPr>
                <w:rStyle w:val="None"/>
                <w:b w:val="1"/>
                <w:bCs w:val="1"/>
                <w:sz w:val="20"/>
                <w:szCs w:val="20"/>
                <w:rtl w:val="0"/>
                <w:lang w:val="en-US"/>
              </w:rPr>
              <w:t>Decision</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Body"/>
              <w:widowControl w:val="0"/>
              <w:spacing w:line="240" w:lineRule="auto"/>
            </w:pPr>
            <w:r>
              <w:rPr>
                <w:rStyle w:val="None"/>
                <w:b w:val="1"/>
                <w:bCs w:val="1"/>
                <w:sz w:val="20"/>
                <w:szCs w:val="20"/>
                <w:rtl w:val="0"/>
                <w:lang w:val="en-US"/>
              </w:rPr>
              <w:t>DRI</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Body"/>
              <w:widowControl w:val="0"/>
              <w:spacing w:line="240" w:lineRule="auto"/>
            </w:pPr>
            <w:r>
              <w:rPr>
                <w:rStyle w:val="None"/>
                <w:b w:val="1"/>
                <w:bCs w:val="1"/>
                <w:sz w:val="20"/>
                <w:szCs w:val="20"/>
                <w:rtl w:val="0"/>
                <w:lang w:val="en-US"/>
              </w:rPr>
              <w:t>Date Decided</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Body"/>
              <w:widowControl w:val="0"/>
              <w:spacing w:line="240" w:lineRule="auto"/>
            </w:pPr>
            <w:r>
              <w:rPr>
                <w:rStyle w:val="None"/>
                <w:b w:val="1"/>
                <w:bCs w:val="1"/>
                <w:sz w:val="20"/>
                <w:szCs w:val="20"/>
                <w:rtl w:val="0"/>
                <w:lang w:val="en-US"/>
              </w:rPr>
              <w:t>Notes</w:t>
            </w:r>
          </w:p>
        </w:tc>
      </w:tr>
      <w:tr>
        <w:tblPrEx>
          <w:shd w:val="clear" w:color="auto" w:fill="ced7e7"/>
        </w:tblPrEx>
        <w:trPr>
          <w:trHeight w:val="673"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sz w:val="20"/>
                <w:szCs w:val="20"/>
                <w:rtl w:val="0"/>
                <w:lang w:val="en-US"/>
              </w:rPr>
              <w:t>Approved backend languages are Go, Python</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sz w:val="20"/>
                <w:szCs w:val="20"/>
                <w:rtl w:val="0"/>
                <w:lang w:val="en-US"/>
              </w:rPr>
              <w:t>Michelle</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sz w:val="20"/>
                <w:szCs w:val="20"/>
                <w:rtl w:val="0"/>
                <w:lang w:val="en-US"/>
              </w:rPr>
              <w:t>2021/12/5</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sz w:val="20"/>
                <w:szCs w:val="20"/>
                <w:u w:val="single"/>
                <w:rtl w:val="0"/>
                <w:lang w:val="en-US"/>
              </w:rPr>
              <w:t>Backend Language Working Group Summary</w:t>
            </w:r>
          </w:p>
        </w:tc>
      </w:tr>
      <w:tr>
        <w:tblPrEx>
          <w:shd w:val="clear" w:color="auto" w:fill="ced7e7"/>
        </w:tblPrEx>
        <w:trPr>
          <w:trHeight w:val="673"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sz w:val="20"/>
                <w:szCs w:val="20"/>
                <w:rtl w:val="0"/>
                <w:lang w:val="en-US"/>
              </w:rPr>
              <w:t>Ongoing education budget is $1500/person/year</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sz w:val="20"/>
                <w:szCs w:val="20"/>
                <w:rtl w:val="0"/>
                <w:lang w:val="en-US"/>
              </w:rPr>
              <w:t>Jeremy</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sz w:val="20"/>
                <w:szCs w:val="20"/>
                <w:rtl w:val="0"/>
                <w:lang w:val="en-US"/>
              </w:rPr>
              <w:t>2021/2/11</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sz w:val="20"/>
                <w:szCs w:val="20"/>
                <w:u w:val="single"/>
                <w:rtl w:val="0"/>
                <w:lang w:val="en-US"/>
              </w:rPr>
              <w:t>Ongoing Education Policy Update</w:t>
            </w:r>
          </w:p>
        </w:tc>
      </w:tr>
      <w:tr>
        <w:tblPrEx>
          <w:shd w:val="clear" w:color="auto" w:fill="ced7e7"/>
        </w:tblPrEx>
        <w:trPr>
          <w:trHeight w:val="673"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sz w:val="20"/>
                <w:szCs w:val="20"/>
                <w:rtl w:val="0"/>
                <w:lang w:val="en-US"/>
              </w:rPr>
              <w:t>SREs share career ladder with Infrastructure Engineers</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sz w:val="20"/>
                <w:szCs w:val="20"/>
                <w:rtl w:val="0"/>
                <w:lang w:val="en-US"/>
              </w:rPr>
              <w:t>Elizabeth</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sz w:val="20"/>
                <w:szCs w:val="20"/>
                <w:rtl w:val="0"/>
                <w:lang w:val="en-US"/>
              </w:rPr>
              <w:t>2021/1/5</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sz w:val="20"/>
                <w:szCs w:val="20"/>
                <w:u w:val="single"/>
                <w:rtl w:val="0"/>
                <w:lang w:val="en-US"/>
              </w:rPr>
              <w:t>Why We</w:t>
            </w:r>
            <w:r>
              <w:rPr>
                <w:rStyle w:val="None"/>
                <w:sz w:val="20"/>
                <w:szCs w:val="20"/>
                <w:u w:val="single"/>
                <w:rtl w:val="0"/>
                <w:lang w:val="en-US"/>
              </w:rPr>
              <w:t>’</w:t>
            </w:r>
            <w:r>
              <w:rPr>
                <w:rStyle w:val="None"/>
                <w:sz w:val="20"/>
                <w:szCs w:val="20"/>
                <w:u w:val="single"/>
                <w:rtl w:val="0"/>
                <w:lang w:val="en-US"/>
              </w:rPr>
              <w:t>re Sharing Career Ladder Between SRE and Infra Eng</w:t>
            </w:r>
          </w:p>
        </w:tc>
      </w:tr>
    </w:tbl>
    <w:p>
      <w:pPr>
        <w:pStyle w:val="Heading"/>
        <w:widowControl w:val="0"/>
        <w:spacing w:line="240" w:lineRule="auto"/>
        <w:rPr>
          <w:rStyle w:val="None"/>
          <w:sz w:val="20"/>
          <w:szCs w:val="20"/>
        </w:rPr>
      </w:pPr>
    </w:p>
    <w:p>
      <w:pPr>
        <w:pStyle w:val="Default"/>
        <w:bidi w:val="0"/>
        <w:spacing w:after="240"/>
        <w:ind w:left="0" w:right="0" w:firstLine="0"/>
        <w:jc w:val="left"/>
        <w:rPr>
          <w:rStyle w:val="None"/>
          <w:rFonts w:ascii="Times" w:cs="Times" w:hAnsi="Times" w:eastAsia="Times"/>
          <w:sz w:val="20"/>
          <w:szCs w:val="20"/>
          <w:rtl w:val="0"/>
        </w:rPr>
      </w:pPr>
    </w:p>
    <w:p>
      <w:pPr>
        <w:pStyle w:val="Default"/>
        <w:bidi w:val="0"/>
        <w:spacing w:after="322"/>
        <w:ind w:left="0" w:right="0" w:firstLine="0"/>
        <w:jc w:val="left"/>
        <w:rPr>
          <w:rStyle w:val="None"/>
          <w:rFonts w:ascii="Times" w:cs="Times" w:hAnsi="Times" w:eastAsia="Times"/>
          <w:b w:val="1"/>
          <w:bCs w:val="1"/>
          <w:sz w:val="20"/>
          <w:szCs w:val="20"/>
          <w:rtl w:val="0"/>
        </w:rPr>
      </w:pPr>
      <w:r>
        <w:rPr>
          <w:rFonts w:ascii="Times" w:hAnsi="Times"/>
          <w:b w:val="1"/>
          <w:bCs w:val="1"/>
          <w:sz w:val="32"/>
          <w:szCs w:val="32"/>
          <w:rtl w:val="0"/>
          <w:lang w:val="en-US"/>
        </w:rPr>
        <w:t>Technical Spike</w:t>
      </w:r>
    </w:p>
    <w:p>
      <w:pPr>
        <w:pStyle w:val="Default"/>
        <w:bidi w:val="0"/>
        <w:spacing w:after="240"/>
        <w:ind w:left="0" w:right="0" w:firstLine="0"/>
        <w:jc w:val="left"/>
        <w:rPr>
          <w:rFonts w:ascii="Times" w:cs="Times" w:hAnsi="Times" w:eastAsia="Times"/>
          <w:sz w:val="24"/>
          <w:szCs w:val="24"/>
          <w:rtl w:val="0"/>
        </w:rPr>
      </w:pPr>
      <w:r>
        <w:rPr>
          <w:rFonts w:ascii="Times" w:hAnsi="Times"/>
          <w:sz w:val="24"/>
          <w:szCs w:val="24"/>
          <w:rtl w:val="0"/>
          <w:lang w:val="en-US"/>
        </w:rPr>
        <w:t>A spike in a sprint can be used in a number of ways:</w:t>
      </w:r>
    </w:p>
    <w:p>
      <w:pPr>
        <w:pStyle w:val="Default"/>
        <w:numPr>
          <w:ilvl w:val="0"/>
          <w:numId w:val="2"/>
        </w:numPr>
        <w:bidi w:val="0"/>
        <w:ind w:right="0"/>
        <w:jc w:val="left"/>
        <w:rPr>
          <w:rFonts w:ascii="Times" w:hAnsi="Times"/>
          <w:sz w:val="24"/>
          <w:szCs w:val="24"/>
          <w:rtl w:val="0"/>
          <w:lang w:val="en-US"/>
        </w:rPr>
      </w:pPr>
      <w:r>
        <w:rPr>
          <w:rFonts w:ascii="Times" w:hAnsi="Times"/>
          <w:sz w:val="24"/>
          <w:szCs w:val="24"/>
          <w:rtl w:val="0"/>
          <w:lang w:val="en-US"/>
        </w:rPr>
        <w:t>As a way to familiarize the team with new hardware or software</w:t>
      </w:r>
    </w:p>
    <w:p>
      <w:pPr>
        <w:pStyle w:val="Default"/>
        <w:numPr>
          <w:ilvl w:val="0"/>
          <w:numId w:val="2"/>
        </w:numPr>
        <w:bidi w:val="0"/>
        <w:ind w:right="0"/>
        <w:jc w:val="left"/>
        <w:rPr>
          <w:rFonts w:ascii="Times" w:hAnsi="Times"/>
          <w:sz w:val="24"/>
          <w:szCs w:val="24"/>
          <w:rtl w:val="0"/>
          <w:lang w:val="en-US"/>
        </w:rPr>
      </w:pPr>
      <w:r>
        <w:rPr>
          <w:rFonts w:ascii="Times" w:hAnsi="Times"/>
          <w:sz w:val="24"/>
          <w:szCs w:val="24"/>
          <w:rtl w:val="0"/>
          <w:lang w:val="en-US"/>
        </w:rPr>
        <w:t>To analyze a problem thoroughly and assist in properly dividing work among separate team members.</w:t>
      </w:r>
    </w:p>
    <w:p>
      <w:pPr>
        <w:pStyle w:val="Default"/>
        <w:numPr>
          <w:ilvl w:val="0"/>
          <w:numId w:val="2"/>
        </w:numPr>
        <w:bidi w:val="0"/>
        <w:ind w:right="0"/>
        <w:jc w:val="left"/>
        <w:rPr>
          <w:rFonts w:ascii="Times" w:hAnsi="Times"/>
          <w:sz w:val="24"/>
          <w:szCs w:val="24"/>
          <w:rtl w:val="0"/>
          <w:lang w:val="en-US"/>
        </w:rPr>
      </w:pPr>
      <w:r>
        <w:rPr>
          <w:rFonts w:ascii="Times" w:hAnsi="Times"/>
          <w:sz w:val="24"/>
          <w:szCs w:val="24"/>
          <w:rtl w:val="0"/>
          <w:lang w:val="en-US"/>
        </w:rPr>
        <w:t>Spike tests can also be used to mitigate future risk, and may uncover additional issues that have escaped notice.</w:t>
      </w:r>
    </w:p>
    <w:p>
      <w:pPr>
        <w:pStyle w:val="Default"/>
        <w:bidi w:val="0"/>
        <w:spacing w:after="240"/>
        <w:ind w:left="0" w:right="0" w:firstLine="0"/>
        <w:jc w:val="left"/>
        <w:rPr>
          <w:rFonts w:ascii="Times" w:cs="Times" w:hAnsi="Times" w:eastAsia="Times"/>
          <w:sz w:val="24"/>
          <w:szCs w:val="24"/>
          <w:rtl w:val="0"/>
        </w:rPr>
      </w:pPr>
      <w:r>
        <w:rPr>
          <w:rFonts w:ascii="Times" w:hAnsi="Times"/>
          <w:sz w:val="24"/>
          <w:szCs w:val="24"/>
          <w:rtl w:val="0"/>
          <w:lang w:val="en-US"/>
        </w:rPr>
        <w:t>A distinction can be made between technical spikes and functional spikes. The technical spike is used more often for evaluating the impact new technology has on the current implementation. A functional spike is used to determine the interaction with a new feature or implementation.</w:t>
      </w:r>
    </w:p>
    <w:p>
      <w:pPr>
        <w:pStyle w:val="Default"/>
        <w:bidi w:val="0"/>
        <w:spacing w:after="240"/>
        <w:ind w:left="0" w:right="0" w:firstLine="0"/>
        <w:jc w:val="left"/>
        <w:rPr>
          <w:rFonts w:ascii="Times" w:cs="Times" w:hAnsi="Times" w:eastAsia="Times"/>
          <w:sz w:val="24"/>
          <w:szCs w:val="24"/>
          <w:rtl w:val="0"/>
        </w:rPr>
      </w:pPr>
      <w:r>
        <w:rPr>
          <w:rStyle w:val="Hyperlink.1"/>
          <w:rFonts w:ascii="Times" w:cs="Times" w:hAnsi="Times" w:eastAsia="Times"/>
          <w:sz w:val="24"/>
          <w:szCs w:val="24"/>
          <w:rtl w:val="0"/>
        </w:rPr>
        <w:fldChar w:fldCharType="begin" w:fldLock="0"/>
      </w:r>
      <w:r>
        <w:rPr>
          <w:rStyle w:val="Hyperlink.1"/>
          <w:rFonts w:ascii="Times" w:cs="Times" w:hAnsi="Times" w:eastAsia="Times"/>
          <w:sz w:val="24"/>
          <w:szCs w:val="24"/>
          <w:rtl w:val="0"/>
        </w:rPr>
        <w:instrText xml:space="preserve"> HYPERLINK "https://playbook.microsoft.com/code-with-engineering/design/design-reviews/recipes/engineering-feasibility-spikes/"</w:instrText>
      </w:r>
      <w:r>
        <w:rPr>
          <w:rStyle w:val="Hyperlink.1"/>
          <w:rFonts w:ascii="Times" w:cs="Times" w:hAnsi="Times" w:eastAsia="Times"/>
          <w:sz w:val="24"/>
          <w:szCs w:val="24"/>
          <w:rtl w:val="0"/>
        </w:rPr>
        <w:fldChar w:fldCharType="separate" w:fldLock="0"/>
      </w:r>
      <w:r>
        <w:rPr>
          <w:rStyle w:val="Hyperlink.1"/>
          <w:rFonts w:ascii="Times" w:hAnsi="Times"/>
          <w:sz w:val="24"/>
          <w:szCs w:val="24"/>
          <w:rtl w:val="0"/>
          <w:lang w:val="en-US"/>
        </w:rPr>
        <w:t>Engineering feasibility spikes</w:t>
      </w:r>
      <w:r>
        <w:rPr>
          <w:rFonts w:ascii="Times" w:cs="Times" w:hAnsi="Times" w:eastAsia="Times"/>
          <w:sz w:val="24"/>
          <w:szCs w:val="24"/>
          <w:rtl w:val="0"/>
        </w:rPr>
        <w:fldChar w:fldCharType="end" w:fldLock="0"/>
      </w:r>
      <w:r>
        <w:rPr>
          <w:rFonts w:ascii="Times" w:hAnsi="Times"/>
          <w:sz w:val="24"/>
          <w:szCs w:val="24"/>
          <w:rtl w:val="0"/>
          <w:lang w:val="en-US"/>
        </w:rPr>
        <w:t xml:space="preserve"> can also be conducted to de-risk an engagement and increase the team's understanding.</w:t>
      </w:r>
    </w:p>
    <w:p>
      <w:pPr>
        <w:pStyle w:val="Default"/>
        <w:bidi w:val="0"/>
        <w:spacing w:after="299"/>
        <w:ind w:left="0" w:right="0" w:firstLine="0"/>
        <w:jc w:val="left"/>
        <w:rPr>
          <w:rFonts w:ascii="Times" w:cs="Times" w:hAnsi="Times" w:eastAsia="Times"/>
          <w:b w:val="1"/>
          <w:bCs w:val="1"/>
          <w:sz w:val="36"/>
          <w:szCs w:val="36"/>
          <w:rtl w:val="0"/>
        </w:rPr>
      </w:pPr>
      <w:r>
        <w:rPr>
          <w:rFonts w:ascii="Times" w:hAnsi="Times"/>
          <w:b w:val="1"/>
          <w:bCs w:val="1"/>
          <w:sz w:val="36"/>
          <w:szCs w:val="36"/>
          <w:rtl w:val="0"/>
          <w:lang w:val="en-US"/>
        </w:rPr>
        <w:t>Exception constructs</w:t>
      </w:r>
      <w:r>
        <w:rPr>
          <w:rStyle w:val="Hyperlink.1"/>
          <w:rFonts w:ascii="Times" w:cs="Times" w:hAnsi="Times" w:eastAsia="Times"/>
          <w:b w:val="1"/>
          <w:bCs w:val="1"/>
          <w:sz w:val="36"/>
          <w:szCs w:val="36"/>
          <w:rtl w:val="0"/>
        </w:rPr>
        <w:fldChar w:fldCharType="begin" w:fldLock="0"/>
      </w:r>
      <w:r>
        <w:rPr>
          <w:rStyle w:val="Hyperlink.1"/>
          <w:rFonts w:ascii="Times" w:cs="Times" w:hAnsi="Times" w:eastAsia="Times"/>
          <w:b w:val="1"/>
          <w:bCs w:val="1"/>
          <w:sz w:val="36"/>
          <w:szCs w:val="36"/>
          <w:rtl w:val="0"/>
        </w:rPr>
        <w:instrText xml:space="preserve"> HYPERLINK "https://playbook.microsoft.com/code-with-engineering/design/exception-handling/readme/#exception-constructs"</w:instrText>
      </w:r>
      <w:r>
        <w:rPr>
          <w:rStyle w:val="Hyperlink.1"/>
          <w:rFonts w:ascii="Times" w:cs="Times" w:hAnsi="Times" w:eastAsia="Times"/>
          <w:b w:val="1"/>
          <w:bCs w:val="1"/>
          <w:sz w:val="36"/>
          <w:szCs w:val="36"/>
          <w:rtl w:val="0"/>
        </w:rPr>
        <w:fldChar w:fldCharType="separate" w:fldLock="0"/>
      </w:r>
      <w:r>
        <w:rPr>
          <w:rStyle w:val="Hyperlink.1"/>
          <w:rFonts w:ascii="Times" w:hAnsi="Times" w:hint="default"/>
          <w:b w:val="1"/>
          <w:bCs w:val="1"/>
          <w:sz w:val="36"/>
          <w:szCs w:val="36"/>
          <w:rtl w:val="0"/>
        </w:rPr>
        <w:t>¶</w:t>
      </w:r>
      <w:r>
        <w:rPr>
          <w:rFonts w:ascii="Times" w:cs="Times" w:hAnsi="Times" w:eastAsia="Times"/>
          <w:b w:val="1"/>
          <w:bCs w:val="1"/>
          <w:sz w:val="36"/>
          <w:szCs w:val="36"/>
          <w:rtl w:val="0"/>
        </w:rPr>
        <w:fldChar w:fldCharType="end" w:fldLock="0"/>
      </w:r>
    </w:p>
    <w:p>
      <w:pPr>
        <w:pStyle w:val="Default"/>
        <w:bidi w:val="0"/>
        <w:spacing w:after="240"/>
        <w:ind w:left="0" w:right="0" w:firstLine="0"/>
        <w:jc w:val="left"/>
        <w:rPr>
          <w:rFonts w:ascii="Times" w:cs="Times" w:hAnsi="Times" w:eastAsia="Times"/>
          <w:sz w:val="24"/>
          <w:szCs w:val="24"/>
          <w:rtl w:val="0"/>
        </w:rPr>
      </w:pPr>
      <w:r>
        <w:rPr>
          <w:rFonts w:ascii="Times" w:hAnsi="Times"/>
          <w:sz w:val="24"/>
          <w:szCs w:val="24"/>
          <w:rtl w:val="0"/>
          <w:lang w:val="en-US"/>
        </w:rPr>
        <w:t>Almost all language platforms offer a construct of exception or equivalent to handle error scenarios. The underlying platform, used libraries or the authored code can "throw" exceptions to initiate an error flow. Some of the advantages of using exceptions are -</w:t>
      </w:r>
    </w:p>
    <w:p>
      <w:pPr>
        <w:pStyle w:val="Default"/>
        <w:numPr>
          <w:ilvl w:val="0"/>
          <w:numId w:val="4"/>
        </w:numPr>
        <w:bidi w:val="0"/>
        <w:ind w:right="0"/>
        <w:jc w:val="left"/>
        <w:rPr>
          <w:rFonts w:ascii="Times" w:hAnsi="Times"/>
          <w:sz w:val="24"/>
          <w:szCs w:val="24"/>
          <w:rtl w:val="0"/>
          <w:lang w:val="en-US"/>
        </w:rPr>
      </w:pPr>
      <w:r>
        <w:rPr>
          <w:rFonts w:ascii="Times" w:hAnsi="Times"/>
          <w:sz w:val="24"/>
          <w:szCs w:val="24"/>
          <w:rtl w:val="0"/>
          <w:lang w:val="en-US"/>
        </w:rPr>
        <w:t>Abstract different kind of errors</w:t>
      </w:r>
    </w:p>
    <w:p>
      <w:pPr>
        <w:pStyle w:val="Default"/>
        <w:numPr>
          <w:ilvl w:val="0"/>
          <w:numId w:val="4"/>
        </w:numPr>
        <w:bidi w:val="0"/>
        <w:ind w:right="0"/>
        <w:jc w:val="left"/>
        <w:rPr>
          <w:rFonts w:ascii="Times" w:hAnsi="Times"/>
          <w:sz w:val="24"/>
          <w:szCs w:val="24"/>
          <w:rtl w:val="0"/>
          <w:lang w:val="en-US"/>
        </w:rPr>
      </w:pPr>
      <w:r>
        <w:rPr>
          <w:rFonts w:ascii="Times" w:hAnsi="Times"/>
          <w:sz w:val="24"/>
          <w:szCs w:val="24"/>
          <w:rtl w:val="0"/>
          <w:lang w:val="en-US"/>
        </w:rPr>
        <w:t>Breaks the control flow from different code structures</w:t>
      </w:r>
    </w:p>
    <w:p>
      <w:pPr>
        <w:pStyle w:val="Default"/>
        <w:numPr>
          <w:ilvl w:val="0"/>
          <w:numId w:val="4"/>
        </w:numPr>
        <w:bidi w:val="0"/>
        <w:ind w:right="0"/>
        <w:jc w:val="left"/>
        <w:rPr>
          <w:rFonts w:ascii="Times" w:hAnsi="Times"/>
          <w:sz w:val="24"/>
          <w:szCs w:val="24"/>
          <w:rtl w:val="0"/>
          <w:lang w:val="en-US"/>
        </w:rPr>
      </w:pPr>
      <w:r>
        <w:rPr>
          <w:rFonts w:ascii="Times" w:hAnsi="Times"/>
          <w:sz w:val="24"/>
          <w:szCs w:val="24"/>
          <w:rtl w:val="0"/>
          <w:lang w:val="en-US"/>
        </w:rPr>
        <w:t>Navigate the call stack till the right catch block is identified</w:t>
      </w:r>
    </w:p>
    <w:p>
      <w:pPr>
        <w:pStyle w:val="Default"/>
        <w:numPr>
          <w:ilvl w:val="0"/>
          <w:numId w:val="4"/>
        </w:numPr>
        <w:bidi w:val="0"/>
        <w:ind w:right="0"/>
        <w:jc w:val="left"/>
        <w:rPr>
          <w:rFonts w:ascii="Times" w:hAnsi="Times"/>
          <w:sz w:val="24"/>
          <w:szCs w:val="24"/>
          <w:rtl w:val="0"/>
          <w:lang w:val="en-US"/>
        </w:rPr>
      </w:pPr>
      <w:r>
        <w:rPr>
          <w:rFonts w:ascii="Times" w:hAnsi="Times"/>
          <w:sz w:val="24"/>
          <w:szCs w:val="24"/>
          <w:rtl w:val="0"/>
          <w:lang w:val="en-US"/>
        </w:rPr>
        <w:t>Automatic collection of call stack</w:t>
      </w:r>
    </w:p>
    <w:p>
      <w:pPr>
        <w:pStyle w:val="Default"/>
        <w:numPr>
          <w:ilvl w:val="0"/>
          <w:numId w:val="4"/>
        </w:numPr>
        <w:bidi w:val="0"/>
        <w:ind w:right="0"/>
        <w:jc w:val="left"/>
        <w:rPr>
          <w:rFonts w:ascii="Times" w:hAnsi="Times"/>
          <w:sz w:val="24"/>
          <w:szCs w:val="24"/>
          <w:rtl w:val="0"/>
          <w:lang w:val="en-US"/>
        </w:rPr>
      </w:pPr>
      <w:r>
        <w:rPr>
          <w:rFonts w:ascii="Times" w:hAnsi="Times"/>
          <w:sz w:val="24"/>
          <w:szCs w:val="24"/>
          <w:rtl w:val="0"/>
          <w:lang w:val="en-US"/>
        </w:rPr>
        <w:t>Define different error handling flows thru multiple catch blocks</w:t>
      </w:r>
    </w:p>
    <w:p>
      <w:pPr>
        <w:pStyle w:val="Default"/>
        <w:numPr>
          <w:ilvl w:val="0"/>
          <w:numId w:val="4"/>
        </w:numPr>
        <w:bidi w:val="0"/>
        <w:ind w:right="0"/>
        <w:jc w:val="left"/>
        <w:rPr>
          <w:rFonts w:ascii="Times" w:hAnsi="Times"/>
          <w:sz w:val="24"/>
          <w:szCs w:val="24"/>
          <w:rtl w:val="0"/>
          <w:lang w:val="en-US"/>
        </w:rPr>
      </w:pPr>
      <w:r>
        <w:rPr>
          <w:rFonts w:ascii="Times" w:hAnsi="Times"/>
          <w:sz w:val="24"/>
          <w:szCs w:val="24"/>
          <w:rtl w:val="0"/>
          <w:lang w:val="en-US"/>
        </w:rPr>
        <w:t>Define finally block to cleanup resources</w:t>
      </w:r>
    </w:p>
    <w:p>
      <w:pPr>
        <w:pStyle w:val="Default"/>
        <w:bidi w:val="0"/>
        <w:spacing w:after="240"/>
        <w:ind w:left="0" w:right="0" w:firstLine="0"/>
        <w:jc w:val="left"/>
        <w:rPr>
          <w:rtl w:val="0"/>
        </w:rPr>
      </w:pPr>
      <w:r>
        <w:rPr>
          <w:rFonts w:ascii="Times" w:cs="Times" w:hAnsi="Times" w:eastAsia="Times"/>
          <w:sz w:val="24"/>
          <w:szCs w:val="24"/>
          <w:rtl w:val="0"/>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i w:val="1"/>
      <w:iCs w:val="1"/>
      <w:outline w:val="0"/>
      <w:color w:val="1155cc"/>
      <w:sz w:val="20"/>
      <w:szCs w:val="20"/>
      <w:u w:val="single" w:color="1155cc"/>
      <w14:textFill>
        <w14:solidFill>
          <w14:srgbClr w14:val="1155CC"/>
        </w14:solidFill>
      </w14:textFill>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52"/>
      <w:szCs w:val="52"/>
      <w:u w:val="none" w:color="000000"/>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numbering" w:styleId="Bullets">
    <w:name w:val="Bullets"/>
    <w:pPr>
      <w:numPr>
        <w:numId w:val="1"/>
      </w:numPr>
    </w:pPr>
  </w:style>
  <w:style w:type="character" w:styleId="Hyperlink.1">
    <w:name w:val="Hyperlink.1"/>
    <w:basedOn w:val="None"/>
    <w:next w:val="Hyperlink.1"/>
    <w:rPr>
      <w:outline w:val="0"/>
      <w:color w:val="0000ee"/>
      <w:u w:val="single"/>
      <w14:textFill>
        <w14:solidFill>
          <w14:srgbClr w14:val="0000EE"/>
        </w14:solidFill>
      </w14:textFill>
    </w:r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