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46AB6418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1443E2BD" w:rsidR="00DC6E29" w:rsidRDefault="00DC6E29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3AF604E1" wp14:editId="539EF5AD">
            <wp:extent cx="560705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949E3F8" w:rsidR="00A64812" w:rsidRDefault="00FD1CDD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00ABE01" wp14:editId="0D567818">
            <wp:extent cx="4006850" cy="1352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0CA680AA" w:rsidR="0067071E" w:rsidRDefault="00FD1CDD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E98A712" wp14:editId="64402A60">
            <wp:extent cx="400685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 xml:space="preserve">, el usuario </w:t>
      </w:r>
      <w:r w:rsidR="00456E37">
        <w:rPr>
          <w:rFonts w:ascii="Arial" w:hAnsi="Arial" w:cs="Arial"/>
          <w:sz w:val="24"/>
          <w:szCs w:val="24"/>
          <w:lang w:val="es-MX"/>
        </w:rPr>
        <w:lastRenderedPageBreak/>
        <w:t>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700638" w14:textId="0CD15808" w:rsidR="00507C52" w:rsidRDefault="00A54F8B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562AF276" w14:textId="48A4849D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805C84" w14:textId="596A19D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66EC198" w14:textId="16840C8C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- Como se puede visualizar en la ventana que informa los cambios ejecutados sobre un archivo, entre estos cambios el listado de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 xml:space="preserve">tienen servicio es copiado en las columnas Q, R y S de la hoja </w:t>
      </w:r>
      <w:r>
        <w:rPr>
          <w:rFonts w:ascii="Arial" w:hAnsi="Arial" w:cs="Arial"/>
          <w:b/>
          <w:sz w:val="24"/>
          <w:szCs w:val="24"/>
          <w:lang w:val="es-MX"/>
        </w:rPr>
        <w:t xml:space="preserve">INFORME SOLICITUDES </w:t>
      </w:r>
      <w:r>
        <w:rPr>
          <w:rFonts w:ascii="Arial" w:hAnsi="Arial" w:cs="Arial"/>
          <w:sz w:val="24"/>
          <w:szCs w:val="24"/>
          <w:lang w:val="es-MX"/>
        </w:rPr>
        <w:t>respectivamente.</w:t>
      </w:r>
    </w:p>
    <w:p w14:paraId="62E21978" w14:textId="77777777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C2300A" w14:textId="16F7FCC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810416B" wp14:editId="46947987">
            <wp:extent cx="5607050" cy="314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B650" w14:textId="03C3E83E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B14973" w14:textId="0F12E363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usuario selecciona toda la lista y con </w:t>
      </w:r>
      <w:r>
        <w:rPr>
          <w:rFonts w:ascii="Arial" w:hAnsi="Arial" w:cs="Arial"/>
          <w:b/>
          <w:sz w:val="24"/>
          <w:szCs w:val="24"/>
          <w:lang w:val="es-MX"/>
        </w:rPr>
        <w:t xml:space="preserve">CTRL – X </w:t>
      </w:r>
      <w:r>
        <w:rPr>
          <w:rFonts w:ascii="Arial" w:hAnsi="Arial" w:cs="Arial"/>
          <w:sz w:val="24"/>
          <w:szCs w:val="24"/>
          <w:lang w:val="es-MX"/>
        </w:rPr>
        <w:t>puede trasladar el listado al espacio de la hoja que mejor le convenga para el avance</w:t>
      </w:r>
    </w:p>
    <w:p w14:paraId="62A9FE7E" w14:textId="2E950416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5CA9171" w14:textId="673A6088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1603E5B" w14:textId="355B4D32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al momento de modificar el archivo con la aplicación,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 xml:space="preserve">, la diferencia es que, para este caso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Soacha.</w:t>
      </w:r>
    </w:p>
    <w:p w14:paraId="6AF8A9CE" w14:textId="60973700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25DBE2" w14:textId="21226884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5DD0B50" wp14:editId="2D38387D">
            <wp:extent cx="5607050" cy="314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4BF39E65" w:rsidR="00FF6BAA" w:rsidRPr="0033518B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pude visualizar, el programa le asigna este valor de forma automática.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77777777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A0B02"/>
    <w:rsid w:val="00507C52"/>
    <w:rsid w:val="00627CC0"/>
    <w:rsid w:val="0067071E"/>
    <w:rsid w:val="00683570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DC6E29"/>
    <w:rsid w:val="00E4417D"/>
    <w:rsid w:val="00E82FF9"/>
    <w:rsid w:val="00E92ECE"/>
    <w:rsid w:val="00EC314C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42</cp:revision>
  <dcterms:created xsi:type="dcterms:W3CDTF">2024-07-25T14:16:00Z</dcterms:created>
  <dcterms:modified xsi:type="dcterms:W3CDTF">2024-08-08T19:43:00Z</dcterms:modified>
</cp:coreProperties>
</file>