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rFonts w:ascii="Montserrat Medium" w:cs="Montserrat Medium" w:eastAsia="Montserrat Medium" w:hAnsi="Montserrat Medium"/>
          <w:color w:val="333333"/>
          <w:sz w:val="72"/>
          <w:szCs w:val="72"/>
        </w:rPr>
      </w:pPr>
      <w:bookmarkStart w:colFirst="0" w:colLast="0" w:name="_fivgiv2b8w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5623560</wp:posOffset>
                </wp:positionH>
                <wp:positionV relativeFrom="page">
                  <wp:posOffset>8577072</wp:posOffset>
                </wp:positionV>
                <wp:extent cx="1395413" cy="873848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1395413" cy="873848"/>
                          <a:chOff x="152400" y="152400"/>
                          <a:chExt cx="9448825" cy="5914750"/>
                        </a:xfrm>
                      </wpg:grpSpPr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1" cy="5914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5623560</wp:posOffset>
                </wp:positionH>
                <wp:positionV relativeFrom="page">
                  <wp:posOffset>8577072</wp:posOffset>
                </wp:positionV>
                <wp:extent cx="1395413" cy="873848"/>
                <wp:effectExtent b="0" l="0" r="0" t="0"/>
                <wp:wrapSquare wrapText="bothSides" distB="114300" distT="114300" distL="114300" distR="11430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5413" cy="8738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9445752</wp:posOffset>
                </wp:positionV>
                <wp:extent cx="7580376" cy="12573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-160125" y="-260175"/>
                          <a:ext cx="9913800" cy="1461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720" w:right="0" w:firstLine="72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9445752</wp:posOffset>
                </wp:positionV>
                <wp:extent cx="7580376" cy="12573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0376" cy="1257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color w:val="940101"/>
        </w:rPr>
      </w:pPr>
      <w:bookmarkStart w:colFirst="0" w:colLast="0" w:name="_z09f3qwn0zmi" w:id="1"/>
      <w:bookmarkEnd w:id="1"/>
      <w:r w:rsidDel="00000000" w:rsidR="00000000" w:rsidRPr="00000000">
        <w:rPr>
          <w:color w:val="940101"/>
          <w:rtl w:val="0"/>
        </w:rPr>
        <w:t xml:space="preserve">EASE checklist</w:t>
      </w:r>
    </w:p>
    <w:p w:rsidR="00000000" w:rsidDel="00000000" w:rsidP="00000000" w:rsidRDefault="00000000" w:rsidRPr="00000000" w14:paraId="00000007">
      <w:pPr>
        <w:pStyle w:val="Subtitle"/>
        <w:jc w:val="center"/>
        <w:rPr>
          <w:rFonts w:ascii="Manrope" w:cs="Manrope" w:eastAsia="Manrope" w:hAnsi="Manrope"/>
        </w:rPr>
      </w:pPr>
      <w:bookmarkStart w:colFirst="0" w:colLast="0" w:name="_qo8vafbwmrup" w:id="2"/>
      <w:bookmarkEnd w:id="2"/>
      <w:r w:rsidDel="00000000" w:rsidR="00000000" w:rsidRPr="00000000">
        <w:rPr>
          <w:rFonts w:ascii="Manrope" w:cs="Manrope" w:eastAsia="Manrope" w:hAnsi="Manrope"/>
          <w:rtl w:val="0"/>
        </w:rPr>
        <w:t xml:space="preserve">Reduce cognitive load in data-rich repositories with EASE</w:t>
      </w:r>
    </w:p>
    <w:p w:rsidR="00000000" w:rsidDel="00000000" w:rsidP="00000000" w:rsidRDefault="00000000" w:rsidRPr="00000000" w14:paraId="00000008">
      <w:pPr>
        <w:pStyle w:val="Heading2"/>
        <w:rPr>
          <w:rFonts w:ascii="Montserrat" w:cs="Montserrat" w:eastAsia="Montserrat" w:hAnsi="Montserrat"/>
          <w:b w:val="0"/>
          <w:bCs w:val="0"/>
          <w:color w:val="000000"/>
          <w:sz w:val="32"/>
          <w:szCs w:val="32"/>
        </w:rPr>
      </w:pPr>
      <w:bookmarkStart w:colFirst="0" w:colLast="0" w:name="_elqusk4g3rm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gvfkq69ay1r8" w:id="4"/>
      <w:bookmarkEnd w:id="4"/>
      <w:r w:rsidDel="00000000" w:rsidR="00000000" w:rsidRPr="00000000">
        <w:rPr>
          <w:rtl w:val="0"/>
        </w:rPr>
        <w:t xml:space="preserve">A practical cognitive accessibility checklist for websites and services</w:t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checklist is a practical design and review aid. It contains a set of questions to keep in mind while designing or reviewing a page, feature, or workflow.</w:t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It is not a full accessibility audit.</w:t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more detail, see the COGA guidance and the GOV.UK cognitive accessibility guidelines in the resources below.</w:t>
      </w:r>
    </w:p>
    <w:p w:rsidR="00000000" w:rsidDel="00000000" w:rsidP="00000000" w:rsidRDefault="00000000" w:rsidRPr="00000000" w14:paraId="00000010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ahy3plj9xu00" w:id="5"/>
      <w:bookmarkEnd w:id="5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EASE principles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Explain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Help users understand what things are and how to use them.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Arrange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Help users find what they need and follow a clear structure.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Simplify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Use clear content and remove unnecessary complexity.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Enable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Support users with errors, memory, help, and personalisation.</w:t>
      </w:r>
    </w:p>
    <w:p w:rsidR="00000000" w:rsidDel="00000000" w:rsidP="00000000" w:rsidRDefault="00000000" w:rsidRPr="00000000" w14:paraId="00000015">
      <w:pPr>
        <w:pStyle w:val="Heading2"/>
        <w:rPr>
          <w:rFonts w:ascii="Montserrat" w:cs="Montserrat" w:eastAsia="Montserrat" w:hAnsi="Montserrat"/>
          <w:b w:val="0"/>
          <w:bCs w:val="0"/>
          <w:color w:val="000000"/>
          <w:sz w:val="32"/>
          <w:szCs w:val="32"/>
        </w:rPr>
      </w:pPr>
      <w:bookmarkStart w:colFirst="0" w:colLast="0" w:name="_hyxnxbp1smb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mz8ka2cjeii8" w:id="7"/>
      <w:bookmarkEnd w:id="7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How to use this checklist</w:t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 it as a quality standard: ask these questions during design, and ask them again when reviewing the page.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Tick the checkbox next to each statement if it is true for your website or service.</w:t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you are not sure, treat it as something to investigate.</w:t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Done is better than perfect: even a few improvements can make a real difference to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kbaxzn6rnym3" w:id="8"/>
      <w:bookmarkEnd w:id="8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COGA guideline areas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Help users understand what things are and how to use them.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Help users find what they need.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 clear and understandable content.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Help users avoid mistakes and know how to correct them.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Help users focus.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Ensure processes do not rely on memory.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Provide help and support.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Support adaptation and personalisation.</w:t>
      </w:r>
    </w:p>
    <w:p w:rsidR="00000000" w:rsidDel="00000000" w:rsidP="00000000" w:rsidRDefault="00000000" w:rsidRPr="00000000" w14:paraId="00000027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196a41x211l8" w:id="9"/>
      <w:bookmarkEnd w:id="9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1. Home / entry page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main purpose of the repository clear within the first screen?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main search entry point easy to find?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the main routes for key users easy to spot, for example search, browse, deposit, or get help?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buttons and links labelled clearly, so users know what will happen next?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promotional blocks, news, or alerts kept secondary to the main tasks?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introductory text short, plain, and free from unnecessary jargon?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Does the page have a clear visual hierarchy, with meaningful headings and logical sections?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tell where to start if they want to find a record?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tell where to start if they want to upload or manage records?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Does the page avoid visual clutter?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2iek2luq6rld" w:id="10"/>
      <w:bookmarkEnd w:id="10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2. Global header and navigation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global navigation in a consistent place on every page?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site search in a consistent and expected location?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navigation labels clear and meaningful?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navigation items grouped in a way that matches user tasks?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user’s signed-in state clear, for example through account name, profile menu, or sign-in and sign-out options?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current location in the site clear from the navigation?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menus kept short enough to scan easily?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icons in the header clear and supported by text where needed?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help or support easy to reach from the global navigation?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Does the header still work well when users zoom in or change text size?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ecvl2f8ncn00" w:id="11"/>
      <w:bookmarkEnd w:id="11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3. Search page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search input easy to find and easy to recognise?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Does the page make it clear what content is being searched, for example articles, journals, datasets, or all records?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Does the page show only the search options most users need first, with advanced search easy to find when needed?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search tips or examples available close to the search box when needed?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(G6,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tell how to start a basic search without reading long instructions?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keep or share the current search, for example through a stable URL or a saved query?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(G6,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x60jsdutqg3j" w:id="12"/>
      <w:bookmarkEnd w:id="12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3.1 Facets and filters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filters grouped logically under clear headings?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filter labels written in plain language rather than internal metadata terms?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the available filters relevant to the records being searched?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it clear which filters are currently applied?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remove a single filter easily?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clear all filters easily?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 filters update results in a predictable way?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it clear whether selecting a filter adds to the search or replaces it?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long filter lists collapsed or structured so they are easy to scan?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 filter controls avoid relying on colour alone to show state?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hve229w6vl54" w:id="13"/>
      <w:bookmarkEnd w:id="13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3.2 Search results list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number of results easy to find and understand?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results presented in a consistent format?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most important information visible in each result item, such as title, type, date, or source?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result titles clear and meaningful out of context?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it easy to scan and compare results quickly?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tell what type of record each result is?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sorting options easy to find and understand?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tell why a result might be relevant, for example through snippets or matched metadata?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pagination or “load more” behaviour easy to understand?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Does the no-results state explain what happened and suggest what to do next?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open a result without losing the search context, for example the current query and the record’s place in the list?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repeated actions on each result, such as preview, save, or open, clearly distinguished?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rfpcdfwy8bgl" w:id="14"/>
      <w:bookmarkEnd w:id="14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4. Record landing page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record title prominent and easy to identify?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core summary or description easy to find near the top of the page?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metadata grouped into clear, scannable sections with meaningful headings?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key fields, such as DOI, creators, licence, and access conditions, easy to find?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technical or domain-specific metadata labels explained where needed?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(G3,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tell what they can do next, for example download, cite, preview, request access, or view related records?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download and external-link actions clearly distinguished?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relationship between files, versions, and metadata clear?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tell whether the record is public, restricted, embargoed, or deleted?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supporting information visible on the page instead of hidden in hover-only tooltips?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move to related items, creators, collections, or versions without losing context?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7ztcwjm0hm3p" w:id="15"/>
      <w:bookmarkEnd w:id="15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5. Metadata form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Does every input have a visible label, with placeholder text used only as a hint and not as a label?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 labels and help text use plain language rather than schema terms?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required and optional fields marked clearly in a way users can understand, rather than relying on a star alone?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 users get examples for fields that may be hard to complete?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related fields grouped into clear sections?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order of fields logical from the user’s point of view?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Does validation happen in a clear and predictable way?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error messages placed close to the field?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error messages specific, understandable, and clear about how to fix the problem?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there an error summary at the top of the page, with links to the fields that have errors?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save a draft and come back later?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Does the form preserve entered data if an error occurs?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upload controls easy to recognise and use?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tell what file restrictions or file visibility settings mean?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autocomplete, paste, and browser tools allowed where useful?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(G6, G8)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timeouts avoided, or extendable if unavoidable?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review all the information before submitting it?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8kjkodh7tzd9" w:id="16"/>
      <w:bookmarkEnd w:id="16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6. Review and publish step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review all information before publishing?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users asked to confirm publication before the record goes live? The final publish action should not happen by accident.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publish action reversible, or are users clearly told it cannot be undone? If users cannot unpublish, they need to know that before they confirm.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review screen organised into clear sections?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missing fields or problems clearly highlighted and explained?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return easily to the right part of the form to fix an issue?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final action clearly labelled, for example Publish, Submit, or Confirm?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it clear what will happen after submission?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visibility, access, or licence choices summarised clearly before publish?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consequences of publishing, editing, versioning, or deleting explained in plain language?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(G3,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final confirmation step free from unnecessary distractions?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complete this step without having to remember details from earlier screens?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qqsqijdag4cn" w:id="17"/>
      <w:bookmarkEnd w:id="17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7. Account dashboard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dashboard sections, such as drafts, published records, and requests, clearly separated?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destructive actions clearly distinguished from edit or manage actions, and do they require confirmation?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reverse a destructive action, or is it clearly stated that the action cannot be undone?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(G4,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status labels, such as draft, published, or under review, clear and easy to understand?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tell what actions are available for each item?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destructive actions, such as delete, clearly distinguished from edit or manage?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(G1, G4)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find a specific draft or record quickly?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item list easy to scan and compare?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standard notifications visible but not distracting?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(G5,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critical notifications or warnings very clear and hard to miss?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(G5,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instructions available for uncommon or risky actions?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support options easy to find?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 users manage records without having to remember hidden states or steps?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jgj07oxhheme" w:id="18"/>
      <w:bookmarkEnd w:id="18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8. Information pages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page purpose clear from the title and heading?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the content written in plain language and avoids unnecessary jargon?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long text broken into short sections with headings?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(G2, 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instructions written as clear steps where needed?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(G3, 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links descriptive and meaningful out of context?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 supporting documentation linked from the point where users need it?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contact routes or support options easy to find?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important dates, policies, and requirements explained in an unambiguous format?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b w:val="0"/>
          <w:bCs w:val="0"/>
          <w:color w:val="000000"/>
          <w:sz w:val="32"/>
          <w:szCs w:val="32"/>
        </w:rPr>
      </w:pPr>
      <w:bookmarkStart w:colFirst="0" w:colLast="0" w:name="_d7lydcfsjkvb" w:id="19"/>
      <w:bookmarkEnd w:id="19"/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Resources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https://www.w3.org/WAI/standards-guidelines/wcag/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COGA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https://www.w3.org/TR/coga-usable/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anrope">
    <w:embedRegular w:fontKey="{00000000-0000-0000-0000-000000000000}" r:id="rId9" w:subsetted="0"/>
    <w:embedBold w:fontKey="{00000000-0000-0000-0000-000000000000}" r:id="rId10" w:subsetted="0"/>
  </w:font>
  <w:font w:name="Montserrat Medium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Manrope Medium">
    <w:embedRegular w:fontKey="{00000000-0000-0000-0000-000000000000}" r:id="rId15" w:subsetted="0"/>
    <w:embedBold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right"/>
      <w:rPr>
        <w:rFonts w:ascii="Montserrat" w:cs="Montserrat" w:eastAsia="Montserrat" w:hAnsi="Montserrat"/>
        <w:color w:val="b7b7b7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color w:val="b7b7b7"/>
        <w:sz w:val="18"/>
        <w:szCs w:val="18"/>
        <w:rtl w:val="0"/>
      </w:rPr>
      <w:t xml:space="preserve">   </w:t>
      <w:tab/>
      <w:tab/>
      <w:tab/>
      <w:t xml:space="preserve">               Cottage Labs LLP is a partnership registered in Scotland</w:t>
    </w:r>
  </w:p>
  <w:p w:rsidR="00000000" w:rsidDel="00000000" w:rsidP="00000000" w:rsidRDefault="00000000" w:rsidRPr="00000000" w14:paraId="000000A6">
    <w:pPr>
      <w:jc w:val="right"/>
      <w:rPr>
        <w:rFonts w:ascii="Montserrat" w:cs="Montserrat" w:eastAsia="Montserrat" w:hAnsi="Montserrat"/>
        <w:color w:val="b7b7b7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color w:val="b7b7b7"/>
        <w:sz w:val="18"/>
        <w:szCs w:val="18"/>
        <w:rtl w:val="0"/>
      </w:rPr>
      <w:t xml:space="preserve">Company Number: SO303454 | VAT Registration: 127710036</w:t>
    </w:r>
  </w:p>
  <w:p w:rsidR="00000000" w:rsidDel="00000000" w:rsidP="00000000" w:rsidRDefault="00000000" w:rsidRPr="00000000" w14:paraId="000000A7">
    <w:pPr>
      <w:jc w:val="right"/>
      <w:rPr/>
    </w:pPr>
    <w:r w:rsidDel="00000000" w:rsidR="00000000" w:rsidRPr="00000000">
      <w:rPr>
        <w:rFonts w:ascii="Montserrat" w:cs="Montserrat" w:eastAsia="Montserrat" w:hAnsi="Montserrat"/>
        <w:color w:val="b7b7b7"/>
        <w:sz w:val="18"/>
        <w:szCs w:val="18"/>
        <w:rtl w:val="0"/>
      </w:rPr>
      <w:t xml:space="preserve">DUNS: 21-736-0418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ind w:left="-992.1259842519685" w:firstLine="0"/>
      <w:rPr>
        <w:color w:val="b7b7b7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ind w:left="-992.1259842519685" w:firstLine="0"/>
      <w:rPr>
        <w:color w:val="b7b7b7"/>
        <w:sz w:val="18"/>
        <w:szCs w:val="18"/>
      </w:rPr>
    </w:pPr>
    <w:r w:rsidDel="00000000" w:rsidR="00000000" w:rsidRPr="00000000">
      <w:rPr>
        <w:color w:val="b7b7b7"/>
        <w:sz w:val="18"/>
        <w:szCs w:val="18"/>
        <w:rtl w:val="0"/>
      </w:rPr>
      <w:t xml:space="preserve">Author: Aga Domanska, aga@cottagelabs.com</w:t>
    </w:r>
  </w:p>
  <w:p w:rsidR="00000000" w:rsidDel="00000000" w:rsidP="00000000" w:rsidRDefault="00000000" w:rsidRPr="00000000" w14:paraId="000000AA">
    <w:pPr>
      <w:ind w:left="-992.1259842519685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81925" cy="2557463"/>
          <wp:effectExtent b="0" l="0" r="0" t="0"/>
          <wp:wrapNone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25574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5499100</wp:posOffset>
          </wp:positionH>
          <wp:positionV relativeFrom="page">
            <wp:posOffset>713232</wp:posOffset>
          </wp:positionV>
          <wp:extent cx="320040" cy="32004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5873750</wp:posOffset>
          </wp:positionH>
          <wp:positionV relativeFrom="page">
            <wp:posOffset>713232</wp:posOffset>
          </wp:positionV>
          <wp:extent cx="320040" cy="32004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6235700</wp:posOffset>
          </wp:positionH>
          <wp:positionV relativeFrom="page">
            <wp:posOffset>713232</wp:posOffset>
          </wp:positionV>
          <wp:extent cx="311150" cy="320040"/>
          <wp:effectExtent b="0" l="0" r="0" t="0"/>
          <wp:wrapNone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150" cy="3200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6588125</wp:posOffset>
          </wp:positionH>
          <wp:positionV relativeFrom="page">
            <wp:posOffset>713232</wp:posOffset>
          </wp:positionV>
          <wp:extent cx="320040" cy="320040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1645920</wp:posOffset>
          </wp:positionV>
          <wp:extent cx="3486150" cy="27432"/>
          <wp:effectExtent b="0" l="0" r="0" t="0"/>
          <wp:wrapNone/>
          <wp:docPr id="1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86150" cy="274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914400" distT="914400" distL="914400" distR="9144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2233858" cy="819456"/>
          <wp:effectExtent b="0" l="0" r="0" t="0"/>
          <wp:wrapSquare wrapText="bothSides" distB="914400" distT="914400" distL="914400" distR="914400"/>
          <wp:docPr id="15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7"/>
                  <a:srcRect b="0" l="4255" r="-4255" t="0"/>
                  <a:stretch>
                    <a:fillRect/>
                  </a:stretch>
                </pic:blipFill>
                <pic:spPr>
                  <a:xfrm>
                    <a:off x="0" y="0"/>
                    <a:ext cx="2233858" cy="8194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7077456</wp:posOffset>
          </wp:positionH>
          <wp:positionV relativeFrom="page">
            <wp:posOffset>182880</wp:posOffset>
          </wp:positionV>
          <wp:extent cx="342900" cy="34290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900" cy="342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6684264</wp:posOffset>
          </wp:positionH>
          <wp:positionV relativeFrom="page">
            <wp:posOffset>182880</wp:posOffset>
          </wp:positionV>
          <wp:extent cx="342900" cy="3429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900" cy="342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6281928</wp:posOffset>
          </wp:positionH>
          <wp:positionV relativeFrom="page">
            <wp:posOffset>182880</wp:posOffset>
          </wp:positionV>
          <wp:extent cx="342900" cy="342900"/>
          <wp:effectExtent b="0" l="0" r="0" t="0"/>
          <wp:wrapNone/>
          <wp:docPr id="1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900" cy="342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5879592</wp:posOffset>
          </wp:positionH>
          <wp:positionV relativeFrom="page">
            <wp:posOffset>182880</wp:posOffset>
          </wp:positionV>
          <wp:extent cx="342900" cy="342900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900" cy="342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-19049</wp:posOffset>
          </wp:positionH>
          <wp:positionV relativeFrom="page">
            <wp:posOffset>0</wp:posOffset>
          </wp:positionV>
          <wp:extent cx="7810500" cy="1419225"/>
          <wp:effectExtent b="0" l="0" r="0" t="0"/>
          <wp:wrapNone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0500" cy="1419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114300</wp:posOffset>
          </wp:positionH>
          <wp:positionV relativeFrom="page">
            <wp:posOffset>88106</wp:posOffset>
          </wp:positionV>
          <wp:extent cx="1785056" cy="624769"/>
          <wp:effectExtent b="0" l="0" r="0" t="0"/>
          <wp:wrapSquare wrapText="bothSides" distB="114300" distT="114300" distL="114300" distR="114300"/>
          <wp:docPr id="1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5056" cy="6247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333333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anrope" w:cs="Manrope" w:eastAsia="Manrope" w:hAnsi="Manrope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anrope" w:cs="Manrope" w:eastAsia="Manrope" w:hAnsi="Manrope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Montserrat SemiBold" w:cs="Montserrat SemiBold" w:eastAsia="Montserrat SemiBold" w:hAnsi="Montserrat SemiBol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Manrope Medium" w:cs="Manrope Medium" w:eastAsia="Manrope Medium" w:hAnsi="Manrope Medium"/>
      <w:color w:val="555555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.org/TR/coga-usable/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hyperlink" Target="https://www.w3.org/WAI/standards-guidelines/wcag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Medium-regular.ttf"/><Relationship Id="rId10" Type="http://schemas.openxmlformats.org/officeDocument/2006/relationships/font" Target="fonts/Manrope-bold.ttf"/><Relationship Id="rId13" Type="http://schemas.openxmlformats.org/officeDocument/2006/relationships/font" Target="fonts/MontserratMedium-italic.ttf"/><Relationship Id="rId12" Type="http://schemas.openxmlformats.org/officeDocument/2006/relationships/font" Target="fonts/MontserratMedium-bold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anrope-regular.ttf"/><Relationship Id="rId15" Type="http://schemas.openxmlformats.org/officeDocument/2006/relationships/font" Target="fonts/ManropeMedium-regular.ttf"/><Relationship Id="rId14" Type="http://schemas.openxmlformats.org/officeDocument/2006/relationships/font" Target="fonts/MontserratMedium-boldItalic.ttf"/><Relationship Id="rId16" Type="http://schemas.openxmlformats.org/officeDocument/2006/relationships/font" Target="fonts/ManropeMedium-bold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5.png"/><Relationship Id="rId5" Type="http://schemas.openxmlformats.org/officeDocument/2006/relationships/image" Target="media/image4.png"/><Relationship Id="rId6" Type="http://schemas.openxmlformats.org/officeDocument/2006/relationships/image" Target="media/image7.png"/><Relationship Id="rId7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3.png"/><Relationship Id="rId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