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69FE2" w14:textId="77777777" w:rsidR="00094ECD" w:rsidRPr="00094ECD" w:rsidRDefault="00094ECD" w:rsidP="00094ECD">
      <w:pPr>
        <w:jc w:val="center"/>
        <w:rPr>
          <w:b/>
          <w:bCs/>
        </w:rPr>
      </w:pPr>
      <w:r w:rsidRPr="00094ECD">
        <w:rPr>
          <w:b/>
          <w:bCs/>
        </w:rPr>
        <w:t xml:space="preserve">Case Study Summary: Operation </w:t>
      </w:r>
      <w:proofErr w:type="spellStart"/>
      <w:r w:rsidRPr="00094ECD">
        <w:rPr>
          <w:b/>
          <w:bCs/>
        </w:rPr>
        <w:t>InVersion</w:t>
      </w:r>
      <w:proofErr w:type="spellEnd"/>
      <w:r w:rsidRPr="00094ECD">
        <w:rPr>
          <w:b/>
          <w:bCs/>
        </w:rPr>
        <w:t xml:space="preserve"> at LinkedIn (2011)</w:t>
      </w:r>
    </w:p>
    <w:p w14:paraId="5EB0551A" w14:textId="77777777" w:rsidR="00094ECD" w:rsidRPr="00094ECD" w:rsidRDefault="00094ECD" w:rsidP="00094ECD">
      <w:pPr>
        <w:jc w:val="center"/>
      </w:pPr>
      <w:r w:rsidRPr="00094ECD">
        <w:t xml:space="preserve">Operation </w:t>
      </w:r>
      <w:proofErr w:type="spellStart"/>
      <w:r w:rsidRPr="00094ECD">
        <w:t>InVersion</w:t>
      </w:r>
      <w:proofErr w:type="spellEnd"/>
      <w:r w:rsidRPr="00094ECD">
        <w:t xml:space="preserve"> was LinkedIn’s large</w:t>
      </w:r>
      <w:r w:rsidRPr="00094ECD">
        <w:noBreakHyphen/>
        <w:t>scale effort to modernize and stabilize its deployment pipeline during a period of rapid growth. Prior to the initiative, LinkedIn relied on a fragile, monolithic build and release process that caused long deployment times, frequent failures, and significant coordination overhead between development and operations. Releases were infrequent, risky, and difficult to troubleshoot because many unrelated changes were bundled together.</w:t>
      </w:r>
    </w:p>
    <w:p w14:paraId="2DBDA289" w14:textId="77777777" w:rsidR="00094ECD" w:rsidRPr="00094ECD" w:rsidRDefault="00094ECD" w:rsidP="00094ECD">
      <w:pPr>
        <w:jc w:val="center"/>
      </w:pPr>
      <w:r w:rsidRPr="00094ECD">
        <w:t xml:space="preserve">The core idea behind Operation </w:t>
      </w:r>
      <w:proofErr w:type="spellStart"/>
      <w:r w:rsidRPr="00094ECD">
        <w:t>InVersion</w:t>
      </w:r>
      <w:proofErr w:type="spellEnd"/>
      <w:r w:rsidRPr="00094ECD">
        <w:t xml:space="preserve"> was to “invert” the traditional release model. Instead of pushing large batches of changes through a centralized release team, LinkedIn shifted responsibility back to individual engineering teams. Each team became accountable for building, testing, and deploying its own services. This required major cultural and technical changes, including the adoption of automated build pipelines, standardized tooling, and improved test coverage.</w:t>
      </w:r>
    </w:p>
    <w:p w14:paraId="5F111E4F" w14:textId="77777777" w:rsidR="00094ECD" w:rsidRPr="00094ECD" w:rsidRDefault="00094ECD" w:rsidP="00094ECD">
      <w:pPr>
        <w:jc w:val="center"/>
      </w:pPr>
      <w:r w:rsidRPr="00094ECD">
        <w:t xml:space="preserve">A major outcome of the initiative was the creation of </w:t>
      </w:r>
      <w:proofErr w:type="gramStart"/>
      <w:r w:rsidRPr="00094ECD">
        <w:t>a more</w:t>
      </w:r>
      <w:proofErr w:type="gramEnd"/>
      <w:r w:rsidRPr="00094ECD">
        <w:t xml:space="preserve"> modular architecture. As teams took ownership of their components, the system naturally evolved away from a tightly coupled monolith toward smaller, independently deployable services. This reduced cross</w:t>
      </w:r>
      <w:r w:rsidRPr="00094ECD">
        <w:noBreakHyphen/>
        <w:t>team dependencies and allowed LinkedIn to deploy changes more frequently and with less risk.</w:t>
      </w:r>
    </w:p>
    <w:p w14:paraId="2EC4B3E9" w14:textId="77777777" w:rsidR="00094ECD" w:rsidRPr="00094ECD" w:rsidRDefault="00094ECD" w:rsidP="00094ECD">
      <w:pPr>
        <w:jc w:val="center"/>
        <w:rPr>
          <w:b/>
          <w:bCs/>
        </w:rPr>
      </w:pPr>
      <w:r w:rsidRPr="00094ECD">
        <w:rPr>
          <w:b/>
          <w:bCs/>
        </w:rPr>
        <w:t>Lessons Learned</w:t>
      </w:r>
    </w:p>
    <w:p w14:paraId="4B36CB1C" w14:textId="77777777" w:rsidR="00094ECD" w:rsidRPr="00094ECD" w:rsidRDefault="00094ECD" w:rsidP="00094ECD">
      <w:pPr>
        <w:jc w:val="center"/>
      </w:pPr>
      <w:r w:rsidRPr="00094ECD">
        <w:t>• Smaller, more frequent deployments reduce risk and make failures easier to diagnose. • Automation is essential for scaling release processes and eliminating manual bottlenecks. • Organizational structure directly influences system architecture; clearer ownership leads to more modular systems. • Cultural change is just as important as technical change, especially when shifting responsibility to engineering teams. • Empowering teams with self</w:t>
      </w:r>
      <w:r w:rsidRPr="00094ECD">
        <w:noBreakHyphen/>
        <w:t>service tools increases deployment speed and overall reliability.</w:t>
      </w:r>
    </w:p>
    <w:p w14:paraId="101AC65E" w14:textId="77777777" w:rsidR="00094ECD" w:rsidRPr="00094ECD" w:rsidRDefault="00094ECD" w:rsidP="00094ECD">
      <w:pPr>
        <w:jc w:val="center"/>
      </w:pPr>
      <w:r w:rsidRPr="00094ECD">
        <w:t xml:space="preserve">Operation </w:t>
      </w:r>
      <w:proofErr w:type="spellStart"/>
      <w:r w:rsidRPr="00094ECD">
        <w:t>InVersion</w:t>
      </w:r>
      <w:proofErr w:type="spellEnd"/>
      <w:r w:rsidRPr="00094ECD">
        <w:t xml:space="preserve"> ultimately demonstrated that improving deployment flow requires aligning people, processes, and architecture. By restructuring teams and investing in automation, LinkedIn achieved faster delivery, higher stability, and a more resilient engineering culture.</w:t>
      </w:r>
    </w:p>
    <w:p w14:paraId="785F61C6" w14:textId="77777777" w:rsidR="002658C1" w:rsidRDefault="002658C1" w:rsidP="00094ECD">
      <w:pPr>
        <w:jc w:val="center"/>
      </w:pPr>
    </w:p>
    <w:sectPr w:rsidR="00265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ECD"/>
    <w:rsid w:val="00094ECD"/>
    <w:rsid w:val="002658C1"/>
    <w:rsid w:val="006F0011"/>
    <w:rsid w:val="008E5D0A"/>
    <w:rsid w:val="00950614"/>
    <w:rsid w:val="00DC6C6C"/>
    <w:rsid w:val="00FC5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4C1BC"/>
  <w15:chartTrackingRefBased/>
  <w15:docId w15:val="{476883C7-559D-49F0-9653-23EBD136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ECD"/>
    <w:rPr>
      <w:rFonts w:eastAsiaTheme="majorEastAsia" w:cstheme="majorBidi"/>
      <w:color w:val="272727" w:themeColor="text1" w:themeTint="D8"/>
    </w:rPr>
  </w:style>
  <w:style w:type="paragraph" w:styleId="Title">
    <w:name w:val="Title"/>
    <w:basedOn w:val="Normal"/>
    <w:next w:val="Normal"/>
    <w:link w:val="TitleChar"/>
    <w:uiPriority w:val="10"/>
    <w:qFormat/>
    <w:rsid w:val="00094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ECD"/>
    <w:pPr>
      <w:spacing w:before="160"/>
      <w:jc w:val="center"/>
    </w:pPr>
    <w:rPr>
      <w:i/>
      <w:iCs/>
      <w:color w:val="404040" w:themeColor="text1" w:themeTint="BF"/>
    </w:rPr>
  </w:style>
  <w:style w:type="character" w:customStyle="1" w:styleId="QuoteChar">
    <w:name w:val="Quote Char"/>
    <w:basedOn w:val="DefaultParagraphFont"/>
    <w:link w:val="Quote"/>
    <w:uiPriority w:val="29"/>
    <w:rsid w:val="00094ECD"/>
    <w:rPr>
      <w:i/>
      <w:iCs/>
      <w:color w:val="404040" w:themeColor="text1" w:themeTint="BF"/>
    </w:rPr>
  </w:style>
  <w:style w:type="paragraph" w:styleId="ListParagraph">
    <w:name w:val="List Paragraph"/>
    <w:basedOn w:val="Normal"/>
    <w:uiPriority w:val="34"/>
    <w:qFormat/>
    <w:rsid w:val="00094ECD"/>
    <w:pPr>
      <w:ind w:left="720"/>
      <w:contextualSpacing/>
    </w:pPr>
  </w:style>
  <w:style w:type="character" w:styleId="IntenseEmphasis">
    <w:name w:val="Intense Emphasis"/>
    <w:basedOn w:val="DefaultParagraphFont"/>
    <w:uiPriority w:val="21"/>
    <w:qFormat/>
    <w:rsid w:val="00094ECD"/>
    <w:rPr>
      <w:i/>
      <w:iCs/>
      <w:color w:val="0F4761" w:themeColor="accent1" w:themeShade="BF"/>
    </w:rPr>
  </w:style>
  <w:style w:type="paragraph" w:styleId="IntenseQuote">
    <w:name w:val="Intense Quote"/>
    <w:basedOn w:val="Normal"/>
    <w:next w:val="Normal"/>
    <w:link w:val="IntenseQuoteChar"/>
    <w:uiPriority w:val="30"/>
    <w:qFormat/>
    <w:rsid w:val="00094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ECD"/>
    <w:rPr>
      <w:i/>
      <w:iCs/>
      <w:color w:val="0F4761" w:themeColor="accent1" w:themeShade="BF"/>
    </w:rPr>
  </w:style>
  <w:style w:type="character" w:styleId="IntenseReference">
    <w:name w:val="Intense Reference"/>
    <w:basedOn w:val="DefaultParagraphFont"/>
    <w:uiPriority w:val="32"/>
    <w:qFormat/>
    <w:rsid w:val="00094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 Cotton</dc:creator>
  <cp:keywords/>
  <dc:description/>
  <cp:lastModifiedBy>Mitchel Cotton</cp:lastModifiedBy>
  <cp:revision>1</cp:revision>
  <dcterms:created xsi:type="dcterms:W3CDTF">2026-06-09T21:00:00Z</dcterms:created>
  <dcterms:modified xsi:type="dcterms:W3CDTF">2026-06-09T21:02:00Z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246defa8-76ec-4003-b8bf-7caa48103b0f</vt:lpwstr>
  </property>
</Properties>
</file>