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图件制作与投稿工作方案"/>
    <w:p>
      <w:pPr>
        <w:pStyle w:val="Heading1"/>
      </w:pPr>
      <w:r>
        <w:t xml:space="preserve">图件制作与投稿工作方案</w:t>
      </w:r>
    </w:p>
    <w:p>
      <w:pPr>
        <w:pStyle w:val="FirstParagraph"/>
      </w:pPr>
      <w:r>
        <w:rPr>
          <w:b/>
          <w:bCs/>
        </w:rPr>
        <w:t xml:space="preserve">对应稿件标题：</w:t>
      </w:r>
      <w:r>
        <w:t xml:space="preserve"> </w:t>
      </w:r>
      <w:r>
        <w:t xml:space="preserve">Water-level and terrain sensitivity decouple in coastal flood screening</w:t>
      </w:r>
      <w:r>
        <w:br/>
      </w:r>
      <w:r>
        <w:rPr>
          <w:b/>
          <w:bCs/>
        </w:rPr>
        <w:t xml:space="preserve">目标风格：</w:t>
      </w:r>
      <w:r>
        <w:t xml:space="preserve"> </w:t>
      </w:r>
      <w:r>
        <w:t xml:space="preserve">Communications Earth &amp; Environment-style research article</w:t>
      </w:r>
      <w:r>
        <w:br/>
      </w:r>
      <w:r>
        <w:rPr>
          <w:b/>
          <w:bCs/>
        </w:rPr>
        <w:t xml:space="preserve">核心图件策略：</w:t>
      </w:r>
      <w:r>
        <w:t xml:space="preserve"> </w:t>
      </w:r>
      <w:r>
        <w:t xml:space="preserve">不把论文包装成“数据融合流程”，而是把图件组织成一个科学论证链：水位指标不等价 → 气象过程可解释 → 地形敏感性不随水位简单同步 → 形成 process-terrain typology。</w:t>
      </w:r>
    </w:p>
    <w:p>
      <w:r>
        <w:pict>
          <v:rect style="width:0;height:1.5pt" o:hralign="center" o:hrstd="t" o:hr="t"/>
        </w:pict>
      </w:r>
    </w:p>
    <w:bookmarkStart w:id="20" w:name="投稿图件总体原则"/>
    <w:p>
      <w:pPr>
        <w:pStyle w:val="Heading2"/>
      </w:pPr>
      <w:r>
        <w:t xml:space="preserve">1. 投稿图件总体原则</w:t>
      </w:r>
    </w:p>
    <w:p>
      <w:pPr>
        <w:pStyle w:val="FirstParagraph"/>
      </w:pPr>
      <w:r>
        <w:t xml:space="preserve">目标期刊风格下，主文图件不宜过多。建议主文控制在 5 个主图和 2-4 个主表。补充材料放更多站点细图、代码审计表、单站水位序列图、DeltaDTM 单站地图和质量控制信息。</w:t>
      </w:r>
    </w:p>
    <w:p>
      <w:pPr>
        <w:pStyle w:val="BodyText"/>
      </w:pPr>
      <w:r>
        <w:t xml:space="preserve">主图逻辑应模仿 Dullaart et al. 的写法：每一张图回答一个明确科学问题，而不是展示一个数据处理步骤。Dullaart et al. 的图件顺序大致是：先分过程展示 TC/ETC storm surge，再展示组合后的 storm tide RP，再展示暴露人口结果。你的论文应对应改成：先展示站点和数据物理定义，再展示 surge 与 storm tide 的指标错位，再展示气象过程一致性，再展示地形敏感性，最后用 typology 形成总论点。</w:t>
      </w:r>
    </w:p>
    <w:p>
      <w:r>
        <w:pict>
          <v:rect style="width:0;height:1.5pt" o:hralign="center" o:hrstd="t" o:hr="t"/>
        </w:pict>
      </w:r>
    </w:p>
    <w:bookmarkEnd w:id="20"/>
    <w:bookmarkStart w:id="26" w:name="主文图件清单"/>
    <w:p>
      <w:pPr>
        <w:pStyle w:val="Heading2"/>
      </w:pPr>
      <w:r>
        <w:t xml:space="preserve">2. 主文图件清单</w:t>
      </w:r>
    </w:p>
    <w:bookmarkStart w:id="21" w:name="X042ff68a6a21856851b9efc3529eaa0497f9b78"/>
    <w:p>
      <w:pPr>
        <w:pStyle w:val="Heading3"/>
      </w:pPr>
      <w:r>
        <w:t xml:space="preserve">Figure 1. Process-terrain screening design across eight coastal sites</w:t>
      </w:r>
    </w:p>
    <w:p>
      <w:pPr>
        <w:pStyle w:val="FirstParagraph"/>
      </w:pPr>
      <w:r>
        <w:rPr>
          <w:b/>
          <w:bCs/>
        </w:rPr>
        <w:t xml:space="preserve">目的：</w:t>
      </w:r>
      <w:r>
        <w:t xml:space="preserve"> </w:t>
      </w:r>
      <w:r>
        <w:t xml:space="preserve">让读者第一眼明白这不是 workflow paper，而是一个 process-terrain susceptibility paper。</w:t>
      </w:r>
    </w:p>
    <w:p>
      <w:pPr>
        <w:pStyle w:val="BodyText"/>
      </w:pPr>
      <w:r>
        <w:rPr>
          <w:b/>
          <w:bCs/>
        </w:rPr>
        <w:t xml:space="preserve">推荐版式：</w:t>
      </w:r>
      <w:r>
        <w:t xml:space="preserve"> </w:t>
      </w:r>
      <w:r>
        <w:t xml:space="preserve">三联图。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Fig. 1a：站点分布图</w:t>
      </w:r>
      <w:r>
        <w:br/>
      </w:r>
      <w:r>
        <w:t xml:space="preserve">世界或北大西洋-欧洲-东亚简图，标出 8 个潮位站：Sheerness、Newlyn、Aberdeen、Hoek van Holland、Brest、New York-The Battery、Charleston、Hong Kong。欧洲 5 个有 DeltaDTM 的站点用实心圆，其他 3 个用空心圆。</w:t>
      </w:r>
      <w:r>
        <w:br/>
      </w:r>
      <w:r>
        <w:rPr>
          <w:b/>
          <w:bCs/>
        </w:rPr>
        <w:t xml:space="preserve">数据源：</w:t>
      </w:r>
      <w:r>
        <w:t xml:space="preserve"> </w:t>
      </w:r>
      <w:r>
        <w:t xml:space="preserve">station metadata table。</w:t>
      </w:r>
      <w:r>
        <w:br/>
      </w:r>
      <w:r>
        <w:rPr>
          <w:b/>
          <w:bCs/>
        </w:rPr>
        <w:t xml:space="preserve">图上标注：</w:t>
      </w:r>
      <w:r>
        <w:t xml:space="preserve"> </w:t>
      </w:r>
      <w:r>
        <w:t xml:space="preserve">“</w:t>
      </w:r>
      <w:r>
        <w:t xml:space="preserve">DeltaDTM terrain screen available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water-level and meteorological diagnostics only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Fig. 1b：物理量定义示意</w:t>
      </w:r>
      <w:r>
        <w:br/>
      </w:r>
      <w:r>
        <w:t xml:space="preserve">用一条垂直水位柱表示：astronomical tide、storm surge residual、storm tide、terrain elevation。明确 GSSR 是 residual/skew-surge-like daily reconstruction，COAST-RP 是 storm-tide return level，DeltaDTM 是 terrain elevation。</w:t>
      </w:r>
      <w:r>
        <w:br/>
      </w:r>
      <w:r>
        <w:rPr>
          <w:b/>
          <w:bCs/>
        </w:rPr>
        <w:t xml:space="preserve">关键作用：</w:t>
      </w:r>
      <w:r>
        <w:t xml:space="preserve"> </w:t>
      </w:r>
      <w:r>
        <w:t xml:space="preserve">预防审稿人误读“你用 GSSR 验证 COAST-RP”。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Fig. 1c：论证框架</w:t>
      </w:r>
      <w:r>
        <w:br/>
      </w:r>
      <w:r>
        <w:t xml:space="preserve">不要画成普通 workflow，而画成四个诊断维度：water-level indicator divergence、meteorological coherence、terrain sensitivity、process-terrain typology。</w:t>
      </w:r>
      <w:r>
        <w:br/>
      </w:r>
      <w:r>
        <w:rPr>
          <w:b/>
          <w:bCs/>
        </w:rPr>
        <w:t xml:space="preserve">关键词：</w:t>
      </w:r>
      <w:r>
        <w:t xml:space="preserve"> </w:t>
      </w:r>
      <w:r>
        <w:t xml:space="preserve">diagnostic, coupling, decoupling, susceptibility.</w:t>
      </w:r>
    </w:p>
    <w:p>
      <w:pPr>
        <w:pStyle w:val="FirstParagraph"/>
      </w:pPr>
      <w:r>
        <w:rPr>
          <w:b/>
          <w:bCs/>
        </w:rPr>
        <w:t xml:space="preserve">建议图注：</w:t>
      </w:r>
      <w:r>
        <w:br/>
      </w:r>
      <w:r>
        <w:t xml:space="preserve">“</w:t>
      </w:r>
      <w:r>
        <w:t xml:space="preserve">GSSR, COAST-RP, Open-Meteo ERA5-derived drivers and DeltaDTM represent different physical quantities. The analysis therefore treats their combination as a process-terrain diagnostic rather than a direct validation exercise.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制作步骤：</w:t>
      </w:r>
    </w:p>
    <w:p>
      <w:pPr>
        <w:pStyle w:val="Compact"/>
        <w:numPr>
          <w:ilvl w:val="0"/>
          <w:numId w:val="1002"/>
        </w:numPr>
      </w:pPr>
      <w:r>
        <w:t xml:space="preserve">用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cartopy</w:t>
      </w:r>
      <w:r>
        <w:t xml:space="preserve"> </w:t>
      </w:r>
      <w:r>
        <w:t xml:space="preserve">读取站点经纬度。</w:t>
      </w:r>
    </w:p>
    <w:p>
      <w:pPr>
        <w:pStyle w:val="Compact"/>
        <w:numPr>
          <w:ilvl w:val="0"/>
          <w:numId w:val="1002"/>
        </w:numPr>
      </w:pPr>
      <w:r>
        <w:t xml:space="preserve">画世界海岸线和站点点位。</w:t>
      </w:r>
    </w:p>
    <w:p>
      <w:pPr>
        <w:pStyle w:val="Compact"/>
        <w:numPr>
          <w:ilvl w:val="0"/>
          <w:numId w:val="1002"/>
        </w:numPr>
      </w:pPr>
      <w:r>
        <w:t xml:space="preserve">用</w:t>
      </w:r>
      <w:r>
        <w:t xml:space="preserve"> </w:t>
      </w:r>
      <w:r>
        <w:rPr>
          <w:rStyle w:val="VerbatimChar"/>
        </w:rPr>
        <w:t xml:space="preserve">matplotlib.patches</w:t>
      </w:r>
      <w:r>
        <w:t xml:space="preserve"> </w:t>
      </w:r>
      <w:r>
        <w:t xml:space="preserve">画水位定义示意图。</w:t>
      </w:r>
    </w:p>
    <w:p>
      <w:pPr>
        <w:pStyle w:val="Compact"/>
        <w:numPr>
          <w:ilvl w:val="0"/>
          <w:numId w:val="1002"/>
        </w:numPr>
      </w:pPr>
      <w:r>
        <w:t xml:space="preserve">用简单箭头连接四个诊断模块。</w:t>
      </w:r>
    </w:p>
    <w:p>
      <w:pPr>
        <w:pStyle w:val="Compact"/>
        <w:numPr>
          <w:ilvl w:val="0"/>
          <w:numId w:val="1002"/>
        </w:numPr>
      </w:pPr>
      <w:r>
        <w:t xml:space="preserve">输出</w:t>
      </w:r>
      <w:r>
        <w:t xml:space="preserve"> </w:t>
      </w:r>
      <w:r>
        <w:rPr>
          <w:rStyle w:val="VerbatimChar"/>
        </w:rPr>
        <w:t xml:space="preserve">figures/main/Fig1_process_terrain_design.pdf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Fig1_process_terrain_design.png</w:t>
      </w:r>
      <w:r>
        <w:t xml:space="preserve">，分辨率 300-600 dpi。</w:t>
      </w:r>
    </w:p>
    <w:p>
      <w:r>
        <w:pict>
          <v:rect style="width:0;height:1.5pt" o:hralign="center" o:hrstd="t" o:hr="t"/>
        </w:pict>
      </w:r>
    </w:p>
    <w:bookmarkEnd w:id="21"/>
    <w:bookmarkStart w:id="22" w:name="X8c4cac19dec29c4ec0062c5a62c2e62ba0c3c8e"/>
    <w:p>
      <w:pPr>
        <w:pStyle w:val="Heading3"/>
      </w:pPr>
      <w:r>
        <w:t xml:space="preserve">Figure 2. Surge-based and storm-tide-based indicators diverge by coastal setting</w:t>
      </w:r>
    </w:p>
    <w:p>
      <w:pPr>
        <w:pStyle w:val="FirstParagraph"/>
      </w:pPr>
      <w:r>
        <w:rPr>
          <w:b/>
          <w:bCs/>
        </w:rPr>
        <w:t xml:space="preserve">目的：</w:t>
      </w:r>
      <w:r>
        <w:t xml:space="preserve"> </w:t>
      </w:r>
      <w:r>
        <w:t xml:space="preserve">支撑第一个结果：GSSR RP10 和 COAST-RP RP10 在欧洲大潮差/强潮汐背景下明显错位，在美国两个站点差异较小。</w:t>
      </w:r>
    </w:p>
    <w:p>
      <w:pPr>
        <w:pStyle w:val="BodyText"/>
      </w:pPr>
      <w:r>
        <w:rPr>
          <w:b/>
          <w:bCs/>
        </w:rPr>
        <w:t xml:space="preserve">推荐版式：</w:t>
      </w:r>
      <w:r>
        <w:t xml:space="preserve"> </w:t>
      </w:r>
      <w:r>
        <w:t xml:space="preserve">三联图。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Fig. 2a：paired bar chart</w:t>
      </w:r>
      <w:r>
        <w:br/>
      </w:r>
      <w:r>
        <w:t xml:space="preserve">x 轴为 8 个站点，两个柱分别为 GSSR RP10 surge 和 COAST-RP RP10 storm tide。欧洲站点放在左侧，非欧洲站点放在右侧，中间用竖线分组。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Fig. 2b：storm-tide-minus-surge divergence</w:t>
      </w:r>
      <w:r>
        <w:br/>
      </w:r>
      <w:r>
        <w:t xml:space="preserve">画</w:t>
      </w:r>
      <w:r>
        <w:t xml:space="preserve"> </w:t>
      </w:r>
      <w:r>
        <w:rPr>
          <w:rStyle w:val="VerbatimChar"/>
        </w:rPr>
        <w:t xml:space="preserve">D10 = COAST_RP_RP10 - GSSR_RP10</w:t>
      </w:r>
      <w:r>
        <w:t xml:space="preserve">，按数值从大到小排序。Sheerness 3.93 m、Brest 3.63 m、Newlyn 2.74 m 会自然突出。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Fig. 2c：regional contrast 或 small-multiple inset</w:t>
      </w:r>
      <w:r>
        <w:br/>
      </w:r>
      <w:r>
        <w:t xml:space="preserve">可以画欧洲组和非欧洲组的均值/范围。注意不要做显著性检验，因为样本量太小；只做 descriptive contrast。</w:t>
      </w:r>
    </w:p>
    <w:p>
      <w:pPr>
        <w:pStyle w:val="FirstParagraph"/>
      </w:pPr>
      <w:r>
        <w:rPr>
          <w:b/>
          <w:bCs/>
        </w:rPr>
        <w:t xml:space="preserve">必须使用的数据：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Station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GSSR RP10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COAST-RP RP10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D10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Sheerness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1.33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5.26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3.93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Newlyn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0.61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3.35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2.74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Aberdeen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0.84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2.82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1.99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Hoek van Holland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1.50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3.37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1.87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Brest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0.68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4.31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3.63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New York-The Battery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1.19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1.31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0.12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Hong Kong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1.01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1.82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0.82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Charleston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0.84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1.35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0.51</w:t>
            </w:r>
          </w:p>
        </w:tc>
      </w:tr>
    </w:tbl>
    <w:p>
      <w:pPr>
        <w:pStyle w:val="BodyText"/>
      </w:pPr>
      <w:r>
        <w:rPr>
          <w:b/>
          <w:bCs/>
        </w:rPr>
        <w:t xml:space="preserve">图注一定要写：</w:t>
      </w:r>
      <w:r>
        <w:br/>
      </w:r>
      <w:r>
        <w:t xml:space="preserve">“</w:t>
      </w:r>
      <w:r>
        <w:t xml:space="preserve">GSSR and COAST-RP are not the same physical variable; the plotted difference is used as an indicator of product-definition and process divergence, not as a model-error metric.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制作步骤：</w:t>
      </w:r>
    </w:p>
    <w:p>
      <w:pPr>
        <w:pStyle w:val="Compact"/>
        <w:numPr>
          <w:ilvl w:val="0"/>
          <w:numId w:val="1004"/>
        </w:numPr>
      </w:pPr>
      <w:r>
        <w:t xml:space="preserve">读取</w:t>
      </w:r>
      <w:r>
        <w:t xml:space="preserve"> </w:t>
      </w:r>
      <w:r>
        <w:rPr>
          <w:rStyle w:val="VerbatimChar"/>
        </w:rPr>
        <w:t xml:space="preserve">data/processed/rp_comparison.csv</w:t>
      </w:r>
      <w:r>
        <w:t xml:space="preserve"> </w:t>
      </w:r>
      <w:r>
        <w:t xml:space="preserve">或手工整理的 table。</w:t>
      </w:r>
    </w:p>
    <w:p>
      <w:pPr>
        <w:pStyle w:val="Compact"/>
        <w:numPr>
          <w:ilvl w:val="0"/>
          <w:numId w:val="1004"/>
        </w:numPr>
      </w:pPr>
      <w:r>
        <w:t xml:space="preserve">新增列：</w:t>
      </w:r>
      <w:r>
        <w:rPr>
          <w:rStyle w:val="VerbatimChar"/>
        </w:rPr>
        <w:t xml:space="preserve">D10 = coastrp_rp10 - gssr_rp10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对站点排序：欧洲站点在前，非欧洲站点在后；或者按 D10 排序。</w:t>
      </w:r>
    </w:p>
    <w:p>
      <w:pPr>
        <w:pStyle w:val="Compact"/>
        <w:numPr>
          <w:ilvl w:val="0"/>
          <w:numId w:val="1004"/>
        </w:numPr>
      </w:pPr>
      <w:r>
        <w:t xml:space="preserve">用 paired bars 和 horizontal divergence bars。</w:t>
      </w:r>
    </w:p>
    <w:p>
      <w:pPr>
        <w:pStyle w:val="Compact"/>
        <w:numPr>
          <w:ilvl w:val="0"/>
          <w:numId w:val="1004"/>
        </w:numPr>
      </w:pPr>
      <w:r>
        <w:t xml:space="preserve">所有 y 轴单位统一为 m。</w:t>
      </w:r>
    </w:p>
    <w:p>
      <w:pPr>
        <w:pStyle w:val="Compact"/>
        <w:numPr>
          <w:ilvl w:val="0"/>
          <w:numId w:val="1004"/>
        </w:numPr>
      </w:pPr>
      <w:r>
        <w:t xml:space="preserve">图内加一个小文本框：</w:t>
      </w:r>
      <w:r>
        <w:rPr>
          <w:rStyle w:val="VerbatimChar"/>
        </w:rPr>
        <w:t xml:space="preserve">storm tide = surge + tide; GSSR = surge residual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3" w:name="Xf4a4482add15459ee67f521d954e7c2da259b06"/>
    <w:p>
      <w:pPr>
        <w:pStyle w:val="Heading3"/>
      </w:pPr>
      <w:r>
        <w:t xml:space="preserve">Figure 3. Meteorological coherence of reconstructed daily surge</w:t>
      </w:r>
    </w:p>
    <w:p>
      <w:pPr>
        <w:pStyle w:val="FirstParagraph"/>
      </w:pPr>
      <w:r>
        <w:rPr>
          <w:b/>
          <w:bCs/>
        </w:rPr>
        <w:t xml:space="preserve">目的：</w:t>
      </w:r>
      <w:r>
        <w:t xml:space="preserve"> </w:t>
      </w:r>
      <w:r>
        <w:t xml:space="preserve">支撑第二个结果：GSSR 重建 surge 在欧洲温带风暴站点与气压/风速有物理一致性，但对 Charleston/Hong Kong 这类复杂或受热带气旋影响站点，简单日尺度局地气象指标不足。</w:t>
      </w:r>
    </w:p>
    <w:p>
      <w:pPr>
        <w:pStyle w:val="BodyText"/>
      </w:pPr>
      <w:r>
        <w:rPr>
          <w:b/>
          <w:bCs/>
        </w:rPr>
        <w:t xml:space="preserve">推荐版式：</w:t>
      </w:r>
      <w:r>
        <w:t xml:space="preserve"> </w:t>
      </w:r>
      <w:r>
        <w:t xml:space="preserve">三联图。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Fig. 3a：Spearman correlation heatmap</w:t>
      </w:r>
      <w:r>
        <w:br/>
      </w:r>
      <w:r>
        <w:t xml:space="preserve">行为 8 个站点，列为 pressure、wind、precipitation。颜色从负到正，中间为 0。需要标数值。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Fig. 3b：Newlyn surge-pressure scatter 或 binned relationship</w:t>
      </w:r>
      <w:r>
        <w:br/>
      </w:r>
      <w:r>
        <w:t xml:space="preserve">Newlyn 压力相关最强，rho = -0.831。建议画 hexbin 或分箱中位数，不要画 11,323 个点的普通散点，否则过密。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Fig. 3c：Charleston 或 Hong Kong 对照</w:t>
      </w:r>
      <w:r>
        <w:br/>
      </w:r>
      <w:r>
        <w:t xml:space="preserve">展示弱相关或异常相关，说明“driver coherence is regime-dependent”。</w:t>
      </w:r>
    </w:p>
    <w:p>
      <w:pPr>
        <w:pStyle w:val="FirstParagraph"/>
      </w:pPr>
      <w:r>
        <w:rPr>
          <w:b/>
          <w:bCs/>
        </w:rPr>
        <w:t xml:space="preserve">必须使用的数据：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Station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Surge-pressure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Surge-wind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Surge-precipitation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Aberdeen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-0.724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0.422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0.252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Brest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-0.796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0.442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0.585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Charleston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0.041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0.054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0.068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Hoek van Holland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-0.539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0.610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0.486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Hong Kong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0.159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0.331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-0.079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Newlyn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-0.831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0.364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0.530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New York-The Battery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-0.261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0.175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0.355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Sheerness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-0.228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0.512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0.159</w:t>
            </w:r>
          </w:p>
        </w:tc>
      </w:tr>
    </w:tbl>
    <w:p>
      <w:pPr>
        <w:pStyle w:val="BodyText"/>
      </w:pPr>
      <w:r>
        <w:rPr>
          <w:b/>
          <w:bCs/>
        </w:rPr>
        <w:t xml:space="preserve">制作步骤：</w:t>
      </w:r>
    </w:p>
    <w:p>
      <w:pPr>
        <w:pStyle w:val="Compact"/>
        <w:numPr>
          <w:ilvl w:val="0"/>
          <w:numId w:val="1006"/>
        </w:numPr>
      </w:pPr>
      <w:r>
        <w:t xml:space="preserve">读取</w:t>
      </w:r>
      <w:r>
        <w:t xml:space="preserve"> </w:t>
      </w:r>
      <w:r>
        <w:rPr>
          <w:rStyle w:val="VerbatimChar"/>
        </w:rPr>
        <w:t xml:space="preserve">data/processed/driver_correlations.csv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固定列顺序：pressure、wind、precipitation。</w:t>
      </w:r>
    </w:p>
    <w:p>
      <w:pPr>
        <w:pStyle w:val="Compact"/>
        <w:numPr>
          <w:ilvl w:val="0"/>
          <w:numId w:val="1006"/>
        </w:numPr>
      </w:pPr>
      <w:r>
        <w:t xml:space="preserve">站点顺序可按 pressure rho 排序，使欧洲强负相关聚在上方。</w:t>
      </w:r>
    </w:p>
    <w:p>
      <w:pPr>
        <w:pStyle w:val="Compact"/>
        <w:numPr>
          <w:ilvl w:val="0"/>
          <w:numId w:val="1006"/>
        </w:numPr>
      </w:pPr>
      <w:r>
        <w:t xml:space="preserve">色标范围固定为 -1 到 +1，避免误导。</w:t>
      </w:r>
    </w:p>
    <w:p>
      <w:pPr>
        <w:pStyle w:val="Compact"/>
        <w:numPr>
          <w:ilvl w:val="0"/>
          <w:numId w:val="1006"/>
        </w:numPr>
      </w:pPr>
      <w:r>
        <w:t xml:space="preserve">热图格子内标数值，保留两位小数。</w:t>
      </w:r>
    </w:p>
    <w:p>
      <w:pPr>
        <w:pStyle w:val="Compact"/>
        <w:numPr>
          <w:ilvl w:val="0"/>
          <w:numId w:val="1006"/>
        </w:numPr>
      </w:pPr>
      <w:r>
        <w:t xml:space="preserve">对 Newlyn 和 Charleston/Hong Kong 的日数据，读取 merged daily table，做分箱图。</w:t>
      </w:r>
    </w:p>
    <w:p>
      <w:pPr>
        <w:pStyle w:val="FirstParagraph"/>
      </w:pPr>
      <w:r>
        <w:rPr>
          <w:b/>
          <w:bCs/>
        </w:rPr>
        <w:t xml:space="preserve">解释重点：</w:t>
      </w:r>
      <w:r>
        <w:br/>
      </w:r>
      <w:r>
        <w:t xml:space="preserve">不要说 precipitation 代表 compound flooding；只能说 precipitation 是 storm-context indicator。真正 compound flooding 需要 river discharge、runoff、drainage 或 catchment hydrology。</w:t>
      </w:r>
    </w:p>
    <w:p>
      <w:r>
        <w:pict>
          <v:rect style="width:0;height:1.5pt" o:hralign="center" o:hrstd="t" o:hr="t"/>
        </w:pict>
      </w:r>
    </w:p>
    <w:bookmarkEnd w:id="23"/>
    <w:bookmarkStart w:id="24" w:name="X1ee90a2cef5735da4aba45d9b4568096488308e"/>
    <w:p>
      <w:pPr>
        <w:pStyle w:val="Heading3"/>
      </w:pPr>
      <w:r>
        <w:t xml:space="preserve">Figure 4. DeltaDTM terrain sensitivity at five European sites</w:t>
      </w:r>
    </w:p>
    <w:p>
      <w:pPr>
        <w:pStyle w:val="FirstParagraph"/>
      </w:pPr>
      <w:r>
        <w:rPr>
          <w:b/>
          <w:bCs/>
        </w:rPr>
        <w:t xml:space="preserve">目的：</w:t>
      </w:r>
      <w:r>
        <w:t xml:space="preserve"> </w:t>
      </w:r>
      <w:r>
        <w:t xml:space="preserve">支撑第三个结果：地形敏感性不是 storm-tide level 的简单函数；Sheerness 和 Hoek van Holland 是低地敏感型，Newlyn/Brest/Aberdeen 是地形缓冲型。</w:t>
      </w:r>
    </w:p>
    <w:p>
      <w:pPr>
        <w:pStyle w:val="BodyText"/>
      </w:pPr>
      <w:r>
        <w:rPr>
          <w:b/>
          <w:bCs/>
        </w:rPr>
        <w:t xml:space="preserve">推荐版式：</w:t>
      </w:r>
      <w:r>
        <w:t xml:space="preserve"> </w:t>
      </w:r>
      <w:r>
        <w:t xml:space="preserve">如果页面允许，用六联图；如果拥挤，分成主图 + 补充图。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Fig. 4a-b：代表性地图</w:t>
      </w:r>
      <w:r>
        <w:br/>
      </w:r>
      <w:r>
        <w:t xml:space="preserve">选择 Sheerness 和 Hoek van Holland 两个 aligned hotspots，显示 DeltaDTM elevation 和 +2 m static inundation mask。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Fig. 4c-d：对照地图</w:t>
      </w:r>
      <w:r>
        <w:br/>
      </w:r>
      <w:r>
        <w:t xml:space="preserve">选择 Brest 或 Newlyn 作为 terrain-buffered site。Aberdeen 可放 Supplementary Figure。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Fig. 4e：hypsometry curves</w:t>
      </w:r>
      <w:r>
        <w:br/>
      </w:r>
      <w:r>
        <w:t xml:space="preserve">五个站点的低地海拔累积分布曲线。x 轴 elevation，y 轴 cumulative fraction。+0.5、+1.0、+2.0 m 用竖线标出。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Fig. 4f：flooded lowland fraction bar chart</w:t>
      </w:r>
      <w:r>
        <w:br/>
      </w:r>
      <w:r>
        <w:t xml:space="preserve">每个站点三根柱：+0.5、+1.0、+2.0 m。</w:t>
      </w:r>
    </w:p>
    <w:p>
      <w:pPr>
        <w:pStyle w:val="FirstParagraph"/>
      </w:pPr>
      <w:r>
        <w:rPr>
          <w:b/>
          <w:bCs/>
        </w:rPr>
        <w:t xml:space="preserve">必须使用的数据：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Station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Median elevation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+0.5 m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+1.0 m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+2.0 m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Sheerness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2.47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2.13%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10.18%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42.78%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Hoek van Holland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3.85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5.15%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15.67%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34.72%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Newlyn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30.00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2.52%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4.19%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8.26%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Brest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30.00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3.67%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5.22%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7.63%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Aberdeen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22.46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2.39%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3.77%</w:t>
            </w:r>
          </w:p>
        </w:tc>
        <w:tc>
          <w:tcPr/>
          <w:p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 xml:space="preserve">7.24%</w:t>
            </w:r>
          </w:p>
        </w:tc>
      </w:tr>
    </w:tbl>
    <w:p>
      <w:pPr>
        <w:pStyle w:val="BodyText"/>
      </w:pPr>
      <w:r>
        <w:rPr>
          <w:b/>
          <w:bCs/>
        </w:rPr>
        <w:t xml:space="preserve">制作步骤：</w:t>
      </w:r>
    </w:p>
    <w:p>
      <w:pPr>
        <w:pStyle w:val="Compact"/>
        <w:numPr>
          <w:ilvl w:val="0"/>
          <w:numId w:val="1008"/>
        </w:numPr>
      </w:pPr>
      <w:r>
        <w:t xml:space="preserve">读取 DeltaDTM GeoTIFF tiles：</w:t>
      </w:r>
    </w:p>
    <w:p>
      <w:pPr>
        <w:pStyle w:val="Compact"/>
        <w:numPr>
          <w:ilvl w:val="1"/>
          <w:numId w:val="1009"/>
        </w:numPr>
      </w:pPr>
      <w:r>
        <w:t xml:space="preserve">Sheerness:</w:t>
      </w:r>
      <w:r>
        <w:t xml:space="preserve"> </w:t>
      </w:r>
      <w:r>
        <w:rPr>
          <w:rStyle w:val="VerbatimChar"/>
        </w:rPr>
        <w:t xml:space="preserve">DeltaDTM_v1_1_N51E000.tif</w:t>
      </w:r>
    </w:p>
    <w:p>
      <w:pPr>
        <w:pStyle w:val="Compact"/>
        <w:numPr>
          <w:ilvl w:val="1"/>
          <w:numId w:val="1009"/>
        </w:numPr>
      </w:pPr>
      <w:r>
        <w:t xml:space="preserve">Newlyn:</w:t>
      </w:r>
      <w:r>
        <w:t xml:space="preserve"> </w:t>
      </w:r>
      <w:r>
        <w:rPr>
          <w:rStyle w:val="VerbatimChar"/>
        </w:rPr>
        <w:t xml:space="preserve">DeltaDTM_v1_1_N50W006.tif</w:t>
      </w:r>
    </w:p>
    <w:p>
      <w:pPr>
        <w:pStyle w:val="Compact"/>
        <w:numPr>
          <w:ilvl w:val="1"/>
          <w:numId w:val="1009"/>
        </w:numPr>
      </w:pPr>
      <w:r>
        <w:t xml:space="preserve">Aberdeen:</w:t>
      </w:r>
      <w:r>
        <w:t xml:space="preserve"> </w:t>
      </w:r>
      <w:r>
        <w:rPr>
          <w:rStyle w:val="VerbatimChar"/>
        </w:rPr>
        <w:t xml:space="preserve">DeltaDTM_v1_1_N57W003.tif</w:t>
      </w:r>
    </w:p>
    <w:p>
      <w:pPr>
        <w:pStyle w:val="Compact"/>
        <w:numPr>
          <w:ilvl w:val="1"/>
          <w:numId w:val="1009"/>
        </w:numPr>
      </w:pPr>
      <w:r>
        <w:t xml:space="preserve">Hoek van Holland:</w:t>
      </w:r>
      <w:r>
        <w:t xml:space="preserve"> </w:t>
      </w:r>
      <w:r>
        <w:rPr>
          <w:rStyle w:val="VerbatimChar"/>
        </w:rPr>
        <w:t xml:space="preserve">DeltaDTM_v1_1_N51E004.tif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DeltaDTM_v1_1_N52E004.tif</w:t>
      </w:r>
    </w:p>
    <w:p>
      <w:pPr>
        <w:pStyle w:val="Compact"/>
        <w:numPr>
          <w:ilvl w:val="1"/>
          <w:numId w:val="1009"/>
        </w:numPr>
      </w:pPr>
      <w:r>
        <w:t xml:space="preserve">Brest:</w:t>
      </w:r>
      <w:r>
        <w:t xml:space="preserve"> </w:t>
      </w:r>
      <w:r>
        <w:rPr>
          <w:rStyle w:val="VerbatimChar"/>
        </w:rPr>
        <w:t xml:space="preserve">DeltaDTM_v1_1_N48W005.tif</w:t>
      </w:r>
    </w:p>
    <w:p>
      <w:pPr>
        <w:pStyle w:val="Compact"/>
        <w:numPr>
          <w:ilvl w:val="0"/>
          <w:numId w:val="1008"/>
        </w:numPr>
      </w:pPr>
      <w:r>
        <w:t xml:space="preserve">用</w:t>
      </w:r>
      <w:r>
        <w:t xml:space="preserve"> </w:t>
      </w:r>
      <w:r>
        <w:rPr>
          <w:rStyle w:val="VerbatimChar"/>
        </w:rPr>
        <w:t xml:space="preserve">rasterio</w:t>
      </w:r>
      <w:r>
        <w:t xml:space="preserve"> </w:t>
      </w:r>
      <w:r>
        <w:t xml:space="preserve">读取 station-centred window。</w:t>
      </w:r>
    </w:p>
    <w:p>
      <w:pPr>
        <w:pStyle w:val="Compact"/>
        <w:numPr>
          <w:ilvl w:val="0"/>
          <w:numId w:val="1008"/>
        </w:numPr>
      </w:pPr>
      <w:r>
        <w:t xml:space="preserve">mask nodata。</w:t>
      </w:r>
    </w:p>
    <w:p>
      <w:pPr>
        <w:pStyle w:val="Compact"/>
        <w:numPr>
          <w:ilvl w:val="0"/>
          <w:numId w:val="1008"/>
        </w:numPr>
      </w:pPr>
      <w:r>
        <w:t xml:space="preserve">建立 coastal-lowland mask，与现有处理保持一致。</w:t>
      </w:r>
    </w:p>
    <w:p>
      <w:pPr>
        <w:pStyle w:val="Compact"/>
        <w:numPr>
          <w:ilvl w:val="0"/>
          <w:numId w:val="1008"/>
        </w:numPr>
      </w:pPr>
      <w:r>
        <w:t xml:space="preserve">对每个 perturbation 计算</w:t>
      </w:r>
      <w:r>
        <w:t xml:space="preserve"> </w:t>
      </w:r>
      <w:r>
        <w:rPr>
          <w:rStyle w:val="VerbatimChar"/>
        </w:rPr>
        <w:t xml:space="preserve">depth = max(0, eta - DEM)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地图上不要用“flood risk”字样，用</w:t>
      </w:r>
      <w:r>
        <w:t xml:space="preserve"> </w:t>
      </w:r>
      <w:r>
        <w:t xml:space="preserve">“</w:t>
      </w:r>
      <w:r>
        <w:t xml:space="preserve">static terrain sensitivity</w:t>
      </w:r>
      <w:r>
        <w:t xml:space="preserve">”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荷兰站点必须在图注中说明未考虑 flood defenses。</w:t>
      </w:r>
    </w:p>
    <w:p>
      <w:r>
        <w:pict>
          <v:rect style="width:0;height:1.5pt" o:hralign="center" o:hrstd="t" o:hr="t"/>
        </w:pict>
      </w:r>
    </w:p>
    <w:bookmarkEnd w:id="24"/>
    <w:bookmarkStart w:id="25" w:name="Xf61eda72c45b870ddfb1654afa73999cf55e7a0"/>
    <w:p>
      <w:pPr>
        <w:pStyle w:val="Heading3"/>
      </w:pPr>
      <w:r>
        <w:t xml:space="preserve">Figure 5. Process-terrain typology of coastal flood susceptibility</w:t>
      </w:r>
    </w:p>
    <w:p>
      <w:pPr>
        <w:pStyle w:val="FirstParagraph"/>
      </w:pPr>
      <w:r>
        <w:rPr>
          <w:b/>
          <w:bCs/>
        </w:rPr>
        <w:t xml:space="preserve">目的：</w:t>
      </w:r>
      <w:r>
        <w:t xml:space="preserve"> </w:t>
      </w:r>
      <w:r>
        <w:t xml:space="preserve">这是全文 synthesis figure，把论文从“多个结果”收束成一个科学结论。</w:t>
      </w:r>
    </w:p>
    <w:p>
      <w:pPr>
        <w:pStyle w:val="BodyText"/>
      </w:pPr>
      <w:r>
        <w:rPr>
          <w:b/>
          <w:bCs/>
        </w:rPr>
        <w:t xml:space="preserve">推荐版式：</w:t>
      </w:r>
      <w:r>
        <w:t xml:space="preserve"> </w:t>
      </w:r>
      <w:r>
        <w:t xml:space="preserve">两联图。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Fig. 5a：diagnostic scatter</w:t>
      </w:r>
      <w:r>
        <w:br/>
      </w:r>
      <w:r>
        <w:t xml:space="preserve">x 轴：</w:t>
      </w:r>
      <w:r>
        <w:rPr>
          <w:rStyle w:val="VerbatimChar"/>
        </w:rPr>
        <w:t xml:space="preserve">D10 = COAST-RP RP10 - GSSR RP10</w:t>
      </w:r>
      <w:r>
        <w:t xml:space="preserve">。</w:t>
      </w:r>
      <w:r>
        <w:br/>
      </w:r>
      <w:r>
        <w:t xml:space="preserve">y 轴：</w:t>
      </w:r>
      <w:r>
        <w:rPr>
          <w:rStyle w:val="VerbatimChar"/>
        </w:rPr>
        <w:t xml:space="preserve">+2.0 m flooded lowland fraction</w:t>
      </w:r>
      <w:r>
        <w:t xml:space="preserve">。</w:t>
      </w:r>
      <w:r>
        <w:br/>
      </w:r>
      <w:r>
        <w:t xml:space="preserve">点颜色：surge-pressure correlation，越负说明 extratropical storm coherence 越强。</w:t>
      </w:r>
      <w:r>
        <w:br/>
      </w:r>
      <w:r>
        <w:t xml:space="preserve">只放 5 个有 DeltaDTM 的欧洲站点，但可以在旁边用灰色注释列出 non-terrain sites 的 D10。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Fig. 5b：typology diagram</w:t>
      </w:r>
      <w:r>
        <w:br/>
      </w:r>
      <w:r>
        <w:t xml:space="preserve">三类：</w:t>
      </w:r>
    </w:p>
    <w:p>
      <w:pPr>
        <w:pStyle w:val="Compact"/>
        <w:numPr>
          <w:ilvl w:val="1"/>
          <w:numId w:val="1011"/>
        </w:numPr>
      </w:pPr>
      <w:r>
        <w:t xml:space="preserve">water-level-terrain aligned hotspots：Sheerness、Hoek van Holland；</w:t>
      </w:r>
    </w:p>
    <w:p>
      <w:pPr>
        <w:pStyle w:val="Compact"/>
        <w:numPr>
          <w:ilvl w:val="1"/>
          <w:numId w:val="1011"/>
        </w:numPr>
      </w:pPr>
      <w:r>
        <w:t xml:space="preserve">water-level-dominated but terrain-buffered sites：Brest、Newlyn、Aberdeen；</w:t>
      </w:r>
    </w:p>
    <w:p>
      <w:pPr>
        <w:pStyle w:val="Compact"/>
        <w:numPr>
          <w:ilvl w:val="1"/>
          <w:numId w:val="1011"/>
        </w:numPr>
      </w:pPr>
      <w:r>
        <w:t xml:space="preserve">process-diagnostic comparison sites：New York-The Battery、Charleston、Hong Kong。</w:t>
      </w:r>
    </w:p>
    <w:p>
      <w:pPr>
        <w:pStyle w:val="FirstParagraph"/>
      </w:pPr>
      <w:r>
        <w:rPr>
          <w:b/>
          <w:bCs/>
        </w:rPr>
        <w:t xml:space="preserve">解释重点：</w:t>
      </w:r>
      <w:r>
        <w:br/>
      </w:r>
      <w:r>
        <w:t xml:space="preserve">这张图必须对应论文主结论：Extreme water-level magnitude alone incompletely identifies coastal flood susceptibility because water-level process and lowland terrain can be decoupled.</w:t>
      </w:r>
    </w:p>
    <w:p>
      <w:pPr>
        <w:pStyle w:val="BodyText"/>
      </w:pPr>
      <w:r>
        <w:rPr>
          <w:b/>
          <w:bCs/>
        </w:rPr>
        <w:t xml:space="preserve">制作步骤：</w:t>
      </w:r>
    </w:p>
    <w:p>
      <w:pPr>
        <w:pStyle w:val="Compact"/>
        <w:numPr>
          <w:ilvl w:val="0"/>
          <w:numId w:val="1012"/>
        </w:numPr>
      </w:pPr>
      <w:r>
        <w:t xml:space="preserve">合并 RP10 table、correlation table、terrain sensitivity table。</w:t>
      </w:r>
    </w:p>
    <w:p>
      <w:pPr>
        <w:pStyle w:val="Compact"/>
        <w:numPr>
          <w:ilvl w:val="0"/>
          <w:numId w:val="1012"/>
        </w:numPr>
      </w:pPr>
      <w:r>
        <w:t xml:space="preserve">只保留有 terrain 的五个站点用于主 scatter。</w:t>
      </w:r>
    </w:p>
    <w:p>
      <w:pPr>
        <w:pStyle w:val="Compact"/>
        <w:numPr>
          <w:ilvl w:val="0"/>
          <w:numId w:val="1012"/>
        </w:numPr>
      </w:pPr>
      <w:r>
        <w:t xml:space="preserve">x 轴不需要从 0 开始，但建议从 1.5 到 4.2 m，避免空间浪费。</w:t>
      </w:r>
    </w:p>
    <w:p>
      <w:pPr>
        <w:pStyle w:val="Compact"/>
        <w:numPr>
          <w:ilvl w:val="0"/>
          <w:numId w:val="1012"/>
        </w:numPr>
      </w:pPr>
      <w:r>
        <w:t xml:space="preserve">y 轴用百分比 0-50%。</w:t>
      </w:r>
    </w:p>
    <w:p>
      <w:pPr>
        <w:pStyle w:val="Compact"/>
        <w:numPr>
          <w:ilvl w:val="0"/>
          <w:numId w:val="1012"/>
        </w:numPr>
      </w:pPr>
      <w:r>
        <w:t xml:space="preserve">标注每个点名。</w:t>
      </w:r>
    </w:p>
    <w:p>
      <w:pPr>
        <w:pStyle w:val="Compact"/>
        <w:numPr>
          <w:ilvl w:val="0"/>
          <w:numId w:val="1012"/>
        </w:numPr>
      </w:pPr>
      <w:r>
        <w:t xml:space="preserve">加半透明区域：high terrain sensitivity、terrain-buffered 等。</w:t>
      </w:r>
    </w:p>
    <w:p>
      <w:pPr>
        <w:pStyle w:val="Compact"/>
        <w:numPr>
          <w:ilvl w:val="0"/>
          <w:numId w:val="1012"/>
        </w:numPr>
      </w:pPr>
      <w:r>
        <w:t xml:space="preserve">输出为 vector PDF，并另存 PNG 用于预览。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表格安排"/>
    <w:p>
      <w:pPr>
        <w:pStyle w:val="Heading2"/>
      </w:pPr>
      <w:r>
        <w:t xml:space="preserve">3. 表格安排</w:t>
      </w:r>
    </w:p>
    <w:bookmarkStart w:id="27" w:name="Xe97c3880711c864096c79b94cbb345431edf807"/>
    <w:p>
      <w:pPr>
        <w:pStyle w:val="Heading3"/>
      </w:pPr>
      <w:r>
        <w:t xml:space="preserve">Main Table 1：Data products and physical definitions</w:t>
      </w:r>
    </w:p>
    <w:p>
      <w:pPr>
        <w:pStyle w:val="FirstParagraph"/>
      </w:pPr>
      <w:r>
        <w:t xml:space="preserve">这张表必须保留在主文，因为它能防止审稿人误解。列包括：Product、Variable、Spatial support、Time/RP support、Role、Limitation。</w:t>
      </w:r>
    </w:p>
    <w:bookmarkEnd w:id="27"/>
    <w:bookmarkStart w:id="28" w:name="Xf58eeeb98886d4482967b0e7977219ac0e2e04a"/>
    <w:p>
      <w:pPr>
        <w:pStyle w:val="Heading3"/>
      </w:pPr>
      <w:r>
        <w:t xml:space="preserve">Main Table 2：Water-level indicators and divergence</w:t>
      </w:r>
    </w:p>
    <w:p>
      <w:pPr>
        <w:pStyle w:val="FirstParagraph"/>
      </w:pPr>
      <w:r>
        <w:t xml:space="preserve">保留 8 个站点 RP10 比较。建议增加</w:t>
      </w:r>
      <w:r>
        <w:t xml:space="preserve"> </w:t>
      </w:r>
      <w:r>
        <w:rPr>
          <w:rStyle w:val="VerbatimChar"/>
        </w:rPr>
        <w:t xml:space="preserve">D10 = COAST - GSSR</w:t>
      </w:r>
      <w:r>
        <w:t xml:space="preserve">，比只写负 bias 更直观。</w:t>
      </w:r>
    </w:p>
    <w:bookmarkEnd w:id="28"/>
    <w:bookmarkStart w:id="29" w:name="main-table-3process-terrain-typology"/>
    <w:p>
      <w:pPr>
        <w:pStyle w:val="Heading3"/>
      </w:pPr>
      <w:r>
        <w:t xml:space="preserve">Main Table 3：Process-terrain typology</w:t>
      </w:r>
    </w:p>
    <w:p>
      <w:pPr>
        <w:pStyle w:val="FirstParagraph"/>
      </w:pPr>
      <w:r>
        <w:t xml:space="preserve">这张表可以替代部分文字，列包括：Station、D10、pressure rho、+2 m lowland sensitivity、typology class、interpretation。</w:t>
      </w:r>
    </w:p>
    <w:bookmarkEnd w:id="29"/>
    <w:bookmarkStart w:id="30" w:name="supplementary-tables"/>
    <w:p>
      <w:pPr>
        <w:pStyle w:val="Heading3"/>
      </w:pPr>
      <w:r>
        <w:t xml:space="preserve">Supplementary Tables</w:t>
      </w:r>
    </w:p>
    <w:p>
      <w:pPr>
        <w:pStyle w:val="Compact"/>
        <w:numPr>
          <w:ilvl w:val="0"/>
          <w:numId w:val="1013"/>
        </w:numPr>
      </w:pPr>
      <w:r>
        <w:t xml:space="preserve">Supplementary Table 1：station coordinates and COAST-RP match distance。</w:t>
      </w:r>
    </w:p>
    <w:p>
      <w:pPr>
        <w:pStyle w:val="Compact"/>
        <w:numPr>
          <w:ilvl w:val="0"/>
          <w:numId w:val="1013"/>
        </w:numPr>
      </w:pPr>
      <w:r>
        <w:t xml:space="preserve">Supplementary Table 2：GSSR RP10/RP50/RP100 empirical values。</w:t>
      </w:r>
    </w:p>
    <w:p>
      <w:pPr>
        <w:pStyle w:val="Compact"/>
        <w:numPr>
          <w:ilvl w:val="0"/>
          <w:numId w:val="1013"/>
        </w:numPr>
      </w:pPr>
      <w:r>
        <w:t xml:space="preserve">Supplementary Table 3：Open-Meteo variables and time coverage。</w:t>
      </w:r>
    </w:p>
    <w:p>
      <w:pPr>
        <w:pStyle w:val="Compact"/>
        <w:numPr>
          <w:ilvl w:val="0"/>
          <w:numId w:val="1013"/>
        </w:numPr>
      </w:pPr>
      <w:r>
        <w:t xml:space="preserve">Supplementary Table 4：DeltaDTM tile names, valid-cell fractions, nodata statistics。</w:t>
      </w:r>
    </w:p>
    <w:p>
      <w:pPr>
        <w:pStyle w:val="Compact"/>
        <w:numPr>
          <w:ilvl w:val="0"/>
          <w:numId w:val="1013"/>
        </w:numPr>
      </w:pPr>
      <w:r>
        <w:t xml:space="preserve">Supplementary Table 5：all-valid-cell vs coastal-lowland flooded fractions。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代码实现建议"/>
    <w:p>
      <w:pPr>
        <w:pStyle w:val="Heading2"/>
      </w:pPr>
      <w:r>
        <w:t xml:space="preserve">4. 代码实现建议</w:t>
      </w:r>
    </w:p>
    <w:bookmarkStart w:id="32" w:name="recommended-script-structure"/>
    <w:p>
      <w:pPr>
        <w:pStyle w:val="Heading3"/>
      </w:pPr>
      <w:r>
        <w:t xml:space="preserve">Recommended script structure</w:t>
      </w:r>
    </w:p>
    <w:p>
      <w:pPr>
        <w:pStyle w:val="SourceCode"/>
      </w:pP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  make_fig1_design_map.py</w:t>
      </w:r>
      <w:r>
        <w:br/>
      </w:r>
      <w:r>
        <w:rPr>
          <w:rStyle w:val="VerbatimChar"/>
        </w:rPr>
        <w:t xml:space="preserve">  make_fig2_water_level_divergence.py</w:t>
      </w:r>
      <w:r>
        <w:br/>
      </w:r>
      <w:r>
        <w:rPr>
          <w:rStyle w:val="VerbatimChar"/>
        </w:rPr>
        <w:t xml:space="preserve">  make_fig3_meteorological_coherence.py</w:t>
      </w:r>
      <w:r>
        <w:br/>
      </w:r>
      <w:r>
        <w:rPr>
          <w:rStyle w:val="VerbatimChar"/>
        </w:rPr>
        <w:t xml:space="preserve">  make_fig4_deltadtm_terrain_sensitivity.py</w:t>
      </w:r>
      <w:r>
        <w:br/>
      </w:r>
      <w:r>
        <w:rPr>
          <w:rStyle w:val="VerbatimChar"/>
        </w:rPr>
        <w:t xml:space="preserve">  make_fig5_process_terrain_typology.py</w:t>
      </w:r>
      <w:r>
        <w:br/>
      </w:r>
      <w:r>
        <w:rPr>
          <w:rStyle w:val="VerbatimChar"/>
        </w:rPr>
        <w:t xml:space="preserve">  build_main_tables.py</w:t>
      </w:r>
    </w:p>
    <w:bookmarkEnd w:id="32"/>
    <w:bookmarkStart w:id="33" w:name="recommended-output-structure"/>
    <w:p>
      <w:pPr>
        <w:pStyle w:val="Heading3"/>
      </w:pPr>
      <w:r>
        <w:t xml:space="preserve">Recommended output structure</w:t>
      </w:r>
    </w:p>
    <w:p>
      <w:pPr>
        <w:pStyle w:val="SourceCode"/>
      </w:pPr>
      <w:r>
        <w:rPr>
          <w:rStyle w:val="VerbatimChar"/>
        </w:rPr>
        <w:t xml:space="preserve">figures/main/</w:t>
      </w:r>
      <w:r>
        <w:br/>
      </w:r>
      <w:r>
        <w:rPr>
          <w:rStyle w:val="VerbatimChar"/>
        </w:rPr>
        <w:t xml:space="preserve">  Fig1_process_terrain_design.pdf</w:t>
      </w:r>
      <w:r>
        <w:br/>
      </w:r>
      <w:r>
        <w:rPr>
          <w:rStyle w:val="VerbatimChar"/>
        </w:rPr>
        <w:t xml:space="preserve">  Fig1_process_terrain_design.png</w:t>
      </w:r>
      <w:r>
        <w:br/>
      </w:r>
      <w:r>
        <w:rPr>
          <w:rStyle w:val="VerbatimChar"/>
        </w:rPr>
        <w:t xml:space="preserve">  Fig2_water_level_divergence.pdf</w:t>
      </w:r>
      <w:r>
        <w:br/>
      </w:r>
      <w:r>
        <w:rPr>
          <w:rStyle w:val="VerbatimChar"/>
        </w:rPr>
        <w:t xml:space="preserve">  Fig2_water_level_divergence.png</w:t>
      </w:r>
      <w:r>
        <w:br/>
      </w:r>
      <w:r>
        <w:rPr>
          <w:rStyle w:val="VerbatimChar"/>
        </w:rPr>
        <w:t xml:space="preserve">  Fig3_meteorological_coherence.pdf</w:t>
      </w:r>
      <w:r>
        <w:br/>
      </w:r>
      <w:r>
        <w:rPr>
          <w:rStyle w:val="VerbatimChar"/>
        </w:rPr>
        <w:t xml:space="preserve">  Fig3_meteorological_coherence.png</w:t>
      </w:r>
      <w:r>
        <w:br/>
      </w:r>
      <w:r>
        <w:rPr>
          <w:rStyle w:val="VerbatimChar"/>
        </w:rPr>
        <w:t xml:space="preserve">  Fig4_deltadtm_terrain_sensitivity.pdf</w:t>
      </w:r>
      <w:r>
        <w:br/>
      </w:r>
      <w:r>
        <w:rPr>
          <w:rStyle w:val="VerbatimChar"/>
        </w:rPr>
        <w:t xml:space="preserve">  Fig4_deltadtm_terrain_sensitivity.png</w:t>
      </w:r>
      <w:r>
        <w:br/>
      </w:r>
      <w:r>
        <w:rPr>
          <w:rStyle w:val="VerbatimChar"/>
        </w:rPr>
        <w:t xml:space="preserve">  Fig5_process_terrain_typology.pdf</w:t>
      </w:r>
      <w:r>
        <w:br/>
      </w:r>
      <w:r>
        <w:rPr>
          <w:rStyle w:val="VerbatimChar"/>
        </w:rPr>
        <w:t xml:space="preserve">  Fig5_process_terrain_typology.png</w:t>
      </w:r>
      <w:r>
        <w:br/>
      </w:r>
      <w:r>
        <w:br/>
      </w:r>
      <w:r>
        <w:rPr>
          <w:rStyle w:val="VerbatimChar"/>
        </w:rPr>
        <w:t xml:space="preserve">figures/supplementary/</w:t>
      </w:r>
      <w:r>
        <w:br/>
      </w:r>
      <w:r>
        <w:rPr>
          <w:rStyle w:val="VerbatimChar"/>
        </w:rPr>
        <w:t xml:space="preserve">  FigS1_sheerness_hydrograph.pdf</w:t>
      </w:r>
      <w:r>
        <w:br/>
      </w:r>
      <w:r>
        <w:rPr>
          <w:rStyle w:val="VerbatimChar"/>
        </w:rPr>
        <w:t xml:space="preserve">  FigS2_gssr_return_levels_all_sites.pdf</w:t>
      </w:r>
      <w:r>
        <w:br/>
      </w:r>
      <w:r>
        <w:rPr>
          <w:rStyle w:val="VerbatimChar"/>
        </w:rPr>
        <w:t xml:space="preserve">  FigS3_each_deltadtm_site_map.pdf</w:t>
      </w:r>
      <w:r>
        <w:br/>
      </w:r>
      <w:r>
        <w:rPr>
          <w:rStyle w:val="VerbatimChar"/>
        </w:rPr>
        <w:t xml:space="preserve">  FigS4_quality_audit_schematic.pdf</w:t>
      </w:r>
      <w:r>
        <w:br/>
      </w:r>
      <w:r>
        <w:br/>
      </w:r>
      <w:r>
        <w:rPr>
          <w:rStyle w:val="VerbatimChar"/>
        </w:rPr>
        <w:t xml:space="preserve">data/figure_source/</w:t>
      </w:r>
      <w:r>
        <w:br/>
      </w:r>
      <w:r>
        <w:rPr>
          <w:rStyle w:val="VerbatimChar"/>
        </w:rPr>
        <w:t xml:space="preserve">  Fig2_water_level_divergence.csv</w:t>
      </w:r>
      <w:r>
        <w:br/>
      </w:r>
      <w:r>
        <w:rPr>
          <w:rStyle w:val="VerbatimChar"/>
        </w:rPr>
        <w:t xml:space="preserve">  Fig3_driver_correlations.csv</w:t>
      </w:r>
      <w:r>
        <w:br/>
      </w:r>
      <w:r>
        <w:rPr>
          <w:rStyle w:val="VerbatimChar"/>
        </w:rPr>
        <w:t xml:space="preserve">  Fig4_terrain_sensitivity.csv</w:t>
      </w:r>
      <w:r>
        <w:br/>
      </w:r>
      <w:r>
        <w:rPr>
          <w:rStyle w:val="VerbatimChar"/>
        </w:rPr>
        <w:t xml:space="preserve">  Fig5_process_terrain_typology.csv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每张图对应的论文段落"/>
    <w:p>
      <w:pPr>
        <w:pStyle w:val="Heading2"/>
      </w:pPr>
      <w:r>
        <w:t xml:space="preserve">5. 每张图对应的论文段落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图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对应 Results 小节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核心句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Fig. 1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Introduction / first Results paragraph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The analysis treats open datasets as physically distinct indicators of process-terrain susceptibility.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Fig. 2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Surge and storm-tide indicators diverge across coastal settings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Surge-based and storm-tide-based indicators diverge most strongly at European sites.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Fig. 3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Reconstructed surges are meteorologically coherent at extratropical European sites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Pressure and wind correlations support extratropical storm coherence in several European reconstructions.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Fig. 4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Lowland terrain sensitivity does not simply follow storm-tide magnitude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Static DeltaDTM sensitivity is concentrated at Sheerness and Hoek van Holland.</w:t>
            </w:r>
          </w:p>
        </w:tc>
      </w:tr>
      <w:tr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Fig. 5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Process-terrain typology</w:t>
            </w:r>
          </w:p>
        </w:tc>
        <w:tc>
          <w:tcPr/>
          <w:p>
            <w:pPr>
              <w:pStyle w:val="Compact"/>
              <w:spacing w:before="0" w:after="0"/>
              <w:jc w:val="left"/>
            </w:pPr>
            <w:r>
              <w:rPr>
                <w:sz w:val="17"/>
              </w:rPr>
              <w:t xml:space="preserve">Coastal flood susceptibility depends on the coupling between water-level process and lowland terrain.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1" w:name="补充材料建议"/>
    <w:p>
      <w:pPr>
        <w:pStyle w:val="Heading2"/>
      </w:pPr>
      <w:r>
        <w:t xml:space="preserve">6. 补充材料建议</w:t>
      </w:r>
    </w:p>
    <w:bookmarkStart w:id="36" w:name="X058904b4515486eba300e142bbc63aec842b6fd"/>
    <w:p>
      <w:pPr>
        <w:pStyle w:val="Heading3"/>
      </w:pPr>
      <w:r>
        <w:t xml:space="preserve">Supplementary Figure S1：Sheerness GSSR hydrograph</w:t>
      </w:r>
    </w:p>
    <w:p>
      <w:pPr>
        <w:pStyle w:val="FirstParagraph"/>
      </w:pPr>
      <w:r>
        <w:t xml:space="preserve">展示 daily surge series、GSSR empirical thresholds、COAST-RP RP10 reference line。图注必须写：COAST-RP line is not the same physical variable as the GSSR daily series。</w:t>
      </w:r>
    </w:p>
    <w:bookmarkEnd w:id="36"/>
    <w:bookmarkStart w:id="37" w:name="X6fb6e0a281c864ece87c64d1feb38c81ee66ec2"/>
    <w:p>
      <w:pPr>
        <w:pStyle w:val="Heading3"/>
      </w:pPr>
      <w:r>
        <w:t xml:space="preserve">Supplementary Figure S2：GSSR empirical return levels</w:t>
      </w:r>
    </w:p>
    <w:p>
      <w:pPr>
        <w:pStyle w:val="FirstParagraph"/>
      </w:pPr>
      <w:r>
        <w:t xml:space="preserve">8 个站点 RP10、RP50、RP100 的 empirical values。若 RP50/RP100 等于 record maximum，要在图注中说明 empirical estimates are constrained by record length。</w:t>
      </w:r>
    </w:p>
    <w:bookmarkEnd w:id="37"/>
    <w:bookmarkStart w:id="38" w:name="supplementary-figure-s3单站-deltadtm-maps"/>
    <w:p>
      <w:pPr>
        <w:pStyle w:val="Heading3"/>
      </w:pPr>
      <w:r>
        <w:t xml:space="preserve">Supplementary Figure S3：单站 DeltaDTM maps</w:t>
      </w:r>
    </w:p>
    <w:p>
      <w:pPr>
        <w:pStyle w:val="FirstParagraph"/>
      </w:pPr>
      <w:r>
        <w:t xml:space="preserve">把 Aberdeen、Newlyn、Brest、Sheerness、Hoek van Holland 的完整地图都放进去，主文只放代表性地图。</w:t>
      </w:r>
    </w:p>
    <w:bookmarkEnd w:id="38"/>
    <w:bookmarkStart w:id="39" w:name="X54b5786c4805964f47d3bf75ea73ef41afe4d8b"/>
    <w:p>
      <w:pPr>
        <w:pStyle w:val="Heading3"/>
      </w:pPr>
      <w:r>
        <w:t xml:space="preserve">Supplementary Note 1：Product-definition audit</w:t>
      </w:r>
    </w:p>
    <w:p>
      <w:pPr>
        <w:pStyle w:val="FirstParagraph"/>
      </w:pPr>
      <w:r>
        <w:t xml:space="preserve">专门解释 storm surge、skew surge、storm tide、extreme sea level、terrain elevation、vertical datum 的区别。</w:t>
      </w:r>
    </w:p>
    <w:bookmarkEnd w:id="39"/>
    <w:bookmarkStart w:id="40" w:name="Xb3def8793194504681232c5cd6c2ffbb93dcf5f"/>
    <w:p>
      <w:pPr>
        <w:pStyle w:val="Heading3"/>
      </w:pPr>
      <w:r>
        <w:t xml:space="preserve">Supplementary Note 2：Static terrain-screen limitations</w:t>
      </w:r>
    </w:p>
    <w:p>
      <w:pPr>
        <w:pStyle w:val="FirstParagraph"/>
      </w:pPr>
      <w:r>
        <w:t xml:space="preserve">专门解释 no connectivity、no defenses、no wave setup、no datum transformation、no river discharge。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投稿前必须补齐的事项"/>
    <w:p>
      <w:pPr>
        <w:pStyle w:val="Heading2"/>
      </w:pPr>
      <w:r>
        <w:t xml:space="preserve">7. 投稿前必须补齐的事项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作者、单位、通讯作者邮箱。</w:t>
      </w:r>
      <w:r>
        <w:t xml:space="preserve"> </w:t>
      </w:r>
      <w:r>
        <w:t xml:space="preserve">目标期刊格式需要完整作者和单位信息。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公开数据和代码 DOI。</w:t>
      </w:r>
      <w:r>
        <w:t xml:space="preserve"> </w:t>
      </w:r>
      <w:r>
        <w:t xml:space="preserve">Communications Earth &amp; Environment 对 Data availability 和 Code availability 要求较明确。建议用 Zenodo 或 OSF 归档 processed tables、figure source data 和 code snapshot。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source data。</w:t>
      </w:r>
      <w:r>
        <w:t xml:space="preserve"> </w:t>
      </w:r>
      <w:r>
        <w:t xml:space="preserve">每个主图都要有对应 CSV 或 Parquet。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Supplementary Information PDF。</w:t>
      </w:r>
      <w:r>
        <w:t xml:space="preserve"> </w:t>
      </w:r>
      <w:r>
        <w:t xml:space="preserve">把补充图、补充表、产品定义审计、质量控制、额外站点图放进去。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英文润色。</w:t>
      </w:r>
      <w:r>
        <w:t xml:space="preserve"> </w:t>
      </w:r>
      <w:r>
        <w:t xml:space="preserve">目标期刊不进行深度 copy-edit，投稿前最好统一术语和图注风格。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限制语句。</w:t>
      </w:r>
      <w:r>
        <w:t xml:space="preserve"> </w:t>
      </w:r>
      <w:r>
        <w:t xml:space="preserve">所有 static inundation 图都要标注 sensitivity screen, not flood forecast。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标题控制。</w:t>
      </w:r>
      <w:r>
        <w:t xml:space="preserve"> </w:t>
      </w:r>
      <w:r>
        <w:t xml:space="preserve">目标标题</w:t>
      </w:r>
      <w:r>
        <w:t xml:space="preserve"> </w:t>
      </w:r>
      <w:r>
        <w:rPr>
          <w:rStyle w:val="VerbatimChar"/>
        </w:rPr>
        <w:t xml:space="preserve">Water-level and terrain sensitivity decouple in coastal flood screening</w:t>
      </w:r>
      <w:r>
        <w:t xml:space="preserve"> </w:t>
      </w:r>
      <w:r>
        <w:t xml:space="preserve">少于 15 个词，符合该期刊对简洁标题的偏好。</w:t>
      </w:r>
    </w:p>
    <w:p>
      <w:r>
        <w:pict>
          <v:rect style="width:0;height:1.5pt" o:hralign="center" o:hrstd="t" o:hr="t"/>
        </w:pict>
      </w:r>
    </w:p>
    <w:bookmarkEnd w:id="42"/>
    <w:bookmarkStart w:id="43" w:name="论文成败关键"/>
    <w:p>
      <w:pPr>
        <w:pStyle w:val="Heading2"/>
      </w:pPr>
      <w:r>
        <w:t xml:space="preserve">8. 论文成败关键</w:t>
      </w:r>
    </w:p>
    <w:p>
      <w:pPr>
        <w:pStyle w:val="FirstParagraph"/>
      </w:pPr>
      <w:r>
        <w:t xml:space="preserve">这篇论文最容易被审稿人质疑的地方不是数据真实性，而是“你到底证明了什么”。所以所有图都必须服务于一句话：</w:t>
      </w:r>
    </w:p>
    <w:p>
      <w:pPr>
        <w:pStyle w:val="BlockText"/>
      </w:pPr>
      <w:r>
        <w:t xml:space="preserve">Coastal flood susceptibility is governed by the coupling between flood-generating water-level processes and lowland terrain, and this coupling can be misaligned across coastal settings.</w:t>
      </w:r>
    </w:p>
    <w:p>
      <w:pPr>
        <w:pStyle w:val="FirstParagraph"/>
      </w:pPr>
      <w:r>
        <w:t xml:space="preserve">不要让图件看起来像“我把四个数据源接起来了”。图件要让读者看到：</w:t>
      </w:r>
    </w:p>
    <w:p>
      <w:pPr>
        <w:pStyle w:val="Compact"/>
        <w:numPr>
          <w:ilvl w:val="0"/>
          <w:numId w:val="1015"/>
        </w:numPr>
      </w:pPr>
      <w:r>
        <w:t xml:space="preserve">GSSR 和 COAST-RP 的差异是物理定义差异，不是坏结果；</w:t>
      </w:r>
    </w:p>
    <w:p>
      <w:pPr>
        <w:pStyle w:val="Compact"/>
        <w:numPr>
          <w:ilvl w:val="0"/>
          <w:numId w:val="1015"/>
        </w:numPr>
      </w:pPr>
      <w:r>
        <w:t xml:space="preserve">欧洲站点 surge 与 pressure/wind 有过程一致性；</w:t>
      </w:r>
    </w:p>
    <w:p>
      <w:pPr>
        <w:pStyle w:val="Compact"/>
        <w:numPr>
          <w:ilvl w:val="0"/>
          <w:numId w:val="1015"/>
        </w:numPr>
      </w:pPr>
      <w:r>
        <w:t xml:space="preserve">Sheerness 和 Hoek van Holland 的地形低地敏感性明显更强；</w:t>
      </w:r>
    </w:p>
    <w:p>
      <w:pPr>
        <w:pStyle w:val="Compact"/>
        <w:numPr>
          <w:ilvl w:val="0"/>
          <w:numId w:val="1015"/>
        </w:numPr>
      </w:pPr>
      <w:r>
        <w:t xml:space="preserve">Brest/Newlyn 等高 storm-tide 指标站点不一定是最高地形敏感站点；</w:t>
      </w:r>
    </w:p>
    <w:p>
      <w:pPr>
        <w:pStyle w:val="Compact"/>
        <w:numPr>
          <w:ilvl w:val="0"/>
          <w:numId w:val="1015"/>
        </w:numPr>
      </w:pPr>
      <w:r>
        <w:t xml:space="preserve">因此，单一 extreme water-level 指标不足以识别 coastal flood susceptibility。</w:t>
      </w:r>
    </w:p>
    <w:bookmarkEnd w:id="43"/>
    <w:bookmarkEnd w:id="44"/>
    <w:sectPr>
      <w:pgMar w:top="1080" w:bottom="1080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2026-05-26T12:14:32Z</dcterms:created>
  <dcterms:modified xsi:type="dcterms:W3CDTF">2026-05-26T12:14:32Z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