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50319b49486bd26b8edea5c978f378c4d7c4ae3"/>
    <w:p>
      <w:pPr>
        <w:pStyle w:val="Heading1"/>
      </w:pPr>
      <w:r>
        <w:t xml:space="preserve">Water-level and terrain sensitivity decouple in coastal flood screening</w:t>
      </w:r>
    </w:p>
    <w:p>
      <w:pPr>
        <w:pStyle w:val="FirstParagraph"/>
      </w:pPr>
      <w:r>
        <w:rPr>
          <w:b/>
          <w:bCs/>
        </w:rPr>
        <w:t xml:space="preserve">Target journal style:</w:t>
      </w:r>
      <w:r>
        <w:t xml:space="preserve"> </w:t>
      </w:r>
      <w:r>
        <w:t xml:space="preserve">Communications Earth &amp; Environment-style primary research article</w:t>
      </w:r>
      <w:r>
        <w:br/>
      </w:r>
      <w:r>
        <w:rPr>
          <w:b/>
          <w:bCs/>
        </w:rPr>
        <w:t xml:space="preserve">Draft version:</w:t>
      </w:r>
      <w:r>
        <w:t xml:space="preserve"> </w:t>
      </w:r>
      <w:r>
        <w:t xml:space="preserve">Working manuscript draft for author revision</w:t>
      </w:r>
      <w:r>
        <w:br/>
      </w:r>
      <w:r>
        <w:rPr>
          <w:b/>
          <w:bCs/>
        </w:rPr>
        <w:t xml:space="preserve">Author names and affiliations:</w:t>
      </w:r>
      <w:r>
        <w:t xml:space="preserve"> </w:t>
      </w:r>
      <w:r>
        <w:t xml:space="preserve">[to be completed]</w:t>
      </w:r>
      <w:r>
        <w:br/>
      </w:r>
      <w:r>
        <w:rPr>
          <w:b/>
          <w:bCs/>
        </w:rPr>
        <w:t xml:space="preserve">Corresponding author:</w:t>
      </w:r>
      <w:r>
        <w:t xml:space="preserve"> </w:t>
      </w:r>
      <w:r>
        <w:t xml:space="preserve">[to be completed]</w:t>
      </w:r>
    </w:p>
    <w:p>
      <w:r>
        <w:pict>
          <v:rect style="width:0;height:1.5pt" o:hralign="center" o:hrstd="t" o:hr="t"/>
        </w:pict>
      </w:r>
    </w:p>
    <w:bookmarkStart w:id="20" w:name="abstract"/>
    <w:p>
      <w:pPr>
        <w:pStyle w:val="Heading2"/>
      </w:pPr>
      <w:r>
        <w:t xml:space="preserve">Abstract</w:t>
      </w:r>
    </w:p>
    <w:p>
      <w:pPr>
        <w:pStyle w:val="FirstParagraph"/>
      </w:pPr>
      <w:r>
        <w:t xml:space="preserve">Coastal flood screening often relies on extreme water-level products, yet flood susceptibility depends on whether flood-generating water levels align with low-lying terrain. Here we show that water-level indicators and terrain sensitivity are decoupled across eight contrasting tide-gauge sites using storm-surge reconstructions, storm-tide return levels, meteorological drivers, and coastal terrain. Surge-based and storm-tide-based 10-year indicators diverge strongly at European sites, where reconstructed surge levels are 1.87-3.93 m lower than nearby storm-tide return levels, but differ by less than 0.6 m at New York-The Battery and Charleston. Reconstructed surges are meteorologically coherent at several extratropical European sites, with surge-pressure rank correlations as low as -0.83. DeltaDTM terrain screening shows that +2 m lowland sensitivity is concentrated at Sheerness and Hoek van Holland, while Newlyn, Brest, and Aberdeen remain below 10%. Extreme water-level magnitude alone therefore incompletely identifies coastal flood susceptibility.</w:t>
      </w:r>
    </w:p>
    <w:p>
      <w:r>
        <w:pict>
          <v:rect style="width:0;height:1.5pt" o:hralign="center" o:hrstd="t" o:hr="t"/>
        </w:pict>
      </w:r>
    </w:p>
    <w:bookmarkEnd w:id="20"/>
    <w:bookmarkStart w:id="21" w:name="introduction"/>
    <w:p>
      <w:pPr>
        <w:pStyle w:val="Heading2"/>
      </w:pPr>
      <w:r>
        <w:t xml:space="preserve">Introduction</w:t>
      </w:r>
    </w:p>
    <w:p>
      <w:pPr>
        <w:pStyle w:val="FirstParagraph"/>
      </w:pPr>
      <w:r>
        <w:t xml:space="preserve">Coastal flooding is generated by the interaction of meteorological forcing, ocean water levels, astronomical tide, waves, nearshore morphology, local terrain, and human flood protection. Large-scale flood-hazard studies commonly simplify this system into a small number of water-level indicators, such as storm-surge return levels, storm-tide return levels, or extreme sea-level surfaces. Such indicators are indispensable for broad screening because they allow comparable analyses across sites, regions, and countries. However, the same simplification can obscure a key physical point: the water level that generates a flood and the terrain that is exposed to that water level are not the same object. A coastal site with a large storm-tide return level may be embedded in terrain that rises rapidly inland, while another site with a lower water-level indicator may be highly sensitive because extensive lowland lies close to the coast.</w:t>
      </w:r>
    </w:p>
    <w:p>
      <w:pPr>
        <w:pStyle w:val="BodyText"/>
      </w:pPr>
      <w:r>
        <w:t xml:space="preserve">This distinction matters because different extreme-water-level products represent different physical quantities. Storm surge is the meteorological residual component of sea level, whereas storm tide is the combination of surge and astronomical tide. In tidally energetic regions, extreme storm tides are often not caused by an extreme surge alone, but by the coincidence of a moderate surge with high astronomical tide. Observational work on skew surge and extreme sea levels has shown that separating the surge residual from the total water level changes the interpretation of flood-generating events. Broad-scale storm-tide return-level products therefore cannot be treated as direct equivalents of station-scale surge reconstructions, even when both are expressed in metres and return periods.</w:t>
      </w:r>
    </w:p>
    <w:p>
      <w:pPr>
        <w:pStyle w:val="BodyText"/>
      </w:pPr>
      <w:r>
        <w:t xml:space="preserve">Recent global coastal-flood studies have emphasized the importance of including missing physical processes in extreme-water-level estimation. Dullaart et al. showed that accounting for tropical cyclones changed the estimated global population exposed to low-probability coastal flooding, demonstrating that the omission of one major forcing process can substantially alter flood-exposure conclusions. Their study also provides a useful writing model: the scientific contribution is stated as a process correction to a risk assessment, not merely as the assembly of datasets. The present study adopts a similar logic but addresses a different problem. Instead of asking whether a missing cyclone process changes global exposure, we ask whether storm-surge indicators, storm-tide indicators, atmospheric coherence, and lowland terrain sensitivity identify the same sites as susceptible.</w:t>
      </w:r>
    </w:p>
    <w:p>
      <w:pPr>
        <w:pStyle w:val="BodyText"/>
      </w:pPr>
      <w:r>
        <w:t xml:space="preserve">Terrain data are equally important. Digital surface models can include vegetation and buildings, while flood modelling requires terrain elevations that approximate the bare earth. DeltaDTM was developed to improve global coastal terrain representation at approximately 30 m horizontal resolution and is intended for coastal flood-impact applications. Yet even improved terrain data cannot turn a static inundation screen into a dynamic flood forecast. Terrain screening is most useful when interpreted as sensitivity: it identifies where land lies below an imposed water-level perturbation, not where water will necessarily propagate after accounting for levees, drainage, connectivity, friction, waves, and river flow.</w:t>
      </w:r>
    </w:p>
    <w:p>
      <w:pPr>
        <w:pStyle w:val="BodyText"/>
      </w:pPr>
      <w:r>
        <w:t xml:space="preserve">Here we examine coastal flood susceptibility as a process-terrain coupling problem. We combine four open data streams for eight tide-gauge sites: the Global Storm Surge Reconstruction (GSSR) daily surge database, COAST-RP storm-tide return levels, Open-Meteo ERA5-derived meteorological drivers, and DeltaDTM coastal terrain. Five European sites have DeltaDTM terrain screening; all eight sites have water-level indicator and meteorological-driver analyses. The central hypothesis is that flood susceptibility cannot be inferred from a single extreme-water-level product alone because surge regime, storm-tide magnitude, atmospheric forcing, and lowland terrain may be spatially misaligned. We show that European tide-dominated sites exhibit large differences between reconstructed surge and storm-tide indicators, that extratropical surge reconstructions remain meteorologically coherent at several sites, and that the strongest terrain sensitivity occurs only where water-level exposure aligns with extensive lowland. These results support a process-terrain typology for first-order coastal flood screening.</w:t>
      </w:r>
    </w:p>
    <w:p>
      <w:r>
        <w:pict>
          <v:rect style="width:0;height:1.5pt" o:hralign="center" o:hrstd="t" o:hr="t"/>
        </w:pict>
      </w:r>
    </w:p>
    <w:bookmarkEnd w:id="21"/>
    <w:bookmarkStart w:id="26" w:name="results"/>
    <w:p>
      <w:pPr>
        <w:pStyle w:val="Heading2"/>
      </w:pPr>
      <w:r>
        <w:t xml:space="preserve">Results</w:t>
      </w:r>
    </w:p>
    <w:bookmarkStart w:id="22" w:name="Xf508b584b7b0e711c30f6e907b90569576ddc64"/>
    <w:p>
      <w:pPr>
        <w:pStyle w:val="Heading3"/>
      </w:pPr>
      <w:r>
        <w:t xml:space="preserve">Surge and storm-tide indicators diverge across coastal settings</w:t>
      </w:r>
    </w:p>
    <w:p>
      <w:pPr>
        <w:pStyle w:val="FirstParagraph"/>
      </w:pPr>
      <w:r>
        <w:t xml:space="preserve">All eight tide-gauge sites were matched to nearby COAST-RP coastal points, with nearest-neighbour distances below 6 km. The water-level comparison used GSSR empirical 10-year surge return levels and COAST-RP 10-year storm-tide return levels. The comparison is not a validation of one product against the other because the products represent different physical quantities. Instead, it is used as an indicator of how much a surge-residual metric and a total storm-tide metric diverge when used for the same site-level screening problem.</w:t>
      </w:r>
    </w:p>
    <w:p>
      <w:pPr>
        <w:pStyle w:val="BodyText"/>
      </w:pPr>
      <w:r>
        <w:t xml:space="preserve">The divergence is strongest at the European sites. Sheerness has a GSSR 10-year surge level of 1.33 m and a COAST-RP 10-year storm-tide level of 5.26 m, giving a storm-tide-minus-surge difference of 3.93 m. Brest has a GSSR level of 0.68 m and a COAST-RP level of 4.31 m, giving a difference of 3.63 m. Newlyn, Aberdeen, and Hoek van Holland also show large differences of 2.74 m, 1.99 m, and 1.87 m, respectively. These values are consistent with the expectation that storm tide includes the astronomical-tide component, which is large in several northwest European coastal settings.</w:t>
      </w:r>
    </w:p>
    <w:p>
      <w:pPr>
        <w:pStyle w:val="BodyText"/>
      </w:pPr>
      <w:r>
        <w:t xml:space="preserve">The non-European comparison sites behave differently. New York-The Battery has a GSSR 10-year level of 1.19 m and a COAST-RP 10-year level of 1.31 m, a difference of only 0.12 m. Charleston has a GSSR level of 0.84 m and a COAST-RP level of 1.35 m, a difference of 0.51 m. Hong Kong is intermediate, with a difference of 0.82 m. The contrast between the European and non-European examples is important. A uniform data-processing error would be expected to affect all sites in a similar way; instead, the largest differences occur where storm-tide levels are likely to contain a large tidal contribution. This pattern supports the interpretation that cross-product divergence is a process signal rather than a simple computational artefact.</w:t>
      </w:r>
    </w:p>
    <w:p>
      <w:pPr>
        <w:pStyle w:val="BodyText"/>
      </w:pPr>
      <w:r>
        <w:rPr>
          <w:b/>
          <w:bCs/>
        </w:rPr>
        <w:t xml:space="preserve">Table 1. Data products and roles in the analysis.</w:t>
      </w:r>
    </w:p>
    <w:tbl>
      <w:tblPr>
        <w:tblStyle w:val="Table"/>
        <w:tblW w:type="pct" w:w="5000"/>
        <w:jc w:val="left"/>
        <w:tblLayout w:type="fixed"/>
        <w:tblLook w:firstRow="1" w:lastRow="0" w:firstColumn="0" w:lastColumn="0" w:noHBand="0" w:noVBand="0" w:val="0020"/>
      </w:tblPr>
      <w:tblGrid>
        <w:gridCol w:w="1250"/>
        <w:gridCol w:w="1667"/>
        <w:gridCol w:w="1250"/>
        <w:gridCol w:w="1250"/>
        <w:gridCol w:w="1250"/>
        <w:gridCol w:w="1250"/>
      </w:tblGrid>
      <w:tr>
        <w:trPr>
          <w:tblHeader w:val="on"/>
        </w:trPr>
        <w:tc>
          <w:tcPr>
            <w:tcW w:type="dxa" w:w="1944"/>
          </w:tcPr>
          <w:p>
            <w:pPr>
              <w:pStyle w:val="Compact"/>
              <w:spacing w:before="0" w:after="0"/>
              <w:jc w:val="left"/>
            </w:pPr>
            <w:r>
              <w:rPr>
                <w:sz w:val="17"/>
              </w:rPr>
              <w:t xml:space="preserve">Product</w:t>
            </w:r>
          </w:p>
        </w:tc>
        <w:tc>
          <w:tcPr>
            <w:tcW w:type="dxa" w:w="1440"/>
          </w:tcPr>
          <w:p>
            <w:pPr>
              <w:pStyle w:val="Compact"/>
              <w:spacing w:before="0" w:after="0"/>
              <w:jc w:val="right"/>
            </w:pPr>
            <w:r>
              <w:rPr>
                <w:sz w:val="17"/>
              </w:rPr>
              <w:t xml:space="preserve">Main variable used</w:t>
            </w:r>
          </w:p>
        </w:tc>
        <w:tc>
          <w:tcPr>
            <w:tcW w:type="dxa" w:w="1584"/>
          </w:tcPr>
          <w:p>
            <w:pPr>
              <w:pStyle w:val="Compact"/>
              <w:spacing w:before="0" w:after="0"/>
              <w:jc w:val="left"/>
            </w:pPr>
            <w:r>
              <w:rPr>
                <w:sz w:val="17"/>
              </w:rPr>
              <w:t xml:space="preserve">Spatial support</w:t>
            </w:r>
          </w:p>
        </w:tc>
        <w:tc>
          <w:tcPr>
            <w:tcW w:type="dxa" w:w="1512"/>
          </w:tcPr>
          <w:p>
            <w:pPr>
              <w:pStyle w:val="Compact"/>
              <w:spacing w:before="0" w:after="0"/>
              <w:jc w:val="left"/>
            </w:pPr>
            <w:r>
              <w:rPr>
                <w:sz w:val="17"/>
              </w:rPr>
              <w:t xml:space="preserve">Temporal or return-period support</w:t>
            </w:r>
          </w:p>
        </w:tc>
        <w:tc>
          <w:tcPr>
            <w:tcW w:type="dxa" w:w="1512"/>
          </w:tcPr>
          <w:p>
            <w:pPr>
              <w:pStyle w:val="Compact"/>
              <w:spacing w:before="0" w:after="0"/>
              <w:jc w:val="left"/>
            </w:pPr>
            <w:r>
              <w:rPr>
                <w:sz w:val="17"/>
              </w:rPr>
              <w:t xml:space="preserve">Role in this study</w:t>
            </w:r>
          </w:p>
        </w:tc>
        <w:tc>
          <w:tcPr>
            <w:tcW w:type="dxa" w:w="1368"/>
          </w:tcPr>
          <w:p>
            <w:pPr>
              <w:pStyle w:val="Compact"/>
              <w:spacing w:before="0" w:after="0"/>
              <w:jc w:val="left"/>
            </w:pPr>
            <w:r>
              <w:rPr>
                <w:sz w:val="17"/>
              </w:rPr>
              <w:t xml:space="preserve">Main limitation</w:t>
            </w:r>
          </w:p>
        </w:tc>
      </w:tr>
      <w:tr>
        <w:tc>
          <w:tcPr>
            <w:tcW w:type="dxa" w:w="1944"/>
          </w:tcPr>
          <w:p>
            <w:pPr>
              <w:pStyle w:val="Compact"/>
              <w:spacing w:before="0" w:after="0"/>
              <w:jc w:val="left"/>
            </w:pPr>
            <w:r>
              <w:rPr>
                <w:sz w:val="17"/>
              </w:rPr>
              <w:t xml:space="preserve">GSSR ERA5</w:t>
            </w:r>
          </w:p>
        </w:tc>
        <w:tc>
          <w:tcPr>
            <w:tcW w:type="dxa" w:w="1440"/>
          </w:tcPr>
          <w:p>
            <w:pPr>
              <w:pStyle w:val="Compact"/>
              <w:spacing w:before="0" w:after="0"/>
              <w:jc w:val="right"/>
            </w:pPr>
            <w:r>
              <w:rPr>
                <w:sz w:val="17"/>
              </w:rPr>
              <w:t xml:space="preserve">Daily reconstructed surge</w:t>
            </w:r>
          </w:p>
        </w:tc>
        <w:tc>
          <w:tcPr>
            <w:tcW w:type="dxa" w:w="1584"/>
          </w:tcPr>
          <w:p>
            <w:pPr>
              <w:pStyle w:val="Compact"/>
              <w:spacing w:before="0" w:after="0"/>
              <w:jc w:val="left"/>
            </w:pPr>
            <w:r>
              <w:rPr>
                <w:sz w:val="17"/>
              </w:rPr>
              <w:t xml:space="preserve">Tide-gauge station</w:t>
            </w:r>
          </w:p>
        </w:tc>
        <w:tc>
          <w:tcPr>
            <w:tcW w:type="dxa" w:w="1512"/>
          </w:tcPr>
          <w:p>
            <w:pPr>
              <w:pStyle w:val="Compact"/>
              <w:spacing w:before="0" w:after="0"/>
              <w:jc w:val="left"/>
            </w:pPr>
            <w:r>
              <w:rPr>
                <w:sz w:val="17"/>
              </w:rPr>
              <w:t xml:space="preserve">1979-2019 daily</w:t>
            </w:r>
          </w:p>
        </w:tc>
        <w:tc>
          <w:tcPr>
            <w:tcW w:type="dxa" w:w="1512"/>
          </w:tcPr>
          <w:p>
            <w:pPr>
              <w:pStyle w:val="Compact"/>
              <w:spacing w:before="0" w:after="0"/>
              <w:jc w:val="left"/>
            </w:pPr>
            <w:r>
              <w:rPr>
                <w:sz w:val="17"/>
              </w:rPr>
              <w:t xml:space="preserve">Station-scale surge variability and empirical return levels</w:t>
            </w:r>
          </w:p>
        </w:tc>
        <w:tc>
          <w:tcPr>
            <w:tcW w:type="dxa" w:w="1368"/>
          </w:tcPr>
          <w:p>
            <w:pPr>
              <w:pStyle w:val="Compact"/>
              <w:spacing w:before="0" w:after="0"/>
              <w:jc w:val="left"/>
            </w:pPr>
            <w:r>
              <w:rPr>
                <w:sz w:val="17"/>
              </w:rPr>
              <w:t xml:space="preserve">Residual/skew-surge-like metric, not total water level</w:t>
            </w:r>
          </w:p>
        </w:tc>
      </w:tr>
      <w:tr>
        <w:tc>
          <w:tcPr>
            <w:tcW w:type="dxa" w:w="1944"/>
          </w:tcPr>
          <w:p>
            <w:pPr>
              <w:pStyle w:val="Compact"/>
              <w:spacing w:before="0" w:after="0"/>
              <w:jc w:val="left"/>
            </w:pPr>
            <w:r>
              <w:rPr>
                <w:sz w:val="17"/>
              </w:rPr>
              <w:t xml:space="preserve">COAST-RP</w:t>
            </w:r>
          </w:p>
        </w:tc>
        <w:tc>
          <w:tcPr>
            <w:tcW w:type="dxa" w:w="1440"/>
          </w:tcPr>
          <w:p>
            <w:pPr>
              <w:pStyle w:val="Compact"/>
              <w:spacing w:before="0" w:after="0"/>
              <w:jc w:val="right"/>
            </w:pPr>
            <w:r>
              <w:rPr>
                <w:sz w:val="17"/>
              </w:rPr>
              <w:t xml:space="preserve">Storm-tide return level</w:t>
            </w:r>
          </w:p>
        </w:tc>
        <w:tc>
          <w:tcPr>
            <w:tcW w:type="dxa" w:w="1584"/>
          </w:tcPr>
          <w:p>
            <w:pPr>
              <w:pStyle w:val="Compact"/>
              <w:spacing w:before="0" w:after="0"/>
              <w:jc w:val="left"/>
            </w:pPr>
            <w:r>
              <w:rPr>
                <w:sz w:val="17"/>
              </w:rPr>
              <w:t xml:space="preserve">Global coastal point</w:t>
            </w:r>
          </w:p>
        </w:tc>
        <w:tc>
          <w:tcPr>
            <w:tcW w:type="dxa" w:w="1512"/>
          </w:tcPr>
          <w:p>
            <w:pPr>
              <w:pStyle w:val="Compact"/>
              <w:spacing w:before="0" w:after="0"/>
              <w:jc w:val="left"/>
            </w:pPr>
            <w:r>
              <w:rPr>
                <w:sz w:val="17"/>
              </w:rPr>
              <w:t xml:space="preserve">1-1000-year return periods</w:t>
            </w:r>
          </w:p>
        </w:tc>
        <w:tc>
          <w:tcPr>
            <w:tcW w:type="dxa" w:w="1512"/>
          </w:tcPr>
          <w:p>
            <w:pPr>
              <w:pStyle w:val="Compact"/>
              <w:spacing w:before="0" w:after="0"/>
              <w:jc w:val="left"/>
            </w:pPr>
            <w:r>
              <w:rPr>
                <w:sz w:val="17"/>
              </w:rPr>
              <w:t xml:space="preserve">Coastal storm-tide benchmark</w:t>
            </w:r>
          </w:p>
        </w:tc>
        <w:tc>
          <w:tcPr>
            <w:tcW w:type="dxa" w:w="1368"/>
          </w:tcPr>
          <w:p>
            <w:pPr>
              <w:pStyle w:val="Compact"/>
              <w:spacing w:before="0" w:after="0"/>
              <w:jc w:val="left"/>
            </w:pPr>
            <w:r>
              <w:rPr>
                <w:sz w:val="17"/>
              </w:rPr>
              <w:t xml:space="preserve">Includes tide; not directly equivalent to GSSR surge</w:t>
            </w:r>
          </w:p>
        </w:tc>
      </w:tr>
      <w:tr>
        <w:tc>
          <w:tcPr>
            <w:tcW w:type="dxa" w:w="1944"/>
          </w:tcPr>
          <w:p>
            <w:pPr>
              <w:pStyle w:val="Compact"/>
              <w:spacing w:before="0" w:after="0"/>
              <w:jc w:val="left"/>
            </w:pPr>
            <w:r>
              <w:rPr>
                <w:sz w:val="17"/>
              </w:rPr>
              <w:t xml:space="preserve">Open-Meteo ERA5</w:t>
            </w:r>
          </w:p>
        </w:tc>
        <w:tc>
          <w:tcPr>
            <w:tcW w:type="dxa" w:w="1440"/>
          </w:tcPr>
          <w:p>
            <w:pPr>
              <w:pStyle w:val="Compact"/>
              <w:spacing w:before="0" w:after="0"/>
              <w:jc w:val="right"/>
            </w:pPr>
            <w:r>
              <w:rPr>
                <w:sz w:val="17"/>
              </w:rPr>
              <w:t xml:space="preserve">Pressure, wind, precipitation</w:t>
            </w:r>
          </w:p>
        </w:tc>
        <w:tc>
          <w:tcPr>
            <w:tcW w:type="dxa" w:w="1584"/>
          </w:tcPr>
          <w:p>
            <w:pPr>
              <w:pStyle w:val="Compact"/>
              <w:spacing w:before="0" w:after="0"/>
              <w:jc w:val="left"/>
            </w:pPr>
            <w:r>
              <w:rPr>
                <w:sz w:val="17"/>
              </w:rPr>
              <w:t xml:space="preserve">Station-centred extraction</w:t>
            </w:r>
          </w:p>
        </w:tc>
        <w:tc>
          <w:tcPr>
            <w:tcW w:type="dxa" w:w="1512"/>
          </w:tcPr>
          <w:p>
            <w:pPr>
              <w:pStyle w:val="Compact"/>
              <w:spacing w:before="0" w:after="0"/>
              <w:jc w:val="left"/>
            </w:pPr>
            <w:r>
              <w:rPr>
                <w:sz w:val="17"/>
              </w:rPr>
              <w:t xml:space="preserve">1980-2010 daily summaries</w:t>
            </w:r>
          </w:p>
        </w:tc>
        <w:tc>
          <w:tcPr>
            <w:tcW w:type="dxa" w:w="1512"/>
          </w:tcPr>
          <w:p>
            <w:pPr>
              <w:pStyle w:val="Compact"/>
              <w:spacing w:before="0" w:after="0"/>
              <w:jc w:val="left"/>
            </w:pPr>
            <w:r>
              <w:rPr>
                <w:sz w:val="17"/>
              </w:rPr>
              <w:t xml:space="preserve">Atmospheric coherence screening</w:t>
            </w:r>
          </w:p>
        </w:tc>
        <w:tc>
          <w:tcPr>
            <w:tcW w:type="dxa" w:w="1368"/>
          </w:tcPr>
          <w:p>
            <w:pPr>
              <w:pStyle w:val="Compact"/>
              <w:spacing w:before="0" w:after="0"/>
              <w:jc w:val="left"/>
            </w:pPr>
            <w:r>
              <w:rPr>
                <w:sz w:val="17"/>
              </w:rPr>
              <w:t xml:space="preserve">Does not provide water levels</w:t>
            </w:r>
          </w:p>
        </w:tc>
      </w:tr>
      <w:tr>
        <w:tc>
          <w:tcPr>
            <w:tcW w:type="dxa" w:w="1944"/>
          </w:tcPr>
          <w:p>
            <w:pPr>
              <w:pStyle w:val="Compact"/>
              <w:spacing w:before="0" w:after="0"/>
              <w:jc w:val="left"/>
            </w:pPr>
            <w:r>
              <w:rPr>
                <w:sz w:val="17"/>
              </w:rPr>
              <w:t xml:space="preserve">DeltaDTM</w:t>
            </w:r>
          </w:p>
        </w:tc>
        <w:tc>
          <w:tcPr>
            <w:tcW w:type="dxa" w:w="1440"/>
          </w:tcPr>
          <w:p>
            <w:pPr>
              <w:pStyle w:val="Compact"/>
              <w:spacing w:before="0" w:after="0"/>
              <w:jc w:val="right"/>
            </w:pPr>
            <w:r>
              <w:rPr>
                <w:sz w:val="17"/>
              </w:rPr>
              <w:t xml:space="preserve">Terrain elevation</w:t>
            </w:r>
          </w:p>
        </w:tc>
        <w:tc>
          <w:tcPr>
            <w:tcW w:type="dxa" w:w="1584"/>
          </w:tcPr>
          <w:p>
            <w:pPr>
              <w:pStyle w:val="Compact"/>
              <w:spacing w:before="0" w:after="0"/>
              <w:jc w:val="left"/>
            </w:pPr>
            <w:r>
              <w:rPr>
                <w:sz w:val="17"/>
              </w:rPr>
              <w:t xml:space="preserve">~30 m coastal raster</w:t>
            </w:r>
          </w:p>
        </w:tc>
        <w:tc>
          <w:tcPr>
            <w:tcW w:type="dxa" w:w="1512"/>
          </w:tcPr>
          <w:p>
            <w:pPr>
              <w:pStyle w:val="Compact"/>
              <w:spacing w:before="0" w:after="0"/>
              <w:jc w:val="left"/>
            </w:pPr>
            <w:r>
              <w:rPr>
                <w:sz w:val="17"/>
              </w:rPr>
              <w:t xml:space="preserve">Static terrain</w:t>
            </w:r>
          </w:p>
        </w:tc>
        <w:tc>
          <w:tcPr>
            <w:tcW w:type="dxa" w:w="1512"/>
          </w:tcPr>
          <w:p>
            <w:pPr>
              <w:pStyle w:val="Compact"/>
              <w:spacing w:before="0" w:after="0"/>
              <w:jc w:val="left"/>
            </w:pPr>
            <w:r>
              <w:rPr>
                <w:sz w:val="17"/>
              </w:rPr>
              <w:t xml:space="preserve">Relative sea-level terrain sensitivity</w:t>
            </w:r>
          </w:p>
        </w:tc>
        <w:tc>
          <w:tcPr>
            <w:tcW w:type="dxa" w:w="1368"/>
          </w:tcPr>
          <w:p>
            <w:pPr>
              <w:pStyle w:val="Compact"/>
              <w:spacing w:before="0" w:after="0"/>
              <w:jc w:val="left"/>
            </w:pPr>
            <w:r>
              <w:rPr>
                <w:sz w:val="17"/>
              </w:rPr>
              <w:t xml:space="preserve">No hydrodynamics, connectivity, or defenses</w:t>
            </w:r>
          </w:p>
        </w:tc>
      </w:tr>
    </w:tbl>
    <w:p>
      <w:pPr>
        <w:pStyle w:val="BodyText"/>
      </w:pPr>
      <w:r>
        <w:rPr>
          <w:b/>
          <w:bCs/>
        </w:rPr>
        <w:t xml:space="preserve">Table 2. GSSR and COAST-RP 10-year water-level indicators.</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tcW w:type="dxa" w:w="1944"/>
          </w:tcPr>
          <w:p>
            <w:pPr>
              <w:pStyle w:val="Compact"/>
              <w:spacing w:before="0" w:after="0"/>
              <w:jc w:val="left"/>
            </w:pPr>
            <w:r>
              <w:rPr>
                <w:sz w:val="17"/>
              </w:rPr>
              <w:t xml:space="preserve">Station</w:t>
            </w:r>
          </w:p>
        </w:tc>
        <w:tc>
          <w:tcPr>
            <w:tcW w:type="dxa" w:w="1440"/>
          </w:tcPr>
          <w:p>
            <w:pPr>
              <w:pStyle w:val="Compact"/>
              <w:spacing w:before="0" w:after="0"/>
              <w:jc w:val="right"/>
            </w:pPr>
            <w:r>
              <w:rPr>
                <w:sz w:val="17"/>
              </w:rPr>
              <w:t xml:space="preserve">GSSR RP10 surge (m)</w:t>
            </w:r>
          </w:p>
        </w:tc>
        <w:tc>
          <w:tcPr>
            <w:tcW w:type="dxa" w:w="1584"/>
          </w:tcPr>
          <w:p>
            <w:pPr>
              <w:pStyle w:val="Compact"/>
              <w:spacing w:before="0" w:after="0"/>
              <w:jc w:val="right"/>
            </w:pPr>
            <w:r>
              <w:rPr>
                <w:sz w:val="17"/>
              </w:rPr>
              <w:t xml:space="preserve">COAST-RP RP10 storm tide (m)</w:t>
            </w:r>
          </w:p>
        </w:tc>
        <w:tc>
          <w:tcPr>
            <w:tcW w:type="dxa" w:w="1512"/>
          </w:tcPr>
          <w:p>
            <w:pPr>
              <w:pStyle w:val="Compact"/>
              <w:spacing w:before="0" w:after="0"/>
              <w:jc w:val="right"/>
            </w:pPr>
            <w:r>
              <w:rPr>
                <w:sz w:val="17"/>
              </w:rPr>
              <w:t xml:space="preserve">GSSR minus COAST-RP (m)</w:t>
            </w:r>
          </w:p>
        </w:tc>
        <w:tc>
          <w:tcPr>
            <w:tcW w:type="dxa" w:w="1512"/>
          </w:tcPr>
          <w:p>
            <w:pPr>
              <w:pStyle w:val="Compact"/>
              <w:spacing w:before="0" w:after="0"/>
              <w:jc w:val="right"/>
            </w:pPr>
            <w:r>
              <w:rPr>
                <w:sz w:val="17"/>
              </w:rPr>
              <w:t xml:space="preserve">Storm-tide minus surge (m)</w:t>
            </w:r>
          </w:p>
        </w:tc>
        <w:tc>
          <w:tcPr>
            <w:tcW w:type="dxa" w:w="1368"/>
          </w:tcPr>
          <w:p>
            <w:pPr>
              <w:pStyle w:val="Compact"/>
              <w:spacing w:before="0" w:after="0"/>
              <w:jc w:val="right"/>
            </w:pPr>
            <w:r>
              <w:rPr>
                <w:sz w:val="17"/>
              </w:rPr>
              <w:t xml:space="preserve">Match distance (km)</w:t>
            </w:r>
          </w:p>
        </w:tc>
      </w:tr>
      <w:tr>
        <w:tc>
          <w:tcPr>
            <w:tcW w:type="dxa" w:w="1944"/>
          </w:tcPr>
          <w:p>
            <w:pPr>
              <w:pStyle w:val="Compact"/>
              <w:spacing w:before="0" w:after="0"/>
              <w:jc w:val="left"/>
            </w:pPr>
            <w:r>
              <w:rPr>
                <w:sz w:val="17"/>
              </w:rPr>
              <w:t xml:space="preserve">Sheerness</w:t>
            </w:r>
          </w:p>
        </w:tc>
        <w:tc>
          <w:tcPr>
            <w:tcW w:type="dxa" w:w="1440"/>
          </w:tcPr>
          <w:p>
            <w:pPr>
              <w:pStyle w:val="Compact"/>
              <w:spacing w:before="0" w:after="0"/>
              <w:jc w:val="right"/>
            </w:pPr>
            <w:r>
              <w:rPr>
                <w:sz w:val="17"/>
              </w:rPr>
              <w:t xml:space="preserve">1.33</w:t>
            </w:r>
          </w:p>
        </w:tc>
        <w:tc>
          <w:tcPr>
            <w:tcW w:type="dxa" w:w="1584"/>
          </w:tcPr>
          <w:p>
            <w:pPr>
              <w:pStyle w:val="Compact"/>
              <w:spacing w:before="0" w:after="0"/>
              <w:jc w:val="right"/>
            </w:pPr>
            <w:r>
              <w:rPr>
                <w:sz w:val="17"/>
              </w:rPr>
              <w:t xml:space="preserve">5.26</w:t>
            </w:r>
          </w:p>
        </w:tc>
        <w:tc>
          <w:tcPr>
            <w:tcW w:type="dxa" w:w="1512"/>
          </w:tcPr>
          <w:p>
            <w:pPr>
              <w:pStyle w:val="Compact"/>
              <w:spacing w:before="0" w:after="0"/>
              <w:jc w:val="right"/>
            </w:pPr>
            <w:r>
              <w:rPr>
                <w:sz w:val="17"/>
              </w:rPr>
              <w:t xml:space="preserve">-3.93</w:t>
            </w:r>
          </w:p>
        </w:tc>
        <w:tc>
          <w:tcPr>
            <w:tcW w:type="dxa" w:w="1512"/>
          </w:tcPr>
          <w:p>
            <w:pPr>
              <w:pStyle w:val="Compact"/>
              <w:spacing w:before="0" w:after="0"/>
              <w:jc w:val="right"/>
            </w:pPr>
            <w:r>
              <w:rPr>
                <w:sz w:val="17"/>
              </w:rPr>
              <w:t xml:space="preserve">3.93</w:t>
            </w:r>
          </w:p>
        </w:tc>
        <w:tc>
          <w:tcPr>
            <w:tcW w:type="dxa" w:w="1368"/>
          </w:tcPr>
          <w:p>
            <w:pPr>
              <w:pStyle w:val="Compact"/>
              <w:spacing w:before="0" w:after="0"/>
              <w:jc w:val="right"/>
            </w:pPr>
            <w:r>
              <w:rPr>
                <w:sz w:val="17"/>
              </w:rPr>
              <w:t xml:space="preserve">0.49</w:t>
            </w:r>
          </w:p>
        </w:tc>
      </w:tr>
      <w:tr>
        <w:tc>
          <w:tcPr>
            <w:tcW w:type="dxa" w:w="1944"/>
          </w:tcPr>
          <w:p>
            <w:pPr>
              <w:pStyle w:val="Compact"/>
              <w:spacing w:before="0" w:after="0"/>
              <w:jc w:val="left"/>
            </w:pPr>
            <w:r>
              <w:rPr>
                <w:sz w:val="17"/>
              </w:rPr>
              <w:t xml:space="preserve">Newlyn</w:t>
            </w:r>
          </w:p>
        </w:tc>
        <w:tc>
          <w:tcPr>
            <w:tcW w:type="dxa" w:w="1440"/>
          </w:tcPr>
          <w:p>
            <w:pPr>
              <w:pStyle w:val="Compact"/>
              <w:spacing w:before="0" w:after="0"/>
              <w:jc w:val="right"/>
            </w:pPr>
            <w:r>
              <w:rPr>
                <w:sz w:val="17"/>
              </w:rPr>
              <w:t xml:space="preserve">0.61</w:t>
            </w:r>
          </w:p>
        </w:tc>
        <w:tc>
          <w:tcPr>
            <w:tcW w:type="dxa" w:w="1584"/>
          </w:tcPr>
          <w:p>
            <w:pPr>
              <w:pStyle w:val="Compact"/>
              <w:spacing w:before="0" w:after="0"/>
              <w:jc w:val="right"/>
            </w:pPr>
            <w:r>
              <w:rPr>
                <w:sz w:val="17"/>
              </w:rPr>
              <w:t xml:space="preserve">3.35</w:t>
            </w:r>
          </w:p>
        </w:tc>
        <w:tc>
          <w:tcPr>
            <w:tcW w:type="dxa" w:w="1512"/>
          </w:tcPr>
          <w:p>
            <w:pPr>
              <w:pStyle w:val="Compact"/>
              <w:spacing w:before="0" w:after="0"/>
              <w:jc w:val="right"/>
            </w:pPr>
            <w:r>
              <w:rPr>
                <w:sz w:val="17"/>
              </w:rPr>
              <w:t xml:space="preserve">-2.74</w:t>
            </w:r>
          </w:p>
        </w:tc>
        <w:tc>
          <w:tcPr>
            <w:tcW w:type="dxa" w:w="1512"/>
          </w:tcPr>
          <w:p>
            <w:pPr>
              <w:pStyle w:val="Compact"/>
              <w:spacing w:before="0" w:after="0"/>
              <w:jc w:val="right"/>
            </w:pPr>
            <w:r>
              <w:rPr>
                <w:sz w:val="17"/>
              </w:rPr>
              <w:t xml:space="preserve">2.74</w:t>
            </w:r>
          </w:p>
        </w:tc>
        <w:tc>
          <w:tcPr>
            <w:tcW w:type="dxa" w:w="1368"/>
          </w:tcPr>
          <w:p>
            <w:pPr>
              <w:pStyle w:val="Compact"/>
              <w:spacing w:before="0" w:after="0"/>
              <w:jc w:val="right"/>
            </w:pPr>
            <w:r>
              <w:rPr>
                <w:sz w:val="17"/>
              </w:rPr>
              <w:t xml:space="preserve">0.90</w:t>
            </w:r>
          </w:p>
        </w:tc>
      </w:tr>
      <w:tr>
        <w:tc>
          <w:tcPr>
            <w:tcW w:type="dxa" w:w="1944"/>
          </w:tcPr>
          <w:p>
            <w:pPr>
              <w:pStyle w:val="Compact"/>
              <w:spacing w:before="0" w:after="0"/>
              <w:jc w:val="left"/>
            </w:pPr>
            <w:r>
              <w:rPr>
                <w:sz w:val="17"/>
              </w:rPr>
              <w:t xml:space="preserve">Aberdeen</w:t>
            </w:r>
          </w:p>
        </w:tc>
        <w:tc>
          <w:tcPr>
            <w:tcW w:type="dxa" w:w="1440"/>
          </w:tcPr>
          <w:p>
            <w:pPr>
              <w:pStyle w:val="Compact"/>
              <w:spacing w:before="0" w:after="0"/>
              <w:jc w:val="right"/>
            </w:pPr>
            <w:r>
              <w:rPr>
                <w:sz w:val="17"/>
              </w:rPr>
              <w:t xml:space="preserve">0.84</w:t>
            </w:r>
          </w:p>
        </w:tc>
        <w:tc>
          <w:tcPr>
            <w:tcW w:type="dxa" w:w="1584"/>
          </w:tcPr>
          <w:p>
            <w:pPr>
              <w:pStyle w:val="Compact"/>
              <w:spacing w:before="0" w:after="0"/>
              <w:jc w:val="right"/>
            </w:pPr>
            <w:r>
              <w:rPr>
                <w:sz w:val="17"/>
              </w:rPr>
              <w:t xml:space="preserve">2.82</w:t>
            </w:r>
          </w:p>
        </w:tc>
        <w:tc>
          <w:tcPr>
            <w:tcW w:type="dxa" w:w="1512"/>
          </w:tcPr>
          <w:p>
            <w:pPr>
              <w:pStyle w:val="Compact"/>
              <w:spacing w:before="0" w:after="0"/>
              <w:jc w:val="right"/>
            </w:pPr>
            <w:r>
              <w:rPr>
                <w:sz w:val="17"/>
              </w:rPr>
              <w:t xml:space="preserve">-1.99</w:t>
            </w:r>
          </w:p>
        </w:tc>
        <w:tc>
          <w:tcPr>
            <w:tcW w:type="dxa" w:w="1512"/>
          </w:tcPr>
          <w:p>
            <w:pPr>
              <w:pStyle w:val="Compact"/>
              <w:spacing w:before="0" w:after="0"/>
              <w:jc w:val="right"/>
            </w:pPr>
            <w:r>
              <w:rPr>
                <w:sz w:val="17"/>
              </w:rPr>
              <w:t xml:space="preserve">1.99</w:t>
            </w:r>
          </w:p>
        </w:tc>
        <w:tc>
          <w:tcPr>
            <w:tcW w:type="dxa" w:w="1368"/>
          </w:tcPr>
          <w:p>
            <w:pPr>
              <w:pStyle w:val="Compact"/>
              <w:spacing w:before="0" w:after="0"/>
              <w:jc w:val="right"/>
            </w:pPr>
            <w:r>
              <w:rPr>
                <w:sz w:val="17"/>
              </w:rPr>
              <w:t xml:space="preserve">1.26</w:t>
            </w:r>
          </w:p>
        </w:tc>
      </w:tr>
      <w:tr>
        <w:tc>
          <w:tcPr>
            <w:tcW w:type="dxa" w:w="1944"/>
          </w:tcPr>
          <w:p>
            <w:pPr>
              <w:pStyle w:val="Compact"/>
              <w:spacing w:before="0" w:after="0"/>
              <w:jc w:val="left"/>
            </w:pPr>
            <w:r>
              <w:rPr>
                <w:sz w:val="17"/>
              </w:rPr>
              <w:t xml:space="preserve">Hoek van Holland</w:t>
            </w:r>
          </w:p>
        </w:tc>
        <w:tc>
          <w:tcPr>
            <w:tcW w:type="dxa" w:w="1440"/>
          </w:tcPr>
          <w:p>
            <w:pPr>
              <w:pStyle w:val="Compact"/>
              <w:spacing w:before="0" w:after="0"/>
              <w:jc w:val="right"/>
            </w:pPr>
            <w:r>
              <w:rPr>
                <w:sz w:val="17"/>
              </w:rPr>
              <w:t xml:space="preserve">1.50</w:t>
            </w:r>
          </w:p>
        </w:tc>
        <w:tc>
          <w:tcPr>
            <w:tcW w:type="dxa" w:w="1584"/>
          </w:tcPr>
          <w:p>
            <w:pPr>
              <w:pStyle w:val="Compact"/>
              <w:spacing w:before="0" w:after="0"/>
              <w:jc w:val="right"/>
            </w:pPr>
            <w:r>
              <w:rPr>
                <w:sz w:val="17"/>
              </w:rPr>
              <w:t xml:space="preserve">3.37</w:t>
            </w:r>
          </w:p>
        </w:tc>
        <w:tc>
          <w:tcPr>
            <w:tcW w:type="dxa" w:w="1512"/>
          </w:tcPr>
          <w:p>
            <w:pPr>
              <w:pStyle w:val="Compact"/>
              <w:spacing w:before="0" w:after="0"/>
              <w:jc w:val="right"/>
            </w:pPr>
            <w:r>
              <w:rPr>
                <w:sz w:val="17"/>
              </w:rPr>
              <w:t xml:space="preserve">-1.87</w:t>
            </w:r>
          </w:p>
        </w:tc>
        <w:tc>
          <w:tcPr>
            <w:tcW w:type="dxa" w:w="1512"/>
          </w:tcPr>
          <w:p>
            <w:pPr>
              <w:pStyle w:val="Compact"/>
              <w:spacing w:before="0" w:after="0"/>
              <w:jc w:val="right"/>
            </w:pPr>
            <w:r>
              <w:rPr>
                <w:sz w:val="17"/>
              </w:rPr>
              <w:t xml:space="preserve">1.87</w:t>
            </w:r>
          </w:p>
        </w:tc>
        <w:tc>
          <w:tcPr>
            <w:tcW w:type="dxa" w:w="1368"/>
          </w:tcPr>
          <w:p>
            <w:pPr>
              <w:pStyle w:val="Compact"/>
              <w:spacing w:before="0" w:after="0"/>
              <w:jc w:val="right"/>
            </w:pPr>
            <w:r>
              <w:rPr>
                <w:sz w:val="17"/>
              </w:rPr>
              <w:t xml:space="preserve">0.43</w:t>
            </w:r>
          </w:p>
        </w:tc>
      </w:tr>
      <w:tr>
        <w:tc>
          <w:tcPr>
            <w:tcW w:type="dxa" w:w="1944"/>
          </w:tcPr>
          <w:p>
            <w:pPr>
              <w:pStyle w:val="Compact"/>
              <w:spacing w:before="0" w:after="0"/>
              <w:jc w:val="left"/>
            </w:pPr>
            <w:r>
              <w:rPr>
                <w:sz w:val="17"/>
              </w:rPr>
              <w:t xml:space="preserve">Brest</w:t>
            </w:r>
          </w:p>
        </w:tc>
        <w:tc>
          <w:tcPr>
            <w:tcW w:type="dxa" w:w="1440"/>
          </w:tcPr>
          <w:p>
            <w:pPr>
              <w:pStyle w:val="Compact"/>
              <w:spacing w:before="0" w:after="0"/>
              <w:jc w:val="right"/>
            </w:pPr>
            <w:r>
              <w:rPr>
                <w:sz w:val="17"/>
              </w:rPr>
              <w:t xml:space="preserve">0.68</w:t>
            </w:r>
          </w:p>
        </w:tc>
        <w:tc>
          <w:tcPr>
            <w:tcW w:type="dxa" w:w="1584"/>
          </w:tcPr>
          <w:p>
            <w:pPr>
              <w:pStyle w:val="Compact"/>
              <w:spacing w:before="0" w:after="0"/>
              <w:jc w:val="right"/>
            </w:pPr>
            <w:r>
              <w:rPr>
                <w:sz w:val="17"/>
              </w:rPr>
              <w:t xml:space="preserve">4.31</w:t>
            </w:r>
          </w:p>
        </w:tc>
        <w:tc>
          <w:tcPr>
            <w:tcW w:type="dxa" w:w="1512"/>
          </w:tcPr>
          <w:p>
            <w:pPr>
              <w:pStyle w:val="Compact"/>
              <w:spacing w:before="0" w:after="0"/>
              <w:jc w:val="right"/>
            </w:pPr>
            <w:r>
              <w:rPr>
                <w:sz w:val="17"/>
              </w:rPr>
              <w:t xml:space="preserve">-3.63</w:t>
            </w:r>
          </w:p>
        </w:tc>
        <w:tc>
          <w:tcPr>
            <w:tcW w:type="dxa" w:w="1512"/>
          </w:tcPr>
          <w:p>
            <w:pPr>
              <w:pStyle w:val="Compact"/>
              <w:spacing w:before="0" w:after="0"/>
              <w:jc w:val="right"/>
            </w:pPr>
            <w:r>
              <w:rPr>
                <w:sz w:val="17"/>
              </w:rPr>
              <w:t xml:space="preserve">3.63</w:t>
            </w:r>
          </w:p>
        </w:tc>
        <w:tc>
          <w:tcPr>
            <w:tcW w:type="dxa" w:w="1368"/>
          </w:tcPr>
          <w:p>
            <w:pPr>
              <w:pStyle w:val="Compact"/>
              <w:spacing w:before="0" w:after="0"/>
              <w:jc w:val="right"/>
            </w:pPr>
            <w:r>
              <w:rPr>
                <w:sz w:val="17"/>
              </w:rPr>
              <w:t xml:space="preserve">0.83</w:t>
            </w:r>
          </w:p>
        </w:tc>
      </w:tr>
      <w:tr>
        <w:tc>
          <w:tcPr>
            <w:tcW w:type="dxa" w:w="1944"/>
          </w:tcPr>
          <w:p>
            <w:pPr>
              <w:pStyle w:val="Compact"/>
              <w:spacing w:before="0" w:after="0"/>
              <w:jc w:val="left"/>
            </w:pPr>
            <w:r>
              <w:rPr>
                <w:sz w:val="17"/>
              </w:rPr>
              <w:t xml:space="preserve">New York-The Battery</w:t>
            </w:r>
          </w:p>
        </w:tc>
        <w:tc>
          <w:tcPr>
            <w:tcW w:type="dxa" w:w="1440"/>
          </w:tcPr>
          <w:p>
            <w:pPr>
              <w:pStyle w:val="Compact"/>
              <w:spacing w:before="0" w:after="0"/>
              <w:jc w:val="right"/>
            </w:pPr>
            <w:r>
              <w:rPr>
                <w:sz w:val="17"/>
              </w:rPr>
              <w:t xml:space="preserve">1.19</w:t>
            </w:r>
          </w:p>
        </w:tc>
        <w:tc>
          <w:tcPr>
            <w:tcW w:type="dxa" w:w="1584"/>
          </w:tcPr>
          <w:p>
            <w:pPr>
              <w:pStyle w:val="Compact"/>
              <w:spacing w:before="0" w:after="0"/>
              <w:jc w:val="right"/>
            </w:pPr>
            <w:r>
              <w:rPr>
                <w:sz w:val="17"/>
              </w:rPr>
              <w:t xml:space="preserve">1.31</w:t>
            </w:r>
          </w:p>
        </w:tc>
        <w:tc>
          <w:tcPr>
            <w:tcW w:type="dxa" w:w="1512"/>
          </w:tcPr>
          <w:p>
            <w:pPr>
              <w:pStyle w:val="Compact"/>
              <w:spacing w:before="0" w:after="0"/>
              <w:jc w:val="right"/>
            </w:pPr>
            <w:r>
              <w:rPr>
                <w:sz w:val="17"/>
              </w:rPr>
              <w:t xml:space="preserve">-0.12</w:t>
            </w:r>
          </w:p>
        </w:tc>
        <w:tc>
          <w:tcPr>
            <w:tcW w:type="dxa" w:w="1512"/>
          </w:tcPr>
          <w:p>
            <w:pPr>
              <w:pStyle w:val="Compact"/>
              <w:spacing w:before="0" w:after="0"/>
              <w:jc w:val="right"/>
            </w:pPr>
            <w:r>
              <w:rPr>
                <w:sz w:val="17"/>
              </w:rPr>
              <w:t xml:space="preserve">0.12</w:t>
            </w:r>
          </w:p>
        </w:tc>
        <w:tc>
          <w:tcPr>
            <w:tcW w:type="dxa" w:w="1368"/>
          </w:tcPr>
          <w:p>
            <w:pPr>
              <w:pStyle w:val="Compact"/>
              <w:spacing w:before="0" w:after="0"/>
              <w:jc w:val="right"/>
            </w:pPr>
            <w:r>
              <w:rPr>
                <w:sz w:val="17"/>
              </w:rPr>
              <w:t xml:space="preserve">0.89</w:t>
            </w:r>
          </w:p>
        </w:tc>
      </w:tr>
      <w:tr>
        <w:tc>
          <w:tcPr>
            <w:tcW w:type="dxa" w:w="1944"/>
          </w:tcPr>
          <w:p>
            <w:pPr>
              <w:pStyle w:val="Compact"/>
              <w:spacing w:before="0" w:after="0"/>
              <w:jc w:val="left"/>
            </w:pPr>
            <w:r>
              <w:rPr>
                <w:sz w:val="17"/>
              </w:rPr>
              <w:t xml:space="preserve">Hong Kong</w:t>
            </w:r>
          </w:p>
        </w:tc>
        <w:tc>
          <w:tcPr>
            <w:tcW w:type="dxa" w:w="1440"/>
          </w:tcPr>
          <w:p>
            <w:pPr>
              <w:pStyle w:val="Compact"/>
              <w:spacing w:before="0" w:after="0"/>
              <w:jc w:val="right"/>
            </w:pPr>
            <w:r>
              <w:rPr>
                <w:sz w:val="17"/>
              </w:rPr>
              <w:t xml:space="preserve">1.01</w:t>
            </w:r>
          </w:p>
        </w:tc>
        <w:tc>
          <w:tcPr>
            <w:tcW w:type="dxa" w:w="1584"/>
          </w:tcPr>
          <w:p>
            <w:pPr>
              <w:pStyle w:val="Compact"/>
              <w:spacing w:before="0" w:after="0"/>
              <w:jc w:val="right"/>
            </w:pPr>
            <w:r>
              <w:rPr>
                <w:sz w:val="17"/>
              </w:rPr>
              <w:t xml:space="preserve">1.82</w:t>
            </w:r>
          </w:p>
        </w:tc>
        <w:tc>
          <w:tcPr>
            <w:tcW w:type="dxa" w:w="1512"/>
          </w:tcPr>
          <w:p>
            <w:pPr>
              <w:pStyle w:val="Compact"/>
              <w:spacing w:before="0" w:after="0"/>
              <w:jc w:val="right"/>
            </w:pPr>
            <w:r>
              <w:rPr>
                <w:sz w:val="17"/>
              </w:rPr>
              <w:t xml:space="preserve">-0.82</w:t>
            </w:r>
          </w:p>
        </w:tc>
        <w:tc>
          <w:tcPr>
            <w:tcW w:type="dxa" w:w="1512"/>
          </w:tcPr>
          <w:p>
            <w:pPr>
              <w:pStyle w:val="Compact"/>
              <w:spacing w:before="0" w:after="0"/>
              <w:jc w:val="right"/>
            </w:pPr>
            <w:r>
              <w:rPr>
                <w:sz w:val="17"/>
              </w:rPr>
              <w:t xml:space="preserve">0.82</w:t>
            </w:r>
          </w:p>
        </w:tc>
        <w:tc>
          <w:tcPr>
            <w:tcW w:type="dxa" w:w="1368"/>
          </w:tcPr>
          <w:p>
            <w:pPr>
              <w:pStyle w:val="Compact"/>
              <w:spacing w:before="0" w:after="0"/>
              <w:jc w:val="right"/>
            </w:pPr>
            <w:r>
              <w:rPr>
                <w:sz w:val="17"/>
              </w:rPr>
              <w:t xml:space="preserve">4.76</w:t>
            </w:r>
          </w:p>
        </w:tc>
      </w:tr>
      <w:tr>
        <w:tc>
          <w:tcPr>
            <w:tcW w:type="dxa" w:w="1944"/>
          </w:tcPr>
          <w:p>
            <w:pPr>
              <w:pStyle w:val="Compact"/>
              <w:spacing w:before="0" w:after="0"/>
              <w:jc w:val="left"/>
            </w:pPr>
            <w:r>
              <w:rPr>
                <w:sz w:val="17"/>
              </w:rPr>
              <w:t xml:space="preserve">Charleston</w:t>
            </w:r>
          </w:p>
        </w:tc>
        <w:tc>
          <w:tcPr>
            <w:tcW w:type="dxa" w:w="1440"/>
          </w:tcPr>
          <w:p>
            <w:pPr>
              <w:pStyle w:val="Compact"/>
              <w:spacing w:before="0" w:after="0"/>
              <w:jc w:val="right"/>
            </w:pPr>
            <w:r>
              <w:rPr>
                <w:sz w:val="17"/>
              </w:rPr>
              <w:t xml:space="preserve">0.84</w:t>
            </w:r>
          </w:p>
        </w:tc>
        <w:tc>
          <w:tcPr>
            <w:tcW w:type="dxa" w:w="1584"/>
          </w:tcPr>
          <w:p>
            <w:pPr>
              <w:pStyle w:val="Compact"/>
              <w:spacing w:before="0" w:after="0"/>
              <w:jc w:val="right"/>
            </w:pPr>
            <w:r>
              <w:rPr>
                <w:sz w:val="17"/>
              </w:rPr>
              <w:t xml:space="preserve">1.35</w:t>
            </w:r>
          </w:p>
        </w:tc>
        <w:tc>
          <w:tcPr>
            <w:tcW w:type="dxa" w:w="1512"/>
          </w:tcPr>
          <w:p>
            <w:pPr>
              <w:pStyle w:val="Compact"/>
              <w:spacing w:before="0" w:after="0"/>
              <w:jc w:val="right"/>
            </w:pPr>
            <w:r>
              <w:rPr>
                <w:sz w:val="17"/>
              </w:rPr>
              <w:t xml:space="preserve">-0.51</w:t>
            </w:r>
          </w:p>
        </w:tc>
        <w:tc>
          <w:tcPr>
            <w:tcW w:type="dxa" w:w="1512"/>
          </w:tcPr>
          <w:p>
            <w:pPr>
              <w:pStyle w:val="Compact"/>
              <w:spacing w:before="0" w:after="0"/>
              <w:jc w:val="right"/>
            </w:pPr>
            <w:r>
              <w:rPr>
                <w:sz w:val="17"/>
              </w:rPr>
              <w:t xml:space="preserve">0.51</w:t>
            </w:r>
          </w:p>
        </w:tc>
        <w:tc>
          <w:tcPr>
            <w:tcW w:type="dxa" w:w="1368"/>
          </w:tcPr>
          <w:p>
            <w:pPr>
              <w:pStyle w:val="Compact"/>
              <w:spacing w:before="0" w:after="0"/>
              <w:jc w:val="right"/>
            </w:pPr>
            <w:r>
              <w:rPr>
                <w:sz w:val="17"/>
              </w:rPr>
              <w:t xml:space="preserve">1.83</w:t>
            </w:r>
          </w:p>
        </w:tc>
      </w:tr>
    </w:tbl>
    <w:bookmarkEnd w:id="22"/>
    <w:bookmarkStart w:id="23" w:name="X8a0b680afdb9ec56e4431600ee9adcd377e7e53"/>
    <w:p>
      <w:pPr>
        <w:pStyle w:val="Heading3"/>
      </w:pPr>
      <w:r>
        <w:t xml:space="preserve">Reconstructed surges are meteorologically coherent at extratropical European sites</w:t>
      </w:r>
    </w:p>
    <w:p>
      <w:pPr>
        <w:pStyle w:val="FirstParagraph"/>
      </w:pPr>
      <w:r>
        <w:t xml:space="preserve">The GSSR daily surge time series were merged with daily meteorological variables extracted from Open-Meteo ERA5-derived historical data. The analysis used 11,323 overlapping daily records per station between 1980 and 2010. Spearman rank correlations were calculated between daily surge and three atmospheric variables: minimum mean sea-level pressure, maximum wind speed, and precipitation total. This step is not intended as a causal attribution model. It is a physical coherence check: if reconstructed surge extremes are associated with storm conditions, the time series should show plausible relationships with pressure and wind.</w:t>
      </w:r>
    </w:p>
    <w:p>
      <w:pPr>
        <w:pStyle w:val="BodyText"/>
      </w:pPr>
      <w:r>
        <w:t xml:space="preserve">Several European stations show strong negative surge-pressure correlations. Newlyn has the strongest pressure relationship, with a rank correlation of -0.831. Brest follows with -0.796, Aberdeen with -0.724, and Hoek van Holland with -0.539. These values are consistent with extratropical storm conditions, inverse-barometer effects, and wind-driven setup on the northwest European shelf. Wind correlations are positive at all sites, with the largest value at Hoek van Holland (0.610), followed by Sheerness (0.512), Brest (0.442), and Aberdeen (0.422). Precipitation correlations are moderate at Brest (0.585), Newlyn (0.530), and Hoek van Holland (0.486), but weak at several other stations.</w:t>
      </w:r>
    </w:p>
    <w:p>
      <w:pPr>
        <w:pStyle w:val="BodyText"/>
      </w:pPr>
      <w:r>
        <w:t xml:space="preserve">The weaker or unexpected correlations at Charleston and Hong Kong highlight the limits of station-centred daily meteorological screening. Charleston shows near-zero correlations with pressure, wind, and precipitation. Hong Kong shows a positive surge-pressure correlation and a weak negative precipitation correlation in the daily rank analysis. These results do not necessarily indicate errors in the water-level reconstruction. They show that a simple local daily driver screen is insufficient for cyclone-influenced or geometrically complex coasts, where surge may depend on storm track, angle of approach, translation speed, shelf geometry, wind direction, and tide timing. The meteorological analysis therefore separates sites where a lightweight coherence check is informative from sites where event-based diagnostics would be needed.</w:t>
      </w:r>
    </w:p>
    <w:p>
      <w:pPr>
        <w:pStyle w:val="BodyText"/>
      </w:pPr>
      <w:r>
        <w:rPr>
          <w:b/>
          <w:bCs/>
        </w:rPr>
        <w:t xml:space="preserve">Table 3. Spearman rank correlations between GSSR daily surge and meteorological drivers.</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tcW w:type="dxa" w:w="2016"/>
          </w:tcPr>
          <w:p>
            <w:pPr>
              <w:pStyle w:val="Compact"/>
              <w:spacing w:before="0" w:after="0"/>
              <w:jc w:val="left"/>
            </w:pPr>
            <w:r>
              <w:rPr>
                <w:sz w:val="17"/>
              </w:rPr>
              <w:t xml:space="preserve">Station</w:t>
            </w:r>
          </w:p>
        </w:tc>
        <w:tc>
          <w:tcPr>
            <w:tcW w:type="dxa" w:w="1728"/>
          </w:tcPr>
          <w:p>
            <w:pPr>
              <w:pStyle w:val="Compact"/>
              <w:spacing w:before="0" w:after="0"/>
              <w:jc w:val="right"/>
            </w:pPr>
            <w:r>
              <w:rPr>
                <w:sz w:val="17"/>
              </w:rPr>
              <w:t xml:space="preserve">Days</w:t>
            </w:r>
          </w:p>
        </w:tc>
        <w:tc>
          <w:tcPr>
            <w:tcW w:type="dxa" w:w="1584"/>
          </w:tcPr>
          <w:p>
            <w:pPr>
              <w:pStyle w:val="Compact"/>
              <w:spacing w:before="0" w:after="0"/>
              <w:jc w:val="right"/>
            </w:pPr>
            <w:r>
              <w:rPr>
                <w:sz w:val="17"/>
              </w:rPr>
              <w:t xml:space="preserve">Surge vs pressure</w:t>
            </w:r>
          </w:p>
        </w:tc>
        <w:tc>
          <w:tcPr>
            <w:tcW w:type="dxa" w:w="1584"/>
          </w:tcPr>
          <w:p>
            <w:pPr>
              <w:pStyle w:val="Compact"/>
              <w:spacing w:before="0" w:after="0"/>
              <w:jc w:val="right"/>
            </w:pPr>
            <w:r>
              <w:rPr>
                <w:sz w:val="17"/>
              </w:rPr>
              <w:t xml:space="preserve">Surge vs wind</w:t>
            </w:r>
          </w:p>
        </w:tc>
        <w:tc>
          <w:tcPr>
            <w:tcW w:type="dxa" w:w="1584"/>
          </w:tcPr>
          <w:p>
            <w:pPr>
              <w:pStyle w:val="Compact"/>
              <w:spacing w:before="0" w:after="0"/>
              <w:jc w:val="right"/>
            </w:pPr>
            <w:r>
              <w:rPr>
                <w:sz w:val="17"/>
              </w:rPr>
              <w:t xml:space="preserve">Surge vs precipitation</w:t>
            </w:r>
          </w:p>
        </w:tc>
      </w:tr>
      <w:tr>
        <w:tc>
          <w:tcPr>
            <w:tcW w:type="dxa" w:w="2016"/>
          </w:tcPr>
          <w:p>
            <w:pPr>
              <w:pStyle w:val="Compact"/>
              <w:spacing w:before="0" w:after="0"/>
              <w:jc w:val="left"/>
            </w:pPr>
            <w:r>
              <w:rPr>
                <w:sz w:val="17"/>
              </w:rPr>
              <w:t xml:space="preserve">Aberdeen</w:t>
            </w:r>
          </w:p>
        </w:tc>
        <w:tc>
          <w:tcPr>
            <w:tcW w:type="dxa" w:w="1728"/>
          </w:tcPr>
          <w:p>
            <w:pPr>
              <w:pStyle w:val="Compact"/>
              <w:spacing w:before="0" w:after="0"/>
              <w:jc w:val="right"/>
            </w:pPr>
            <w:r>
              <w:rPr>
                <w:sz w:val="17"/>
              </w:rPr>
              <w:t xml:space="preserve">11,323</w:t>
            </w:r>
          </w:p>
        </w:tc>
        <w:tc>
          <w:tcPr>
            <w:tcW w:type="dxa" w:w="1584"/>
          </w:tcPr>
          <w:p>
            <w:pPr>
              <w:pStyle w:val="Compact"/>
              <w:spacing w:before="0" w:after="0"/>
              <w:jc w:val="right"/>
            </w:pPr>
            <w:r>
              <w:rPr>
                <w:sz w:val="17"/>
              </w:rPr>
              <w:t xml:space="preserve">-0.724</w:t>
            </w:r>
          </w:p>
        </w:tc>
        <w:tc>
          <w:tcPr>
            <w:tcW w:type="dxa" w:w="1584"/>
          </w:tcPr>
          <w:p>
            <w:pPr>
              <w:pStyle w:val="Compact"/>
              <w:spacing w:before="0" w:after="0"/>
              <w:jc w:val="right"/>
            </w:pPr>
            <w:r>
              <w:rPr>
                <w:sz w:val="17"/>
              </w:rPr>
              <w:t xml:space="preserve">0.422</w:t>
            </w:r>
          </w:p>
        </w:tc>
        <w:tc>
          <w:tcPr>
            <w:tcW w:type="dxa" w:w="1584"/>
          </w:tcPr>
          <w:p>
            <w:pPr>
              <w:pStyle w:val="Compact"/>
              <w:spacing w:before="0" w:after="0"/>
              <w:jc w:val="right"/>
            </w:pPr>
            <w:r>
              <w:rPr>
                <w:sz w:val="17"/>
              </w:rPr>
              <w:t xml:space="preserve">0.252</w:t>
            </w:r>
          </w:p>
        </w:tc>
      </w:tr>
      <w:tr>
        <w:tc>
          <w:tcPr>
            <w:tcW w:type="dxa" w:w="2016"/>
          </w:tcPr>
          <w:p>
            <w:pPr>
              <w:pStyle w:val="Compact"/>
              <w:spacing w:before="0" w:after="0"/>
              <w:jc w:val="left"/>
            </w:pPr>
            <w:r>
              <w:rPr>
                <w:sz w:val="17"/>
              </w:rPr>
              <w:t xml:space="preserve">Brest</w:t>
            </w:r>
          </w:p>
        </w:tc>
        <w:tc>
          <w:tcPr>
            <w:tcW w:type="dxa" w:w="1728"/>
          </w:tcPr>
          <w:p>
            <w:pPr>
              <w:pStyle w:val="Compact"/>
              <w:spacing w:before="0" w:after="0"/>
              <w:jc w:val="right"/>
            </w:pPr>
            <w:r>
              <w:rPr>
                <w:sz w:val="17"/>
              </w:rPr>
              <w:t xml:space="preserve">11,323</w:t>
            </w:r>
          </w:p>
        </w:tc>
        <w:tc>
          <w:tcPr>
            <w:tcW w:type="dxa" w:w="1584"/>
          </w:tcPr>
          <w:p>
            <w:pPr>
              <w:pStyle w:val="Compact"/>
              <w:spacing w:before="0" w:after="0"/>
              <w:jc w:val="right"/>
            </w:pPr>
            <w:r>
              <w:rPr>
                <w:sz w:val="17"/>
              </w:rPr>
              <w:t xml:space="preserve">-0.796</w:t>
            </w:r>
          </w:p>
        </w:tc>
        <w:tc>
          <w:tcPr>
            <w:tcW w:type="dxa" w:w="1584"/>
          </w:tcPr>
          <w:p>
            <w:pPr>
              <w:pStyle w:val="Compact"/>
              <w:spacing w:before="0" w:after="0"/>
              <w:jc w:val="right"/>
            </w:pPr>
            <w:r>
              <w:rPr>
                <w:sz w:val="17"/>
              </w:rPr>
              <w:t xml:space="preserve">0.442</w:t>
            </w:r>
          </w:p>
        </w:tc>
        <w:tc>
          <w:tcPr>
            <w:tcW w:type="dxa" w:w="1584"/>
          </w:tcPr>
          <w:p>
            <w:pPr>
              <w:pStyle w:val="Compact"/>
              <w:spacing w:before="0" w:after="0"/>
              <w:jc w:val="right"/>
            </w:pPr>
            <w:r>
              <w:rPr>
                <w:sz w:val="17"/>
              </w:rPr>
              <w:t xml:space="preserve">0.585</w:t>
            </w:r>
          </w:p>
        </w:tc>
      </w:tr>
      <w:tr>
        <w:tc>
          <w:tcPr>
            <w:tcW w:type="dxa" w:w="2016"/>
          </w:tcPr>
          <w:p>
            <w:pPr>
              <w:pStyle w:val="Compact"/>
              <w:spacing w:before="0" w:after="0"/>
              <w:jc w:val="left"/>
            </w:pPr>
            <w:r>
              <w:rPr>
                <w:sz w:val="17"/>
              </w:rPr>
              <w:t xml:space="preserve">Charleston</w:t>
            </w:r>
          </w:p>
        </w:tc>
        <w:tc>
          <w:tcPr>
            <w:tcW w:type="dxa" w:w="1728"/>
          </w:tcPr>
          <w:p>
            <w:pPr>
              <w:pStyle w:val="Compact"/>
              <w:spacing w:before="0" w:after="0"/>
              <w:jc w:val="right"/>
            </w:pPr>
            <w:r>
              <w:rPr>
                <w:sz w:val="17"/>
              </w:rPr>
              <w:t xml:space="preserve">11,323</w:t>
            </w:r>
          </w:p>
        </w:tc>
        <w:tc>
          <w:tcPr>
            <w:tcW w:type="dxa" w:w="1584"/>
          </w:tcPr>
          <w:p>
            <w:pPr>
              <w:pStyle w:val="Compact"/>
              <w:spacing w:before="0" w:after="0"/>
              <w:jc w:val="right"/>
            </w:pPr>
            <w:r>
              <w:rPr>
                <w:sz w:val="17"/>
              </w:rPr>
              <w:t xml:space="preserve">0.041</w:t>
            </w:r>
          </w:p>
        </w:tc>
        <w:tc>
          <w:tcPr>
            <w:tcW w:type="dxa" w:w="1584"/>
          </w:tcPr>
          <w:p>
            <w:pPr>
              <w:pStyle w:val="Compact"/>
              <w:spacing w:before="0" w:after="0"/>
              <w:jc w:val="right"/>
            </w:pPr>
            <w:r>
              <w:rPr>
                <w:sz w:val="17"/>
              </w:rPr>
              <w:t xml:space="preserve">0.054</w:t>
            </w:r>
          </w:p>
        </w:tc>
        <w:tc>
          <w:tcPr>
            <w:tcW w:type="dxa" w:w="1584"/>
          </w:tcPr>
          <w:p>
            <w:pPr>
              <w:pStyle w:val="Compact"/>
              <w:spacing w:before="0" w:after="0"/>
              <w:jc w:val="right"/>
            </w:pPr>
            <w:r>
              <w:rPr>
                <w:sz w:val="17"/>
              </w:rPr>
              <w:t xml:space="preserve">0.068</w:t>
            </w:r>
          </w:p>
        </w:tc>
      </w:tr>
      <w:tr>
        <w:tc>
          <w:tcPr>
            <w:tcW w:type="dxa" w:w="2016"/>
          </w:tcPr>
          <w:p>
            <w:pPr>
              <w:pStyle w:val="Compact"/>
              <w:spacing w:before="0" w:after="0"/>
              <w:jc w:val="left"/>
            </w:pPr>
            <w:r>
              <w:rPr>
                <w:sz w:val="17"/>
              </w:rPr>
              <w:t xml:space="preserve">Hoek van Holland</w:t>
            </w:r>
          </w:p>
        </w:tc>
        <w:tc>
          <w:tcPr>
            <w:tcW w:type="dxa" w:w="1728"/>
          </w:tcPr>
          <w:p>
            <w:pPr>
              <w:pStyle w:val="Compact"/>
              <w:spacing w:before="0" w:after="0"/>
              <w:jc w:val="right"/>
            </w:pPr>
            <w:r>
              <w:rPr>
                <w:sz w:val="17"/>
              </w:rPr>
              <w:t xml:space="preserve">11,323</w:t>
            </w:r>
          </w:p>
        </w:tc>
        <w:tc>
          <w:tcPr>
            <w:tcW w:type="dxa" w:w="1584"/>
          </w:tcPr>
          <w:p>
            <w:pPr>
              <w:pStyle w:val="Compact"/>
              <w:spacing w:before="0" w:after="0"/>
              <w:jc w:val="right"/>
            </w:pPr>
            <w:r>
              <w:rPr>
                <w:sz w:val="17"/>
              </w:rPr>
              <w:t xml:space="preserve">-0.539</w:t>
            </w:r>
          </w:p>
        </w:tc>
        <w:tc>
          <w:tcPr>
            <w:tcW w:type="dxa" w:w="1584"/>
          </w:tcPr>
          <w:p>
            <w:pPr>
              <w:pStyle w:val="Compact"/>
              <w:spacing w:before="0" w:after="0"/>
              <w:jc w:val="right"/>
            </w:pPr>
            <w:r>
              <w:rPr>
                <w:sz w:val="17"/>
              </w:rPr>
              <w:t xml:space="preserve">0.610</w:t>
            </w:r>
          </w:p>
        </w:tc>
        <w:tc>
          <w:tcPr>
            <w:tcW w:type="dxa" w:w="1584"/>
          </w:tcPr>
          <w:p>
            <w:pPr>
              <w:pStyle w:val="Compact"/>
              <w:spacing w:before="0" w:after="0"/>
              <w:jc w:val="right"/>
            </w:pPr>
            <w:r>
              <w:rPr>
                <w:sz w:val="17"/>
              </w:rPr>
              <w:t xml:space="preserve">0.486</w:t>
            </w:r>
          </w:p>
        </w:tc>
      </w:tr>
      <w:tr>
        <w:tc>
          <w:tcPr>
            <w:tcW w:type="dxa" w:w="2016"/>
          </w:tcPr>
          <w:p>
            <w:pPr>
              <w:pStyle w:val="Compact"/>
              <w:spacing w:before="0" w:after="0"/>
              <w:jc w:val="left"/>
            </w:pPr>
            <w:r>
              <w:rPr>
                <w:sz w:val="17"/>
              </w:rPr>
              <w:t xml:space="preserve">Hong Kong</w:t>
            </w:r>
          </w:p>
        </w:tc>
        <w:tc>
          <w:tcPr>
            <w:tcW w:type="dxa" w:w="1728"/>
          </w:tcPr>
          <w:p>
            <w:pPr>
              <w:pStyle w:val="Compact"/>
              <w:spacing w:before="0" w:after="0"/>
              <w:jc w:val="right"/>
            </w:pPr>
            <w:r>
              <w:rPr>
                <w:sz w:val="17"/>
              </w:rPr>
              <w:t xml:space="preserve">11,323</w:t>
            </w:r>
          </w:p>
        </w:tc>
        <w:tc>
          <w:tcPr>
            <w:tcW w:type="dxa" w:w="1584"/>
          </w:tcPr>
          <w:p>
            <w:pPr>
              <w:pStyle w:val="Compact"/>
              <w:spacing w:before="0" w:after="0"/>
              <w:jc w:val="right"/>
            </w:pPr>
            <w:r>
              <w:rPr>
                <w:sz w:val="17"/>
              </w:rPr>
              <w:t xml:space="preserve">0.159</w:t>
            </w:r>
          </w:p>
        </w:tc>
        <w:tc>
          <w:tcPr>
            <w:tcW w:type="dxa" w:w="1584"/>
          </w:tcPr>
          <w:p>
            <w:pPr>
              <w:pStyle w:val="Compact"/>
              <w:spacing w:before="0" w:after="0"/>
              <w:jc w:val="right"/>
            </w:pPr>
            <w:r>
              <w:rPr>
                <w:sz w:val="17"/>
              </w:rPr>
              <w:t xml:space="preserve">0.331</w:t>
            </w:r>
          </w:p>
        </w:tc>
        <w:tc>
          <w:tcPr>
            <w:tcW w:type="dxa" w:w="1584"/>
          </w:tcPr>
          <w:p>
            <w:pPr>
              <w:pStyle w:val="Compact"/>
              <w:spacing w:before="0" w:after="0"/>
              <w:jc w:val="right"/>
            </w:pPr>
            <w:r>
              <w:rPr>
                <w:sz w:val="17"/>
              </w:rPr>
              <w:t xml:space="preserve">-0.079</w:t>
            </w:r>
          </w:p>
        </w:tc>
      </w:tr>
      <w:tr>
        <w:tc>
          <w:tcPr>
            <w:tcW w:type="dxa" w:w="2016"/>
          </w:tcPr>
          <w:p>
            <w:pPr>
              <w:pStyle w:val="Compact"/>
              <w:spacing w:before="0" w:after="0"/>
              <w:jc w:val="left"/>
            </w:pPr>
            <w:r>
              <w:rPr>
                <w:sz w:val="17"/>
              </w:rPr>
              <w:t xml:space="preserve">Newlyn</w:t>
            </w:r>
          </w:p>
        </w:tc>
        <w:tc>
          <w:tcPr>
            <w:tcW w:type="dxa" w:w="1728"/>
          </w:tcPr>
          <w:p>
            <w:pPr>
              <w:pStyle w:val="Compact"/>
              <w:spacing w:before="0" w:after="0"/>
              <w:jc w:val="right"/>
            </w:pPr>
            <w:r>
              <w:rPr>
                <w:sz w:val="17"/>
              </w:rPr>
              <w:t xml:space="preserve">11,323</w:t>
            </w:r>
          </w:p>
        </w:tc>
        <w:tc>
          <w:tcPr>
            <w:tcW w:type="dxa" w:w="1584"/>
          </w:tcPr>
          <w:p>
            <w:pPr>
              <w:pStyle w:val="Compact"/>
              <w:spacing w:before="0" w:after="0"/>
              <w:jc w:val="right"/>
            </w:pPr>
            <w:r>
              <w:rPr>
                <w:sz w:val="17"/>
              </w:rPr>
              <w:t xml:space="preserve">-0.831</w:t>
            </w:r>
          </w:p>
        </w:tc>
        <w:tc>
          <w:tcPr>
            <w:tcW w:type="dxa" w:w="1584"/>
          </w:tcPr>
          <w:p>
            <w:pPr>
              <w:pStyle w:val="Compact"/>
              <w:spacing w:before="0" w:after="0"/>
              <w:jc w:val="right"/>
            </w:pPr>
            <w:r>
              <w:rPr>
                <w:sz w:val="17"/>
              </w:rPr>
              <w:t xml:space="preserve">0.364</w:t>
            </w:r>
          </w:p>
        </w:tc>
        <w:tc>
          <w:tcPr>
            <w:tcW w:type="dxa" w:w="1584"/>
          </w:tcPr>
          <w:p>
            <w:pPr>
              <w:pStyle w:val="Compact"/>
              <w:spacing w:before="0" w:after="0"/>
              <w:jc w:val="right"/>
            </w:pPr>
            <w:r>
              <w:rPr>
                <w:sz w:val="17"/>
              </w:rPr>
              <w:t xml:space="preserve">0.530</w:t>
            </w:r>
          </w:p>
        </w:tc>
      </w:tr>
      <w:tr>
        <w:tc>
          <w:tcPr>
            <w:tcW w:type="dxa" w:w="2016"/>
          </w:tcPr>
          <w:p>
            <w:pPr>
              <w:pStyle w:val="Compact"/>
              <w:spacing w:before="0" w:after="0"/>
              <w:jc w:val="left"/>
            </w:pPr>
            <w:r>
              <w:rPr>
                <w:sz w:val="17"/>
              </w:rPr>
              <w:t xml:space="preserve">New York-The Battery</w:t>
            </w:r>
          </w:p>
        </w:tc>
        <w:tc>
          <w:tcPr>
            <w:tcW w:type="dxa" w:w="1728"/>
          </w:tcPr>
          <w:p>
            <w:pPr>
              <w:pStyle w:val="Compact"/>
              <w:spacing w:before="0" w:after="0"/>
              <w:jc w:val="right"/>
            </w:pPr>
            <w:r>
              <w:rPr>
                <w:sz w:val="17"/>
              </w:rPr>
              <w:t xml:space="preserve">11,323</w:t>
            </w:r>
          </w:p>
        </w:tc>
        <w:tc>
          <w:tcPr>
            <w:tcW w:type="dxa" w:w="1584"/>
          </w:tcPr>
          <w:p>
            <w:pPr>
              <w:pStyle w:val="Compact"/>
              <w:spacing w:before="0" w:after="0"/>
              <w:jc w:val="right"/>
            </w:pPr>
            <w:r>
              <w:rPr>
                <w:sz w:val="17"/>
              </w:rPr>
              <w:t xml:space="preserve">-0.261</w:t>
            </w:r>
          </w:p>
        </w:tc>
        <w:tc>
          <w:tcPr>
            <w:tcW w:type="dxa" w:w="1584"/>
          </w:tcPr>
          <w:p>
            <w:pPr>
              <w:pStyle w:val="Compact"/>
              <w:spacing w:before="0" w:after="0"/>
              <w:jc w:val="right"/>
            </w:pPr>
            <w:r>
              <w:rPr>
                <w:sz w:val="17"/>
              </w:rPr>
              <w:t xml:space="preserve">0.175</w:t>
            </w:r>
          </w:p>
        </w:tc>
        <w:tc>
          <w:tcPr>
            <w:tcW w:type="dxa" w:w="1584"/>
          </w:tcPr>
          <w:p>
            <w:pPr>
              <w:pStyle w:val="Compact"/>
              <w:spacing w:before="0" w:after="0"/>
              <w:jc w:val="right"/>
            </w:pPr>
            <w:r>
              <w:rPr>
                <w:sz w:val="17"/>
              </w:rPr>
              <w:t xml:space="preserve">0.355</w:t>
            </w:r>
          </w:p>
        </w:tc>
      </w:tr>
      <w:tr>
        <w:tc>
          <w:tcPr>
            <w:tcW w:type="dxa" w:w="2016"/>
          </w:tcPr>
          <w:p>
            <w:pPr>
              <w:pStyle w:val="Compact"/>
              <w:spacing w:before="0" w:after="0"/>
              <w:jc w:val="left"/>
            </w:pPr>
            <w:r>
              <w:rPr>
                <w:sz w:val="17"/>
              </w:rPr>
              <w:t xml:space="preserve">Sheerness</w:t>
            </w:r>
          </w:p>
        </w:tc>
        <w:tc>
          <w:tcPr>
            <w:tcW w:type="dxa" w:w="1728"/>
          </w:tcPr>
          <w:p>
            <w:pPr>
              <w:pStyle w:val="Compact"/>
              <w:spacing w:before="0" w:after="0"/>
              <w:jc w:val="right"/>
            </w:pPr>
            <w:r>
              <w:rPr>
                <w:sz w:val="17"/>
              </w:rPr>
              <w:t xml:space="preserve">11,323</w:t>
            </w:r>
          </w:p>
        </w:tc>
        <w:tc>
          <w:tcPr>
            <w:tcW w:type="dxa" w:w="1584"/>
          </w:tcPr>
          <w:p>
            <w:pPr>
              <w:pStyle w:val="Compact"/>
              <w:spacing w:before="0" w:after="0"/>
              <w:jc w:val="right"/>
            </w:pPr>
            <w:r>
              <w:rPr>
                <w:sz w:val="17"/>
              </w:rPr>
              <w:t xml:space="preserve">-0.228</w:t>
            </w:r>
          </w:p>
        </w:tc>
        <w:tc>
          <w:tcPr>
            <w:tcW w:type="dxa" w:w="1584"/>
          </w:tcPr>
          <w:p>
            <w:pPr>
              <w:pStyle w:val="Compact"/>
              <w:spacing w:before="0" w:after="0"/>
              <w:jc w:val="right"/>
            </w:pPr>
            <w:r>
              <w:rPr>
                <w:sz w:val="17"/>
              </w:rPr>
              <w:t xml:space="preserve">0.512</w:t>
            </w:r>
          </w:p>
        </w:tc>
        <w:tc>
          <w:tcPr>
            <w:tcW w:type="dxa" w:w="1584"/>
          </w:tcPr>
          <w:p>
            <w:pPr>
              <w:pStyle w:val="Compact"/>
              <w:spacing w:before="0" w:after="0"/>
              <w:jc w:val="right"/>
            </w:pPr>
            <w:r>
              <w:rPr>
                <w:sz w:val="17"/>
              </w:rPr>
              <w:t xml:space="preserve">0.159</w:t>
            </w:r>
          </w:p>
        </w:tc>
      </w:tr>
    </w:tbl>
    <w:bookmarkEnd w:id="23"/>
    <w:bookmarkStart w:id="24" w:name="X32f1798f48c1694422d01cad11374716bdad53a"/>
    <w:p>
      <w:pPr>
        <w:pStyle w:val="Heading3"/>
      </w:pPr>
      <w:r>
        <w:t xml:space="preserve">Lowland terrain sensitivity does not simply follow storm-tide magnitude</w:t>
      </w:r>
    </w:p>
    <w:p>
      <w:pPr>
        <w:pStyle w:val="FirstParagraph"/>
      </w:pPr>
      <w:r>
        <w:t xml:space="preserve">DeltaDTM terrain screening was implemented for five European sites: Sheerness, Newlyn, Aberdeen, Hoek van Holland, and Brest. The analysis used station-centred terrain windows and computed static inundation sensitivity for relative water-level perturbations of +0.5 m, +1.0 m, and +2.0 m. The primary metric is the flooded fraction of coastal-lowland cells rather than all valid terrain cells. This denominator is used because station windows include uplands and non-coastal terrain that can obscure the behaviour of the lowland coastal zone.</w:t>
      </w:r>
    </w:p>
    <w:p>
      <w:pPr>
        <w:pStyle w:val="BodyText"/>
      </w:pPr>
      <w:r>
        <w:t xml:space="preserve">The terrain results show that lowland sensitivity is concentrated at Sheerness and Hoek van Holland. Sheerness has a median valid-cell elevation of 2.47 m and the largest +2.0 m lowland flooded fraction, 42.78%. Hoek van Holland has a median elevation of 3.85 m and a +2.0 m lowland flooded fraction of 34.72%. Both sites also show substantial growth between +1.0 m and +2.0 m, indicating that much of the lowland terrain lies near the 1-2 m interval. These two sites represent settings where water-level hazard can translate efficiently into terrain sensitivity if flood protection and hydraulic connectivity are not considered.</w:t>
      </w:r>
    </w:p>
    <w:p>
      <w:pPr>
        <w:pStyle w:val="BodyText"/>
      </w:pPr>
      <w:r>
        <w:t xml:space="preserve">By contrast, Newlyn, Brest, and Aberdeen have much lower static lowland sensitivity under the same perturbations. Newlyn and Brest each have median elevations of 30.00 m within the analysed windows, while Aberdeen has a median elevation of 22.46 m. Their +2.0 m lowland flooded fractions are 8.26%, 7.63%, and 7.24%, respectively. These results do not mean that these sites have no flood hazard. Rather, they show that within the selected windows, a static +2.0 m perturbation affects a smaller share of the coastal-lowland mask than at Sheerness and Hoek van Holland. High storm-tide indicators therefore do not automatically imply high terrain sensitivity.</w:t>
      </w:r>
    </w:p>
    <w:p>
      <w:pPr>
        <w:pStyle w:val="BodyText"/>
      </w:pPr>
      <w:r>
        <w:rPr>
          <w:b/>
          <w:bCs/>
        </w:rPr>
        <w:t xml:space="preserve">Table 4. DeltaDTM static relative sea-level sensitivity at European sites.</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tcW w:type="dxa" w:w="1944"/>
          </w:tcPr>
          <w:p>
            <w:pPr>
              <w:pStyle w:val="Compact"/>
              <w:spacing w:before="0" w:after="0"/>
              <w:jc w:val="left"/>
            </w:pPr>
            <w:r>
              <w:rPr>
                <w:sz w:val="17"/>
              </w:rPr>
              <w:t xml:space="preserve">Station</w:t>
            </w:r>
          </w:p>
        </w:tc>
        <w:tc>
          <w:tcPr>
            <w:tcW w:type="dxa" w:w="1440"/>
          </w:tcPr>
          <w:p>
            <w:pPr>
              <w:pStyle w:val="Compact"/>
              <w:spacing w:before="0" w:after="0"/>
              <w:jc w:val="left"/>
            </w:pPr>
            <w:r>
              <w:rPr>
                <w:sz w:val="17"/>
              </w:rPr>
              <w:t xml:space="preserve">DEM source</w:t>
            </w:r>
          </w:p>
        </w:tc>
        <w:tc>
          <w:tcPr>
            <w:tcW w:type="dxa" w:w="1584"/>
          </w:tcPr>
          <w:p>
            <w:pPr>
              <w:pStyle w:val="Compact"/>
              <w:spacing w:before="0" w:after="0"/>
              <w:jc w:val="right"/>
            </w:pPr>
            <w:r>
              <w:rPr>
                <w:sz w:val="17"/>
              </w:rPr>
              <w:t xml:space="preserve">Median elevation (m)</w:t>
            </w:r>
          </w:p>
        </w:tc>
        <w:tc>
          <w:tcPr>
            <w:tcW w:type="dxa" w:w="1512"/>
          </w:tcPr>
          <w:p>
            <w:pPr>
              <w:pStyle w:val="Compact"/>
              <w:spacing w:before="0" w:after="0"/>
              <w:jc w:val="right"/>
            </w:pPr>
            <w:r>
              <w:rPr>
                <w:sz w:val="17"/>
              </w:rPr>
              <w:t xml:space="preserve">Flooded lowland +0.5 m</w:t>
            </w:r>
          </w:p>
        </w:tc>
        <w:tc>
          <w:tcPr>
            <w:tcW w:type="dxa" w:w="1512"/>
          </w:tcPr>
          <w:p>
            <w:pPr>
              <w:pStyle w:val="Compact"/>
              <w:spacing w:before="0" w:after="0"/>
              <w:jc w:val="right"/>
            </w:pPr>
            <w:r>
              <w:rPr>
                <w:sz w:val="17"/>
              </w:rPr>
              <w:t xml:space="preserve">Flooded lowland +1.0 m</w:t>
            </w:r>
          </w:p>
        </w:tc>
        <w:tc>
          <w:tcPr>
            <w:tcW w:type="dxa" w:w="1368"/>
          </w:tcPr>
          <w:p>
            <w:pPr>
              <w:pStyle w:val="Compact"/>
              <w:spacing w:before="0" w:after="0"/>
              <w:jc w:val="right"/>
            </w:pPr>
            <w:r>
              <w:rPr>
                <w:sz w:val="17"/>
              </w:rPr>
              <w:t xml:space="preserve">Flooded lowland +2.0 m</w:t>
            </w:r>
          </w:p>
        </w:tc>
      </w:tr>
      <w:tr>
        <w:tc>
          <w:tcPr>
            <w:tcW w:type="dxa" w:w="1944"/>
          </w:tcPr>
          <w:p>
            <w:pPr>
              <w:pStyle w:val="Compact"/>
              <w:spacing w:before="0" w:after="0"/>
              <w:jc w:val="left"/>
            </w:pPr>
            <w:r>
              <w:rPr>
                <w:sz w:val="17"/>
              </w:rPr>
              <w:t xml:space="preserve">Sheerness</w:t>
            </w:r>
          </w:p>
        </w:tc>
        <w:tc>
          <w:tcPr>
            <w:tcW w:type="dxa" w:w="1440"/>
          </w:tcPr>
          <w:p>
            <w:pPr>
              <w:pStyle w:val="Compact"/>
              <w:spacing w:before="0" w:after="0"/>
              <w:jc w:val="left"/>
            </w:pPr>
            <w:r>
              <w:rPr>
                <w:sz w:val="17"/>
              </w:rPr>
              <w:t xml:space="preserve">DeltaDTM N51E000</w:t>
            </w:r>
          </w:p>
        </w:tc>
        <w:tc>
          <w:tcPr>
            <w:tcW w:type="dxa" w:w="1584"/>
          </w:tcPr>
          <w:p>
            <w:pPr>
              <w:pStyle w:val="Compact"/>
              <w:spacing w:before="0" w:after="0"/>
              <w:jc w:val="right"/>
            </w:pPr>
            <w:r>
              <w:rPr>
                <w:sz w:val="17"/>
              </w:rPr>
              <w:t xml:space="preserve">2.47</w:t>
            </w:r>
          </w:p>
        </w:tc>
        <w:tc>
          <w:tcPr>
            <w:tcW w:type="dxa" w:w="1512"/>
          </w:tcPr>
          <w:p>
            <w:pPr>
              <w:pStyle w:val="Compact"/>
              <w:spacing w:before="0" w:after="0"/>
              <w:jc w:val="right"/>
            </w:pPr>
            <w:r>
              <w:rPr>
                <w:sz w:val="17"/>
              </w:rPr>
              <w:t xml:space="preserve">2.13%</w:t>
            </w:r>
          </w:p>
        </w:tc>
        <w:tc>
          <w:tcPr>
            <w:tcW w:type="dxa" w:w="1512"/>
          </w:tcPr>
          <w:p>
            <w:pPr>
              <w:pStyle w:val="Compact"/>
              <w:spacing w:before="0" w:after="0"/>
              <w:jc w:val="right"/>
            </w:pPr>
            <w:r>
              <w:rPr>
                <w:sz w:val="17"/>
              </w:rPr>
              <w:t xml:space="preserve">10.18%</w:t>
            </w:r>
          </w:p>
        </w:tc>
        <w:tc>
          <w:tcPr>
            <w:tcW w:type="dxa" w:w="1368"/>
          </w:tcPr>
          <w:p>
            <w:pPr>
              <w:pStyle w:val="Compact"/>
              <w:spacing w:before="0" w:after="0"/>
              <w:jc w:val="right"/>
            </w:pPr>
            <w:r>
              <w:rPr>
                <w:sz w:val="17"/>
              </w:rPr>
              <w:t xml:space="preserve">42.78%</w:t>
            </w:r>
          </w:p>
        </w:tc>
      </w:tr>
      <w:tr>
        <w:tc>
          <w:tcPr>
            <w:tcW w:type="dxa" w:w="1944"/>
          </w:tcPr>
          <w:p>
            <w:pPr>
              <w:pStyle w:val="Compact"/>
              <w:spacing w:before="0" w:after="0"/>
              <w:jc w:val="left"/>
            </w:pPr>
            <w:r>
              <w:rPr>
                <w:sz w:val="17"/>
              </w:rPr>
              <w:t xml:space="preserve">Hoek van Holland</w:t>
            </w:r>
          </w:p>
        </w:tc>
        <w:tc>
          <w:tcPr>
            <w:tcW w:type="dxa" w:w="1440"/>
          </w:tcPr>
          <w:p>
            <w:pPr>
              <w:pStyle w:val="Compact"/>
              <w:spacing w:before="0" w:after="0"/>
              <w:jc w:val="left"/>
            </w:pPr>
            <w:r>
              <w:rPr>
                <w:sz w:val="17"/>
              </w:rPr>
              <w:t xml:space="preserve">DeltaDTM mosaic, two tiles</w:t>
            </w:r>
          </w:p>
        </w:tc>
        <w:tc>
          <w:tcPr>
            <w:tcW w:type="dxa" w:w="1584"/>
          </w:tcPr>
          <w:p>
            <w:pPr>
              <w:pStyle w:val="Compact"/>
              <w:spacing w:before="0" w:after="0"/>
              <w:jc w:val="right"/>
            </w:pPr>
            <w:r>
              <w:rPr>
                <w:sz w:val="17"/>
              </w:rPr>
              <w:t xml:space="preserve">3.85</w:t>
            </w:r>
          </w:p>
        </w:tc>
        <w:tc>
          <w:tcPr>
            <w:tcW w:type="dxa" w:w="1512"/>
          </w:tcPr>
          <w:p>
            <w:pPr>
              <w:pStyle w:val="Compact"/>
              <w:spacing w:before="0" w:after="0"/>
              <w:jc w:val="right"/>
            </w:pPr>
            <w:r>
              <w:rPr>
                <w:sz w:val="17"/>
              </w:rPr>
              <w:t xml:space="preserve">5.15%</w:t>
            </w:r>
          </w:p>
        </w:tc>
        <w:tc>
          <w:tcPr>
            <w:tcW w:type="dxa" w:w="1512"/>
          </w:tcPr>
          <w:p>
            <w:pPr>
              <w:pStyle w:val="Compact"/>
              <w:spacing w:before="0" w:after="0"/>
              <w:jc w:val="right"/>
            </w:pPr>
            <w:r>
              <w:rPr>
                <w:sz w:val="17"/>
              </w:rPr>
              <w:t xml:space="preserve">15.67%</w:t>
            </w:r>
          </w:p>
        </w:tc>
        <w:tc>
          <w:tcPr>
            <w:tcW w:type="dxa" w:w="1368"/>
          </w:tcPr>
          <w:p>
            <w:pPr>
              <w:pStyle w:val="Compact"/>
              <w:spacing w:before="0" w:after="0"/>
              <w:jc w:val="right"/>
            </w:pPr>
            <w:r>
              <w:rPr>
                <w:sz w:val="17"/>
              </w:rPr>
              <w:t xml:space="preserve">34.72%</w:t>
            </w:r>
          </w:p>
        </w:tc>
      </w:tr>
      <w:tr>
        <w:tc>
          <w:tcPr>
            <w:tcW w:type="dxa" w:w="1944"/>
          </w:tcPr>
          <w:p>
            <w:pPr>
              <w:pStyle w:val="Compact"/>
              <w:spacing w:before="0" w:after="0"/>
              <w:jc w:val="left"/>
            </w:pPr>
            <w:r>
              <w:rPr>
                <w:sz w:val="17"/>
              </w:rPr>
              <w:t xml:space="preserve">Newlyn</w:t>
            </w:r>
          </w:p>
        </w:tc>
        <w:tc>
          <w:tcPr>
            <w:tcW w:type="dxa" w:w="1440"/>
          </w:tcPr>
          <w:p>
            <w:pPr>
              <w:pStyle w:val="Compact"/>
              <w:spacing w:before="0" w:after="0"/>
              <w:jc w:val="left"/>
            </w:pPr>
            <w:r>
              <w:rPr>
                <w:sz w:val="17"/>
              </w:rPr>
              <w:t xml:space="preserve">DeltaDTM N50W006</w:t>
            </w:r>
          </w:p>
        </w:tc>
        <w:tc>
          <w:tcPr>
            <w:tcW w:type="dxa" w:w="1584"/>
          </w:tcPr>
          <w:p>
            <w:pPr>
              <w:pStyle w:val="Compact"/>
              <w:spacing w:before="0" w:after="0"/>
              <w:jc w:val="right"/>
            </w:pPr>
            <w:r>
              <w:rPr>
                <w:sz w:val="17"/>
              </w:rPr>
              <w:t xml:space="preserve">30.00</w:t>
            </w:r>
          </w:p>
        </w:tc>
        <w:tc>
          <w:tcPr>
            <w:tcW w:type="dxa" w:w="1512"/>
          </w:tcPr>
          <w:p>
            <w:pPr>
              <w:pStyle w:val="Compact"/>
              <w:spacing w:before="0" w:after="0"/>
              <w:jc w:val="right"/>
            </w:pPr>
            <w:r>
              <w:rPr>
                <w:sz w:val="17"/>
              </w:rPr>
              <w:t xml:space="preserve">2.52%</w:t>
            </w:r>
          </w:p>
        </w:tc>
        <w:tc>
          <w:tcPr>
            <w:tcW w:type="dxa" w:w="1512"/>
          </w:tcPr>
          <w:p>
            <w:pPr>
              <w:pStyle w:val="Compact"/>
              <w:spacing w:before="0" w:after="0"/>
              <w:jc w:val="right"/>
            </w:pPr>
            <w:r>
              <w:rPr>
                <w:sz w:val="17"/>
              </w:rPr>
              <w:t xml:space="preserve">4.19%</w:t>
            </w:r>
          </w:p>
        </w:tc>
        <w:tc>
          <w:tcPr>
            <w:tcW w:type="dxa" w:w="1368"/>
          </w:tcPr>
          <w:p>
            <w:pPr>
              <w:pStyle w:val="Compact"/>
              <w:spacing w:before="0" w:after="0"/>
              <w:jc w:val="right"/>
            </w:pPr>
            <w:r>
              <w:rPr>
                <w:sz w:val="17"/>
              </w:rPr>
              <w:t xml:space="preserve">8.26%</w:t>
            </w:r>
          </w:p>
        </w:tc>
      </w:tr>
      <w:tr>
        <w:tc>
          <w:tcPr>
            <w:tcW w:type="dxa" w:w="1944"/>
          </w:tcPr>
          <w:p>
            <w:pPr>
              <w:pStyle w:val="Compact"/>
              <w:spacing w:before="0" w:after="0"/>
              <w:jc w:val="left"/>
            </w:pPr>
            <w:r>
              <w:rPr>
                <w:sz w:val="17"/>
              </w:rPr>
              <w:t xml:space="preserve">Brest</w:t>
            </w:r>
          </w:p>
        </w:tc>
        <w:tc>
          <w:tcPr>
            <w:tcW w:type="dxa" w:w="1440"/>
          </w:tcPr>
          <w:p>
            <w:pPr>
              <w:pStyle w:val="Compact"/>
              <w:spacing w:before="0" w:after="0"/>
              <w:jc w:val="left"/>
            </w:pPr>
            <w:r>
              <w:rPr>
                <w:sz w:val="17"/>
              </w:rPr>
              <w:t xml:space="preserve">DeltaDTM N48W005</w:t>
            </w:r>
          </w:p>
        </w:tc>
        <w:tc>
          <w:tcPr>
            <w:tcW w:type="dxa" w:w="1584"/>
          </w:tcPr>
          <w:p>
            <w:pPr>
              <w:pStyle w:val="Compact"/>
              <w:spacing w:before="0" w:after="0"/>
              <w:jc w:val="right"/>
            </w:pPr>
            <w:r>
              <w:rPr>
                <w:sz w:val="17"/>
              </w:rPr>
              <w:t xml:space="preserve">30.00</w:t>
            </w:r>
          </w:p>
        </w:tc>
        <w:tc>
          <w:tcPr>
            <w:tcW w:type="dxa" w:w="1512"/>
          </w:tcPr>
          <w:p>
            <w:pPr>
              <w:pStyle w:val="Compact"/>
              <w:spacing w:before="0" w:after="0"/>
              <w:jc w:val="right"/>
            </w:pPr>
            <w:r>
              <w:rPr>
                <w:sz w:val="17"/>
              </w:rPr>
              <w:t xml:space="preserve">3.67%</w:t>
            </w:r>
          </w:p>
        </w:tc>
        <w:tc>
          <w:tcPr>
            <w:tcW w:type="dxa" w:w="1512"/>
          </w:tcPr>
          <w:p>
            <w:pPr>
              <w:pStyle w:val="Compact"/>
              <w:spacing w:before="0" w:after="0"/>
              <w:jc w:val="right"/>
            </w:pPr>
            <w:r>
              <w:rPr>
                <w:sz w:val="17"/>
              </w:rPr>
              <w:t xml:space="preserve">5.22%</w:t>
            </w:r>
          </w:p>
        </w:tc>
        <w:tc>
          <w:tcPr>
            <w:tcW w:type="dxa" w:w="1368"/>
          </w:tcPr>
          <w:p>
            <w:pPr>
              <w:pStyle w:val="Compact"/>
              <w:spacing w:before="0" w:after="0"/>
              <w:jc w:val="right"/>
            </w:pPr>
            <w:r>
              <w:rPr>
                <w:sz w:val="17"/>
              </w:rPr>
              <w:t xml:space="preserve">7.63%</w:t>
            </w:r>
          </w:p>
        </w:tc>
      </w:tr>
      <w:tr>
        <w:tc>
          <w:tcPr>
            <w:tcW w:type="dxa" w:w="1944"/>
          </w:tcPr>
          <w:p>
            <w:pPr>
              <w:pStyle w:val="Compact"/>
              <w:spacing w:before="0" w:after="0"/>
              <w:jc w:val="left"/>
            </w:pPr>
            <w:r>
              <w:rPr>
                <w:sz w:val="17"/>
              </w:rPr>
              <w:t xml:space="preserve">Aberdeen</w:t>
            </w:r>
          </w:p>
        </w:tc>
        <w:tc>
          <w:tcPr>
            <w:tcW w:type="dxa" w:w="1440"/>
          </w:tcPr>
          <w:p>
            <w:pPr>
              <w:pStyle w:val="Compact"/>
              <w:spacing w:before="0" w:after="0"/>
              <w:jc w:val="left"/>
            </w:pPr>
            <w:r>
              <w:rPr>
                <w:sz w:val="17"/>
              </w:rPr>
              <w:t xml:space="preserve">DeltaDTM N57W003</w:t>
            </w:r>
          </w:p>
        </w:tc>
        <w:tc>
          <w:tcPr>
            <w:tcW w:type="dxa" w:w="1584"/>
          </w:tcPr>
          <w:p>
            <w:pPr>
              <w:pStyle w:val="Compact"/>
              <w:spacing w:before="0" w:after="0"/>
              <w:jc w:val="right"/>
            </w:pPr>
            <w:r>
              <w:rPr>
                <w:sz w:val="17"/>
              </w:rPr>
              <w:t xml:space="preserve">22.46</w:t>
            </w:r>
          </w:p>
        </w:tc>
        <w:tc>
          <w:tcPr>
            <w:tcW w:type="dxa" w:w="1512"/>
          </w:tcPr>
          <w:p>
            <w:pPr>
              <w:pStyle w:val="Compact"/>
              <w:spacing w:before="0" w:after="0"/>
              <w:jc w:val="right"/>
            </w:pPr>
            <w:r>
              <w:rPr>
                <w:sz w:val="17"/>
              </w:rPr>
              <w:t xml:space="preserve">2.39%</w:t>
            </w:r>
          </w:p>
        </w:tc>
        <w:tc>
          <w:tcPr>
            <w:tcW w:type="dxa" w:w="1512"/>
          </w:tcPr>
          <w:p>
            <w:pPr>
              <w:pStyle w:val="Compact"/>
              <w:spacing w:before="0" w:after="0"/>
              <w:jc w:val="right"/>
            </w:pPr>
            <w:r>
              <w:rPr>
                <w:sz w:val="17"/>
              </w:rPr>
              <w:t xml:space="preserve">3.77%</w:t>
            </w:r>
          </w:p>
        </w:tc>
        <w:tc>
          <w:tcPr>
            <w:tcW w:type="dxa" w:w="1368"/>
          </w:tcPr>
          <w:p>
            <w:pPr>
              <w:pStyle w:val="Compact"/>
              <w:spacing w:before="0" w:after="0"/>
              <w:jc w:val="right"/>
            </w:pPr>
            <w:r>
              <w:rPr>
                <w:sz w:val="17"/>
              </w:rPr>
              <w:t xml:space="preserve">7.24%</w:t>
            </w:r>
          </w:p>
        </w:tc>
      </w:tr>
    </w:tbl>
    <w:bookmarkEnd w:id="24"/>
    <w:bookmarkStart w:id="25" w:name="X9cb5adf9e9f94d11afa0be5bae3f7d87a188862"/>
    <w:p>
      <w:pPr>
        <w:pStyle w:val="Heading3"/>
      </w:pPr>
      <w:r>
        <w:t xml:space="preserve">A process-terrain typology separates aligned and buffered sites</w:t>
      </w:r>
    </w:p>
    <w:p>
      <w:pPr>
        <w:pStyle w:val="FirstParagraph"/>
      </w:pPr>
      <w:r>
        <w:t xml:space="preserve">The combined analysis supports a simple process-terrain typology for coastal flood screening. The first class is water-level-terrain aligned hotspots. These sites combine high or moderate storm-tide indicators with strong terrain sensitivity. Sheerness and Hoek van Holland fall in this class. Sheerness has the highest COAST-RP 10-year storm-tide level and the highest +2.0 m lowland flooded fraction. Hoek van Holland has a lower COAST-RP 10-year level than Sheerness and Brest, but its lowland sensitivity is nearly as high as Sheerness, making it a terrain-amplified site.</w:t>
      </w:r>
    </w:p>
    <w:p>
      <w:pPr>
        <w:pStyle w:val="BodyText"/>
      </w:pPr>
      <w:r>
        <w:t xml:space="preserve">The second class is water-level-dominated but terrain-buffered sites. Brest and Newlyn have large storm-tide-minus-surge differences and high or moderate COAST-RP storm-tide levels, but their DeltaDTM terrain windows show low +2.0 m lowland flooded fractions. In these settings, water-level indicators alone may overstate terrain susceptibility if interpreted without local hypsometry. The third class is process-diagnostic comparison sites, represented here by New York-The Battery, Charleston, and Hong Kong. These sites lack the current DeltaDTM terrain analysis in this implementation, but their smaller water-level indicator divergence helps show that the European mismatch is not a uniform processing problem.</w:t>
      </w:r>
    </w:p>
    <w:p>
      <w:pPr>
        <w:pStyle w:val="BodyText"/>
      </w:pPr>
      <w:r>
        <w:t xml:space="preserve">This typology reframes the main finding. The most important result is not that GSSR and COAST-RP differ. They should differ where residual surge and storm tide are physically distinct. The more important result is that the largest water-level divergence and the strongest terrain sensitivity do not map one-to-one across the same stations. Coastal flood susceptibility emerges from the coupling between flood-generating water-level processes and lowland terrain, and that coupling varies across coastal settings.</w:t>
      </w:r>
    </w:p>
    <w:p>
      <w:r>
        <w:pict>
          <v:rect style="width:0;height:1.5pt" o:hralign="center" o:hrstd="t" o:hr="t"/>
        </w:pict>
      </w:r>
    </w:p>
    <w:bookmarkEnd w:id="25"/>
    <w:bookmarkEnd w:id="26"/>
    <w:bookmarkStart w:id="32" w:name="discussion"/>
    <w:p>
      <w:pPr>
        <w:pStyle w:val="Heading2"/>
      </w:pPr>
      <w:r>
        <w:t xml:space="preserve">Discussion</w:t>
      </w:r>
    </w:p>
    <w:bookmarkStart w:id="27" w:name="X7815503010ead22314adeaf68152066c51b203e"/>
    <w:p>
      <w:pPr>
        <w:pStyle w:val="Heading3"/>
      </w:pPr>
      <w:r>
        <w:t xml:space="preserve">Extreme water-level products require process-aware interpretation</w:t>
      </w:r>
    </w:p>
    <w:p>
      <w:pPr>
        <w:pStyle w:val="FirstParagraph"/>
      </w:pPr>
      <w:r>
        <w:t xml:space="preserve">The results show why a single extreme-water-level product is an incomplete indicator of coastal flood susceptibility. GSSR and COAST-RP are both scientifically useful, but they do not represent the same physical variable. GSSR provides station-scale reconstructed surge residuals, while COAST-RP provides storm-tide return levels that include tide. The large European differences between the two are therefore not evidence that one dataset is wrong. They are evidence that residual-surge and storm-tide indicators answer different questions.</w:t>
      </w:r>
    </w:p>
    <w:p>
      <w:pPr>
        <w:pStyle w:val="BodyText"/>
      </w:pPr>
      <w:r>
        <w:t xml:space="preserve">This point is consistent with previous work on storm tides, tropical and extratropical cyclone contributions, and skew-surge interpretation. Dullaart et al. showed that including a missing storm process can change flood-exposure estimates. Haigh et al. and related storm-tide studies show that total extreme sea levels can be produced by the timing of surge relative to high tide, not by the largest surge residual alone. The present study extends that logic to multi-source screening: product definition itself is part of the physical interpretation. A storm-tide return level should not be treated as if it were a reconstructed daily surge residual, and a reconstructed surge residual should not be treated as if it fully represented flood-generating total water level.</w:t>
      </w:r>
    </w:p>
    <w:bookmarkEnd w:id="27"/>
    <w:bookmarkStart w:id="28" w:name="X6295d8b8671eea3a529bcc6dc0f9c783fc18c6e"/>
    <w:p>
      <w:pPr>
        <w:pStyle w:val="Heading3"/>
      </w:pPr>
      <w:r>
        <w:t xml:space="preserve">Terrain converts water-level hazard into susceptibility unevenly</w:t>
      </w:r>
    </w:p>
    <w:p>
      <w:pPr>
        <w:pStyle w:val="FirstParagraph"/>
      </w:pPr>
      <w:r>
        <w:t xml:space="preserve">The DeltaDTM analysis shows that terrain sensitivity varies sharply even among European coastal sites. Sheerness and Hoek van Holland show strong +2.0 m lowland sensitivity, while Newlyn, Brest, and Aberdeen remain below 10% within the coastal-lowland mask. This contrast implies that the translation from water-level hazard to flood susceptibility is mediated by local hypsometry. Large storm-tide return levels are necessary for many flood-hazard applications, but they do not by themselves identify where lowland terrain is extensive, contiguous, or protected.</w:t>
      </w:r>
    </w:p>
    <w:p>
      <w:pPr>
        <w:pStyle w:val="BodyText"/>
      </w:pPr>
      <w:r>
        <w:t xml:space="preserve">The terrain results should be interpreted conservatively. Static inundation screens can overestimate flood extent where low cells are hydraulically disconnected or protected by flood defenses. They can underestimate hazard where wave setup, river discharge, drainage failure, or estuarine propagation increases water levels inland. This limitation is especially important for Hoek van Holland and other protected Dutch lowland settings. In the present manuscript, static inundation is used only as a sensitivity screen that supports cross-site comparison. The results identify where more detailed modelling is warranted, not where operational flooding will occur.</w:t>
      </w:r>
    </w:p>
    <w:bookmarkEnd w:id="28"/>
    <w:bookmarkStart w:id="29" w:name="X3d6e84c51c2a87da7ba2e3c24c61d1ae9fcbf46"/>
    <w:p>
      <w:pPr>
        <w:pStyle w:val="Heading3"/>
      </w:pPr>
      <w:r>
        <w:t xml:space="preserve">Meteorological coherence is useful but regime dependent</w:t>
      </w:r>
    </w:p>
    <w:p>
      <w:pPr>
        <w:pStyle w:val="FirstParagraph"/>
      </w:pPr>
      <w:r>
        <w:t xml:space="preserve">The meteorological-driver analysis strengthens the interpretation of the European surge reconstructions. Strong negative surge-pressure correlations at Newlyn, Brest, Aberdeen, and Hoek van Holland indicate that the reconstructed surge time series are coherent with extratropical storm forcing. Wind correlations are also positive at all stations, although their magnitude depends on local orientation and broader atmospheric circulation. These correlations provide a lightweight diagnostic that can be computed without operating a full reanalysis archive.</w:t>
      </w:r>
    </w:p>
    <w:p>
      <w:pPr>
        <w:pStyle w:val="BodyText"/>
      </w:pPr>
      <w:r>
        <w:t xml:space="preserve">However, the same diagnostic is less informative for Charleston and Hong Kong. A daily station-centred pressure or wind series cannot capture the full geometry of tropical cyclone surge, including storm-track position, wind direction, forward speed, pressure-gradient structure, coastal bathymetry, and timing relative to tide. The appropriate conclusion is not that the meteorological screen fails, but that its interpretation must be regime dependent. For extratropical European coasts, it helps confirm physical coherence. For cyclone-influenced or complex settings, it should be extended with event-based predictors.</w:t>
      </w:r>
    </w:p>
    <w:bookmarkEnd w:id="29"/>
    <w:bookmarkStart w:id="30" w:name="X8fe31df7405bc0ee8d23ea44ccb26a9c11a0b13"/>
    <w:p>
      <w:pPr>
        <w:pStyle w:val="Heading3"/>
      </w:pPr>
      <w:r>
        <w:t xml:space="preserve">A defensible screening paper can be built from existing open data</w:t>
      </w:r>
    </w:p>
    <w:p>
      <w:pPr>
        <w:pStyle w:val="FirstParagraph"/>
      </w:pPr>
      <w:r>
        <w:t xml:space="preserve">The scientific contribution of this study is not the creation of a new global hydrodynamic model or a new global dataset. It is a process-aware interpretation of existing open data under a constrained but transparent screening design. The analysis shows that a small, reproducible multi-site study can produce a defensible scientific argument when its claims are limited to what the data can support. The argument is that extreme water-level magnitude alone does not identify coastal flood susceptibility because water-level process and terrain sensitivity can decouple.</w:t>
      </w:r>
    </w:p>
    <w:p>
      <w:pPr>
        <w:pStyle w:val="BodyText"/>
      </w:pPr>
      <w:r>
        <w:t xml:space="preserve">This framing avoids two common overclaims. First, the study does not validate COAST-RP with GSSR or GSSR with COAST-RP. The products are not equivalent. Second, it does not convert DeltaDTM static inundation into flood-risk prediction. Flood risk would require exposure, vulnerability, defenses, dynamic propagation, and local datum harmonization. By keeping these boundaries explicit, the manuscript can retain a strong scientific thesis without pretending that the available data provide a complete local flood-risk assessment.</w:t>
      </w:r>
    </w:p>
    <w:bookmarkEnd w:id="30"/>
    <w:bookmarkStart w:id="31" w:name="limitations-and-future-work"/>
    <w:p>
      <w:pPr>
        <w:pStyle w:val="Heading3"/>
      </w:pPr>
      <w:r>
        <w:t xml:space="preserve">Limitations and future work</w:t>
      </w:r>
    </w:p>
    <w:p>
      <w:pPr>
        <w:pStyle w:val="FirstParagraph"/>
      </w:pPr>
      <w:r>
        <w:t xml:space="preserve">The current study has five main limitations. First, the site set is small. Eight stations are sufficient to demonstrate contrasting process-terrain behaviour, but they are not sufficient for regional generalization. The typology should be tested on a larger station set stratified by tidal range, cyclone exposure, geomorphic setting, and terrain class. Second, GSSR return levels are empirical and constrained by the available record length. Formal extreme-value analysis with uncertainty intervals would improve high-return-period interpretation. Third, vertical datums are not fully harmonized. DeltaDTM elevations and water-level products may use different reference surfaces; the present terrain analysis therefore uses relative perturbations rather than absolute flood levels. Fourth, static inundation omits hydraulic connectivity, flood defenses, roughness, wave setup, and river flow. Fifth, compound flooding is only partially represented because precipitation is used as a meteorological indicator, not as a hydrological boundary condition.</w:t>
      </w:r>
    </w:p>
    <w:p>
      <w:pPr>
        <w:pStyle w:val="BodyText"/>
      </w:pPr>
      <w:r>
        <w:t xml:space="preserve">These limitations also define a clear path for extension. A stronger version of the study would add additional DeltaDTM regions for New York, Charleston, and Hong Kong; include tide-range and datum metadata; compute connectivity-aware static inundation; add uncertainty intervals for GSSR return levels; and incorporate storm-track or wind-direction variables for cyclone-influenced sites. The central conclusion would then be tested at a broader scale: coastal flood susceptibility is governed by the coupling between water-level process and lowland terrain.</w:t>
      </w:r>
    </w:p>
    <w:p>
      <w:r>
        <w:pict>
          <v:rect style="width:0;height:1.5pt" o:hralign="center" o:hrstd="t" o:hr="t"/>
        </w:pict>
      </w:r>
    </w:p>
    <w:bookmarkEnd w:id="31"/>
    <w:bookmarkEnd w:id="32"/>
    <w:bookmarkStart w:id="41" w:name="methods"/>
    <w:p>
      <w:pPr>
        <w:pStyle w:val="Heading2"/>
      </w:pPr>
      <w:r>
        <w:t xml:space="preserve">Methods</w:t>
      </w:r>
    </w:p>
    <w:bookmarkStart w:id="33" w:name="study-design"/>
    <w:p>
      <w:pPr>
        <w:pStyle w:val="Heading3"/>
      </w:pPr>
      <w:r>
        <w:t xml:space="preserve">Study design</w:t>
      </w:r>
    </w:p>
    <w:p>
      <w:pPr>
        <w:pStyle w:val="FirstParagraph"/>
      </w:pPr>
      <w:r>
        <w:t xml:space="preserve">The analysis was designed as a multi-site screening study rather than a local flood-risk assessment. Four open data products were combined for eight tide-gauge sites. GSSR was used to represent station-scale daily reconstructed surge residuals. COAST-RP was used to represent nearby coastal storm-tide return levels. Open-Meteo ERA5-derived historical variables were used to provide meteorological-driver context. DeltaDTM was used to calculate static terrain sensitivity for five European sites where terrain tiles were available.</w:t>
      </w:r>
    </w:p>
    <w:p>
      <w:pPr>
        <w:pStyle w:val="BodyText"/>
      </w:pPr>
      <w:r>
        <w:t xml:space="preserve">The study uses the word susceptibility to describe the tendency of a site to show potentially flood-relevant combinations of water-level indicators, meteorological coherence, and lowland terrain. It does not estimate risk in the full sense of hazard, exposure, vulnerability, and adaptation capacity. It also does not claim to reproduce observed historical flood extents.</w:t>
      </w:r>
    </w:p>
    <w:bookmarkEnd w:id="33"/>
    <w:bookmarkStart w:id="34" w:name="study-sites"/>
    <w:p>
      <w:pPr>
        <w:pStyle w:val="Heading3"/>
      </w:pPr>
      <w:r>
        <w:t xml:space="preserve">Study sites</w:t>
      </w:r>
    </w:p>
    <w:p>
      <w:pPr>
        <w:pStyle w:val="FirstParagraph"/>
      </w:pPr>
      <w:r>
        <w:t xml:space="preserve">The eight selected sites are Sheerness, Newlyn, Aberdeen, Hoek van Holland, Brest, New York-The Battery, Hong Kong, and Charleston. They were selected to span contrasting coastal settings while keeping the analysis computationally tractable. The European sites were prioritized for DeltaDTM terrain screening because the relevant Europe DeltaDTM package was available locally. New York-The Battery, Charleston, and Hong Kong were retained for water-level and meteorological comparison but do not yet have DeltaDTM terrain windows in the present implementation.</w:t>
      </w:r>
    </w:p>
    <w:bookmarkEnd w:id="34"/>
    <w:bookmarkStart w:id="35" w:name="X431004e727a919d6de3379f54af4c2501ada12b"/>
    <w:p>
      <w:pPr>
        <w:pStyle w:val="Heading3"/>
      </w:pPr>
      <w:r>
        <w:t xml:space="preserve">GSSR surge reconstructions and empirical return levels</w:t>
      </w:r>
    </w:p>
    <w:p>
      <w:pPr>
        <w:pStyle w:val="FirstParagraph"/>
      </w:pPr>
      <w:r>
        <w:t xml:space="preserve">Daily reconstructed surge series were extracted from the ERA5 branch of the Global Storm Surge Reconstruction database. For the present implementation, the daily time series span approximately 1979-2019, with about 14,973 daily rows per station before overlap with meteorological variables. Each station series was standardized to a common column name for surge in metres.</w:t>
      </w:r>
    </w:p>
    <w:p>
      <w:pPr>
        <w:pStyle w:val="BodyText"/>
      </w:pPr>
      <w:r>
        <w:t xml:space="preserve">Empirical return levels were calculated from annual maxima. Let (s_{i}) denote an annual maximum surge value ranked from largest to smallest for (n) years. A plotting-position approach was used to associate ranked annual maxima with return periods. The analysis reports 10-, 50-, and 100-year empirical levels where available in the processed outputs, with the 10-year value emphasized in the main text because it is less affected by the limited record length than longer return periods. No parametric extrapolation was applied in the current analysis.</w:t>
      </w:r>
    </w:p>
    <w:bookmarkEnd w:id="35"/>
    <w:bookmarkStart w:id="36" w:name="Xcd9216cbb8d82aba0d7721273bfdfc1c366a62f"/>
    <w:p>
      <w:pPr>
        <w:pStyle w:val="Heading3"/>
      </w:pPr>
      <w:r>
        <w:t xml:space="preserve">COAST-RP matching and water-level divergence</w:t>
      </w:r>
    </w:p>
    <w:p>
      <w:pPr>
        <w:pStyle w:val="FirstParagraph"/>
      </w:pPr>
      <w:r>
        <w:t xml:space="preserve">Each tide-gauge station was matched to the nearest COAST-RP coastal point using Haversine distance. The current matches are all below 6 km. COAST-RP return levels were extracted for the 10-, 50-, and 100-year periods, with the 10-year values used for the main process-terrain typology.</w:t>
      </w:r>
    </w:p>
    <w:p>
      <w:pPr>
        <w:pStyle w:val="BodyText"/>
      </w:pPr>
      <w:r>
        <w:t xml:space="preserve">The primary divergence metric is defined as:</w:t>
      </w:r>
    </w:p>
    <w:p>
      <w:pPr>
        <w:pStyle w:val="BodyText"/>
      </w:pPr>
      <w:r>
        <w:t xml:space="preserve">[</w:t>
      </w:r>
      <w:r>
        <w:t xml:space="preserve"> </w:t>
      </w:r>
      <w:r>
        <w:t xml:space="preserve">D_{10}=H^{</w:t>
      </w:r>
      <w:r>
        <w:t xml:space="preserve">}</w:t>
      </w:r>
      <w:r>
        <w:rPr>
          <w:i/>
          <w:iCs/>
        </w:rPr>
        <w:t xml:space="preserve">{10}-H^{</w:t>
      </w:r>
      <w:r>
        <w:rPr>
          <w:i/>
          <w:iCs/>
        </w:rPr>
        <w:t xml:space="preserve">}</w:t>
      </w:r>
      <w:r>
        <w:t xml:space="preserve">{10},</w:t>
      </w:r>
      <w:r>
        <w:t xml:space="preserve"> </w:t>
      </w:r>
      <w:r>
        <w:t xml:space="preserve">]</w:t>
      </w:r>
    </w:p>
    <w:p>
      <w:pPr>
        <w:pStyle w:val="BodyText"/>
      </w:pPr>
      <w:r>
        <w:t xml:space="preserve">where (H^{</w:t>
      </w:r>
      <w:r>
        <w:t xml:space="preserve">}</w:t>
      </w:r>
      <w:r>
        <w:rPr>
          <w:i/>
          <w:iCs/>
        </w:rPr>
        <w:t xml:space="preserve">{10}) is the COAST-RP 10-year storm-tide return level and (H^{</w:t>
      </w:r>
      <w:r>
        <w:rPr>
          <w:i/>
          <w:iCs/>
        </w:rPr>
        <w:t xml:space="preserve">}</w:t>
      </w:r>
      <w:r>
        <w:t xml:space="preserve">{10}) is the GSSR empirical 10-year surge level. Positive (D_{10}) values indicate that the storm-tide indicator is larger than the surge-residual indicator. This metric is not treated as model error because the two variables are not physically equivalent.</w:t>
      </w:r>
    </w:p>
    <w:bookmarkEnd w:id="36"/>
    <w:bookmarkStart w:id="37" w:name="meteorological-driver-correlations"/>
    <w:p>
      <w:pPr>
        <w:pStyle w:val="Heading3"/>
      </w:pPr>
      <w:r>
        <w:t xml:space="preserve">Meteorological-driver correlations</w:t>
      </w:r>
    </w:p>
    <w:p>
      <w:pPr>
        <w:pStyle w:val="FirstParagraph"/>
      </w:pPr>
      <w:r>
        <w:t xml:space="preserve">Historical meteorological variables were obtained from Open-Meteo ERA5-derived daily data for 1980-2010. The selected variables were daily minimum mean sea-level pressure, daily maximum wind speed, and daily precipitation total. These variables were merged with GSSR daily surge by date, yielding 11,323 overlapping daily records per station.</w:t>
      </w:r>
    </w:p>
    <w:p>
      <w:pPr>
        <w:pStyle w:val="BodyText"/>
      </w:pPr>
      <w:r>
        <w:t xml:space="preserve">Spearman rank correlations were computed between daily surge and each meteorological variable. Spearman correlation was selected because surge-driver relationships can be non-linear and strongly affected by extremes. The pressure correlation is interpreted as a process-coherence diagnostic, especially for extratropical storm regimes. Wind and precipitation correlations are interpreted cautiously because local wind direction, storm geometry, precipitation-runoff response, and temporal offsets are not represented by this simple station-centred daily analysis.</w:t>
      </w:r>
    </w:p>
    <w:bookmarkEnd w:id="37"/>
    <w:bookmarkStart w:id="38" w:name="deltadtm-static-terrain-sensitivity"/>
    <w:p>
      <w:pPr>
        <w:pStyle w:val="Heading3"/>
      </w:pPr>
      <w:r>
        <w:t xml:space="preserve">DeltaDTM static terrain sensitivity</w:t>
      </w:r>
    </w:p>
    <w:p>
      <w:pPr>
        <w:pStyle w:val="FirstParagraph"/>
      </w:pPr>
      <w:r>
        <w:t xml:space="preserve">DeltaDTM one-degree GeoTIFF tiles were extracted for five European stations. The tiles were: N51E000 for Sheerness, N50W006 for Newlyn, N57W003 for Aberdeen, N51E004 and N52E004 for Hoek van Holland, and N48W005 for Brest. Station-centred terrain windows were read from the relevant tiles or tile mosaics. Nodata cells were masked before statistics and sensitivity metrics were calculated.</w:t>
      </w:r>
    </w:p>
    <w:p>
      <w:pPr>
        <w:pStyle w:val="BodyText"/>
      </w:pPr>
      <w:r>
        <w:t xml:space="preserve">For each station, static relative sea-level sensitivity was calculated for perturbations of +0.5 m, +1.0 m, and +2.0 m. For a perturbation (</w:t>
      </w:r>
      <w:r>
        <w:t xml:space="preserve">) and terrain elevation (z), static water depth was computed as:</w:t>
      </w:r>
    </w:p>
    <w:p>
      <w:pPr>
        <w:pStyle w:val="BodyText"/>
      </w:pPr>
      <w:r>
        <w:t xml:space="preserve">[</w:t>
      </w:r>
      <w:r>
        <w:t xml:space="preserve"> </w:t>
      </w:r>
      <w:r>
        <w:t xml:space="preserve">h=</w:t>
      </w:r>
      <w:r>
        <w:t xml:space="preserve">(0,</w:t>
      </w:r>
      <w:r>
        <w:t xml:space="preserve">-z).</w:t>
      </w:r>
      <w:r>
        <w:t xml:space="preserve"> </w:t>
      </w:r>
      <w:r>
        <w:t xml:space="preserve">]</w:t>
      </w:r>
    </w:p>
    <w:p>
      <w:pPr>
        <w:pStyle w:val="BodyText"/>
      </w:pPr>
      <w:r>
        <w:t xml:space="preserve">Cells with (h&gt;0) were counted as below the imposed water level. The main metric reported in the manuscript is the flooded fraction of coastal-lowland cells. The method does not enforce hydraulic connectivity and does not include flood defenses, wave setup, river flow, drainage, roughness, or vertical-datum transformation. It is therefore a relative terrain sensitivity metric, not a flood forecast.</w:t>
      </w:r>
    </w:p>
    <w:bookmarkEnd w:id="38"/>
    <w:bookmarkStart w:id="39" w:name="process-terrain-typology"/>
    <w:p>
      <w:pPr>
        <w:pStyle w:val="Heading3"/>
      </w:pPr>
      <w:r>
        <w:t xml:space="preserve">Process-terrain typology</w:t>
      </w:r>
    </w:p>
    <w:p>
      <w:pPr>
        <w:pStyle w:val="FirstParagraph"/>
      </w:pPr>
      <w:r>
        <w:t xml:space="preserve">The process-terrain typology was based on three diagnostic dimensions. The first was water-level indicator divergence, represented by (D_{10}). The second was terrain sensitivity, represented by the +2.0 m flooded fraction of coastal-lowland cells. The third was meteorological coherence, represented by the magnitude and sign of the surge-pressure Spearman correlation. Sites were grouped qualitatively into water-level-terrain aligned hotspots, water-level-dominated but terrain-buffered sites, and process-diagnostic comparison sites. The typology is descriptive rather than predictive and is intended to guide interpretation and prioritization.</w:t>
      </w:r>
    </w:p>
    <w:bookmarkEnd w:id="39"/>
    <w:bookmarkStart w:id="40" w:name="reproducibility-and-quality-assurance"/>
    <w:p>
      <w:pPr>
        <w:pStyle w:val="Heading3"/>
      </w:pPr>
      <w:r>
        <w:t xml:space="preserve">Reproducibility and quality assurance</w:t>
      </w:r>
    </w:p>
    <w:p>
      <w:pPr>
        <w:pStyle w:val="FirstParagraph"/>
      </w:pPr>
      <w:r>
        <w:t xml:space="preserve">The workflow was implemented with Python scripts that store raw downloads, processed tables, figures, reports, and quality-audit files in separate folders. The main pipeline runs station matching, GSSR processing, Open-Meteo merging, return-level comparison, driver-correlation analysis, DeltaDTM terrain screening, figure generation, and report generation. Quality checks include verifying that real GSSR, COAST-RP, Open-Meteo, and DeltaDTM files were read; masking DeltaDTM nodata; recording station-to-product distances; and labeling cross-product comparisons as diagnostic rather than validation.</w:t>
      </w:r>
    </w:p>
    <w:p>
      <w:r>
        <w:pict>
          <v:rect style="width:0;height:1.5pt" o:hralign="center" o:hrstd="t" o:hr="t"/>
        </w:pict>
      </w:r>
    </w:p>
    <w:bookmarkEnd w:id="40"/>
    <w:bookmarkEnd w:id="41"/>
    <w:bookmarkStart w:id="42" w:name="data-availability"/>
    <w:p>
      <w:pPr>
        <w:pStyle w:val="Heading2"/>
      </w:pPr>
      <w:r>
        <w:t xml:space="preserve">Data availability</w:t>
      </w:r>
    </w:p>
    <w:p>
      <w:pPr>
        <w:pStyle w:val="FirstParagraph"/>
      </w:pPr>
      <w:r>
        <w:t xml:space="preserve">All input data used in this study are public. GSSR is available from the data sources described by Tadesse and Wahl. COAST-RP is available through 4TU.ResearchData and contains storm-tide return levels for 1-, 2-, 5-, 10-, 25-, 50-, 100-, 250-, 500-, and 1000-year return periods. Open-Meteo historical weather data are accessible through the Open-Meteo API. DeltaDTM is available from the DeltaDTM public data release. Processed outputs generated in the current project should be deposited in a public repository before submission, including station metadata, matched COAST-RP values, GSSR empirical return-level tables, meteorological-correlation tables, DeltaDTM terrain summaries, and figure source data. Repository DOI: [to be completed].</w:t>
      </w:r>
    </w:p>
    <w:bookmarkEnd w:id="42"/>
    <w:bookmarkStart w:id="43" w:name="code-availability"/>
    <w:p>
      <w:pPr>
        <w:pStyle w:val="Heading2"/>
      </w:pPr>
      <w:r>
        <w:t xml:space="preserve">Code availability</w:t>
      </w:r>
    </w:p>
    <w:p>
      <w:pPr>
        <w:pStyle w:val="FirstParagraph"/>
      </w:pPr>
      <w:r>
        <w:t xml:space="preserve">Custom code used to process data and generate figures is stored locally under</w:t>
      </w:r>
      <w:r>
        <w:t xml:space="preserve"> </w:t>
      </w:r>
      <w:r>
        <w:rPr>
          <w:rStyle w:val="VerbatimChar"/>
        </w:rPr>
        <w:t xml:space="preserve">scripts/</w:t>
      </w:r>
      <w:r>
        <w:t xml:space="preserve">. The main entry point is</w:t>
      </w:r>
      <w:r>
        <w:t xml:space="preserve"> </w:t>
      </w:r>
      <w:r>
        <w:rPr>
          <w:rStyle w:val="VerbatimChar"/>
        </w:rPr>
        <w:t xml:space="preserve">scripts/run_combo1_pipeline.py</w:t>
      </w:r>
      <w:r>
        <w:t xml:space="preserve">, with supporting scripts for data download, verification, station matching, GSSR-COAST-RP comparison, Open-Meteo driver extraction, DeltaDTM tile extraction, static terrain sensitivity, quality audit, and report generation. Before journal submission, the code should be archived in a public repository with version information, environment files, and a DOI. Repository URL and DOI: [to be completed].</w:t>
      </w:r>
    </w:p>
    <w:bookmarkEnd w:id="43"/>
    <w:bookmarkStart w:id="44" w:name="acknowledgements"/>
    <w:p>
      <w:pPr>
        <w:pStyle w:val="Heading2"/>
      </w:pPr>
      <w:r>
        <w:t xml:space="preserve">Acknowledgements</w:t>
      </w:r>
    </w:p>
    <w:p>
      <w:pPr>
        <w:pStyle w:val="FirstParagraph"/>
      </w:pPr>
      <w:r>
        <w:t xml:space="preserve">[to be completed] The authors thank the developers and maintainers of GSSR, COAST-RP, Open-Meteo, DeltaDTM, ERA5, and the open-source geospatial Python ecosystem. Funding information, if any, should be added here.</w:t>
      </w:r>
    </w:p>
    <w:bookmarkEnd w:id="44"/>
    <w:bookmarkStart w:id="45" w:name="author-contributions"/>
    <w:p>
      <w:pPr>
        <w:pStyle w:val="Heading2"/>
      </w:pPr>
      <w:r>
        <w:t xml:space="preserve">Author contributions</w:t>
      </w:r>
    </w:p>
    <w:p>
      <w:pPr>
        <w:pStyle w:val="FirstParagraph"/>
      </w:pPr>
      <w:r>
        <w:t xml:space="preserve">[to be completed] Conceptualization: [initials]. Data curation: [initials]. Methodology: [initials]. Software: [initials]. Formal analysis: [initials]. Visualization: [initials]. Writing - original draft: [initials]. Writing - review and editing: [initials]. Supervision: [initials].</w:t>
      </w:r>
    </w:p>
    <w:bookmarkEnd w:id="45"/>
    <w:bookmarkStart w:id="46" w:name="competing-interests"/>
    <w:p>
      <w:pPr>
        <w:pStyle w:val="Heading2"/>
      </w:pPr>
      <w:r>
        <w:t xml:space="preserve">Competing interests</w:t>
      </w:r>
    </w:p>
    <w:p>
      <w:pPr>
        <w:pStyle w:val="FirstParagraph"/>
      </w:pPr>
      <w:r>
        <w:t xml:space="preserve">The authors declare no competing interests. [to be confirmed by all authors]</w:t>
      </w:r>
    </w:p>
    <w:p>
      <w:r>
        <w:pict>
          <v:rect style="width:0;height:1.5pt" o:hralign="center" o:hrstd="t" o:hr="t"/>
        </w:pict>
      </w:r>
    </w:p>
    <w:bookmarkEnd w:id="46"/>
    <w:bookmarkStart w:id="52" w:name="proposed-main-figures-and-captions"/>
    <w:p>
      <w:pPr>
        <w:pStyle w:val="Heading2"/>
      </w:pPr>
      <w:r>
        <w:t xml:space="preserve">Proposed main figures and captions</w:t>
      </w:r>
    </w:p>
    <w:bookmarkStart w:id="47" w:name="X042ff68a6a21856851b9efc3529eaa0497f9b78"/>
    <w:p>
      <w:pPr>
        <w:pStyle w:val="Heading3"/>
      </w:pPr>
      <w:r>
        <w:t xml:space="preserve">Figure 1. Process-terrain screening design across eight coastal sites</w:t>
      </w:r>
    </w:p>
    <w:p>
      <w:pPr>
        <w:pStyle w:val="FirstParagraph"/>
      </w:pPr>
      <w:r>
        <w:rPr>
          <w:b/>
          <w:bCs/>
        </w:rPr>
        <w:t xml:space="preserve">Proposed panels:</w:t>
      </w:r>
      <w:r>
        <w:t xml:space="preserve"> </w:t>
      </w:r>
      <w:r>
        <w:t xml:space="preserve">(a) map of the eight tide-gauge sites, coloured by region or terrain-data availability; (b) schematic showing the four data streams and their physical roles; (c) table-like inset distinguishing surge residual, storm tide, meteorological drivers, and terrain elevation. The figure should make clear that the manuscript is a process-terrain susceptibility study, not a generic data-fusion workflow paper.</w:t>
      </w:r>
    </w:p>
    <w:bookmarkEnd w:id="47"/>
    <w:bookmarkStart w:id="48" w:name="X8c4cac19dec29c4ec0062c5a62c2e62ba0c3c8e"/>
    <w:p>
      <w:pPr>
        <w:pStyle w:val="Heading3"/>
      </w:pPr>
      <w:r>
        <w:t xml:space="preserve">Figure 2. Surge-based and storm-tide-based indicators diverge by coastal setting</w:t>
      </w:r>
    </w:p>
    <w:p>
      <w:pPr>
        <w:pStyle w:val="FirstParagraph"/>
      </w:pPr>
      <w:r>
        <w:rPr>
          <w:b/>
          <w:bCs/>
        </w:rPr>
        <w:t xml:space="preserve">Proposed panels:</w:t>
      </w:r>
      <w:r>
        <w:t xml:space="preserve"> </w:t>
      </w:r>
      <w:r>
        <w:t xml:space="preserve">(a) paired bar chart comparing GSSR RP10 surge and COAST-RP RP10 storm tide at each station; (b) storm-tide-minus-surge difference (D_{10}) ranked by magnitude; (c) inset or regional split separating European and non-European sites. The caption should state that GSSR and COAST-RP are not equivalent flood metrics and that the divergence is interpreted as a process diagnostic.</w:t>
      </w:r>
    </w:p>
    <w:bookmarkEnd w:id="48"/>
    <w:bookmarkStart w:id="49" w:name="Xf4a4482add15459ee67f521d954e7c2da259b06"/>
    <w:p>
      <w:pPr>
        <w:pStyle w:val="Heading3"/>
      </w:pPr>
      <w:r>
        <w:t xml:space="preserve">Figure 3. Meteorological coherence of reconstructed daily surge</w:t>
      </w:r>
    </w:p>
    <w:p>
      <w:pPr>
        <w:pStyle w:val="FirstParagraph"/>
      </w:pPr>
      <w:r>
        <w:rPr>
          <w:b/>
          <w:bCs/>
        </w:rPr>
        <w:t xml:space="preserve">Proposed panels:</w:t>
      </w:r>
      <w:r>
        <w:t xml:space="preserve"> </w:t>
      </w:r>
      <w:r>
        <w:t xml:space="preserve">(a) heat map of Spearman correlations between GSSR daily surge and pressure, wind, and precipitation; (b) scatter or binned plot for Newlyn surge versus pressure as the strongest European example; (c) optional comparison with Charleston or Hong Kong to show the limits of station-centred daily drivers. The caption should distinguish atmospheric coherence from causal attribution.</w:t>
      </w:r>
    </w:p>
    <w:bookmarkEnd w:id="49"/>
    <w:bookmarkStart w:id="50" w:name="X1ee90a2cef5735da4aba45d9b4568096488308e"/>
    <w:p>
      <w:pPr>
        <w:pStyle w:val="Heading3"/>
      </w:pPr>
      <w:r>
        <w:t xml:space="preserve">Figure 4. DeltaDTM terrain sensitivity at five European sites</w:t>
      </w:r>
    </w:p>
    <w:p>
      <w:pPr>
        <w:pStyle w:val="FirstParagraph"/>
      </w:pPr>
      <w:r>
        <w:rPr>
          <w:b/>
          <w:bCs/>
        </w:rPr>
        <w:t xml:space="preserve">Proposed panels:</w:t>
      </w:r>
      <w:r>
        <w:t xml:space="preserve"> </w:t>
      </w:r>
      <w:r>
        <w:t xml:space="preserve">(a-e) five station maps showing DeltaDTM elevation and +2.0 m static sensitivity mask; (f) summary bar chart of flooded lowland fraction at +0.5, +1.0, and +2.0 m. For a journal-format version, panels (a-e) may be simplified into terrain hypsometry curves plus one or two representative maps to avoid overcrowding.</w:t>
      </w:r>
    </w:p>
    <w:bookmarkEnd w:id="50"/>
    <w:bookmarkStart w:id="51" w:name="Xf61eda72c45b870ddfb1654afa73999cf55e7a0"/>
    <w:p>
      <w:pPr>
        <w:pStyle w:val="Heading3"/>
      </w:pPr>
      <w:r>
        <w:t xml:space="preserve">Figure 5. Process-terrain typology of coastal flood susceptibility</w:t>
      </w:r>
    </w:p>
    <w:p>
      <w:pPr>
        <w:pStyle w:val="FirstParagraph"/>
      </w:pPr>
      <w:r>
        <w:rPr>
          <w:b/>
          <w:bCs/>
        </w:rPr>
        <w:t xml:space="preserve">Proposed panels:</w:t>
      </w:r>
      <w:r>
        <w:t xml:space="preserve"> </w:t>
      </w:r>
      <w:r>
        <w:t xml:space="preserve">(a) scatter plot with water-level indicator divergence (D_{10}) on the x-axis and +2.0 m lowland flooded fraction on the y-axis for sites with DeltaDTM; point colour or size shows surge-pressure correlation; (b) conceptual classification of sites into water-level-terrain aligned hotspots, water-level-dominated but terrain-buffered sites, and process-diagnostic comparison sites. This should be the synthesis figure of the paper.</w:t>
      </w:r>
    </w:p>
    <w:p>
      <w:r>
        <w:pict>
          <v:rect style="width:0;height:1.5pt" o:hralign="center" o:hrstd="t" o:hr="t"/>
        </w:pict>
      </w:r>
    </w:p>
    <w:bookmarkEnd w:id="51"/>
    <w:bookmarkEnd w:id="52"/>
    <w:bookmarkStart w:id="53" w:name="references"/>
    <w:p>
      <w:pPr>
        <w:pStyle w:val="Heading2"/>
      </w:pPr>
      <w:r>
        <w:t xml:space="preserve">References</w:t>
      </w:r>
    </w:p>
    <w:p>
      <w:pPr>
        <w:pStyle w:val="Compact"/>
        <w:numPr>
          <w:ilvl w:val="0"/>
          <w:numId w:val="1001"/>
        </w:numPr>
      </w:pPr>
      <w:r>
        <w:t xml:space="preserve">Tadesse, M. G. &amp; Wahl, T. A database of global storm surge reconstructions.</w:t>
      </w:r>
      <w:r>
        <w:t xml:space="preserve"> </w:t>
      </w:r>
      <w:r>
        <w:rPr>
          <w:i/>
          <w:iCs/>
        </w:rPr>
        <w:t xml:space="preserve">Scientific Data</w:t>
      </w:r>
      <w:r>
        <w:t xml:space="preserve"> </w:t>
      </w:r>
      <w:r>
        <w:rPr>
          <w:b/>
          <w:bCs/>
        </w:rPr>
        <w:t xml:space="preserve">8</w:t>
      </w:r>
      <w:r>
        <w:t xml:space="preserve">, 125 (2021). https://doi.org/10.1038/s41597-021-00906-x</w:t>
      </w:r>
    </w:p>
    <w:p>
      <w:pPr>
        <w:pStyle w:val="Compact"/>
        <w:numPr>
          <w:ilvl w:val="0"/>
          <w:numId w:val="1001"/>
        </w:numPr>
      </w:pPr>
      <w:r>
        <w:t xml:space="preserve">Dullaart, J. C. M. et al. Accounting for tropical cyclones more than doubles the global population exposed to low-probability coastal flooding.</w:t>
      </w:r>
      <w:r>
        <w:t xml:space="preserve"> </w:t>
      </w:r>
      <w:r>
        <w:rPr>
          <w:i/>
          <w:iCs/>
        </w:rPr>
        <w:t xml:space="preserve">Communications Earth &amp; Environment</w:t>
      </w:r>
      <w:r>
        <w:t xml:space="preserve"> </w:t>
      </w:r>
      <w:r>
        <w:rPr>
          <w:b/>
          <w:bCs/>
        </w:rPr>
        <w:t xml:space="preserve">2</w:t>
      </w:r>
      <w:r>
        <w:t xml:space="preserve">, 135 (2021). https://doi.org/10.1038/s43247-021-00204-9</w:t>
      </w:r>
    </w:p>
    <w:p>
      <w:pPr>
        <w:pStyle w:val="Compact"/>
        <w:numPr>
          <w:ilvl w:val="0"/>
          <w:numId w:val="1001"/>
        </w:numPr>
      </w:pPr>
      <w:r>
        <w:t xml:space="preserve">Dullaart, J. C. M. et al. COAST-RP: A global COastal dAtaset of Storm Tide Return Periods. 4TU.ResearchData (2022). https://doi.org/10.4121/13392314</w:t>
      </w:r>
    </w:p>
    <w:p>
      <w:pPr>
        <w:pStyle w:val="Compact"/>
        <w:numPr>
          <w:ilvl w:val="0"/>
          <w:numId w:val="1001"/>
        </w:numPr>
      </w:pPr>
      <w:r>
        <w:t xml:space="preserve">Pronk, M. et al. DeltaDTM: A global coastal digital terrain model.</w:t>
      </w:r>
      <w:r>
        <w:t xml:space="preserve"> </w:t>
      </w:r>
      <w:r>
        <w:rPr>
          <w:i/>
          <w:iCs/>
        </w:rPr>
        <w:t xml:space="preserve">Scientific Data</w:t>
      </w:r>
      <w:r>
        <w:t xml:space="preserve"> </w:t>
      </w:r>
      <w:r>
        <w:rPr>
          <w:b/>
          <w:bCs/>
        </w:rPr>
        <w:t xml:space="preserve">11</w:t>
      </w:r>
      <w:r>
        <w:t xml:space="preserve">, 273 (2024). https://doi.org/10.1038/s41597-024-03091-9</w:t>
      </w:r>
    </w:p>
    <w:p>
      <w:pPr>
        <w:pStyle w:val="Compact"/>
        <w:numPr>
          <w:ilvl w:val="0"/>
          <w:numId w:val="1001"/>
        </w:numPr>
      </w:pPr>
      <w:r>
        <w:t xml:space="preserve">Hersbach, H. et al. The ERA5 global reanalysis.</w:t>
      </w:r>
      <w:r>
        <w:t xml:space="preserve"> </w:t>
      </w:r>
      <w:r>
        <w:rPr>
          <w:i/>
          <w:iCs/>
        </w:rPr>
        <w:t xml:space="preserve">Quarterly Journal of the Royal Meteorological Society</w:t>
      </w:r>
      <w:r>
        <w:t xml:space="preserve"> </w:t>
      </w:r>
      <w:r>
        <w:rPr>
          <w:b/>
          <w:bCs/>
        </w:rPr>
        <w:t xml:space="preserve">146</w:t>
      </w:r>
      <w:r>
        <w:t xml:space="preserve">, 1999-2049 (2020). https://doi.org/10.1002/qj.3803</w:t>
      </w:r>
    </w:p>
    <w:p>
      <w:pPr>
        <w:pStyle w:val="Compact"/>
        <w:numPr>
          <w:ilvl w:val="0"/>
          <w:numId w:val="1001"/>
        </w:numPr>
      </w:pPr>
      <w:r>
        <w:t xml:space="preserve">Muis, S., Verlaan, M., Winsemius, H. C., Aerts, J. C. J. H. &amp; Ward, P. J. A global reanalysis of storm surges and extreme sea levels.</w:t>
      </w:r>
      <w:r>
        <w:t xml:space="preserve"> </w:t>
      </w:r>
      <w:r>
        <w:rPr>
          <w:i/>
          <w:iCs/>
        </w:rPr>
        <w:t xml:space="preserve">Nature Communications</w:t>
      </w:r>
      <w:r>
        <w:t xml:space="preserve"> </w:t>
      </w:r>
      <w:r>
        <w:rPr>
          <w:b/>
          <w:bCs/>
        </w:rPr>
        <w:t xml:space="preserve">7</w:t>
      </w:r>
      <w:r>
        <w:t xml:space="preserve">, 11969 (2016). https://doi.org/10.1038/ncomms11969</w:t>
      </w:r>
    </w:p>
    <w:p>
      <w:pPr>
        <w:pStyle w:val="Compact"/>
        <w:numPr>
          <w:ilvl w:val="0"/>
          <w:numId w:val="1001"/>
        </w:numPr>
      </w:pPr>
      <w:r>
        <w:t xml:space="preserve">Wahl, T. et al. Understanding extreme sea levels for broad-scale coastal impact and adaptation analysis.</w:t>
      </w:r>
      <w:r>
        <w:t xml:space="preserve"> </w:t>
      </w:r>
      <w:r>
        <w:rPr>
          <w:i/>
          <w:iCs/>
        </w:rPr>
        <w:t xml:space="preserve">Nature Communications</w:t>
      </w:r>
      <w:r>
        <w:t xml:space="preserve"> </w:t>
      </w:r>
      <w:r>
        <w:rPr>
          <w:b/>
          <w:bCs/>
        </w:rPr>
        <w:t xml:space="preserve">8</w:t>
      </w:r>
      <w:r>
        <w:t xml:space="preserve">, 16075 (2017). https://doi.org/10.1038/ncomms16075</w:t>
      </w:r>
    </w:p>
    <w:p>
      <w:pPr>
        <w:pStyle w:val="Compact"/>
        <w:numPr>
          <w:ilvl w:val="0"/>
          <w:numId w:val="1001"/>
        </w:numPr>
      </w:pPr>
      <w:r>
        <w:t xml:space="preserve">Haigh, I. D. et al. Spatial and temporal analysis of extreme sea level and storm surge events around the coastline of the UK.</w:t>
      </w:r>
      <w:r>
        <w:t xml:space="preserve"> </w:t>
      </w:r>
      <w:r>
        <w:rPr>
          <w:i/>
          <w:iCs/>
        </w:rPr>
        <w:t xml:space="preserve">Scientific Data</w:t>
      </w:r>
      <w:r>
        <w:t xml:space="preserve"> </w:t>
      </w:r>
      <w:r>
        <w:rPr>
          <w:b/>
          <w:bCs/>
        </w:rPr>
        <w:t xml:space="preserve">3</w:t>
      </w:r>
      <w:r>
        <w:t xml:space="preserve">, 160107 (2016). https://doi.org/10.1038/sdata.2016.107</w:t>
      </w:r>
    </w:p>
    <w:p>
      <w:pPr>
        <w:pStyle w:val="Compact"/>
        <w:numPr>
          <w:ilvl w:val="0"/>
          <w:numId w:val="1001"/>
        </w:numPr>
      </w:pPr>
      <w:r>
        <w:t xml:space="preserve">Kulp, S. A. &amp; Strauss, B. H. New elevation data triple estimates of global vulnerability to sea-level rise and coastal flooding.</w:t>
      </w:r>
      <w:r>
        <w:t xml:space="preserve"> </w:t>
      </w:r>
      <w:r>
        <w:rPr>
          <w:i/>
          <w:iCs/>
        </w:rPr>
        <w:t xml:space="preserve">Nature Communications</w:t>
      </w:r>
      <w:r>
        <w:t xml:space="preserve"> </w:t>
      </w:r>
      <w:r>
        <w:rPr>
          <w:b/>
          <w:bCs/>
        </w:rPr>
        <w:t xml:space="preserve">10</w:t>
      </w:r>
      <w:r>
        <w:t xml:space="preserve">, 4844 (2019). https://doi.org/10.1038/s41467-019-12808-z</w:t>
      </w:r>
    </w:p>
    <w:p>
      <w:pPr>
        <w:pStyle w:val="Compact"/>
        <w:numPr>
          <w:ilvl w:val="0"/>
          <w:numId w:val="1001"/>
        </w:numPr>
      </w:pPr>
      <w:r>
        <w:t xml:space="preserve">Kirezci, E. et al. Projections of global-scale extreme sea levels and resulting episodic coastal flooding over the 21st century.</w:t>
      </w:r>
      <w:r>
        <w:t xml:space="preserve"> </w:t>
      </w:r>
      <w:r>
        <w:rPr>
          <w:i/>
          <w:iCs/>
        </w:rPr>
        <w:t xml:space="preserve">Scientific Reports</w:t>
      </w:r>
      <w:r>
        <w:t xml:space="preserve"> </w:t>
      </w:r>
      <w:r>
        <w:rPr>
          <w:b/>
          <w:bCs/>
        </w:rPr>
        <w:t xml:space="preserve">10</w:t>
      </w:r>
      <w:r>
        <w:t xml:space="preserve">, 11629 (2020). https://doi.org/10.1038/s41598-020-67736-6</w:t>
      </w:r>
    </w:p>
    <w:p>
      <w:pPr>
        <w:pStyle w:val="Compact"/>
        <w:numPr>
          <w:ilvl w:val="0"/>
          <w:numId w:val="1001"/>
        </w:numPr>
      </w:pPr>
      <w:r>
        <w:t xml:space="preserve">Stephens, S. A. et al. Spatial and temporal analysis of extreme storm-tide and skew-surge events around the coastline of New Zealand.</w:t>
      </w:r>
      <w:r>
        <w:t xml:space="preserve"> </w:t>
      </w:r>
      <w:r>
        <w:rPr>
          <w:i/>
          <w:iCs/>
        </w:rPr>
        <w:t xml:space="preserve">Natural Hazards and Earth System Sciences</w:t>
      </w:r>
      <w:r>
        <w:t xml:space="preserve"> </w:t>
      </w:r>
      <w:r>
        <w:rPr>
          <w:b/>
          <w:bCs/>
        </w:rPr>
        <w:t xml:space="preserve">20</w:t>
      </w:r>
      <w:r>
        <w:t xml:space="preserve">, 783-796 (2020). https://doi.org/10.5194/nhess-20-783-2020</w:t>
      </w:r>
    </w:p>
    <w:p>
      <w:pPr>
        <w:pStyle w:val="Compact"/>
        <w:numPr>
          <w:ilvl w:val="0"/>
          <w:numId w:val="1001"/>
        </w:numPr>
      </w:pPr>
      <w:r>
        <w:t xml:space="preserve">Vousdoukas, M. I. et al. Developments in large-scale coastal flood hazard mapping.</w:t>
      </w:r>
      <w:r>
        <w:t xml:space="preserve"> </w:t>
      </w:r>
      <w:r>
        <w:rPr>
          <w:i/>
          <w:iCs/>
        </w:rPr>
        <w:t xml:space="preserve">Natural Hazards and Earth System Sciences</w:t>
      </w:r>
      <w:r>
        <w:t xml:space="preserve"> </w:t>
      </w:r>
      <w:r>
        <w:rPr>
          <w:b/>
          <w:bCs/>
        </w:rPr>
        <w:t xml:space="preserve">16</w:t>
      </w:r>
      <w:r>
        <w:t xml:space="preserve">, 1841-1853 (2016). https://doi.org/10.5194/nhess-16-1841-2016</w:t>
      </w:r>
    </w:p>
    <w:p>
      <w:pPr>
        <w:pStyle w:val="Compact"/>
        <w:numPr>
          <w:ilvl w:val="0"/>
          <w:numId w:val="1001"/>
        </w:numPr>
      </w:pPr>
      <w:r>
        <w:t xml:space="preserve">Vousdoukas, M. I. et al. Global probabilistic projections of extreme sea levels show intensification of coastal flood hazard.</w:t>
      </w:r>
      <w:r>
        <w:t xml:space="preserve"> </w:t>
      </w:r>
      <w:r>
        <w:rPr>
          <w:i/>
          <w:iCs/>
        </w:rPr>
        <w:t xml:space="preserve">Nature Communications</w:t>
      </w:r>
      <w:r>
        <w:t xml:space="preserve"> </w:t>
      </w:r>
      <w:r>
        <w:rPr>
          <w:b/>
          <w:bCs/>
        </w:rPr>
        <w:t xml:space="preserve">9</w:t>
      </w:r>
      <w:r>
        <w:t xml:space="preserve">, 2360 (2018). https://doi.org/10.1038/s41467-018-04692-w</w:t>
      </w:r>
    </w:p>
    <w:p>
      <w:pPr>
        <w:pStyle w:val="Compact"/>
        <w:numPr>
          <w:ilvl w:val="0"/>
          <w:numId w:val="1001"/>
        </w:numPr>
      </w:pPr>
      <w:r>
        <w:t xml:space="preserve">Bloemendaal, N. et al. Generation of a global synthetic tropical cyclone hazard dataset using STORM.</w:t>
      </w:r>
      <w:r>
        <w:t xml:space="preserve"> </w:t>
      </w:r>
      <w:r>
        <w:rPr>
          <w:i/>
          <w:iCs/>
        </w:rPr>
        <w:t xml:space="preserve">Scientific Data</w:t>
      </w:r>
      <w:r>
        <w:t xml:space="preserve"> </w:t>
      </w:r>
      <w:r>
        <w:rPr>
          <w:b/>
          <w:bCs/>
        </w:rPr>
        <w:t xml:space="preserve">7</w:t>
      </w:r>
      <w:r>
        <w:t xml:space="preserve">, 40 (2020). https://doi.org/10.1038/s41597-020-0381-2</w:t>
      </w:r>
    </w:p>
    <w:p>
      <w:pPr>
        <w:pStyle w:val="Compact"/>
        <w:numPr>
          <w:ilvl w:val="0"/>
          <w:numId w:val="1001"/>
        </w:numPr>
      </w:pPr>
      <w:r>
        <w:t xml:space="preserve">Arns, A., Wahl, T., Haigh, I. D., Jensen, J. &amp; Pattiaratchi, C. Estimating extreme water level probabilities: a comparison of direct methods and recommendations for best practice.</w:t>
      </w:r>
      <w:r>
        <w:t xml:space="preserve"> </w:t>
      </w:r>
      <w:r>
        <w:rPr>
          <w:i/>
          <w:iCs/>
        </w:rPr>
        <w:t xml:space="preserve">Coastal Engineering</w:t>
      </w:r>
      <w:r>
        <w:t xml:space="preserve"> </w:t>
      </w:r>
      <w:r>
        <w:rPr>
          <w:b/>
          <w:bCs/>
        </w:rPr>
        <w:t xml:space="preserve">81</w:t>
      </w:r>
      <w:r>
        <w:t xml:space="preserve">, 51-66 (2013). https://doi.org/10.1016/j.coastaleng.2013.07.003</w:t>
      </w:r>
    </w:p>
    <w:bookmarkEnd w:id="53"/>
    <w:bookmarkEnd w:id="54"/>
    <w:sectPr>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2026-05-26T12:12:44Z</dcterms:created>
  <dcterms:modified xsi:type="dcterms:W3CDTF">2026-05-26T12:12:44Z</dcterms:modified>
</cp:coreProperties>
</file>

<file path=docProps/custom.xml><?xml version="1.0" encoding="utf-8"?>
<Properties xmlns="http://schemas.openxmlformats.org/officeDocument/2006/custom-properties" xmlns:vt="http://schemas.openxmlformats.org/officeDocument/2006/docPropsVTypes"/>
</file>