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40"/>
        <w:jc w:val="center"/>
      </w:pPr>
      <w:r>
        <w:rPr>
          <w:rFonts w:ascii="SimHei" w:hAnsi="SimHei" w:eastAsia="SimSun"/>
          <w:b/>
          <w:color w:val="1F3748"/>
          <w:sz w:val="36"/>
        </w:rPr>
        <w:t>海上回收着陆论文真实性、准确性与完整性审查</w:t>
      </w:r>
    </w:p>
    <w:p>
      <w:pPr>
        <w:spacing w:after="100"/>
      </w:pPr>
      <w:r>
        <w:rPr>
          <w:rFonts w:ascii="SimSun" w:hAnsi="SimSun" w:eastAsia="SimSun"/>
          <w:sz w:val="21"/>
        </w:rPr>
        <w:t>审查编号： SeaLandingPaper-ResearchIntegrity-Audit-v1</w:t>
      </w:r>
    </w:p>
    <w:p>
      <w:pPr>
        <w:spacing w:after="100"/>
      </w:pPr>
      <w:r>
        <w:rPr>
          <w:rFonts w:ascii="SimSun" w:hAnsi="SimSun" w:eastAsia="SimSun"/>
          <w:sz w:val="21"/>
        </w:rPr>
        <w:t>生成时间（UTC）： 2026-08-24T06:31:36+00:00</w:t>
      </w:r>
    </w:p>
    <w:p>
      <w:pPr>
        <w:spacing w:after="100"/>
      </w:pPr>
      <w:r>
        <w:rPr>
          <w:rFonts w:ascii="SimSun" w:hAnsi="SimSun" w:eastAsia="SimSun"/>
          <w:sz w:val="21"/>
        </w:rPr>
        <w:t>机器审查结论： PASS_WITH_DECLARED_LIMITATIONS</w:t>
      </w:r>
    </w:p>
    <w:p>
      <w:pPr>
        <w:pStyle w:val="Heading1"/>
      </w:pPr>
      <w:r>
        <w:t>1. 审查目的与判定规则</w:t>
      </w:r>
    </w:p>
    <w:p>
      <w:pPr>
        <w:spacing w:after="100"/>
      </w:pPr>
      <w:r>
        <w:rPr>
          <w:rFonts w:ascii="SimSun" w:hAnsi="SimSun" w:eastAsia="SimSun"/>
          <w:sz w:val="21"/>
        </w:rPr>
        <w:t>本文件用于回答三个问题：正文中的结果是否由本项目代码重新计算，文献数据是否仅作为明确标注的验证目标，以及尚未闭合的模型环节是否被如实保留。审查不以‘图能画出来’为通过条件，而要求计算输入、生成代码、机器可读输出和成稿图之间可以逐项追溯。</w:t>
      </w:r>
    </w:p>
    <w:p>
      <w:pPr>
        <w:spacing w:after="100"/>
      </w:pPr>
      <w:r>
        <w:rPr>
          <w:rFonts w:ascii="SimSun" w:hAnsi="SimSun" w:eastAsia="SimSun"/>
          <w:sz w:val="21"/>
        </w:rPr>
        <w:t>本文结果分为四类。present_calculation 是本项目在本机重新执行得到的结果；reference_target 是从文献转录或数字化的验证目标；publishedᵢnput 是模型采用且已注明来源的文献参数；identified/proxy 是由于公开资料缺失而辨识或假设的输入。后两类不得写成原作者公布值，也不得用于声称专有模型已被完整复现。</w:t>
      </w:r>
    </w:p>
    <w:p>
      <w:pPr>
        <w:pStyle w:val="Heading1"/>
      </w:pPr>
      <w:r>
        <w:t>2. 主要数值证据</w:t>
      </w:r>
    </w:p>
    <w:p>
      <w:pPr>
        <w:spacing w:after="100"/>
      </w:pPr>
      <w:r>
        <w:rPr>
          <w:rFonts w:ascii="SimSun" w:hAnsi="SimSun" w:eastAsia="SimSun"/>
          <w:sz w:val="21"/>
        </w:rPr>
        <w:t>矩形驳船 HAMS 输出包含 19 个频率、7 个浪向和 5 个甲板点。参数化网格与水静力自检全部通过。着陆中心最大垂荡 RAO 为 1.128 m/m，发生在 0.6 rad/s、90 deg。该数值由本地编译的 HAMS 输出重新计算，不取自任何参考论文。</w:t>
      </w:r>
    </w:p>
    <w:p>
      <w:pPr>
        <w:spacing w:after="100"/>
      </w:pPr>
      <w:r>
        <w:rPr>
          <w:rFonts w:ascii="SimSun" w:hAnsi="SimSun" w:eastAsia="SimSun"/>
          <w:sz w:val="21"/>
        </w:rPr>
        <w:t>随机波筛选包含 63 个海况-浪向组合，每个组合 100 个确定性随机相位种子，单次时长 600 s，步长 0.1 s。全矩阵最大着陆中心 P95 垂向速度为 1.505 m/s，对应 Hs3_Tp10、90 deg。谱矩归一化和显著波高线性检查来自脚本自动判定。</w:t>
      </w:r>
    </w:p>
    <w:p>
      <w:pPr>
        <w:spacing w:after="100"/>
      </w:pPr>
      <w:r>
        <w:rPr>
          <w:rFonts w:ascii="SimSun" w:hAnsi="SimSun" w:eastAsia="SimSun"/>
          <w:sz w:val="21"/>
        </w:rPr>
        <w:t>Chrono-Cummins 代理算例的本机计算峰值接触力为 2.678 MN，峰值缓冲行程为 46.44 mm。但最大 SMC 贯入为 0.148 m，占足垫半径的 74.1%。因此这些力学量仅用于证明开放耦合链可执行，不作为真实型号支腿载荷的验证值。</w:t>
      </w:r>
    </w:p>
    <w:p>
      <w:pPr>
        <w:spacing w:after="100"/>
      </w:pPr>
      <w:r>
        <w:rPr>
          <w:rFonts w:ascii="SimSun" w:hAnsi="SimSun" w:eastAsia="SimSun"/>
          <w:sz w:val="21"/>
        </w:rPr>
        <w:t>Yang 对照图中的虚线来自公开试验曲线的像素数字化，实线来自本项目模型。参数只使用 simultaneous touchdown 工况辨识，1-2-1 与 2-2 工况没有重新调参。缓冲行程峰值误差较小，但加速度峰值误差仍为 29.2%-51.9%，说明公开资料不足以重构原柔性机构。这一差异被保留，没有通过平滑、缩放或手工修改曲线消除。</w:t>
      </w:r>
    </w:p>
    <w:p>
      <w:pPr>
        <w:pStyle w:val="Heading1"/>
      </w:pPr>
      <w:r>
        <w:t>3. 数据与文件溯源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50"/>
        <w:gridCol w:w="1500"/>
        <w:gridCol w:w="1700"/>
        <w:gridCol w:w="201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文件</w:t>
            </w:r>
          </w:p>
        </w:tc>
        <w:tc>
          <w:tcPr>
            <w:tcW w:type="dxa" w:w="225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证据类别</w:t>
            </w:r>
          </w:p>
        </w:tc>
        <w:tc>
          <w:tcPr>
            <w:tcW w:type="dxa" w:w="15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用途</w:t>
            </w:r>
          </w:p>
        </w:tc>
        <w:tc>
          <w:tcPr>
            <w:tcW w:type="dxa" w:w="17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存在</w:t>
            </w:r>
          </w:p>
        </w:tc>
        <w:tc>
          <w:tcPr>
            <w:tcW w:type="dxa" w:w="201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SHA-256 前缀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新论文参考写作论文/Analysis+of+Sea-Based+Landing+Dynamics+of+Reusable+Landing+Vehicle+Considering+Mechanism+Flexibility.pdf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referenceₛource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Yang et al. validation paper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e7949d55dea5a5d9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新论文参考写作论文/Analysis+of+Sea-Based+Landing+Dynamics+of+Reusable+Landing+Vehicle+Considering+Mechanism+Flexibility.md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referenceₛource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Yang et al. text extraction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3939e6f442f1738d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海上平台火箭回收文献/065002_1_2.0002061.pdf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referenceₛource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Nargolkar and Vijayan benchmark paper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f9ba2eb6197a8ad7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海上平台火箭回收文献/065002_1_2.0002061.md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referenceₛource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Nargolkar and Vijayan text extraction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37bc58992de0399c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RocketRecoveryCases/Paper_Yang_2026/reference/digitized/yang-2026-fig09-11-digitization.json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reference_target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Digitized published validation traces and raster calibration metadata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309fb9da09933f8c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RocketRecoveryCases/Paper_Yang_2026/yang-2026-evidence-report.json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Locally generated deck-filter and source-consistency report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c00ffc3b55deb655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RocketRecoveryCases/Paper_Yang_2026/identified_landing_model/yang-2026-identified-landing-report.json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Locally identified and predicted landing responses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da1f143fe0d4051e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RocketRecoveryCases/Barge_120x50/platform_config.json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present_modelᵢnput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Parameter-controlled rectangular-barge case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50f90e7fbd6f1f1b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RocketRecoveryCases/Barge_120x50/validation/barge-self-check.json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Analytic geometry and hydrostatic checks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06359d8905263bfc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RocketRecoveryCases/Barge_120x50/Output/RocketRecovery/deck-point-rao.json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Locally compiled HAMS deck-point RAOs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c07aad254806fce5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RocketRecoveryCases/Barge_120x50/Output/RocketRecovery/sea-state-response.json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Spectral response integrals from HAMS RAOs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fcac3cc88010888d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RocketRecoveryCases/Barge_120x50/Output/RocketRecovery/wave-sensitivity.json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Random-phase HAMS/JONSWAP statistics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2284f1c194ce227c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RocketRecoveryCases/Chrono_LeggedRecovery/chrono-stage3-two-way-report-data.json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present_calculation_withₚroxyᵢnputs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Locally executed Chrono-Cummins mechanism-proxy response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4b983d7c6812d0ba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SimSun" w:hAnsi="SimSun" w:eastAsia="SimSun"/>
          <w:sz w:val="21"/>
        </w:rPr>
        <w:t>完整哈希值保存在 research-integrity-audit.json。每次重算后重新生成本审查文件，可以识别输入、输出或图件是否发生变化。</w:t>
      </w:r>
    </w:p>
    <w:p>
      <w:pPr>
        <w:pStyle w:val="Heading1"/>
      </w:pPr>
      <w:r>
        <w:t>4. 图件审查</w:t>
      </w:r>
    </w:p>
    <w:p>
      <w:pPr>
        <w:spacing w:after="100"/>
      </w:pPr>
      <w:r>
        <w:rPr>
          <w:rFonts w:ascii="SimSun" w:hAnsi="SimSun" w:eastAsia="SimSun"/>
          <w:sz w:val="21"/>
        </w:rPr>
        <w:t>主文图统一由 analysis/rocket_recovery/yang_2026_figures.py 生成，使用 SciencePlots 的 science 与 no-latex 样式、Times New Roman 字体，同时输出 600 dpi PNG 和可编辑 SVG。文献曲线采用灰黑虚线或点列，本文计算采用彩色实线。图件不经过 PowerPoint、Illustrator 或图像软件手工移动数据。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50"/>
        <w:gridCol w:w="1500"/>
        <w:gridCol w:w="1700"/>
        <w:gridCol w:w="201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图件</w:t>
            </w:r>
          </w:p>
        </w:tc>
        <w:tc>
          <w:tcPr>
            <w:tcW w:type="dxa" w:w="225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数据性质</w:t>
            </w:r>
          </w:p>
        </w:tc>
        <w:tc>
          <w:tcPr>
            <w:tcW w:type="dxa" w:w="15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PNG 像素</w:t>
            </w:r>
          </w:p>
        </w:tc>
        <w:tc>
          <w:tcPr>
            <w:tcW w:type="dxa" w:w="17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SVG 字体含 Times New Roman</w:t>
            </w:r>
          </w:p>
        </w:tc>
        <w:tc>
          <w:tcPr>
            <w:tcW w:type="dxa" w:w="201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SHA-256 前缀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fig01-coupled-framework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Method diagram generated from the implemented data flow; no numerical result is imported.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4299 x 2019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ca6911012f169f15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fig02-barge-geometry-mesh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 parameterized geometry and registered deck points.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2756 x 2259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c714c50dadb5ec0e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fig03-yang-deck-filter-reproduction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Present deterministic response; dashed spectral shape is reconstructed from the published transfer function.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4299 x 2769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50374283dedb022f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fig04-yang-identified-landing-comparison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Dashed curves are published tests digitized for validation; solid curves are present calculations.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4235 x 3159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d37ae985bbbd4641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fig05-platform-hydrodynamic-response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Entirely present potential-flow and spectral calculations.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4299 x 2799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9403cc0bef572cd6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fig06-partitioned-contact-feedback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Entirely present partitioned calculation using explicitly identified published and proxy inputs.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4299 x 2799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06e5fef3c36253a2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fig07-random-wave-deck-statistics</w:t>
            </w:r>
          </w:p>
        </w:tc>
        <w:tc>
          <w:tcPr>
            <w:tcW w:type="dxa" w:w="225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Entirely present 63-case, 100-seed linear wave-screening calculation.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4299 x 2799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是</w:t>
            </w:r>
          </w:p>
        </w:tc>
        <w:tc>
          <w:tcPr>
            <w:tcW w:type="dxa" w:w="201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f4860076c1938eab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SimSun" w:hAnsi="SimSun" w:eastAsia="SimSun"/>
          <w:sz w:val="21"/>
        </w:rPr>
        <w:t>第一轮图审发现并修正了两类问题：甲板滤波图曾把绝对 Welch 谱与未归一化传递函数平方直接叠加，现改为归一化谱形比较；耦合框架图曾有一条甲板运动箭头方向错误，已按 Cummins→甲板运动→Chrono、Chrono→平台接触力矩的实际接口改正。第二轮检查覆盖图例可见性、单位、峰值、坐标范围和文献/本文线型区分。</w:t>
      </w:r>
    </w:p>
    <w:p>
      <w:pPr>
        <w:pStyle w:val="Heading1"/>
      </w:pPr>
      <w:r>
        <w:t>5. 尚未解决的真实性问题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1800"/>
        <w:gridCol w:w="2760"/>
      </w:tblGrid>
      <w:tr>
        <w:trPr>
          <w:cantSplit/>
          <w:tblHeader w:val="true"/>
        </w:trPr>
        <w:tc>
          <w:tcPr>
            <w:tcW w:type="dxa" w:w="21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严重度</w:t>
            </w:r>
          </w:p>
        </w:tc>
        <w:tc>
          <w:tcPr>
            <w:tcW w:type="dxa" w:w="27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项目</w:t>
            </w:r>
          </w:p>
        </w:tc>
        <w:tc>
          <w:tcPr>
            <w:tcW w:type="dxa" w:w="180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证据</w:t>
            </w:r>
          </w:p>
        </w:tc>
        <w:tc>
          <w:tcPr>
            <w:tcW w:type="dxa" w:w="2760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对论文结论的约束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high</w:t>
            </w:r>
          </w:p>
        </w:tc>
        <w:tc>
          <w:tcPr>
            <w:tcW w:type="dxa" w:w="2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Chrono contact compliance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Maximum SMC contact penetration is 0.148 m, or 74.1% of the 0.2 m footpad radius.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Stage 3A contact-force peaks are retained only as mechanism-proxy outputs and are not treated as validated full-scale leg loads.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high</w:t>
            </w:r>
          </w:p>
        </w:tc>
        <w:tc>
          <w:tcPr>
            <w:tcW w:type="dxa" w:w="2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Landing-leg geometry and absorber law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The supplied papers do not publish CAD hinge coordinates, member inertia, or a machine-readable hydropneumatic force-stroke/velocity curve.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The Chrono branch cannot be described as an Adams-equivalent reproduction of Yang or Thies.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medium</w:t>
            </w:r>
          </w:p>
        </w:tc>
        <w:tc>
          <w:tcPr>
            <w:tcW w:type="dxa" w:w="2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Yang model identifiability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The stroke observation ratio reaches its declared upper bound and acceleration peak errors remain 29.2-51.9%.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Only stroke magnitude and broad touchdown-sequence trends are supported by the public-data reduced model.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medium</w:t>
            </w:r>
          </w:p>
        </w:tc>
        <w:tc>
          <w:tcPr>
            <w:tcW w:type="dxa" w:w="2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Strong two-way closure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The accepted Stage 3A calculation uses a one-pass heave/roll/pitch correction; full 6-DOF fixed-point closure remains incomplete.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The paper reports an executable partitioned demonstration, not converged strong coupling.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medium</w:t>
            </w:r>
          </w:p>
        </w:tc>
        <w:tc>
          <w:tcPr>
            <w:tcW w:type="dxa" w:w="2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HAMS legacy benchmark portability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HywindSpar matches the registered benchmark, while Cylinder, DeepCwind, and Moonpool differ under the local GNU Fortran toolchain.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Analytic barge checks and locally reproducible outputs are valid; universal cross-toolchain equivalence is not claimed.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low</w:t>
            </w:r>
          </w:p>
        </w:tc>
        <w:tc>
          <w:tcPr>
            <w:tcW w:type="dxa" w:w="27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Random-wave interpretation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The 63-case study is a linear platform-only HAMS/JONSWAP screening calculation.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Its P95 values are not landing success probabilities or operational sea-state limits.</w:t>
            </w:r>
          </w:p>
        </w:tc>
      </w:tr>
    </w:tbl>
    <w:p>
      <w:pPr>
        <w:spacing w:after="20"/>
      </w:pPr>
    </w:p>
    <w:p>
      <w:pPr>
        <w:pStyle w:val="Heading1"/>
      </w:pPr>
      <w:r>
        <w:t>6. 可重复执行命令</w:t>
      </w:r>
    </w:p>
    <w:p>
      <w:pPr>
        <w:spacing w:before="80" w:after="120" w:line="240" w:lineRule="auto"/>
        <w:ind w:left="280" w:right="160"/>
        <w:jc w:val="left"/>
      </w:pPr>
      <w:r>
        <w:rPr>
          <w:rFonts w:ascii="Consolas" w:hAnsi="Consolas" w:eastAsia="SimSun"/>
          <w:sz w:val="16"/>
        </w:rPr>
        <w:t>.\.tools\paper-env\Scripts\python.exe .\analysis\rocket_recovery\yang_2026.py report</w:t>
        <w:br/>
        <w:t>.\.tools\paper-env\Scripts\python.exe .\analysis\rocket_recovery\yang_2026_landing_identification.py report</w:t>
        <w:br/>
        <w:t>.\.tools\paper-env\Scripts\python.exe .\analysis\rocket_recovery\barge_wave_sensitivity.py report</w:t>
        <w:br/>
        <w:t>.\.tools\paper-env\Scripts\python.exe .\analysis\rocket_recovery\yang_2026_figures.py</w:t>
        <w:br/>
        <w:t>.\.tools\paper-env\Scripts\python.exe .\analysis\rocket_recovery\paper_integrity_audit.py report</w:t>
      </w:r>
    </w:p>
    <w:p>
      <w:pPr>
        <w:spacing w:after="100"/>
      </w:pPr>
      <w:r>
        <w:rPr>
          <w:rFonts w:ascii="SimSun" w:hAnsi="SimSun" w:eastAsia="SimSun"/>
          <w:sz w:val="21"/>
        </w:rPr>
        <w:t>HAMS 与 Chrono 的完整重算分别由项目现有 PowerShell 流水线调用本地编译求解器和 .tools/chrono-env。论文制图环境与 Chrono 环境分离，SciencePlots 的安装不修改系统 Python 或系统 PATH。</w:t>
      </w:r>
    </w:p>
    <w:p>
      <w:pPr>
        <w:pStyle w:val="Heading1"/>
      </w:pPr>
      <w:r>
        <w:t>7. 审查结论</w:t>
      </w:r>
    </w:p>
    <w:p>
      <w:pPr>
        <w:spacing w:after="100"/>
      </w:pPr>
      <w:r>
        <w:rPr>
          <w:rFonts w:ascii="SimSun" w:hAnsi="SimSun" w:eastAsia="SimSun"/>
          <w:sz w:val="21"/>
        </w:rPr>
        <w:t>现有 HAMS 驳船、JONSWAP 筛选、Yang 公开数据辨识模型和 Chrono-Cummins 代理结果均有机器可读输出和生成代码，可以证明主文中的‘本文计算’并非从参考论文复制。文献值只在验证曲线和输入参数中出现，并已明确标注。与此同时，当前模型仍不具备真实支腿 CAD、经试验标定的缓冲器曲线、可接受的全尺度接触贯入和全 6DOF 强耦合闭合，因此论文必须保持为开放中等保真度框架与分层验证研究，不能写成某型火箭海上回收全过程已完成工程验证。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imSun"/>
        <w:color w:val="5C656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5C656E"/>
        <w:sz w:val="16"/>
      </w:rPr>
      <w:t>海上回收着陆论文 | 真实性、准确性与完整性审查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1F37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1F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1F37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海上回收着陆论文真实性、准确性与完整性审查</dc:title>
  <dc:subject>Research integrity and reproducibility audit</dc:subject>
  <dc:creator>HAMS rocket-recovery research project</dc:creator>
  <cp:keywords>HAMS, Project Chrono, data lineage, reproducibility, research integrity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