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20" w:after="360"/>
        <w:jc w:val="center"/>
      </w:pPr>
      <w:r>
        <w:rPr>
          <w:rFonts w:ascii="SimHei" w:hAnsi="SimHei" w:eastAsia="SimSun"/>
          <w:b/>
          <w:color w:val="000000"/>
          <w:sz w:val="36"/>
        </w:rPr>
        <w:t>海上回收着陆论文真实性准确性与完整性审查</w:t>
      </w:r>
    </w:p>
    <w:p>
      <w:pPr>
        <w:spacing w:after="60"/>
      </w:pPr>
      <w:r>
        <w:rPr>
          <w:rFonts w:ascii="SimSun" w:hAnsi="SimSun" w:eastAsia="SimSun"/>
          <w:b/>
          <w:sz w:val="20"/>
        </w:rPr>
        <w:t>审查编号：</w:t>
      </w:r>
      <w:r>
        <w:rPr>
          <w:rFonts w:ascii="SimSun" w:hAnsi="SimSun" w:eastAsia="SimSun"/>
          <w:sz w:val="20"/>
        </w:rPr>
        <w:t xml:space="preserve"> SeaLandingPaper-ResearchIntegrity-Audit-v2</w:t>
      </w:r>
    </w:p>
    <w:p>
      <w:pPr>
        <w:spacing w:after="60"/>
      </w:pPr>
      <w:r>
        <w:rPr>
          <w:rFonts w:ascii="SimSun" w:hAnsi="SimSun" w:eastAsia="SimSun"/>
          <w:b/>
          <w:sz w:val="20"/>
        </w:rPr>
        <w:t>生成时间（UTC）：</w:t>
      </w:r>
      <w:r>
        <w:rPr>
          <w:rFonts w:ascii="SimSun" w:hAnsi="SimSun" w:eastAsia="SimSun"/>
          <w:sz w:val="20"/>
        </w:rPr>
        <w:t xml:space="preserve"> 2026-09-05T07:35:59.117394+00:00</w:t>
      </w:r>
    </w:p>
    <w:p>
      <w:pPr>
        <w:spacing w:after="60"/>
      </w:pPr>
      <w:r>
        <w:rPr>
          <w:rFonts w:ascii="SimSun" w:hAnsi="SimSun" w:eastAsia="SimSun"/>
          <w:b/>
          <w:sz w:val="20"/>
        </w:rPr>
        <w:t>机器审查结论：</w:t>
      </w:r>
      <w:r>
        <w:rPr>
          <w:rFonts w:ascii="SimSun" w:hAnsi="SimSun" w:eastAsia="SimSun"/>
          <w:sz w:val="20"/>
        </w:rPr>
        <w:t xml:space="preserve"> PASS_WITH_DECLARED_LIMITATIONS</w:t>
      </w:r>
    </w:p>
    <w:p>
      <w:pPr>
        <w:pStyle w:val="Heading1"/>
      </w:pPr>
      <w:r>
        <w:t>1. 审查原则</w:t>
      </w:r>
    </w:p>
    <w:p>
      <w:pPr>
        <w:spacing w:after="100"/>
      </w:pPr>
      <w:r>
        <w:rPr>
          <w:rFonts w:ascii="SimSun" w:hAnsi="SimSun" w:eastAsia="SimSun"/>
          <w:sz w:val="21"/>
        </w:rPr>
        <w:t>本审查把本项目重新计算的数据、文献对照数据和因公开资料不足而采用的代理输入分开记录。文献曲线只能作为带标签的对照或输入，不能写成本文计算结果；代理几何、数字化缓冲器曲线和数值接触参数不能用于声称复现了原作者的专有模型。任何未通过的数值判据均保留为限制，不以图形平滑或叙述判断改写为通过。</w:t>
      </w:r>
    </w:p>
    <w:p>
      <w:pPr>
        <w:pStyle w:val="Heading1"/>
      </w:pPr>
      <w:r>
        <w:t>2. 总体结论</w:t>
      </w:r>
    </w:p>
    <w:p>
      <w:pPr>
        <w:spacing w:after="100"/>
      </w:pPr>
      <w:r>
        <w:rPr>
          <w:rFonts w:ascii="SimSun" w:hAnsi="SimSun" w:eastAsia="SimSun"/>
          <w:sz w:val="21"/>
        </w:rPr>
        <w:t>当前正文已切换到最新的中等网格水动力、1000 组随机波、实际 6.926 m 四足布局和同一平台四次耦合输出。旧版 1.128 m/m、1.505 m/s、2.435 m/s、2.678 MN 和 0.148 m 等数字均已移除。正文没有把计算未通过项包装为验证成功：仓库四案例认证比较出现 157 个文件级失败，水动力网格判据未通过，22 个随机波工况超出线性适用边界，接触时间步与刚度正则化未通过，526 s 时稳定站立诊断也未通过。</w:t>
      </w:r>
    </w:p>
    <w:p>
      <w:pPr>
        <w:pStyle w:val="Heading1"/>
      </w:pPr>
      <w:r>
        <w:t>3. 关键结果与证据边界</w:t>
      </w:r>
    </w:p>
    <w:tbl>
      <w:tblPr>
        <w:tblStyle w:val="TableGrid"/>
        <w:tblW w:type="dxa" w:w="13646"/>
        <w:jc w:val="center"/>
        <w:tblLayout w:type="fixed"/>
        <w:tblLook w:firstColumn="1" w:firstRow="1" w:lastColumn="0" w:lastRow="0" w:noHBand="0" w:noVBand="1" w:val="04A0"/>
        <w:tblInd w:w="120" w:type="dxa"/>
      </w:tblPr>
      <w:tblGrid>
        <w:gridCol w:w="4548"/>
        <w:gridCol w:w="4548"/>
        <w:gridCol w:w="4550"/>
      </w:tblGrid>
      <w:tr>
        <w:trPr>
          <w:cantSplit/>
          <w:tblHeader w:val="true"/>
        </w:trPr>
        <w:tc>
          <w:tcPr>
            <w:tcW w:type="dxa" w:w="4548"/>
            <w:vAlign w:val="center"/>
            <w:shd w:fill="EAF0F4"/>
          </w:tcPr>
          <w:p>
            <w:pPr>
              <w:spacing w:before="20" w:after="20" w:line="240" w:lineRule="auto"/>
            </w:pPr>
            <w:r>
              <w:rPr>
                <w:rFonts w:ascii="Times New Roman" w:hAnsi="Times New Roman" w:eastAsia="SimSun"/>
                <w:b/>
                <w:sz w:val="16"/>
              </w:rPr>
              <w:t>项目</w:t>
            </w:r>
          </w:p>
        </w:tc>
        <w:tc>
          <w:tcPr>
            <w:tcW w:type="dxa" w:w="4548"/>
            <w:vAlign w:val="center"/>
            <w:shd w:fill="EAF0F4"/>
          </w:tcPr>
          <w:p>
            <w:pPr>
              <w:spacing w:before="20" w:after="20" w:line="240" w:lineRule="auto"/>
            </w:pPr>
            <w:r>
              <w:rPr>
                <w:rFonts w:ascii="Times New Roman" w:hAnsi="Times New Roman" w:eastAsia="SimSun"/>
                <w:b/>
                <w:sz w:val="16"/>
              </w:rPr>
              <w:t>机器结果</w:t>
            </w:r>
          </w:p>
        </w:tc>
        <w:tc>
          <w:tcPr>
            <w:tcW w:type="dxa" w:w="4550"/>
            <w:vAlign w:val="center"/>
            <w:shd w:fill="EAF0F4"/>
          </w:tcPr>
          <w:p>
            <w:pPr>
              <w:spacing w:before="20" w:after="20" w:line="240" w:lineRule="auto"/>
            </w:pPr>
            <w:r>
              <w:rPr>
                <w:rFonts w:ascii="Times New Roman" w:hAnsi="Times New Roman" w:eastAsia="SimSun"/>
                <w:b/>
                <w:sz w:val="16"/>
              </w:rPr>
              <w:t>正文解释</w:t>
            </w:r>
          </w:p>
        </w:tc>
      </w:tr>
      <w:tr>
        <w:trPr>
          <w:cantSplit/>
        </w:trPr>
        <w:tc>
          <w:tcPr>
            <w:tcW w:type="dxa" w:w="4548"/>
            <w:vAlign w:val="center"/>
          </w:tcPr>
          <w:p>
            <w:pPr>
              <w:spacing w:before="20" w:after="20" w:line="240" w:lineRule="auto"/>
            </w:pPr>
            <w:r>
              <w:rPr>
                <w:rFonts w:ascii="Times New Roman" w:hAnsi="Times New Roman" w:eastAsia="SimSun"/>
                <w:b w:val="0"/>
                <w:sz w:val="16"/>
              </w:rPr>
              <w:t>中等网格垂荡 RAO</w:t>
            </w:r>
          </w:p>
        </w:tc>
        <w:tc>
          <w:tcPr>
            <w:tcW w:type="dxa" w:w="4548"/>
            <w:vAlign w:val="center"/>
          </w:tcPr>
          <w:p>
            <w:pPr>
              <w:spacing w:before="20" w:after="20" w:line="240" w:lineRule="auto"/>
            </w:pPr>
            <w:r>
              <w:rPr>
                <w:rFonts w:ascii="Times New Roman" w:hAnsi="Times New Roman" w:eastAsia="SimSun"/>
                <w:b w:val="0"/>
                <w:sz w:val="16"/>
              </w:rPr>
              <w:t>1.113483 m/m</w:t>
            </w:r>
          </w:p>
        </w:tc>
        <w:tc>
          <w:tcPr>
            <w:tcW w:type="dxa" w:w="4550"/>
            <w:vAlign w:val="center"/>
          </w:tcPr>
          <w:p>
            <w:pPr>
              <w:spacing w:before="20" w:after="20" w:line="240" w:lineRule="auto"/>
            </w:pPr>
            <w:r>
              <w:rPr>
                <w:rFonts w:ascii="Times New Roman" w:hAnsi="Times New Roman" w:eastAsia="SimSun"/>
                <w:b w:val="0"/>
                <w:sz w:val="16"/>
              </w:rPr>
              <w:t>离散频率样本峰值；未称网格收敛</w:t>
            </w:r>
          </w:p>
        </w:tc>
      </w:tr>
      <w:tr>
        <w:trPr>
          <w:cantSplit/>
        </w:trPr>
        <w:tc>
          <w:tcPr>
            <w:tcW w:type="dxa" w:w="4548"/>
            <w:vAlign w:val="center"/>
          </w:tcPr>
          <w:p>
            <w:pPr>
              <w:spacing w:before="20" w:after="20" w:line="240" w:lineRule="auto"/>
            </w:pPr>
            <w:r>
              <w:rPr>
                <w:rFonts w:ascii="Times New Roman" w:hAnsi="Times New Roman" w:eastAsia="SimSun"/>
                <w:b w:val="0"/>
                <w:sz w:val="16"/>
              </w:rPr>
              <w:t>网格判据</w:t>
            </w:r>
          </w:p>
        </w:tc>
        <w:tc>
          <w:tcPr>
            <w:tcW w:type="dxa" w:w="4548"/>
            <w:vAlign w:val="center"/>
          </w:tcPr>
          <w:p>
            <w:pPr>
              <w:spacing w:before="20" w:after="20" w:line="240" w:lineRule="auto"/>
            </w:pPr>
            <w:r>
              <w:rPr>
                <w:rFonts w:ascii="Times New Roman" w:hAnsi="Times New Roman" w:eastAsia="SimSun"/>
                <w:b w:val="0"/>
                <w:sz w:val="16"/>
              </w:rPr>
              <w:t>FAIL</w:t>
            </w:r>
          </w:p>
        </w:tc>
        <w:tc>
          <w:tcPr>
            <w:tcW w:type="dxa" w:w="4550"/>
            <w:vAlign w:val="center"/>
          </w:tcPr>
          <w:p>
            <w:pPr>
              <w:spacing w:before="20" w:after="20" w:line="240" w:lineRule="auto"/>
            </w:pPr>
            <w:r>
              <w:rPr>
                <w:rFonts w:ascii="Times New Roman" w:hAnsi="Times New Roman" w:eastAsia="SimSun"/>
                <w:b w:val="0"/>
                <w:sz w:val="16"/>
              </w:rPr>
              <w:t>medium-to-fine 最大选定变化 5.88%，阈值 5%</w:t>
            </w:r>
          </w:p>
        </w:tc>
      </w:tr>
      <w:tr>
        <w:trPr>
          <w:cantSplit/>
        </w:trPr>
        <w:tc>
          <w:tcPr>
            <w:tcW w:type="dxa" w:w="4548"/>
            <w:vAlign w:val="center"/>
          </w:tcPr>
          <w:p>
            <w:pPr>
              <w:spacing w:before="20" w:after="20" w:line="240" w:lineRule="auto"/>
            </w:pPr>
            <w:r>
              <w:rPr>
                <w:rFonts w:ascii="Times New Roman" w:hAnsi="Times New Roman" w:eastAsia="SimSun"/>
                <w:b w:val="0"/>
                <w:sz w:val="16"/>
              </w:rPr>
              <w:t>随机波线性有效</w:t>
            </w:r>
          </w:p>
        </w:tc>
        <w:tc>
          <w:tcPr>
            <w:tcW w:type="dxa" w:w="4548"/>
            <w:vAlign w:val="center"/>
          </w:tcPr>
          <w:p>
            <w:pPr>
              <w:spacing w:before="20" w:after="20" w:line="240" w:lineRule="auto"/>
            </w:pPr>
            <w:r>
              <w:rPr>
                <w:rFonts w:ascii="Times New Roman" w:hAnsi="Times New Roman" w:eastAsia="SimSun"/>
                <w:b w:val="0"/>
                <w:sz w:val="16"/>
              </w:rPr>
              <w:t>41/63</w:t>
            </w:r>
          </w:p>
        </w:tc>
        <w:tc>
          <w:tcPr>
            <w:tcW w:type="dxa" w:w="4550"/>
            <w:vAlign w:val="center"/>
          </w:tcPr>
          <w:p>
            <w:pPr>
              <w:spacing w:before="20" w:after="20" w:line="240" w:lineRule="auto"/>
            </w:pPr>
            <w:r>
              <w:rPr>
                <w:rFonts w:ascii="Times New Roman" w:hAnsi="Times New Roman" w:eastAsia="SimSun"/>
                <w:b w:val="0"/>
                <w:sz w:val="16"/>
              </w:rPr>
              <w:t>失效工况不作作业海况或成功率结论</w:t>
            </w:r>
          </w:p>
        </w:tc>
      </w:tr>
      <w:tr>
        <w:trPr>
          <w:cantSplit/>
        </w:trPr>
        <w:tc>
          <w:tcPr>
            <w:tcW w:type="dxa" w:w="4548"/>
            <w:vAlign w:val="center"/>
          </w:tcPr>
          <w:p>
            <w:pPr>
              <w:spacing w:before="20" w:after="20" w:line="240" w:lineRule="auto"/>
            </w:pPr>
            <w:r>
              <w:rPr>
                <w:rFonts w:ascii="Times New Roman" w:hAnsi="Times New Roman" w:eastAsia="SimSun"/>
                <w:b w:val="0"/>
                <w:sz w:val="16"/>
              </w:rPr>
              <w:t>耦合迭代</w:t>
            </w:r>
          </w:p>
        </w:tc>
        <w:tc>
          <w:tcPr>
            <w:tcW w:type="dxa" w:w="4548"/>
            <w:vAlign w:val="center"/>
          </w:tcPr>
          <w:p>
            <w:pPr>
              <w:spacing w:before="20" w:after="20" w:line="240" w:lineRule="auto"/>
            </w:pPr>
            <w:r>
              <w:rPr>
                <w:rFonts w:ascii="Times New Roman" w:hAnsi="Times New Roman" w:eastAsia="SimSun"/>
                <w:b w:val="0"/>
                <w:sz w:val="16"/>
              </w:rPr>
              <w:t>True</w:t>
            </w:r>
          </w:p>
        </w:tc>
        <w:tc>
          <w:tcPr>
            <w:tcW w:type="dxa" w:w="4550"/>
            <w:vAlign w:val="center"/>
          </w:tcPr>
          <w:p>
            <w:pPr>
              <w:spacing w:before="20" w:after="20" w:line="240" w:lineRule="auto"/>
            </w:pPr>
            <w:r>
              <w:rPr>
                <w:rFonts w:ascii="Times New Roman" w:hAnsi="Times New Roman" w:eastAsia="SimSun"/>
                <w:b w:val="0"/>
                <w:sz w:val="16"/>
              </w:rPr>
              <w:t>四次固定点的最后一次更新满足 2%</w:t>
            </w:r>
          </w:p>
        </w:tc>
      </w:tr>
      <w:tr>
        <w:trPr>
          <w:cantSplit/>
        </w:trPr>
        <w:tc>
          <w:tcPr>
            <w:tcW w:type="dxa" w:w="4548"/>
            <w:vAlign w:val="center"/>
          </w:tcPr>
          <w:p>
            <w:pPr>
              <w:spacing w:before="20" w:after="20" w:line="240" w:lineRule="auto"/>
            </w:pPr>
            <w:r>
              <w:rPr>
                <w:rFonts w:ascii="Times New Roman" w:hAnsi="Times New Roman" w:eastAsia="SimSun"/>
                <w:b w:val="0"/>
                <w:sz w:val="16"/>
              </w:rPr>
              <w:t>接触时间步</w:t>
            </w:r>
          </w:p>
        </w:tc>
        <w:tc>
          <w:tcPr>
            <w:tcW w:type="dxa" w:w="4548"/>
            <w:vAlign w:val="center"/>
          </w:tcPr>
          <w:p>
            <w:pPr>
              <w:spacing w:before="20" w:after="20" w:line="240" w:lineRule="auto"/>
            </w:pPr>
            <w:r>
              <w:rPr>
                <w:rFonts w:ascii="Times New Roman" w:hAnsi="Times New Roman" w:eastAsia="SimSun"/>
                <w:b w:val="0"/>
                <w:sz w:val="16"/>
              </w:rPr>
              <w:t>False</w:t>
            </w:r>
          </w:p>
        </w:tc>
        <w:tc>
          <w:tcPr>
            <w:tcW w:type="dxa" w:w="4550"/>
            <w:vAlign w:val="center"/>
          </w:tcPr>
          <w:p>
            <w:pPr>
              <w:spacing w:before="20" w:after="20" w:line="240" w:lineRule="auto"/>
            </w:pPr>
            <w:r>
              <w:rPr>
                <w:rFonts w:ascii="Times New Roman" w:hAnsi="Times New Roman" w:eastAsia="SimSun"/>
                <w:b w:val="0"/>
                <w:sz w:val="16"/>
              </w:rPr>
              <w:t>峰值力、行程和触地时序不同时收敛</w:t>
            </w:r>
          </w:p>
        </w:tc>
      </w:tr>
      <w:tr>
        <w:trPr>
          <w:cantSplit/>
        </w:trPr>
        <w:tc>
          <w:tcPr>
            <w:tcW w:type="dxa" w:w="4548"/>
            <w:vAlign w:val="center"/>
          </w:tcPr>
          <w:p>
            <w:pPr>
              <w:spacing w:before="20" w:after="20" w:line="240" w:lineRule="auto"/>
            </w:pPr>
            <w:r>
              <w:rPr>
                <w:rFonts w:ascii="Times New Roman" w:hAnsi="Times New Roman" w:eastAsia="SimSun"/>
                <w:b w:val="0"/>
                <w:sz w:val="16"/>
              </w:rPr>
              <w:t>接触载荷资格</w:t>
            </w:r>
          </w:p>
        </w:tc>
        <w:tc>
          <w:tcPr>
            <w:tcW w:type="dxa" w:w="4548"/>
            <w:vAlign w:val="center"/>
          </w:tcPr>
          <w:p>
            <w:pPr>
              <w:spacing w:before="20" w:after="20" w:line="240" w:lineRule="auto"/>
            </w:pPr>
            <w:r>
              <w:rPr>
                <w:rFonts w:ascii="Times New Roman" w:hAnsi="Times New Roman" w:eastAsia="SimSun"/>
                <w:b w:val="0"/>
                <w:sz w:val="16"/>
              </w:rPr>
              <w:t>False</w:t>
            </w:r>
          </w:p>
        </w:tc>
        <w:tc>
          <w:tcPr>
            <w:tcW w:type="dxa" w:w="4550"/>
            <w:vAlign w:val="center"/>
          </w:tcPr>
          <w:p>
            <w:pPr>
              <w:spacing w:before="20" w:after="20" w:line="240" w:lineRule="auto"/>
            </w:pPr>
            <w:r>
              <w:rPr>
                <w:rFonts w:ascii="Times New Roman" w:hAnsi="Times New Roman" w:eastAsia="SimSun"/>
                <w:b w:val="0"/>
                <w:sz w:val="16"/>
              </w:rPr>
              <w:t>不得作为真实型号设计载荷</w:t>
            </w:r>
          </w:p>
        </w:tc>
      </w:tr>
      <w:tr>
        <w:trPr>
          <w:cantSplit/>
        </w:trPr>
        <w:tc>
          <w:tcPr>
            <w:tcW w:type="dxa" w:w="4548"/>
            <w:vAlign w:val="center"/>
          </w:tcPr>
          <w:p>
            <w:pPr>
              <w:spacing w:before="20" w:after="20" w:line="240" w:lineRule="auto"/>
            </w:pPr>
            <w:r>
              <w:rPr>
                <w:rFonts w:ascii="Times New Roman" w:hAnsi="Times New Roman" w:eastAsia="SimSun"/>
                <w:b w:val="0"/>
                <w:sz w:val="16"/>
              </w:rPr>
              <w:t>稳定站立</w:t>
            </w:r>
          </w:p>
        </w:tc>
        <w:tc>
          <w:tcPr>
            <w:tcW w:type="dxa" w:w="4548"/>
            <w:vAlign w:val="center"/>
          </w:tcPr>
          <w:p>
            <w:pPr>
              <w:spacing w:before="20" w:after="20" w:line="240" w:lineRule="auto"/>
            </w:pPr>
            <w:r>
              <w:rPr>
                <w:rFonts w:ascii="Times New Roman" w:hAnsi="Times New Roman" w:eastAsia="SimSun"/>
                <w:b w:val="0"/>
                <w:sz w:val="16"/>
              </w:rPr>
              <w:t>False</w:t>
            </w:r>
          </w:p>
        </w:tc>
        <w:tc>
          <w:tcPr>
            <w:tcW w:type="dxa" w:w="4550"/>
            <w:vAlign w:val="center"/>
          </w:tcPr>
          <w:p>
            <w:pPr>
              <w:spacing w:before="20" w:after="20" w:line="240" w:lineRule="auto"/>
            </w:pPr>
            <w:r>
              <w:rPr>
                <w:rFonts w:ascii="Times New Roman" w:hAnsi="Times New Roman" w:eastAsia="SimSun"/>
                <w:b w:val="0"/>
                <w:sz w:val="16"/>
              </w:rPr>
              <w:t>动画只能描述当前 20 s 接触过程</w:t>
            </w:r>
          </w:p>
        </w:tc>
      </w:tr>
    </w:tbl>
    <w:p>
      <w:pPr>
        <w:spacing w:after="20"/>
      </w:pPr>
    </w:p>
    <w:p>
      <w:pPr>
        <w:pStyle w:val="Heading1"/>
      </w:pPr>
      <w:r>
        <w:t>4. 正文数值锁定</w:t>
      </w:r>
    </w:p>
    <w:tbl>
      <w:tblPr>
        <w:tblStyle w:val="TableGrid"/>
        <w:tblW w:type="dxa" w:w="13646"/>
        <w:jc w:val="center"/>
        <w:tblLayout w:type="fixed"/>
        <w:tblLook w:firstColumn="1" w:firstRow="1" w:lastColumn="0" w:lastRow="0" w:noHBand="0" w:noVBand="1" w:val="04A0"/>
        <w:tblInd w:w="120" w:type="dxa"/>
      </w:tblPr>
      <w:tblGrid>
        <w:gridCol w:w="2456"/>
        <w:gridCol w:w="2456"/>
        <w:gridCol w:w="2456"/>
        <w:gridCol w:w="5185"/>
        <w:gridCol w:w="1093"/>
      </w:tblGrid>
      <w:tr>
        <w:trPr>
          <w:cantSplit/>
          <w:tblHeader w:val="true"/>
        </w:trPr>
        <w:tc>
          <w:tcPr>
            <w:tcW w:type="dxa" w:w="2456"/>
            <w:vAlign w:val="center"/>
            <w:shd w:fill="EAF0F4"/>
          </w:tcPr>
          <w:p>
            <w:pPr>
              <w:spacing w:before="20" w:after="20" w:line="240" w:lineRule="auto"/>
            </w:pPr>
            <w:r>
              <w:rPr>
                <w:rFonts w:ascii="Times New Roman" w:hAnsi="Times New Roman" w:eastAsia="SimSun"/>
                <w:b/>
                <w:sz w:val="16"/>
              </w:rPr>
              <w:t>声明</w:t>
            </w:r>
          </w:p>
        </w:tc>
        <w:tc>
          <w:tcPr>
            <w:tcW w:type="dxa" w:w="2456"/>
            <w:vAlign w:val="center"/>
            <w:shd w:fill="EAF0F4"/>
          </w:tcPr>
          <w:p>
            <w:pPr>
              <w:spacing w:before="20" w:after="20" w:line="240" w:lineRule="auto"/>
            </w:pPr>
            <w:r>
              <w:rPr>
                <w:rFonts w:ascii="Times New Roman" w:hAnsi="Times New Roman" w:eastAsia="SimSun"/>
                <w:b/>
                <w:sz w:val="16"/>
              </w:rPr>
              <w:t>正文字面值</w:t>
            </w:r>
          </w:p>
        </w:tc>
        <w:tc>
          <w:tcPr>
            <w:tcW w:type="dxa" w:w="2456"/>
            <w:vAlign w:val="center"/>
            <w:shd w:fill="EAF0F4"/>
          </w:tcPr>
          <w:p>
            <w:pPr>
              <w:spacing w:before="20" w:after="20" w:line="240" w:lineRule="auto"/>
            </w:pPr>
            <w:r>
              <w:rPr>
                <w:rFonts w:ascii="Times New Roman" w:hAnsi="Times New Roman" w:eastAsia="SimSun"/>
                <w:b/>
                <w:sz w:val="16"/>
              </w:rPr>
              <w:t>机器值</w:t>
            </w:r>
          </w:p>
        </w:tc>
        <w:tc>
          <w:tcPr>
            <w:tcW w:type="dxa" w:w="5185"/>
            <w:vAlign w:val="center"/>
            <w:shd w:fill="EAF0F4"/>
          </w:tcPr>
          <w:p>
            <w:pPr>
              <w:spacing w:before="20" w:after="20" w:line="240" w:lineRule="auto"/>
            </w:pPr>
            <w:r>
              <w:rPr>
                <w:rFonts w:ascii="Times New Roman" w:hAnsi="Times New Roman" w:eastAsia="SimSun"/>
                <w:b/>
                <w:sz w:val="16"/>
              </w:rPr>
              <w:t>来源</w:t>
            </w:r>
          </w:p>
        </w:tc>
        <w:tc>
          <w:tcPr>
            <w:tcW w:type="dxa" w:w="1093"/>
            <w:vAlign w:val="center"/>
            <w:shd w:fill="EAF0F4"/>
          </w:tcPr>
          <w:p>
            <w:pPr>
              <w:spacing w:before="20" w:after="20" w:line="240" w:lineRule="auto"/>
            </w:pPr>
            <w:r>
              <w:rPr>
                <w:rFonts w:ascii="Times New Roman" w:hAnsi="Times New Roman" w:eastAsia="SimSun"/>
                <w:b/>
                <w:sz w:val="16"/>
              </w:rPr>
              <w:t>存在</w:t>
            </w:r>
          </w:p>
        </w:tc>
      </w:tr>
      <w:tr>
        <w:trPr>
          <w:cantSplit/>
        </w:trPr>
        <w:tc>
          <w:tcPr>
            <w:tcW w:type="dxa" w:w="2456"/>
            <w:vAlign w:val="center"/>
          </w:tcPr>
          <w:p>
            <w:pPr>
              <w:spacing w:before="20" w:after="20" w:line="240" w:lineRule="auto"/>
            </w:pPr>
            <w:r>
              <w:rPr>
                <w:rFonts w:ascii="Times New Roman" w:hAnsi="Times New Roman" w:eastAsia="SimSun"/>
                <w:b w:val="0"/>
                <w:sz w:val="16"/>
              </w:rPr>
              <w:t>yangₛtrokeₚeak</w:t>
            </w:r>
          </w:p>
        </w:tc>
        <w:tc>
          <w:tcPr>
            <w:tcW w:type="dxa" w:w="2456"/>
            <w:vAlign w:val="center"/>
          </w:tcPr>
          <w:p>
            <w:pPr>
              <w:spacing w:before="20" w:after="20" w:line="240" w:lineRule="auto"/>
            </w:pPr>
            <w:r>
              <w:rPr>
                <w:rFonts w:ascii="Times New Roman" w:hAnsi="Times New Roman" w:eastAsia="SimSun"/>
                <w:b w:val="0"/>
                <w:sz w:val="16"/>
              </w:rPr>
              <w:t>within 4.1%</w:t>
            </w:r>
          </w:p>
        </w:tc>
        <w:tc>
          <w:tcPr>
            <w:tcW w:type="dxa" w:w="2456"/>
            <w:vAlign w:val="center"/>
          </w:tcPr>
          <w:p>
            <w:pPr>
              <w:spacing w:before="20" w:after="20" w:line="240" w:lineRule="auto"/>
            </w:pPr>
            <w:r>
              <w:rPr>
                <w:rFonts w:ascii="Times New Roman" w:hAnsi="Times New Roman" w:eastAsia="SimSun"/>
                <w:b w:val="0"/>
                <w:sz w:val="16"/>
              </w:rPr>
              <w:t>4.024010180541493</w:t>
            </w:r>
          </w:p>
        </w:tc>
        <w:tc>
          <w:tcPr>
            <w:tcW w:type="dxa" w:w="5185"/>
            <w:vAlign w:val="center"/>
          </w:tcPr>
          <w:p>
            <w:pPr>
              <w:spacing w:before="20" w:after="20" w:line="240" w:lineRule="auto"/>
            </w:pPr>
            <w:r>
              <w:rPr>
                <w:rFonts w:ascii="Times New Roman" w:hAnsi="Times New Roman" w:eastAsia="SimSun"/>
                <w:b w:val="0"/>
                <w:sz w:val="16"/>
              </w:rPr>
              <w:t>RocketRecoveryCases/Paper_Yang_2026/identified_landing_model/yang-2026-identified-landing-report.json</w:t>
            </w:r>
          </w:p>
        </w:tc>
        <w:tc>
          <w:tcPr>
            <w:tcW w:type="dxa" w:w="1093"/>
            <w:vAlign w:val="center"/>
          </w:tcPr>
          <w:p>
            <w:pPr>
              <w:spacing w:before="20" w:after="20" w:line="240" w:lineRule="auto"/>
            </w:pPr>
            <w:r>
              <w:rPr>
                <w:rFonts w:ascii="Times New Roman" w:hAnsi="Times New Roman" w:eastAsia="SimSun"/>
                <w:b w:val="0"/>
                <w:sz w:val="16"/>
              </w:rPr>
              <w:t>是</w:t>
            </w:r>
          </w:p>
        </w:tc>
      </w:tr>
      <w:tr>
        <w:trPr>
          <w:cantSplit/>
        </w:trPr>
        <w:tc>
          <w:tcPr>
            <w:tcW w:type="dxa" w:w="2456"/>
            <w:vAlign w:val="center"/>
          </w:tcPr>
          <w:p>
            <w:pPr>
              <w:spacing w:before="20" w:after="20" w:line="240" w:lineRule="auto"/>
            </w:pPr>
            <w:r>
              <w:rPr>
                <w:rFonts w:ascii="Times New Roman" w:hAnsi="Times New Roman" w:eastAsia="SimSun"/>
                <w:b w:val="0"/>
                <w:sz w:val="16"/>
              </w:rPr>
              <w:t>yang_near_optimal</w:t>
            </w:r>
          </w:p>
        </w:tc>
        <w:tc>
          <w:tcPr>
            <w:tcW w:type="dxa" w:w="2456"/>
            <w:vAlign w:val="center"/>
          </w:tcPr>
          <w:p>
            <w:pPr>
              <w:spacing w:before="20" w:after="20" w:line="240" w:lineRule="auto"/>
            </w:pPr>
            <w:r>
              <w:rPr>
                <w:rFonts w:ascii="Times New Roman" w:hAnsi="Times New Roman" w:eastAsia="SimSun"/>
                <w:b w:val="0"/>
                <w:sz w:val="16"/>
              </w:rPr>
              <w:t>127 of 128</w:t>
            </w:r>
          </w:p>
        </w:tc>
        <w:tc>
          <w:tcPr>
            <w:tcW w:type="dxa" w:w="2456"/>
            <w:vAlign w:val="center"/>
          </w:tcPr>
          <w:p>
            <w:pPr>
              <w:spacing w:before="20" w:after="20" w:line="240" w:lineRule="auto"/>
            </w:pPr>
            <w:r>
              <w:rPr>
                <w:rFonts w:ascii="Times New Roman" w:hAnsi="Times New Roman" w:eastAsia="SimSun"/>
                <w:b w:val="0"/>
                <w:sz w:val="16"/>
              </w:rPr>
              <w:t>[127, 128]</w:t>
            </w:r>
          </w:p>
        </w:tc>
        <w:tc>
          <w:tcPr>
            <w:tcW w:type="dxa" w:w="5185"/>
            <w:vAlign w:val="center"/>
          </w:tcPr>
          <w:p>
            <w:pPr>
              <w:spacing w:before="20" w:after="20" w:line="240" w:lineRule="auto"/>
            </w:pPr>
            <w:r>
              <w:rPr>
                <w:rFonts w:ascii="Times New Roman" w:hAnsi="Times New Roman" w:eastAsia="SimSun"/>
                <w:b w:val="0"/>
                <w:sz w:val="16"/>
              </w:rPr>
              <w:t>RocketRecoveryCases/Paper_Yang_2026/identified_landing_model/yang-2026-identifiability-report.json</w:t>
            </w:r>
          </w:p>
        </w:tc>
        <w:tc>
          <w:tcPr>
            <w:tcW w:type="dxa" w:w="1093"/>
            <w:vAlign w:val="center"/>
          </w:tcPr>
          <w:p>
            <w:pPr>
              <w:spacing w:before="20" w:after="20" w:line="240" w:lineRule="auto"/>
            </w:pPr>
            <w:r>
              <w:rPr>
                <w:rFonts w:ascii="Times New Roman" w:hAnsi="Times New Roman" w:eastAsia="SimSun"/>
                <w:b w:val="0"/>
                <w:sz w:val="16"/>
              </w:rPr>
              <w:t>是</w:t>
            </w:r>
          </w:p>
        </w:tc>
      </w:tr>
      <w:tr>
        <w:trPr>
          <w:cantSplit/>
        </w:trPr>
        <w:tc>
          <w:tcPr>
            <w:tcW w:type="dxa" w:w="2456"/>
            <w:vAlign w:val="center"/>
          </w:tcPr>
          <w:p>
            <w:pPr>
              <w:spacing w:before="20" w:after="20" w:line="240" w:lineRule="auto"/>
            </w:pPr>
            <w:r>
              <w:rPr>
                <w:rFonts w:ascii="Times New Roman" w:hAnsi="Times New Roman" w:eastAsia="SimSun"/>
                <w:b w:val="0"/>
                <w:sz w:val="16"/>
              </w:rPr>
              <w:t>mediumₕeave_rao</w:t>
            </w:r>
          </w:p>
        </w:tc>
        <w:tc>
          <w:tcPr>
            <w:tcW w:type="dxa" w:w="2456"/>
            <w:vAlign w:val="center"/>
          </w:tcPr>
          <w:p>
            <w:pPr>
              <w:spacing w:before="20" w:after="20" w:line="240" w:lineRule="auto"/>
            </w:pPr>
            <w:r>
              <w:rPr>
                <w:rFonts w:ascii="Times New Roman" w:hAnsi="Times New Roman" w:eastAsia="SimSun"/>
                <w:b w:val="0"/>
                <w:sz w:val="16"/>
              </w:rPr>
              <w:t>1.113 m/m</w:t>
            </w:r>
          </w:p>
        </w:tc>
        <w:tc>
          <w:tcPr>
            <w:tcW w:type="dxa" w:w="2456"/>
            <w:vAlign w:val="center"/>
          </w:tcPr>
          <w:p>
            <w:pPr>
              <w:spacing w:before="20" w:after="20" w:line="240" w:lineRule="auto"/>
            </w:pPr>
            <w:r>
              <w:rPr>
                <w:rFonts w:ascii="Times New Roman" w:hAnsi="Times New Roman" w:eastAsia="SimSun"/>
                <w:b w:val="0"/>
                <w:sz w:val="16"/>
              </w:rPr>
              <w:t>1.113483</w:t>
            </w:r>
          </w:p>
        </w:tc>
        <w:tc>
          <w:tcPr>
            <w:tcW w:type="dxa" w:w="5185"/>
            <w:vAlign w:val="center"/>
          </w:tcPr>
          <w:p>
            <w:pPr>
              <w:spacing w:before="20" w:after="20" w:line="240" w:lineRule="auto"/>
            </w:pPr>
            <w:r>
              <w:rPr>
                <w:rFonts w:ascii="Times New Roman" w:hAnsi="Times New Roman" w:eastAsia="SimSun"/>
                <w:b w:val="0"/>
                <w:sz w:val="16"/>
              </w:rPr>
              <w:t>RocketRecoveryCases/Barge_120x50/Output/RocketRecovery/deck-point-rao-medium.json</w:t>
            </w:r>
          </w:p>
        </w:tc>
        <w:tc>
          <w:tcPr>
            <w:tcW w:type="dxa" w:w="1093"/>
            <w:vAlign w:val="center"/>
          </w:tcPr>
          <w:p>
            <w:pPr>
              <w:spacing w:before="20" w:after="20" w:line="240" w:lineRule="auto"/>
            </w:pPr>
            <w:r>
              <w:rPr>
                <w:rFonts w:ascii="Times New Roman" w:hAnsi="Times New Roman" w:eastAsia="SimSun"/>
                <w:b w:val="0"/>
                <w:sz w:val="16"/>
              </w:rPr>
              <w:t>是</w:t>
            </w:r>
          </w:p>
        </w:tc>
      </w:tr>
      <w:tr>
        <w:trPr>
          <w:cantSplit/>
        </w:trPr>
        <w:tc>
          <w:tcPr>
            <w:tcW w:type="dxa" w:w="2456"/>
            <w:vAlign w:val="center"/>
          </w:tcPr>
          <w:p>
            <w:pPr>
              <w:spacing w:before="20" w:after="20" w:line="240" w:lineRule="auto"/>
            </w:pPr>
            <w:r>
              <w:rPr>
                <w:rFonts w:ascii="Times New Roman" w:hAnsi="Times New Roman" w:eastAsia="SimSun"/>
                <w:b w:val="0"/>
                <w:sz w:val="16"/>
              </w:rPr>
              <w:t>mesh_medium_fine</w:t>
            </w:r>
          </w:p>
        </w:tc>
        <w:tc>
          <w:tcPr>
            <w:tcW w:type="dxa" w:w="2456"/>
            <w:vAlign w:val="center"/>
          </w:tcPr>
          <w:p>
            <w:pPr>
              <w:spacing w:before="20" w:after="20" w:line="240" w:lineRule="auto"/>
            </w:pPr>
            <w:r>
              <w:rPr>
                <w:rFonts w:ascii="Times New Roman" w:hAnsi="Times New Roman" w:eastAsia="SimSun"/>
                <w:b w:val="0"/>
                <w:sz w:val="16"/>
              </w:rPr>
              <w:t>5.88%</w:t>
            </w:r>
          </w:p>
        </w:tc>
        <w:tc>
          <w:tcPr>
            <w:tcW w:type="dxa" w:w="2456"/>
            <w:vAlign w:val="center"/>
          </w:tcPr>
          <w:p>
            <w:pPr>
              <w:spacing w:before="20" w:after="20" w:line="240" w:lineRule="auto"/>
            </w:pPr>
            <w:r>
              <w:rPr>
                <w:rFonts w:ascii="Times New Roman" w:hAnsi="Times New Roman" w:eastAsia="SimSun"/>
                <w:b w:val="0"/>
                <w:sz w:val="16"/>
              </w:rPr>
              <w:t>5.879837438854719</w:t>
            </w:r>
          </w:p>
        </w:tc>
        <w:tc>
          <w:tcPr>
            <w:tcW w:type="dxa" w:w="5185"/>
            <w:vAlign w:val="center"/>
          </w:tcPr>
          <w:p>
            <w:pPr>
              <w:spacing w:before="20" w:after="20" w:line="240" w:lineRule="auto"/>
            </w:pPr>
            <w:r>
              <w:rPr>
                <w:rFonts w:ascii="Times New Roman" w:hAnsi="Times New Roman" w:eastAsia="SimSun"/>
                <w:b w:val="0"/>
                <w:sz w:val="16"/>
              </w:rPr>
              <w:t>RocketRecoveryCases/Barge_120x50/validation/barge-hydrodynamic-convergence.json</w:t>
            </w:r>
          </w:p>
        </w:tc>
        <w:tc>
          <w:tcPr>
            <w:tcW w:type="dxa" w:w="1093"/>
            <w:vAlign w:val="center"/>
          </w:tcPr>
          <w:p>
            <w:pPr>
              <w:spacing w:before="20" w:after="20" w:line="240" w:lineRule="auto"/>
            </w:pPr>
            <w:r>
              <w:rPr>
                <w:rFonts w:ascii="Times New Roman" w:hAnsi="Times New Roman" w:eastAsia="SimSun"/>
                <w:b w:val="0"/>
                <w:sz w:val="16"/>
              </w:rPr>
              <w:t>是</w:t>
            </w:r>
          </w:p>
        </w:tc>
      </w:tr>
      <w:tr>
        <w:trPr>
          <w:cantSplit/>
        </w:trPr>
        <w:tc>
          <w:tcPr>
            <w:tcW w:type="dxa" w:w="2456"/>
            <w:vAlign w:val="center"/>
          </w:tcPr>
          <w:p>
            <w:pPr>
              <w:spacing w:before="20" w:after="20" w:line="240" w:lineRule="auto"/>
            </w:pPr>
            <w:r>
              <w:rPr>
                <w:rFonts w:ascii="Times New Roman" w:hAnsi="Times New Roman" w:eastAsia="SimSun"/>
                <w:b w:val="0"/>
                <w:sz w:val="16"/>
              </w:rPr>
              <w:t>centerₚ95</w:t>
            </w:r>
          </w:p>
        </w:tc>
        <w:tc>
          <w:tcPr>
            <w:tcW w:type="dxa" w:w="2456"/>
            <w:vAlign w:val="center"/>
          </w:tcPr>
          <w:p>
            <w:pPr>
              <w:spacing w:before="20" w:after="20" w:line="240" w:lineRule="auto"/>
            </w:pPr>
            <w:r>
              <w:rPr>
                <w:rFonts w:ascii="Times New Roman" w:hAnsi="Times New Roman" w:eastAsia="SimSun"/>
                <w:b w:val="0"/>
                <w:sz w:val="16"/>
              </w:rPr>
              <w:t>1.570 m/s</w:t>
            </w:r>
          </w:p>
        </w:tc>
        <w:tc>
          <w:tcPr>
            <w:tcW w:type="dxa" w:w="2456"/>
            <w:vAlign w:val="center"/>
          </w:tcPr>
          <w:p>
            <w:pPr>
              <w:spacing w:before="20" w:after="20" w:line="240" w:lineRule="auto"/>
            </w:pPr>
            <w:r>
              <w:rPr>
                <w:rFonts w:ascii="Times New Roman" w:hAnsi="Times New Roman" w:eastAsia="SimSun"/>
                <w:b w:val="0"/>
                <w:sz w:val="16"/>
              </w:rPr>
              <w:t>1.570142137428662</w:t>
            </w:r>
          </w:p>
        </w:tc>
        <w:tc>
          <w:tcPr>
            <w:tcW w:type="dxa" w:w="5185"/>
            <w:vAlign w:val="center"/>
          </w:tcPr>
          <w:p>
            <w:pPr>
              <w:spacing w:before="20" w:after="20" w:line="240" w:lineRule="auto"/>
            </w:pPr>
            <w:r>
              <w:rPr>
                <w:rFonts w:ascii="Times New Roman" w:hAnsi="Times New Roman" w:eastAsia="SimSun"/>
                <w:b w:val="0"/>
                <w:sz w:val="16"/>
              </w:rPr>
              <w:t>RocketRecoveryCases/Barge_120x50/Output/RocketRecovery/wave-sensitivity-revision-600s.json</w:t>
            </w:r>
          </w:p>
        </w:tc>
        <w:tc>
          <w:tcPr>
            <w:tcW w:type="dxa" w:w="1093"/>
            <w:vAlign w:val="center"/>
          </w:tcPr>
          <w:p>
            <w:pPr>
              <w:spacing w:before="20" w:after="20" w:line="240" w:lineRule="auto"/>
            </w:pPr>
            <w:r>
              <w:rPr>
                <w:rFonts w:ascii="Times New Roman" w:hAnsi="Times New Roman" w:eastAsia="SimSun"/>
                <w:b w:val="0"/>
                <w:sz w:val="16"/>
              </w:rPr>
              <w:t>是</w:t>
            </w:r>
          </w:p>
        </w:tc>
      </w:tr>
      <w:tr>
        <w:trPr>
          <w:cantSplit/>
        </w:trPr>
        <w:tc>
          <w:tcPr>
            <w:tcW w:type="dxa" w:w="2456"/>
            <w:vAlign w:val="center"/>
          </w:tcPr>
          <w:p>
            <w:pPr>
              <w:spacing w:before="20" w:after="20" w:line="240" w:lineRule="auto"/>
            </w:pPr>
            <w:r>
              <w:rPr>
                <w:rFonts w:ascii="Times New Roman" w:hAnsi="Times New Roman" w:eastAsia="SimSun"/>
                <w:b w:val="0"/>
                <w:sz w:val="16"/>
              </w:rPr>
              <w:t>actual_feetₚ95</w:t>
            </w:r>
          </w:p>
        </w:tc>
        <w:tc>
          <w:tcPr>
            <w:tcW w:type="dxa" w:w="2456"/>
            <w:vAlign w:val="center"/>
          </w:tcPr>
          <w:p>
            <w:pPr>
              <w:spacing w:before="20" w:after="20" w:line="240" w:lineRule="auto"/>
            </w:pPr>
            <w:r>
              <w:rPr>
                <w:rFonts w:ascii="Times New Roman" w:hAnsi="Times New Roman" w:eastAsia="SimSun"/>
                <w:b w:val="0"/>
                <w:sz w:val="16"/>
              </w:rPr>
              <w:t>1.591 m/s</w:t>
            </w:r>
          </w:p>
        </w:tc>
        <w:tc>
          <w:tcPr>
            <w:tcW w:type="dxa" w:w="2456"/>
            <w:vAlign w:val="center"/>
          </w:tcPr>
          <w:p>
            <w:pPr>
              <w:spacing w:before="20" w:after="20" w:line="240" w:lineRule="auto"/>
            </w:pPr>
            <w:r>
              <w:rPr>
                <w:rFonts w:ascii="Times New Roman" w:hAnsi="Times New Roman" w:eastAsia="SimSun"/>
                <w:b w:val="0"/>
                <w:sz w:val="16"/>
              </w:rPr>
              <w:t>1.5912185953541447</w:t>
            </w:r>
          </w:p>
        </w:tc>
        <w:tc>
          <w:tcPr>
            <w:tcW w:type="dxa" w:w="5185"/>
            <w:vAlign w:val="center"/>
          </w:tcPr>
          <w:p>
            <w:pPr>
              <w:spacing w:before="20" w:after="20" w:line="240" w:lineRule="auto"/>
            </w:pPr>
            <w:r>
              <w:rPr>
                <w:rFonts w:ascii="Times New Roman" w:hAnsi="Times New Roman" w:eastAsia="SimSun"/>
                <w:b w:val="0"/>
                <w:sz w:val="16"/>
              </w:rPr>
              <w:t>RocketRecoveryCases/Barge_120x50/Output/RocketRecovery/wave-sensitivity-revision-600s.json</w:t>
            </w:r>
          </w:p>
        </w:tc>
        <w:tc>
          <w:tcPr>
            <w:tcW w:type="dxa" w:w="1093"/>
            <w:vAlign w:val="center"/>
          </w:tcPr>
          <w:p>
            <w:pPr>
              <w:spacing w:before="20" w:after="20" w:line="240" w:lineRule="auto"/>
            </w:pPr>
            <w:r>
              <w:rPr>
                <w:rFonts w:ascii="Times New Roman" w:hAnsi="Times New Roman" w:eastAsia="SimSun"/>
                <w:b w:val="0"/>
                <w:sz w:val="16"/>
              </w:rPr>
              <w:t>是</w:t>
            </w:r>
          </w:p>
        </w:tc>
      </w:tr>
      <w:tr>
        <w:trPr>
          <w:cantSplit/>
        </w:trPr>
        <w:tc>
          <w:tcPr>
            <w:tcW w:type="dxa" w:w="2456"/>
            <w:vAlign w:val="center"/>
          </w:tcPr>
          <w:p>
            <w:pPr>
              <w:spacing w:before="20" w:after="20" w:line="240" w:lineRule="auto"/>
            </w:pPr>
            <w:r>
              <w:rPr>
                <w:rFonts w:ascii="Times New Roman" w:hAnsi="Times New Roman" w:eastAsia="SimSun"/>
                <w:b w:val="0"/>
                <w:sz w:val="16"/>
              </w:rPr>
              <w:t>valid_cases</w:t>
            </w:r>
          </w:p>
        </w:tc>
        <w:tc>
          <w:tcPr>
            <w:tcW w:type="dxa" w:w="2456"/>
            <w:vAlign w:val="center"/>
          </w:tcPr>
          <w:p>
            <w:pPr>
              <w:spacing w:before="20" w:after="20" w:line="240" w:lineRule="auto"/>
            </w:pPr>
            <w:r>
              <w:rPr>
                <w:rFonts w:ascii="Times New Roman" w:hAnsi="Times New Roman" w:eastAsia="SimSun"/>
                <w:b w:val="0"/>
                <w:sz w:val="16"/>
              </w:rPr>
              <w:t>41 of 63</w:t>
            </w:r>
          </w:p>
        </w:tc>
        <w:tc>
          <w:tcPr>
            <w:tcW w:type="dxa" w:w="2456"/>
            <w:vAlign w:val="center"/>
          </w:tcPr>
          <w:p>
            <w:pPr>
              <w:spacing w:before="20" w:after="20" w:line="240" w:lineRule="auto"/>
            </w:pPr>
            <w:r>
              <w:rPr>
                <w:rFonts w:ascii="Times New Roman" w:hAnsi="Times New Roman" w:eastAsia="SimSun"/>
                <w:b w:val="0"/>
                <w:sz w:val="16"/>
              </w:rPr>
              <w:t>[41, 63]</w:t>
            </w:r>
          </w:p>
        </w:tc>
        <w:tc>
          <w:tcPr>
            <w:tcW w:type="dxa" w:w="5185"/>
            <w:vAlign w:val="center"/>
          </w:tcPr>
          <w:p>
            <w:pPr>
              <w:spacing w:before="20" w:after="20" w:line="240" w:lineRule="auto"/>
            </w:pPr>
            <w:r>
              <w:rPr>
                <w:rFonts w:ascii="Times New Roman" w:hAnsi="Times New Roman" w:eastAsia="SimSun"/>
                <w:b w:val="0"/>
                <w:sz w:val="16"/>
              </w:rPr>
              <w:t>RocketRecoveryCases/Barge_120x50/Output/RocketRecovery/wave-sensitivity-revision-600s.json</w:t>
            </w:r>
          </w:p>
        </w:tc>
        <w:tc>
          <w:tcPr>
            <w:tcW w:type="dxa" w:w="1093"/>
            <w:vAlign w:val="center"/>
          </w:tcPr>
          <w:p>
            <w:pPr>
              <w:spacing w:before="20" w:after="20" w:line="240" w:lineRule="auto"/>
            </w:pPr>
            <w:r>
              <w:rPr>
                <w:rFonts w:ascii="Times New Roman" w:hAnsi="Times New Roman" w:eastAsia="SimSun"/>
                <w:b w:val="0"/>
                <w:sz w:val="16"/>
              </w:rPr>
              <w:t>是</w:t>
            </w:r>
          </w:p>
        </w:tc>
      </w:tr>
      <w:tr>
        <w:trPr>
          <w:cantSplit/>
        </w:trPr>
        <w:tc>
          <w:tcPr>
            <w:tcW w:type="dxa" w:w="2456"/>
            <w:vAlign w:val="center"/>
          </w:tcPr>
          <w:p>
            <w:pPr>
              <w:spacing w:before="20" w:after="20" w:line="240" w:lineRule="auto"/>
            </w:pPr>
            <w:r>
              <w:rPr>
                <w:rFonts w:ascii="Times New Roman" w:hAnsi="Times New Roman" w:eastAsia="SimSun"/>
                <w:b w:val="0"/>
                <w:sz w:val="16"/>
              </w:rPr>
              <w:t>touchdownₛpanₚroduction</w:t>
            </w:r>
          </w:p>
        </w:tc>
        <w:tc>
          <w:tcPr>
            <w:tcW w:type="dxa" w:w="2456"/>
            <w:vAlign w:val="center"/>
          </w:tcPr>
          <w:p>
            <w:pPr>
              <w:spacing w:before="20" w:after="20" w:line="240" w:lineRule="auto"/>
            </w:pPr>
            <w:r>
              <w:rPr>
                <w:rFonts w:ascii="Times New Roman" w:hAnsi="Times New Roman" w:eastAsia="SimSun"/>
                <w:b w:val="0"/>
                <w:sz w:val="16"/>
              </w:rPr>
              <w:t>0.229 s</w:t>
            </w:r>
          </w:p>
        </w:tc>
        <w:tc>
          <w:tcPr>
            <w:tcW w:type="dxa" w:w="2456"/>
            <w:vAlign w:val="center"/>
          </w:tcPr>
          <w:p>
            <w:pPr>
              <w:spacing w:before="20" w:after="20" w:line="240" w:lineRule="auto"/>
            </w:pPr>
            <w:r>
              <w:rPr>
                <w:rFonts w:ascii="Times New Roman" w:hAnsi="Times New Roman" w:eastAsia="SimSun"/>
                <w:b w:val="0"/>
                <w:sz w:val="16"/>
              </w:rPr>
              <w:t>0.228999999999985</w:t>
            </w:r>
          </w:p>
        </w:tc>
        <w:tc>
          <w:tcPr>
            <w:tcW w:type="dxa" w:w="5185"/>
            <w:vAlign w:val="center"/>
          </w:tcPr>
          <w:p>
            <w:pPr>
              <w:spacing w:before="20" w:after="20" w:line="240" w:lineRule="auto"/>
            </w:pPr>
            <w:r>
              <w:rPr>
                <w:rFonts w:ascii="Times New Roman" w:hAnsi="Times New Roman" w:eastAsia="SimSun"/>
                <w:b w:val="0"/>
                <w:sz w:val="16"/>
              </w:rPr>
              <w:t>RocketRecoveryCases/Chrono_LeggedRecovery/chrono-same-platform-multibody-report.json</w:t>
            </w:r>
          </w:p>
        </w:tc>
        <w:tc>
          <w:tcPr>
            <w:tcW w:type="dxa" w:w="1093"/>
            <w:vAlign w:val="center"/>
          </w:tcPr>
          <w:p>
            <w:pPr>
              <w:spacing w:before="20" w:after="20" w:line="240" w:lineRule="auto"/>
            </w:pPr>
            <w:r>
              <w:rPr>
                <w:rFonts w:ascii="Times New Roman" w:hAnsi="Times New Roman" w:eastAsia="SimSun"/>
                <w:b w:val="0"/>
                <w:sz w:val="16"/>
              </w:rPr>
              <w:t>是</w:t>
            </w:r>
          </w:p>
        </w:tc>
      </w:tr>
      <w:tr>
        <w:trPr>
          <w:cantSplit/>
        </w:trPr>
        <w:tc>
          <w:tcPr>
            <w:tcW w:type="dxa" w:w="2456"/>
            <w:vAlign w:val="center"/>
          </w:tcPr>
          <w:p>
            <w:pPr>
              <w:spacing w:before="20" w:after="20" w:line="240" w:lineRule="auto"/>
            </w:pPr>
            <w:r>
              <w:rPr>
                <w:rFonts w:ascii="Times New Roman" w:hAnsi="Times New Roman" w:eastAsia="SimSun"/>
                <w:b w:val="0"/>
                <w:sz w:val="16"/>
              </w:rPr>
              <w:t>productionₚeak_force</w:t>
            </w:r>
          </w:p>
        </w:tc>
        <w:tc>
          <w:tcPr>
            <w:tcW w:type="dxa" w:w="2456"/>
            <w:vAlign w:val="center"/>
          </w:tcPr>
          <w:p>
            <w:pPr>
              <w:spacing w:before="20" w:after="20" w:line="240" w:lineRule="auto"/>
            </w:pPr>
            <w:r>
              <w:rPr>
                <w:rFonts w:ascii="Times New Roman" w:hAnsi="Times New Roman" w:eastAsia="SimSun"/>
                <w:b w:val="0"/>
                <w:sz w:val="16"/>
              </w:rPr>
              <w:t>5.006 MN</w:t>
            </w:r>
          </w:p>
        </w:tc>
        <w:tc>
          <w:tcPr>
            <w:tcW w:type="dxa" w:w="2456"/>
            <w:vAlign w:val="center"/>
          </w:tcPr>
          <w:p>
            <w:pPr>
              <w:spacing w:before="20" w:after="20" w:line="240" w:lineRule="auto"/>
            </w:pPr>
            <w:r>
              <w:rPr>
                <w:rFonts w:ascii="Times New Roman" w:hAnsi="Times New Roman" w:eastAsia="SimSun"/>
                <w:b w:val="0"/>
                <w:sz w:val="16"/>
              </w:rPr>
              <w:t>5.006461513957208</w:t>
            </w:r>
          </w:p>
        </w:tc>
        <w:tc>
          <w:tcPr>
            <w:tcW w:type="dxa" w:w="5185"/>
            <w:vAlign w:val="center"/>
          </w:tcPr>
          <w:p>
            <w:pPr>
              <w:spacing w:before="20" w:after="20" w:line="240" w:lineRule="auto"/>
            </w:pPr>
            <w:r>
              <w:rPr>
                <w:rFonts w:ascii="Times New Roman" w:hAnsi="Times New Roman" w:eastAsia="SimSun"/>
                <w:b w:val="0"/>
                <w:sz w:val="16"/>
              </w:rPr>
              <w:t>RocketRecoveryCases/Chrono_LeggedRecovery/chrono-same-platform-multibody-report.json</w:t>
            </w:r>
          </w:p>
        </w:tc>
        <w:tc>
          <w:tcPr>
            <w:tcW w:type="dxa" w:w="1093"/>
            <w:vAlign w:val="center"/>
          </w:tcPr>
          <w:p>
            <w:pPr>
              <w:spacing w:before="20" w:after="20" w:line="240" w:lineRule="auto"/>
            </w:pPr>
            <w:r>
              <w:rPr>
                <w:rFonts w:ascii="Times New Roman" w:hAnsi="Times New Roman" w:eastAsia="SimSun"/>
                <w:b w:val="0"/>
                <w:sz w:val="16"/>
              </w:rPr>
              <w:t>是</w:t>
            </w:r>
          </w:p>
        </w:tc>
      </w:tr>
      <w:tr>
        <w:trPr>
          <w:cantSplit/>
        </w:trPr>
        <w:tc>
          <w:tcPr>
            <w:tcW w:type="dxa" w:w="2456"/>
            <w:vAlign w:val="center"/>
          </w:tcPr>
          <w:p>
            <w:pPr>
              <w:spacing w:before="20" w:after="20" w:line="240" w:lineRule="auto"/>
            </w:pPr>
            <w:r>
              <w:rPr>
                <w:rFonts w:ascii="Times New Roman" w:hAnsi="Times New Roman" w:eastAsia="SimSun"/>
                <w:b w:val="0"/>
                <w:sz w:val="16"/>
              </w:rPr>
              <w:t>platform_energy_residual</w:t>
            </w:r>
          </w:p>
        </w:tc>
        <w:tc>
          <w:tcPr>
            <w:tcW w:type="dxa" w:w="2456"/>
            <w:vAlign w:val="center"/>
          </w:tcPr>
          <w:p>
            <w:pPr>
              <w:spacing w:before="20" w:after="20" w:line="240" w:lineRule="auto"/>
            </w:pPr>
            <w:r>
              <w:rPr>
                <w:rFonts w:ascii="Times New Roman" w:hAnsi="Times New Roman" w:eastAsia="SimSun"/>
                <w:b w:val="0"/>
                <w:sz w:val="16"/>
              </w:rPr>
              <w:t>-6.43e-6</w:t>
            </w:r>
          </w:p>
        </w:tc>
        <w:tc>
          <w:tcPr>
            <w:tcW w:type="dxa" w:w="2456"/>
            <w:vAlign w:val="center"/>
          </w:tcPr>
          <w:p>
            <w:pPr>
              <w:spacing w:before="20" w:after="20" w:line="240" w:lineRule="auto"/>
            </w:pPr>
            <w:r>
              <w:rPr>
                <w:rFonts w:ascii="Times New Roman" w:hAnsi="Times New Roman" w:eastAsia="SimSun"/>
                <w:b w:val="0"/>
                <w:sz w:val="16"/>
              </w:rPr>
              <w:t>-6.432821992171707e-06</w:t>
            </w:r>
          </w:p>
        </w:tc>
        <w:tc>
          <w:tcPr>
            <w:tcW w:type="dxa" w:w="5185"/>
            <w:vAlign w:val="center"/>
          </w:tcPr>
          <w:p>
            <w:pPr>
              <w:spacing w:before="20" w:after="20" w:line="240" w:lineRule="auto"/>
            </w:pPr>
            <w:r>
              <w:rPr>
                <w:rFonts w:ascii="Times New Roman" w:hAnsi="Times New Roman" w:eastAsia="SimSun"/>
                <w:b w:val="0"/>
                <w:sz w:val="16"/>
              </w:rPr>
              <w:t>RocketRecoveryCases/Chrono_LeggedRecovery/chrono-same-platform-multibody-report.json</w:t>
            </w:r>
          </w:p>
        </w:tc>
        <w:tc>
          <w:tcPr>
            <w:tcW w:type="dxa" w:w="1093"/>
            <w:vAlign w:val="center"/>
          </w:tcPr>
          <w:p>
            <w:pPr>
              <w:spacing w:before="20" w:after="20" w:line="240" w:lineRule="auto"/>
            </w:pPr>
            <w:r>
              <w:rPr>
                <w:rFonts w:ascii="Times New Roman" w:hAnsi="Times New Roman" w:eastAsia="SimSun"/>
                <w:b w:val="0"/>
                <w:sz w:val="16"/>
              </w:rPr>
              <w:t>是</w:t>
            </w:r>
          </w:p>
        </w:tc>
      </w:tr>
      <w:tr>
        <w:trPr>
          <w:cantSplit/>
        </w:trPr>
        <w:tc>
          <w:tcPr>
            <w:tcW w:type="dxa" w:w="2456"/>
            <w:vAlign w:val="center"/>
          </w:tcPr>
          <w:p>
            <w:pPr>
              <w:spacing w:before="20" w:after="20" w:line="240" w:lineRule="auto"/>
            </w:pPr>
            <w:r>
              <w:rPr>
                <w:rFonts w:ascii="Times New Roman" w:hAnsi="Times New Roman" w:eastAsia="SimSun"/>
                <w:b w:val="0"/>
                <w:sz w:val="16"/>
              </w:rPr>
              <w:t>cert_file_failures</w:t>
            </w:r>
          </w:p>
        </w:tc>
        <w:tc>
          <w:tcPr>
            <w:tcW w:type="dxa" w:w="2456"/>
            <w:vAlign w:val="center"/>
          </w:tcPr>
          <w:p>
            <w:pPr>
              <w:spacing w:before="20" w:after="20" w:line="240" w:lineRule="auto"/>
            </w:pPr>
            <w:r>
              <w:rPr>
                <w:rFonts w:ascii="Times New Roman" w:hAnsi="Times New Roman" w:eastAsia="SimSun"/>
                <w:b w:val="0"/>
                <w:sz w:val="16"/>
              </w:rPr>
              <w:t>157 file-level failures</w:t>
            </w:r>
          </w:p>
        </w:tc>
        <w:tc>
          <w:tcPr>
            <w:tcW w:type="dxa" w:w="2456"/>
            <w:vAlign w:val="center"/>
          </w:tcPr>
          <w:p>
            <w:pPr>
              <w:spacing w:before="20" w:after="20" w:line="240" w:lineRule="auto"/>
            </w:pPr>
            <w:r>
              <w:rPr>
                <w:rFonts w:ascii="Times New Roman" w:hAnsi="Times New Roman" w:eastAsia="SimSun"/>
                <w:b w:val="0"/>
                <w:sz w:val="16"/>
              </w:rPr>
              <w:t>"Cylinder": 65, "DeepCwind": 13, "HywindSpar": 7, "Moonpool": 72</w:t>
            </w:r>
          </w:p>
        </w:tc>
        <w:tc>
          <w:tcPr>
            <w:tcW w:type="dxa" w:w="5185"/>
            <w:vAlign w:val="center"/>
          </w:tcPr>
          <w:p>
            <w:pPr>
              <w:spacing w:before="20" w:after="20" w:line="240" w:lineRule="auto"/>
            </w:pPr>
            <w:r>
              <w:rPr>
                <w:rFonts w:ascii="Times New Roman" w:hAnsi="Times New Roman" w:eastAsia="SimSun"/>
                <w:b w:val="0"/>
                <w:sz w:val="16"/>
              </w:rPr>
              <w:t>analysis/diagnostics/hams-cert-root-cause.json</w:t>
            </w:r>
          </w:p>
        </w:tc>
        <w:tc>
          <w:tcPr>
            <w:tcW w:type="dxa" w:w="1093"/>
            <w:vAlign w:val="center"/>
          </w:tcPr>
          <w:p>
            <w:pPr>
              <w:spacing w:before="20" w:after="20" w:line="240" w:lineRule="auto"/>
            </w:pPr>
            <w:r>
              <w:rPr>
                <w:rFonts w:ascii="Times New Roman" w:hAnsi="Times New Roman" w:eastAsia="SimSun"/>
                <w:b w:val="0"/>
                <w:sz w:val="16"/>
              </w:rPr>
              <w:t>是</w:t>
            </w:r>
          </w:p>
        </w:tc>
      </w:tr>
    </w:tbl>
    <w:p>
      <w:pPr>
        <w:spacing w:after="20"/>
      </w:pPr>
    </w:p>
    <w:p>
      <w:pPr>
        <w:pStyle w:val="Heading1"/>
      </w:pPr>
      <w:r>
        <w:t>5. 文件溯源</w:t>
      </w:r>
    </w:p>
    <w:tbl>
      <w:tblPr>
        <w:tblStyle w:val="TableGrid"/>
        <w:tblW w:type="dxa" w:w="13646"/>
        <w:jc w:val="center"/>
        <w:tblLayout w:type="fixed"/>
        <w:tblLook w:firstColumn="1" w:firstRow="1" w:lastColumn="0" w:lastRow="0" w:noHBand="0" w:noVBand="1" w:val="04A0"/>
        <w:tblInd w:w="120" w:type="dxa"/>
      </w:tblPr>
      <w:tblGrid>
        <w:gridCol w:w="4093"/>
        <w:gridCol w:w="2456"/>
        <w:gridCol w:w="3275"/>
        <w:gridCol w:w="1091"/>
        <w:gridCol w:w="2731"/>
      </w:tblGrid>
      <w:tr>
        <w:trPr>
          <w:cantSplit/>
          <w:tblHeader w:val="true"/>
        </w:trPr>
        <w:tc>
          <w:tcPr>
            <w:tcW w:type="dxa" w:w="4093"/>
            <w:vAlign w:val="center"/>
            <w:shd w:fill="EAF0F4"/>
          </w:tcPr>
          <w:p>
            <w:pPr>
              <w:spacing w:before="20" w:after="20" w:line="240" w:lineRule="auto"/>
            </w:pPr>
            <w:r>
              <w:rPr>
                <w:rFonts w:ascii="Times New Roman" w:hAnsi="Times New Roman" w:eastAsia="SimSun"/>
                <w:b/>
                <w:sz w:val="16"/>
              </w:rPr>
              <w:t>文件</w:t>
            </w:r>
          </w:p>
        </w:tc>
        <w:tc>
          <w:tcPr>
            <w:tcW w:type="dxa" w:w="2456"/>
            <w:vAlign w:val="center"/>
            <w:shd w:fill="EAF0F4"/>
          </w:tcPr>
          <w:p>
            <w:pPr>
              <w:spacing w:before="20" w:after="20" w:line="240" w:lineRule="auto"/>
            </w:pPr>
            <w:r>
              <w:rPr>
                <w:rFonts w:ascii="Times New Roman" w:hAnsi="Times New Roman" w:eastAsia="SimSun"/>
                <w:b/>
                <w:sz w:val="16"/>
              </w:rPr>
              <w:t>类别</w:t>
            </w:r>
          </w:p>
        </w:tc>
        <w:tc>
          <w:tcPr>
            <w:tcW w:type="dxa" w:w="3275"/>
            <w:vAlign w:val="center"/>
            <w:shd w:fill="EAF0F4"/>
          </w:tcPr>
          <w:p>
            <w:pPr>
              <w:spacing w:before="20" w:after="20" w:line="240" w:lineRule="auto"/>
            </w:pPr>
            <w:r>
              <w:rPr>
                <w:rFonts w:ascii="Times New Roman" w:hAnsi="Times New Roman" w:eastAsia="SimSun"/>
                <w:b/>
                <w:sz w:val="16"/>
              </w:rPr>
              <w:t>用途</w:t>
            </w:r>
          </w:p>
        </w:tc>
        <w:tc>
          <w:tcPr>
            <w:tcW w:type="dxa" w:w="1091"/>
            <w:vAlign w:val="center"/>
            <w:shd w:fill="EAF0F4"/>
          </w:tcPr>
          <w:p>
            <w:pPr>
              <w:spacing w:before="20" w:after="20" w:line="240" w:lineRule="auto"/>
            </w:pPr>
            <w:r>
              <w:rPr>
                <w:rFonts w:ascii="Times New Roman" w:hAnsi="Times New Roman" w:eastAsia="SimSun"/>
                <w:b/>
                <w:sz w:val="16"/>
              </w:rPr>
              <w:t>存在</w:t>
            </w:r>
          </w:p>
        </w:tc>
        <w:tc>
          <w:tcPr>
            <w:tcW w:type="dxa" w:w="2731"/>
            <w:vAlign w:val="center"/>
            <w:shd w:fill="EAF0F4"/>
          </w:tcPr>
          <w:p>
            <w:pPr>
              <w:spacing w:before="20" w:after="20" w:line="240" w:lineRule="auto"/>
            </w:pPr>
            <w:r>
              <w:rPr>
                <w:rFonts w:ascii="Times New Roman" w:hAnsi="Times New Roman" w:eastAsia="SimSun"/>
                <w:b/>
                <w:sz w:val="16"/>
              </w:rPr>
              <w:t>SHA-256 前缀</w:t>
            </w:r>
          </w:p>
        </w:tc>
      </w:tr>
      <w:tr>
        <w:trPr>
          <w:cantSplit/>
        </w:trPr>
        <w:tc>
          <w:tcPr>
            <w:tcW w:type="dxa" w:w="4093"/>
            <w:vAlign w:val="center"/>
          </w:tcPr>
          <w:p>
            <w:pPr>
              <w:spacing w:before="20" w:after="20" w:line="240" w:lineRule="auto"/>
            </w:pPr>
            <w:r>
              <w:rPr>
                <w:rFonts w:ascii="Times New Roman" w:hAnsi="Times New Roman" w:eastAsia="SimSun"/>
                <w:b w:val="0"/>
                <w:sz w:val="16"/>
              </w:rPr>
              <w:t>新论文参考写作论文/Analysis+of+Sea-Based+Landing+Dynamics+of+Reusable+Landing+Vehicle+Considering+Mechanism+Flexibility.pdf</w:t>
            </w:r>
          </w:p>
        </w:tc>
        <w:tc>
          <w:tcPr>
            <w:tcW w:type="dxa" w:w="2456"/>
            <w:vAlign w:val="center"/>
          </w:tcPr>
          <w:p>
            <w:pPr>
              <w:spacing w:before="20" w:after="20" w:line="240" w:lineRule="auto"/>
            </w:pPr>
            <w:r>
              <w:rPr>
                <w:rFonts w:ascii="Times New Roman" w:hAnsi="Times New Roman" w:eastAsia="SimSun"/>
                <w:b w:val="0"/>
                <w:sz w:val="16"/>
              </w:rPr>
              <w:t>referenceₛource</w:t>
            </w:r>
          </w:p>
        </w:tc>
        <w:tc>
          <w:tcPr>
            <w:tcW w:type="dxa" w:w="3275"/>
            <w:vAlign w:val="center"/>
          </w:tcPr>
          <w:p>
            <w:pPr>
              <w:spacing w:before="20" w:after="20" w:line="240" w:lineRule="auto"/>
            </w:pPr>
            <w:r>
              <w:rPr>
                <w:rFonts w:ascii="Times New Roman" w:hAnsi="Times New Roman" w:eastAsia="SimSun"/>
                <w:b w:val="0"/>
                <w:sz w:val="16"/>
              </w:rPr>
              <w:t>Yang et al. paper</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e7949d55dea5a5d9</w:t>
            </w:r>
          </w:p>
        </w:tc>
      </w:tr>
      <w:tr>
        <w:trPr>
          <w:cantSplit/>
        </w:trPr>
        <w:tc>
          <w:tcPr>
            <w:tcW w:type="dxa" w:w="4093"/>
            <w:vAlign w:val="center"/>
          </w:tcPr>
          <w:p>
            <w:pPr>
              <w:spacing w:before="20" w:after="20" w:line="240" w:lineRule="auto"/>
            </w:pPr>
            <w:r>
              <w:rPr>
                <w:rFonts w:ascii="Times New Roman" w:hAnsi="Times New Roman" w:eastAsia="SimSun"/>
                <w:b w:val="0"/>
                <w:sz w:val="16"/>
              </w:rPr>
              <w:t>新论文参考写作论文/Analysis+of+Sea-Based+Landing+Dynamics+of+Reusable+Landing+Vehicle+Considering+Mechanism+Flexibility.md</w:t>
            </w:r>
          </w:p>
        </w:tc>
        <w:tc>
          <w:tcPr>
            <w:tcW w:type="dxa" w:w="2456"/>
            <w:vAlign w:val="center"/>
          </w:tcPr>
          <w:p>
            <w:pPr>
              <w:spacing w:before="20" w:after="20" w:line="240" w:lineRule="auto"/>
            </w:pPr>
            <w:r>
              <w:rPr>
                <w:rFonts w:ascii="Times New Roman" w:hAnsi="Times New Roman" w:eastAsia="SimSun"/>
                <w:b w:val="0"/>
                <w:sz w:val="16"/>
              </w:rPr>
              <w:t>referenceₛource</w:t>
            </w:r>
          </w:p>
        </w:tc>
        <w:tc>
          <w:tcPr>
            <w:tcW w:type="dxa" w:w="3275"/>
            <w:vAlign w:val="center"/>
          </w:tcPr>
          <w:p>
            <w:pPr>
              <w:spacing w:before="20" w:after="20" w:line="240" w:lineRule="auto"/>
            </w:pPr>
            <w:r>
              <w:rPr>
                <w:rFonts w:ascii="Times New Roman" w:hAnsi="Times New Roman" w:eastAsia="SimSun"/>
                <w:b w:val="0"/>
                <w:sz w:val="16"/>
              </w:rPr>
              <w:t>Yang et al. extracted text</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3939e6f442f1738d</w:t>
            </w:r>
          </w:p>
        </w:tc>
      </w:tr>
      <w:tr>
        <w:trPr>
          <w:cantSplit/>
        </w:trPr>
        <w:tc>
          <w:tcPr>
            <w:tcW w:type="dxa" w:w="4093"/>
            <w:vAlign w:val="center"/>
          </w:tcPr>
          <w:p>
            <w:pPr>
              <w:spacing w:before="20" w:after="20" w:line="240" w:lineRule="auto"/>
            </w:pPr>
            <w:r>
              <w:rPr>
                <w:rFonts w:ascii="Times New Roman" w:hAnsi="Times New Roman" w:eastAsia="SimSun"/>
                <w:b w:val="0"/>
                <w:sz w:val="16"/>
              </w:rPr>
              <w:t>海上平台火箭回收文献/065002_1_2.0002061.pdf</w:t>
            </w:r>
          </w:p>
        </w:tc>
        <w:tc>
          <w:tcPr>
            <w:tcW w:type="dxa" w:w="2456"/>
            <w:vAlign w:val="center"/>
          </w:tcPr>
          <w:p>
            <w:pPr>
              <w:spacing w:before="20" w:after="20" w:line="240" w:lineRule="auto"/>
            </w:pPr>
            <w:r>
              <w:rPr>
                <w:rFonts w:ascii="Times New Roman" w:hAnsi="Times New Roman" w:eastAsia="SimSun"/>
                <w:b w:val="0"/>
                <w:sz w:val="16"/>
              </w:rPr>
              <w:t>referenceₛource</w:t>
            </w:r>
          </w:p>
        </w:tc>
        <w:tc>
          <w:tcPr>
            <w:tcW w:type="dxa" w:w="3275"/>
            <w:vAlign w:val="center"/>
          </w:tcPr>
          <w:p>
            <w:pPr>
              <w:spacing w:before="20" w:after="20" w:line="240" w:lineRule="auto"/>
            </w:pPr>
            <w:r>
              <w:rPr>
                <w:rFonts w:ascii="Times New Roman" w:hAnsi="Times New Roman" w:eastAsia="SimSun"/>
                <w:b w:val="0"/>
                <w:sz w:val="16"/>
              </w:rPr>
              <w:t>Nargolkar and Vijayan paper</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f9ba2eb6197a8ad7</w:t>
            </w:r>
          </w:p>
        </w:tc>
      </w:tr>
      <w:tr>
        <w:trPr>
          <w:cantSplit/>
        </w:trPr>
        <w:tc>
          <w:tcPr>
            <w:tcW w:type="dxa" w:w="4093"/>
            <w:vAlign w:val="center"/>
          </w:tcPr>
          <w:p>
            <w:pPr>
              <w:spacing w:before="20" w:after="20" w:line="240" w:lineRule="auto"/>
            </w:pPr>
            <w:r>
              <w:rPr>
                <w:rFonts w:ascii="Times New Roman" w:hAnsi="Times New Roman" w:eastAsia="SimSun"/>
                <w:b w:val="0"/>
                <w:sz w:val="16"/>
              </w:rPr>
              <w:t>海上平台火箭回收文献/P3_Thies_2022.pdf</w:t>
            </w:r>
          </w:p>
        </w:tc>
        <w:tc>
          <w:tcPr>
            <w:tcW w:type="dxa" w:w="2456"/>
            <w:vAlign w:val="center"/>
          </w:tcPr>
          <w:p>
            <w:pPr>
              <w:spacing w:before="20" w:after="20" w:line="240" w:lineRule="auto"/>
            </w:pPr>
            <w:r>
              <w:rPr>
                <w:rFonts w:ascii="Times New Roman" w:hAnsi="Times New Roman" w:eastAsia="SimSun"/>
                <w:b w:val="0"/>
                <w:sz w:val="16"/>
              </w:rPr>
              <w:t>referenceₛource</w:t>
            </w:r>
          </w:p>
        </w:tc>
        <w:tc>
          <w:tcPr>
            <w:tcW w:type="dxa" w:w="3275"/>
            <w:vAlign w:val="center"/>
          </w:tcPr>
          <w:p>
            <w:pPr>
              <w:spacing w:before="20" w:after="20" w:line="240" w:lineRule="auto"/>
            </w:pPr>
            <w:r>
              <w:rPr>
                <w:rFonts w:ascii="Times New Roman" w:hAnsi="Times New Roman" w:eastAsia="SimSun"/>
                <w:b w:val="0"/>
                <w:sz w:val="16"/>
              </w:rPr>
              <w:t>Thies landing-leg paper</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98d22ac4d4995872</w:t>
            </w:r>
          </w:p>
        </w:tc>
      </w:tr>
      <w:tr>
        <w:trPr>
          <w:cantSplit/>
        </w:trPr>
        <w:tc>
          <w:tcPr>
            <w:tcW w:type="dxa" w:w="4093"/>
            <w:vAlign w:val="center"/>
          </w:tcPr>
          <w:p>
            <w:pPr>
              <w:spacing w:before="20" w:after="20" w:line="240" w:lineRule="auto"/>
            </w:pPr>
            <w:r>
              <w:rPr>
                <w:rFonts w:ascii="Times New Roman" w:hAnsi="Times New Roman" w:eastAsia="SimSun"/>
                <w:b w:val="0"/>
                <w:sz w:val="16"/>
              </w:rPr>
              <w:t>海上平台火箭回收文献/P2_WangZhi_2023_ShipSciTech.pdf</w:t>
            </w:r>
          </w:p>
        </w:tc>
        <w:tc>
          <w:tcPr>
            <w:tcW w:type="dxa" w:w="2456"/>
            <w:vAlign w:val="center"/>
          </w:tcPr>
          <w:p>
            <w:pPr>
              <w:spacing w:before="20" w:after="20" w:line="240" w:lineRule="auto"/>
            </w:pPr>
            <w:r>
              <w:rPr>
                <w:rFonts w:ascii="Times New Roman" w:hAnsi="Times New Roman" w:eastAsia="SimSun"/>
                <w:b w:val="0"/>
                <w:sz w:val="16"/>
              </w:rPr>
              <w:t>referenceₛource</w:t>
            </w:r>
          </w:p>
        </w:tc>
        <w:tc>
          <w:tcPr>
            <w:tcW w:type="dxa" w:w="3275"/>
            <w:vAlign w:val="center"/>
          </w:tcPr>
          <w:p>
            <w:pPr>
              <w:spacing w:before="20" w:after="20" w:line="240" w:lineRule="auto"/>
            </w:pPr>
            <w:r>
              <w:rPr>
                <w:rFonts w:ascii="Times New Roman" w:hAnsi="Times New Roman" w:eastAsia="SimSun"/>
                <w:b w:val="0"/>
                <w:sz w:val="16"/>
              </w:rPr>
              <w:t>Wang plume/platform paper</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afd1269bd8d00a75</w:t>
            </w:r>
          </w:p>
        </w:tc>
      </w:tr>
      <w:tr>
        <w:trPr>
          <w:cantSplit/>
        </w:trPr>
        <w:tc>
          <w:tcPr>
            <w:tcW w:type="dxa" w:w="4093"/>
            <w:vAlign w:val="center"/>
          </w:tcPr>
          <w:p>
            <w:pPr>
              <w:spacing w:before="20" w:after="20" w:line="240" w:lineRule="auto"/>
            </w:pPr>
            <w:r>
              <w:rPr>
                <w:rFonts w:ascii="Times New Roman" w:hAnsi="Times New Roman" w:eastAsia="SimSun"/>
                <w:b w:val="0"/>
                <w:sz w:val="16"/>
              </w:rPr>
              <w:t>RocketRecoveryCases/Paper_Yang_2026/reference/digitized/yang-2026-fig09-11-digitization.json</w:t>
            </w:r>
          </w:p>
        </w:tc>
        <w:tc>
          <w:tcPr>
            <w:tcW w:type="dxa" w:w="2456"/>
            <w:vAlign w:val="center"/>
          </w:tcPr>
          <w:p>
            <w:pPr>
              <w:spacing w:before="20" w:after="20" w:line="240" w:lineRule="auto"/>
            </w:pPr>
            <w:r>
              <w:rPr>
                <w:rFonts w:ascii="Times New Roman" w:hAnsi="Times New Roman" w:eastAsia="SimSun"/>
                <w:b w:val="0"/>
                <w:sz w:val="16"/>
              </w:rPr>
              <w:t>reference_target</w:t>
            </w:r>
          </w:p>
        </w:tc>
        <w:tc>
          <w:tcPr>
            <w:tcW w:type="dxa" w:w="3275"/>
            <w:vAlign w:val="center"/>
          </w:tcPr>
          <w:p>
            <w:pPr>
              <w:spacing w:before="20" w:after="20" w:line="240" w:lineRule="auto"/>
            </w:pPr>
            <w:r>
              <w:rPr>
                <w:rFonts w:ascii="Times New Roman" w:hAnsi="Times New Roman" w:eastAsia="SimSun"/>
                <w:b w:val="0"/>
                <w:sz w:val="16"/>
              </w:rPr>
              <w:t>Digitized published test traces</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309fb9da09933f8c</w:t>
            </w:r>
          </w:p>
        </w:tc>
      </w:tr>
      <w:tr>
        <w:trPr>
          <w:cantSplit/>
        </w:trPr>
        <w:tc>
          <w:tcPr>
            <w:tcW w:type="dxa" w:w="4093"/>
            <w:vAlign w:val="center"/>
          </w:tcPr>
          <w:p>
            <w:pPr>
              <w:spacing w:before="20" w:after="20" w:line="240" w:lineRule="auto"/>
            </w:pPr>
            <w:r>
              <w:rPr>
                <w:rFonts w:ascii="Times New Roman" w:hAnsi="Times New Roman" w:eastAsia="SimSun"/>
                <w:b w:val="0"/>
                <w:sz w:val="16"/>
              </w:rPr>
              <w:t>RocketRecoveryCases/Chrono_LeggedRecovery/validation/thies_absorber_curves/thies-buffer-curves.json</w:t>
            </w:r>
          </w:p>
        </w:tc>
        <w:tc>
          <w:tcPr>
            <w:tcW w:type="dxa" w:w="2456"/>
            <w:vAlign w:val="center"/>
          </w:tcPr>
          <w:p>
            <w:pPr>
              <w:spacing w:before="20" w:after="20" w:line="240" w:lineRule="auto"/>
            </w:pPr>
            <w:r>
              <w:rPr>
                <w:rFonts w:ascii="Times New Roman" w:hAnsi="Times New Roman" w:eastAsia="SimSun"/>
                <w:b w:val="0"/>
                <w:sz w:val="16"/>
              </w:rPr>
              <w:t>reference_target</w:t>
            </w:r>
          </w:p>
        </w:tc>
        <w:tc>
          <w:tcPr>
            <w:tcW w:type="dxa" w:w="3275"/>
            <w:vAlign w:val="center"/>
          </w:tcPr>
          <w:p>
            <w:pPr>
              <w:spacing w:before="20" w:after="20" w:line="240" w:lineRule="auto"/>
            </w:pPr>
            <w:r>
              <w:rPr>
                <w:rFonts w:ascii="Times New Roman" w:hAnsi="Times New Roman" w:eastAsia="SimSun"/>
                <w:b w:val="0"/>
                <w:sz w:val="16"/>
              </w:rPr>
              <w:t>Digitized absorber curves and axis calibration</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e4971045da507e89</w:t>
            </w:r>
          </w:p>
        </w:tc>
      </w:tr>
      <w:tr>
        <w:trPr>
          <w:cantSplit/>
        </w:trPr>
        <w:tc>
          <w:tcPr>
            <w:tcW w:type="dxa" w:w="4093"/>
            <w:vAlign w:val="center"/>
          </w:tcPr>
          <w:p>
            <w:pPr>
              <w:spacing w:before="20" w:after="20" w:line="240" w:lineRule="auto"/>
            </w:pPr>
            <w:r>
              <w:rPr>
                <w:rFonts w:ascii="Times New Roman" w:hAnsi="Times New Roman" w:eastAsia="SimSun"/>
                <w:b w:val="0"/>
                <w:sz w:val="16"/>
              </w:rPr>
              <w:t>RocketRecoveryCases/Barge_120x50/platform_config.json</w:t>
            </w:r>
          </w:p>
        </w:tc>
        <w:tc>
          <w:tcPr>
            <w:tcW w:type="dxa" w:w="2456"/>
            <w:vAlign w:val="center"/>
          </w:tcPr>
          <w:p>
            <w:pPr>
              <w:spacing w:before="20" w:after="20" w:line="240" w:lineRule="auto"/>
            </w:pPr>
            <w:r>
              <w:rPr>
                <w:rFonts w:ascii="Times New Roman" w:hAnsi="Times New Roman" w:eastAsia="SimSun"/>
                <w:b w:val="0"/>
                <w:sz w:val="16"/>
              </w:rPr>
              <w:t>presentᵢnput</w:t>
            </w:r>
          </w:p>
        </w:tc>
        <w:tc>
          <w:tcPr>
            <w:tcW w:type="dxa" w:w="3275"/>
            <w:vAlign w:val="center"/>
          </w:tcPr>
          <w:p>
            <w:pPr>
              <w:spacing w:before="20" w:after="20" w:line="240" w:lineRule="auto"/>
            </w:pPr>
            <w:r>
              <w:rPr>
                <w:rFonts w:ascii="Times New Roman" w:hAnsi="Times New Roman" w:eastAsia="SimSun"/>
                <w:b w:val="0"/>
                <w:sz w:val="16"/>
              </w:rPr>
              <w:t>Parameterized barge input</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50f90e7fbd6f1f1b</w:t>
            </w:r>
          </w:p>
        </w:tc>
      </w:tr>
      <w:tr>
        <w:trPr>
          <w:cantSplit/>
        </w:trPr>
        <w:tc>
          <w:tcPr>
            <w:tcW w:type="dxa" w:w="4093"/>
            <w:vAlign w:val="center"/>
          </w:tcPr>
          <w:p>
            <w:pPr>
              <w:spacing w:before="20" w:after="20" w:line="240" w:lineRule="auto"/>
            </w:pPr>
            <w:r>
              <w:rPr>
                <w:rFonts w:ascii="Times New Roman" w:hAnsi="Times New Roman" w:eastAsia="SimSun"/>
                <w:b w:val="0"/>
                <w:sz w:val="16"/>
              </w:rPr>
              <w:t>RocketRecoveryCases/Barge_120x50/validation/barge-self-check.json</w:t>
            </w:r>
          </w:p>
        </w:tc>
        <w:tc>
          <w:tcPr>
            <w:tcW w:type="dxa" w:w="2456"/>
            <w:vAlign w:val="center"/>
          </w:tcPr>
          <w:p>
            <w:pPr>
              <w:spacing w:before="20" w:after="20" w:line="240" w:lineRule="auto"/>
            </w:pPr>
            <w:r>
              <w:rPr>
                <w:rFonts w:ascii="Times New Roman" w:hAnsi="Times New Roman" w:eastAsia="SimSun"/>
                <w:b w:val="0"/>
                <w:sz w:val="16"/>
              </w:rPr>
              <w:t>present_calculation</w:t>
            </w:r>
          </w:p>
        </w:tc>
        <w:tc>
          <w:tcPr>
            <w:tcW w:type="dxa" w:w="3275"/>
            <w:vAlign w:val="center"/>
          </w:tcPr>
          <w:p>
            <w:pPr>
              <w:spacing w:before="20" w:after="20" w:line="240" w:lineRule="auto"/>
            </w:pPr>
            <w:r>
              <w:rPr>
                <w:rFonts w:ascii="Times New Roman" w:hAnsi="Times New Roman" w:eastAsia="SimSun"/>
                <w:b w:val="0"/>
                <w:sz w:val="16"/>
              </w:rPr>
              <w:t>Analytic mesh and hydrostatic self-check</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06359d8905263bfc</w:t>
            </w:r>
          </w:p>
        </w:tc>
      </w:tr>
      <w:tr>
        <w:trPr>
          <w:cantSplit/>
        </w:trPr>
        <w:tc>
          <w:tcPr>
            <w:tcW w:type="dxa" w:w="4093"/>
            <w:vAlign w:val="center"/>
          </w:tcPr>
          <w:p>
            <w:pPr>
              <w:spacing w:before="20" w:after="20" w:line="240" w:lineRule="auto"/>
            </w:pPr>
            <w:r>
              <w:rPr>
                <w:rFonts w:ascii="Times New Roman" w:hAnsi="Times New Roman" w:eastAsia="SimSun"/>
                <w:b w:val="0"/>
                <w:sz w:val="16"/>
              </w:rPr>
              <w:t>RocketRecoveryCases/Barge_120x50/validation/barge-hydrodynamic-convergence.json</w:t>
            </w:r>
          </w:p>
        </w:tc>
        <w:tc>
          <w:tcPr>
            <w:tcW w:type="dxa" w:w="2456"/>
            <w:vAlign w:val="center"/>
          </w:tcPr>
          <w:p>
            <w:pPr>
              <w:spacing w:before="20" w:after="20" w:line="240" w:lineRule="auto"/>
            </w:pPr>
            <w:r>
              <w:rPr>
                <w:rFonts w:ascii="Times New Roman" w:hAnsi="Times New Roman" w:eastAsia="SimSun"/>
                <w:b w:val="0"/>
                <w:sz w:val="16"/>
              </w:rPr>
              <w:t>present_calculation</w:t>
            </w:r>
          </w:p>
        </w:tc>
        <w:tc>
          <w:tcPr>
            <w:tcW w:type="dxa" w:w="3275"/>
            <w:vAlign w:val="center"/>
          </w:tcPr>
          <w:p>
            <w:pPr>
              <w:spacing w:before="20" w:after="20" w:line="240" w:lineRule="auto"/>
            </w:pPr>
            <w:r>
              <w:rPr>
                <w:rFonts w:ascii="Times New Roman" w:hAnsi="Times New Roman" w:eastAsia="SimSun"/>
                <w:b w:val="0"/>
                <w:sz w:val="16"/>
              </w:rPr>
              <w:t>Hydrodynamic refinement, A-infinity and IRF checks</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69304f742c7bf2ca</w:t>
            </w:r>
          </w:p>
        </w:tc>
      </w:tr>
      <w:tr>
        <w:trPr>
          <w:cantSplit/>
        </w:trPr>
        <w:tc>
          <w:tcPr>
            <w:tcW w:type="dxa" w:w="4093"/>
            <w:vAlign w:val="center"/>
          </w:tcPr>
          <w:p>
            <w:pPr>
              <w:spacing w:before="20" w:after="20" w:line="240" w:lineRule="auto"/>
            </w:pPr>
            <w:r>
              <w:rPr>
                <w:rFonts w:ascii="Times New Roman" w:hAnsi="Times New Roman" w:eastAsia="SimSun"/>
                <w:b w:val="0"/>
                <w:sz w:val="16"/>
              </w:rPr>
              <w:t>RocketRecoveryCases/Barge_120x50/Output/RocketRecovery/deck-point-rao-medium.json</w:t>
            </w:r>
          </w:p>
        </w:tc>
        <w:tc>
          <w:tcPr>
            <w:tcW w:type="dxa" w:w="2456"/>
            <w:vAlign w:val="center"/>
          </w:tcPr>
          <w:p>
            <w:pPr>
              <w:spacing w:before="20" w:after="20" w:line="240" w:lineRule="auto"/>
            </w:pPr>
            <w:r>
              <w:rPr>
                <w:rFonts w:ascii="Times New Roman" w:hAnsi="Times New Roman" w:eastAsia="SimSun"/>
                <w:b w:val="0"/>
                <w:sz w:val="16"/>
              </w:rPr>
              <w:t>present_calculation</w:t>
            </w:r>
          </w:p>
        </w:tc>
        <w:tc>
          <w:tcPr>
            <w:tcW w:type="dxa" w:w="3275"/>
            <w:vAlign w:val="center"/>
          </w:tcPr>
          <w:p>
            <w:pPr>
              <w:spacing w:before="20" w:after="20" w:line="240" w:lineRule="auto"/>
            </w:pPr>
            <w:r>
              <w:rPr>
                <w:rFonts w:ascii="Times New Roman" w:hAnsi="Times New Roman" w:eastAsia="SimSun"/>
                <w:b w:val="0"/>
                <w:sz w:val="16"/>
              </w:rPr>
              <w:t>Medium-grid local deck response operators</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61091ab1919a2593</w:t>
            </w:r>
          </w:p>
        </w:tc>
      </w:tr>
      <w:tr>
        <w:trPr>
          <w:cantSplit/>
        </w:trPr>
        <w:tc>
          <w:tcPr>
            <w:tcW w:type="dxa" w:w="4093"/>
            <w:vAlign w:val="center"/>
          </w:tcPr>
          <w:p>
            <w:pPr>
              <w:spacing w:before="20" w:after="20" w:line="240" w:lineRule="auto"/>
            </w:pPr>
            <w:r>
              <w:rPr>
                <w:rFonts w:ascii="Times New Roman" w:hAnsi="Times New Roman" w:eastAsia="SimSun"/>
                <w:b w:val="0"/>
                <w:sz w:val="16"/>
              </w:rPr>
              <w:t>RocketRecoveryCases/Barge_120x50/Output/RocketRecovery/wave-sensitivity-revision-600s.json</w:t>
            </w:r>
          </w:p>
        </w:tc>
        <w:tc>
          <w:tcPr>
            <w:tcW w:type="dxa" w:w="2456"/>
            <w:vAlign w:val="center"/>
          </w:tcPr>
          <w:p>
            <w:pPr>
              <w:spacing w:before="20" w:after="20" w:line="240" w:lineRule="auto"/>
            </w:pPr>
            <w:r>
              <w:rPr>
                <w:rFonts w:ascii="Times New Roman" w:hAnsi="Times New Roman" w:eastAsia="SimSun"/>
                <w:b w:val="0"/>
                <w:sz w:val="16"/>
              </w:rPr>
              <w:t>present_calculation</w:t>
            </w:r>
          </w:p>
        </w:tc>
        <w:tc>
          <w:tcPr>
            <w:tcW w:type="dxa" w:w="3275"/>
            <w:vAlign w:val="center"/>
          </w:tcPr>
          <w:p>
            <w:pPr>
              <w:spacing w:before="20" w:after="20" w:line="240" w:lineRule="auto"/>
            </w:pPr>
            <w:r>
              <w:rPr>
                <w:rFonts w:ascii="Times New Roman" w:hAnsi="Times New Roman" w:eastAsia="SimSun"/>
                <w:b w:val="0"/>
                <w:sz w:val="16"/>
              </w:rPr>
              <w:t>1000-realization random-wave calculation</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5519de6bbc861e8c</w:t>
            </w:r>
          </w:p>
        </w:tc>
      </w:tr>
      <w:tr>
        <w:trPr>
          <w:cantSplit/>
        </w:trPr>
        <w:tc>
          <w:tcPr>
            <w:tcW w:type="dxa" w:w="4093"/>
            <w:vAlign w:val="center"/>
          </w:tcPr>
          <w:p>
            <w:pPr>
              <w:spacing w:before="20" w:after="20" w:line="240" w:lineRule="auto"/>
            </w:pPr>
            <w:r>
              <w:rPr>
                <w:rFonts w:ascii="Times New Roman" w:hAnsi="Times New Roman" w:eastAsia="SimSun"/>
                <w:b w:val="0"/>
                <w:sz w:val="16"/>
              </w:rPr>
              <w:t>RocketRecoveryCases/Barge_120x50/Output/RocketRecovery/wave-duration-sensitivity.json</w:t>
            </w:r>
          </w:p>
        </w:tc>
        <w:tc>
          <w:tcPr>
            <w:tcW w:type="dxa" w:w="2456"/>
            <w:vAlign w:val="center"/>
          </w:tcPr>
          <w:p>
            <w:pPr>
              <w:spacing w:before="20" w:after="20" w:line="240" w:lineRule="auto"/>
            </w:pPr>
            <w:r>
              <w:rPr>
                <w:rFonts w:ascii="Times New Roman" w:hAnsi="Times New Roman" w:eastAsia="SimSun"/>
                <w:b w:val="0"/>
                <w:sz w:val="16"/>
              </w:rPr>
              <w:t>present_calculation</w:t>
            </w:r>
          </w:p>
        </w:tc>
        <w:tc>
          <w:tcPr>
            <w:tcW w:type="dxa" w:w="3275"/>
            <w:vAlign w:val="center"/>
          </w:tcPr>
          <w:p>
            <w:pPr>
              <w:spacing w:before="20" w:after="20" w:line="240" w:lineRule="auto"/>
            </w:pPr>
            <w:r>
              <w:rPr>
                <w:rFonts w:ascii="Times New Roman" w:hAnsi="Times New Roman" w:eastAsia="SimSun"/>
                <w:b w:val="0"/>
                <w:sz w:val="16"/>
              </w:rPr>
              <w:t>600/1200/1800 s duration sensitivity</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4392ba5f0490553f</w:t>
            </w:r>
          </w:p>
        </w:tc>
      </w:tr>
      <w:tr>
        <w:trPr>
          <w:cantSplit/>
        </w:trPr>
        <w:tc>
          <w:tcPr>
            <w:tcW w:type="dxa" w:w="4093"/>
            <w:vAlign w:val="center"/>
          </w:tcPr>
          <w:p>
            <w:pPr>
              <w:spacing w:before="20" w:after="20" w:line="240" w:lineRule="auto"/>
            </w:pPr>
            <w:r>
              <w:rPr>
                <w:rFonts w:ascii="Times New Roman" w:hAnsi="Times New Roman" w:eastAsia="SimSun"/>
                <w:b w:val="0"/>
                <w:sz w:val="16"/>
              </w:rPr>
              <w:t>RocketRecoveryCases/Paper_Yang_2026/identified_landing_model/yang-2026-identified-landing-report.json</w:t>
            </w:r>
          </w:p>
        </w:tc>
        <w:tc>
          <w:tcPr>
            <w:tcW w:type="dxa" w:w="2456"/>
            <w:vAlign w:val="center"/>
          </w:tcPr>
          <w:p>
            <w:pPr>
              <w:spacing w:before="20" w:after="20" w:line="240" w:lineRule="auto"/>
            </w:pPr>
            <w:r>
              <w:rPr>
                <w:rFonts w:ascii="Times New Roman" w:hAnsi="Times New Roman" w:eastAsia="SimSun"/>
                <w:b w:val="0"/>
                <w:sz w:val="16"/>
              </w:rPr>
              <w:t>present_calculation</w:t>
            </w:r>
          </w:p>
        </w:tc>
        <w:tc>
          <w:tcPr>
            <w:tcW w:type="dxa" w:w="3275"/>
            <w:vAlign w:val="center"/>
          </w:tcPr>
          <w:p>
            <w:pPr>
              <w:spacing w:before="20" w:after="20" w:line="240" w:lineRule="auto"/>
            </w:pPr>
            <w:r>
              <w:rPr>
                <w:rFonts w:ascii="Times New Roman" w:hAnsi="Times New Roman" w:eastAsia="SimSun"/>
                <w:b w:val="0"/>
                <w:sz w:val="16"/>
              </w:rPr>
              <w:t>Reduced-model comparison</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da1f143fe0d4051e</w:t>
            </w:r>
          </w:p>
        </w:tc>
      </w:tr>
      <w:tr>
        <w:trPr>
          <w:cantSplit/>
        </w:trPr>
        <w:tc>
          <w:tcPr>
            <w:tcW w:type="dxa" w:w="4093"/>
            <w:vAlign w:val="center"/>
          </w:tcPr>
          <w:p>
            <w:pPr>
              <w:spacing w:before="20" w:after="20" w:line="240" w:lineRule="auto"/>
            </w:pPr>
            <w:r>
              <w:rPr>
                <w:rFonts w:ascii="Times New Roman" w:hAnsi="Times New Roman" w:eastAsia="SimSun"/>
                <w:b w:val="0"/>
                <w:sz w:val="16"/>
              </w:rPr>
              <w:t>RocketRecoveryCases/Paper_Yang_2026/identified_landing_model/yang-2026-identifiability-report.json</w:t>
            </w:r>
          </w:p>
        </w:tc>
        <w:tc>
          <w:tcPr>
            <w:tcW w:type="dxa" w:w="2456"/>
            <w:vAlign w:val="center"/>
          </w:tcPr>
          <w:p>
            <w:pPr>
              <w:spacing w:before="20" w:after="20" w:line="240" w:lineRule="auto"/>
            </w:pPr>
            <w:r>
              <w:rPr>
                <w:rFonts w:ascii="Times New Roman" w:hAnsi="Times New Roman" w:eastAsia="SimSun"/>
                <w:b w:val="0"/>
                <w:sz w:val="16"/>
              </w:rPr>
              <w:t>present_calculation</w:t>
            </w:r>
          </w:p>
        </w:tc>
        <w:tc>
          <w:tcPr>
            <w:tcW w:type="dxa" w:w="3275"/>
            <w:vAlign w:val="center"/>
          </w:tcPr>
          <w:p>
            <w:pPr>
              <w:spacing w:before="20" w:after="20" w:line="240" w:lineRule="auto"/>
            </w:pPr>
            <w:r>
              <w:rPr>
                <w:rFonts w:ascii="Times New Roman" w:hAnsi="Times New Roman" w:eastAsia="SimSun"/>
                <w:b w:val="0"/>
                <w:sz w:val="16"/>
              </w:rPr>
              <w:t>128-start identifiability analysis</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98f77e5b97f6558a</w:t>
            </w:r>
          </w:p>
        </w:tc>
      </w:tr>
      <w:tr>
        <w:trPr>
          <w:cantSplit/>
        </w:trPr>
        <w:tc>
          <w:tcPr>
            <w:tcW w:type="dxa" w:w="4093"/>
            <w:vAlign w:val="center"/>
          </w:tcPr>
          <w:p>
            <w:pPr>
              <w:spacing w:before="20" w:after="20" w:line="240" w:lineRule="auto"/>
            </w:pPr>
            <w:r>
              <w:rPr>
                <w:rFonts w:ascii="Times New Roman" w:hAnsi="Times New Roman" w:eastAsia="SimSun"/>
                <w:b w:val="0"/>
                <w:sz w:val="16"/>
              </w:rPr>
              <w:t>RocketRecoveryCases/Chrono_LeggedRecovery/chrono-same-platform-multibody-report.json</w:t>
            </w:r>
          </w:p>
        </w:tc>
        <w:tc>
          <w:tcPr>
            <w:tcW w:type="dxa" w:w="2456"/>
            <w:vAlign w:val="center"/>
          </w:tcPr>
          <w:p>
            <w:pPr>
              <w:spacing w:before="20" w:after="20" w:line="240" w:lineRule="auto"/>
            </w:pPr>
            <w:r>
              <w:rPr>
                <w:rFonts w:ascii="Times New Roman" w:hAnsi="Times New Roman" w:eastAsia="SimSun"/>
                <w:b w:val="0"/>
                <w:sz w:val="16"/>
              </w:rPr>
              <w:t>present_calculation_with_labelledₚroxies</w:t>
            </w:r>
          </w:p>
        </w:tc>
        <w:tc>
          <w:tcPr>
            <w:tcW w:type="dxa" w:w="3275"/>
            <w:vAlign w:val="center"/>
          </w:tcPr>
          <w:p>
            <w:pPr>
              <w:spacing w:before="20" w:after="20" w:line="240" w:lineRule="auto"/>
            </w:pPr>
            <w:r>
              <w:rPr>
                <w:rFonts w:ascii="Times New Roman" w:hAnsi="Times New Roman" w:eastAsia="SimSun"/>
                <w:b w:val="0"/>
                <w:sz w:val="16"/>
              </w:rPr>
              <w:t>Same-platform four-pass multibody report</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868e066a08d712f2</w:t>
            </w:r>
          </w:p>
        </w:tc>
      </w:tr>
      <w:tr>
        <w:trPr>
          <w:cantSplit/>
        </w:trPr>
        <w:tc>
          <w:tcPr>
            <w:tcW w:type="dxa" w:w="4093"/>
            <w:vAlign w:val="center"/>
          </w:tcPr>
          <w:p>
            <w:pPr>
              <w:spacing w:before="20" w:after="20" w:line="240" w:lineRule="auto"/>
            </w:pPr>
            <w:r>
              <w:rPr>
                <w:rFonts w:ascii="Times New Roman" w:hAnsi="Times New Roman" w:eastAsia="SimSun"/>
                <w:b w:val="0"/>
                <w:sz w:val="16"/>
              </w:rPr>
              <w:t>RocketRecoveryCases/Chrono_LeggedRecovery/Output/RocketRecovery/chrono-same-platform-multibody-response.json</w:t>
            </w:r>
          </w:p>
        </w:tc>
        <w:tc>
          <w:tcPr>
            <w:tcW w:type="dxa" w:w="2456"/>
            <w:vAlign w:val="center"/>
          </w:tcPr>
          <w:p>
            <w:pPr>
              <w:spacing w:before="20" w:after="20" w:line="240" w:lineRule="auto"/>
            </w:pPr>
            <w:r>
              <w:rPr>
                <w:rFonts w:ascii="Times New Roman" w:hAnsi="Times New Roman" w:eastAsia="SimSun"/>
                <w:b w:val="0"/>
                <w:sz w:val="16"/>
              </w:rPr>
              <w:t>present_calculation_with_labelledₚroxies</w:t>
            </w:r>
          </w:p>
        </w:tc>
        <w:tc>
          <w:tcPr>
            <w:tcW w:type="dxa" w:w="3275"/>
            <w:vAlign w:val="center"/>
          </w:tcPr>
          <w:p>
            <w:pPr>
              <w:spacing w:before="20" w:after="20" w:line="240" w:lineRule="auto"/>
            </w:pPr>
            <w:r>
              <w:rPr>
                <w:rFonts w:ascii="Times New Roman" w:hAnsi="Times New Roman" w:eastAsia="SimSun"/>
                <w:b w:val="0"/>
                <w:sz w:val="16"/>
              </w:rPr>
              <w:t>Full same-platform response history</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eb6546558296c4ee</w:t>
            </w:r>
          </w:p>
        </w:tc>
      </w:tr>
      <w:tr>
        <w:trPr>
          <w:cantSplit/>
        </w:trPr>
        <w:tc>
          <w:tcPr>
            <w:tcW w:type="dxa" w:w="4093"/>
            <w:vAlign w:val="center"/>
          </w:tcPr>
          <w:p>
            <w:pPr>
              <w:spacing w:before="20" w:after="20" w:line="240" w:lineRule="auto"/>
            </w:pPr>
            <w:r>
              <w:rPr>
                <w:rFonts w:ascii="Times New Roman" w:hAnsi="Times New Roman" w:eastAsia="SimSun"/>
                <w:b w:val="0"/>
                <w:sz w:val="16"/>
              </w:rPr>
              <w:t>RocketRecoveryCases/Chrono_LeggedRecovery/chrono-revision-study-report.json</w:t>
            </w:r>
          </w:p>
        </w:tc>
        <w:tc>
          <w:tcPr>
            <w:tcW w:type="dxa" w:w="2456"/>
            <w:vAlign w:val="center"/>
          </w:tcPr>
          <w:p>
            <w:pPr>
              <w:spacing w:before="20" w:after="20" w:line="240" w:lineRule="auto"/>
            </w:pPr>
            <w:r>
              <w:rPr>
                <w:rFonts w:ascii="Times New Roman" w:hAnsi="Times New Roman" w:eastAsia="SimSun"/>
                <w:b w:val="0"/>
                <w:sz w:val="16"/>
              </w:rPr>
              <w:t>present_code_verification</w:t>
            </w:r>
          </w:p>
        </w:tc>
        <w:tc>
          <w:tcPr>
            <w:tcW w:type="dxa" w:w="3275"/>
            <w:vAlign w:val="center"/>
          </w:tcPr>
          <w:p>
            <w:pPr>
              <w:spacing w:before="20" w:after="20" w:line="240" w:lineRule="auto"/>
            </w:pPr>
            <w:r>
              <w:rPr>
                <w:rFonts w:ascii="Times New Roman" w:hAnsi="Times New Roman" w:eastAsia="SimSun"/>
                <w:b w:val="0"/>
                <w:sz w:val="16"/>
              </w:rPr>
              <w:t>Independent smooth-law energy/code companion</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0954aa98bbbee771</w:t>
            </w:r>
          </w:p>
        </w:tc>
      </w:tr>
      <w:tr>
        <w:trPr>
          <w:cantSplit/>
        </w:trPr>
        <w:tc>
          <w:tcPr>
            <w:tcW w:type="dxa" w:w="4093"/>
            <w:vAlign w:val="center"/>
          </w:tcPr>
          <w:p>
            <w:pPr>
              <w:spacing w:before="20" w:after="20" w:line="240" w:lineRule="auto"/>
            </w:pPr>
            <w:r>
              <w:rPr>
                <w:rFonts w:ascii="Times New Roman" w:hAnsi="Times New Roman" w:eastAsia="SimSun"/>
                <w:b w:val="0"/>
                <w:sz w:val="16"/>
              </w:rPr>
              <w:t>analysis/diagnostics/hams-cert-root-cause.json</w:t>
            </w:r>
          </w:p>
        </w:tc>
        <w:tc>
          <w:tcPr>
            <w:tcW w:type="dxa" w:w="2456"/>
            <w:vAlign w:val="center"/>
          </w:tcPr>
          <w:p>
            <w:pPr>
              <w:spacing w:before="20" w:after="20" w:line="240" w:lineRule="auto"/>
            </w:pPr>
            <w:r>
              <w:rPr>
                <w:rFonts w:ascii="Times New Roman" w:hAnsi="Times New Roman" w:eastAsia="SimSun"/>
                <w:b w:val="0"/>
                <w:sz w:val="16"/>
              </w:rPr>
              <w:t>failed_external_regression</w:t>
            </w:r>
          </w:p>
        </w:tc>
        <w:tc>
          <w:tcPr>
            <w:tcW w:type="dxa" w:w="3275"/>
            <w:vAlign w:val="center"/>
          </w:tcPr>
          <w:p>
            <w:pPr>
              <w:spacing w:before="20" w:after="20" w:line="240" w:lineRule="auto"/>
            </w:pPr>
            <w:r>
              <w:rPr>
                <w:rFonts w:ascii="Times New Roman" w:hAnsi="Times New Roman" w:eastAsia="SimSun"/>
                <w:b w:val="0"/>
                <w:sz w:val="16"/>
              </w:rPr>
              <w:t>Official four-case comparator diagnostic; no validation credit</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03d9bb625c5540f2</w:t>
            </w:r>
          </w:p>
        </w:tc>
      </w:tr>
      <w:tr>
        <w:trPr>
          <w:cantSplit/>
        </w:trPr>
        <w:tc>
          <w:tcPr>
            <w:tcW w:type="dxa" w:w="4093"/>
            <w:vAlign w:val="center"/>
          </w:tcPr>
          <w:p>
            <w:pPr>
              <w:spacing w:before="20" w:after="20" w:line="240" w:lineRule="auto"/>
            </w:pPr>
            <w:r>
              <w:rPr>
                <w:rFonts w:ascii="Times New Roman" w:hAnsi="Times New Roman" w:eastAsia="SimSun"/>
                <w:b w:val="0"/>
                <w:sz w:val="16"/>
              </w:rPr>
              <w:t>paper/yang_2026_extension/manuscript.md</w:t>
            </w:r>
          </w:p>
        </w:tc>
        <w:tc>
          <w:tcPr>
            <w:tcW w:type="dxa" w:w="2456"/>
            <w:vAlign w:val="center"/>
          </w:tcPr>
          <w:p>
            <w:pPr>
              <w:spacing w:before="20" w:after="20" w:line="240" w:lineRule="auto"/>
            </w:pPr>
            <w:r>
              <w:rPr>
                <w:rFonts w:ascii="Times New Roman" w:hAnsi="Times New Roman" w:eastAsia="SimSun"/>
                <w:b w:val="0"/>
                <w:sz w:val="16"/>
              </w:rPr>
              <w:t>present_manuscript</w:t>
            </w:r>
          </w:p>
        </w:tc>
        <w:tc>
          <w:tcPr>
            <w:tcW w:type="dxa" w:w="3275"/>
            <w:vAlign w:val="center"/>
          </w:tcPr>
          <w:p>
            <w:pPr>
              <w:spacing w:before="20" w:after="20" w:line="240" w:lineRule="auto"/>
            </w:pPr>
            <w:r>
              <w:rPr>
                <w:rFonts w:ascii="Times New Roman" w:hAnsi="Times New Roman" w:eastAsia="SimSun"/>
                <w:b w:val="0"/>
                <w:sz w:val="16"/>
              </w:rPr>
              <w:t>Submission manuscript source</w:t>
            </w:r>
          </w:p>
        </w:tc>
        <w:tc>
          <w:tcPr>
            <w:tcW w:type="dxa" w:w="1091"/>
            <w:vAlign w:val="center"/>
          </w:tcPr>
          <w:p>
            <w:pPr>
              <w:spacing w:before="20" w:after="20" w:line="240" w:lineRule="auto"/>
            </w:pPr>
            <w:r>
              <w:rPr>
                <w:rFonts w:ascii="Times New Roman" w:hAnsi="Times New Roman" w:eastAsia="SimSun"/>
                <w:b w:val="0"/>
                <w:sz w:val="16"/>
              </w:rPr>
              <w:t>是</w:t>
            </w:r>
          </w:p>
        </w:tc>
        <w:tc>
          <w:tcPr>
            <w:tcW w:type="dxa" w:w="2731"/>
            <w:vAlign w:val="center"/>
          </w:tcPr>
          <w:p>
            <w:pPr>
              <w:spacing w:before="20" w:after="20" w:line="240" w:lineRule="auto"/>
            </w:pPr>
            <w:r>
              <w:rPr>
                <w:rFonts w:ascii="Times New Roman" w:hAnsi="Times New Roman" w:eastAsia="SimSun"/>
                <w:b w:val="0"/>
                <w:sz w:val="16"/>
              </w:rPr>
              <w:t>83d4f469b23f9cc2</w:t>
            </w:r>
          </w:p>
        </w:tc>
      </w:tr>
    </w:tbl>
    <w:p>
      <w:pPr>
        <w:spacing w:after="20"/>
      </w:pPr>
    </w:p>
    <w:p>
      <w:pPr>
        <w:pStyle w:val="Heading1"/>
      </w:pPr>
      <w:r>
        <w:t>6. 图件审查</w:t>
      </w:r>
    </w:p>
    <w:p>
      <w:pPr>
        <w:spacing w:after="100"/>
      </w:pPr>
      <w:r>
        <w:rPr>
          <w:rFonts w:ascii="SimSun" w:hAnsi="SimSun" w:eastAsia="SimSun"/>
          <w:sz w:val="21"/>
        </w:rPr>
        <w:t>全部图件由同一脚本基于机器输出生成，采用 SciencePlots science/no-latex 风格、Times New Roman 字体，并同时输出 600 dpi PNG 和可编辑 SVG。文献曲线使用灰黑虚线，本文计算使用彩色实线。图形不经办公软件手工移动数据点。</w:t>
      </w:r>
    </w:p>
    <w:tbl>
      <w:tblPr>
        <w:tblStyle w:val="TableGrid"/>
        <w:tblW w:type="dxa" w:w="13646"/>
        <w:jc w:val="center"/>
        <w:tblLayout w:type="fixed"/>
        <w:tblLook w:firstColumn="1" w:firstRow="1" w:lastColumn="0" w:lastRow="0" w:noHBand="0" w:noVBand="1" w:val="04A0"/>
        <w:tblInd w:w="120" w:type="dxa"/>
      </w:tblPr>
      <w:tblGrid>
        <w:gridCol w:w="3547"/>
        <w:gridCol w:w="4093"/>
        <w:gridCol w:w="1910"/>
        <w:gridCol w:w="1091"/>
        <w:gridCol w:w="3005"/>
      </w:tblGrid>
      <w:tr>
        <w:trPr>
          <w:cantSplit/>
          <w:tblHeader w:val="true"/>
        </w:trPr>
        <w:tc>
          <w:tcPr>
            <w:tcW w:type="dxa" w:w="3547"/>
            <w:vAlign w:val="center"/>
            <w:shd w:fill="EAF0F4"/>
          </w:tcPr>
          <w:p>
            <w:pPr>
              <w:spacing w:before="20" w:after="20" w:line="240" w:lineRule="auto"/>
            </w:pPr>
            <w:r>
              <w:rPr>
                <w:rFonts w:ascii="Times New Roman" w:hAnsi="Times New Roman" w:eastAsia="SimSun"/>
                <w:b/>
                <w:sz w:val="16"/>
              </w:rPr>
              <w:t>图件</w:t>
            </w:r>
          </w:p>
        </w:tc>
        <w:tc>
          <w:tcPr>
            <w:tcW w:type="dxa" w:w="4093"/>
            <w:vAlign w:val="center"/>
            <w:shd w:fill="EAF0F4"/>
          </w:tcPr>
          <w:p>
            <w:pPr>
              <w:spacing w:before="20" w:after="20" w:line="240" w:lineRule="auto"/>
            </w:pPr>
            <w:r>
              <w:rPr>
                <w:rFonts w:ascii="Times New Roman" w:hAnsi="Times New Roman" w:eastAsia="SimSun"/>
                <w:b/>
                <w:sz w:val="16"/>
              </w:rPr>
              <w:t>用途</w:t>
            </w:r>
          </w:p>
        </w:tc>
        <w:tc>
          <w:tcPr>
            <w:tcW w:type="dxa" w:w="1910"/>
            <w:vAlign w:val="center"/>
            <w:shd w:fill="EAF0F4"/>
          </w:tcPr>
          <w:p>
            <w:pPr>
              <w:spacing w:before="20" w:after="20" w:line="240" w:lineRule="auto"/>
            </w:pPr>
            <w:r>
              <w:rPr>
                <w:rFonts w:ascii="Times New Roman" w:hAnsi="Times New Roman" w:eastAsia="SimSun"/>
                <w:b/>
                <w:sz w:val="16"/>
              </w:rPr>
              <w:t>像素</w:t>
            </w:r>
          </w:p>
        </w:tc>
        <w:tc>
          <w:tcPr>
            <w:tcW w:type="dxa" w:w="1091"/>
            <w:vAlign w:val="center"/>
            <w:shd w:fill="EAF0F4"/>
          </w:tcPr>
          <w:p>
            <w:pPr>
              <w:spacing w:before="20" w:after="20" w:line="240" w:lineRule="auto"/>
            </w:pPr>
            <w:r>
              <w:rPr>
                <w:rFonts w:ascii="Times New Roman" w:hAnsi="Times New Roman" w:eastAsia="SimSun"/>
                <w:b/>
                <w:sz w:val="16"/>
              </w:rPr>
              <w:t>TNR</w:t>
            </w:r>
          </w:p>
        </w:tc>
        <w:tc>
          <w:tcPr>
            <w:tcW w:type="dxa" w:w="3005"/>
            <w:vAlign w:val="center"/>
            <w:shd w:fill="EAF0F4"/>
          </w:tcPr>
          <w:p>
            <w:pPr>
              <w:spacing w:before="20" w:after="20" w:line="240" w:lineRule="auto"/>
            </w:pPr>
            <w:r>
              <w:rPr>
                <w:rFonts w:ascii="Times New Roman" w:hAnsi="Times New Roman" w:eastAsia="SimSun"/>
                <w:b/>
                <w:sz w:val="16"/>
              </w:rPr>
              <w:t>SHA-256 前缀</w:t>
            </w:r>
          </w:p>
        </w:tc>
      </w:tr>
      <w:tr>
        <w:trPr>
          <w:cantSplit/>
        </w:trPr>
        <w:tc>
          <w:tcPr>
            <w:tcW w:type="dxa" w:w="3547"/>
            <w:vAlign w:val="center"/>
          </w:tcPr>
          <w:p>
            <w:pPr>
              <w:spacing w:before="20" w:after="20" w:line="240" w:lineRule="auto"/>
            </w:pPr>
            <w:r>
              <w:rPr>
                <w:rFonts w:ascii="Times New Roman" w:hAnsi="Times New Roman" w:eastAsia="SimSun"/>
                <w:b w:val="0"/>
                <w:sz w:val="16"/>
              </w:rPr>
              <w:t>fig01-coupled-framework</w:t>
            </w:r>
          </w:p>
        </w:tc>
        <w:tc>
          <w:tcPr>
            <w:tcW w:type="dxa" w:w="4093"/>
            <w:vAlign w:val="center"/>
          </w:tcPr>
          <w:p>
            <w:pPr>
              <w:spacing w:before="20" w:after="20" w:line="240" w:lineRule="auto"/>
            </w:pPr>
            <w:r>
              <w:rPr>
                <w:rFonts w:ascii="Times New Roman" w:hAnsi="Times New Roman" w:eastAsia="SimSun"/>
                <w:b w:val="0"/>
                <w:sz w:val="16"/>
              </w:rPr>
              <w:t>Implemented theoretical data flow</w:t>
            </w:r>
          </w:p>
        </w:tc>
        <w:tc>
          <w:tcPr>
            <w:tcW w:type="dxa" w:w="1910"/>
            <w:vAlign w:val="center"/>
          </w:tcPr>
          <w:p>
            <w:pPr>
              <w:spacing w:before="20" w:after="20" w:line="240" w:lineRule="auto"/>
            </w:pPr>
            <w:r>
              <w:rPr>
                <w:rFonts w:ascii="Times New Roman" w:hAnsi="Times New Roman" w:eastAsia="SimSun"/>
                <w:b w:val="0"/>
                <w:sz w:val="16"/>
              </w:rPr>
              <w:t>4299 x 2019</w:t>
            </w:r>
          </w:p>
        </w:tc>
        <w:tc>
          <w:tcPr>
            <w:tcW w:type="dxa" w:w="1091"/>
            <w:vAlign w:val="center"/>
          </w:tcPr>
          <w:p>
            <w:pPr>
              <w:spacing w:before="20" w:after="20" w:line="240" w:lineRule="auto"/>
            </w:pPr>
            <w:r>
              <w:rPr>
                <w:rFonts w:ascii="Times New Roman" w:hAnsi="Times New Roman" w:eastAsia="SimSun"/>
                <w:b w:val="0"/>
                <w:sz w:val="16"/>
              </w:rPr>
              <w:t>是</w:t>
            </w:r>
          </w:p>
        </w:tc>
        <w:tc>
          <w:tcPr>
            <w:tcW w:type="dxa" w:w="3005"/>
            <w:vAlign w:val="center"/>
          </w:tcPr>
          <w:p>
            <w:pPr>
              <w:spacing w:before="20" w:after="20" w:line="240" w:lineRule="auto"/>
            </w:pPr>
            <w:r>
              <w:rPr>
                <w:rFonts w:ascii="Times New Roman" w:hAnsi="Times New Roman" w:eastAsia="SimSun"/>
                <w:b w:val="0"/>
                <w:sz w:val="16"/>
              </w:rPr>
              <w:t>0bd63483100ef73a</w:t>
            </w:r>
          </w:p>
        </w:tc>
      </w:tr>
      <w:tr>
        <w:trPr>
          <w:cantSplit/>
        </w:trPr>
        <w:tc>
          <w:tcPr>
            <w:tcW w:type="dxa" w:w="3547"/>
            <w:vAlign w:val="center"/>
          </w:tcPr>
          <w:p>
            <w:pPr>
              <w:spacing w:before="20" w:after="20" w:line="240" w:lineRule="auto"/>
            </w:pPr>
            <w:r>
              <w:rPr>
                <w:rFonts w:ascii="Times New Roman" w:hAnsi="Times New Roman" w:eastAsia="SimSun"/>
                <w:b w:val="0"/>
                <w:sz w:val="16"/>
              </w:rPr>
              <w:t>fig02-barge-geometry-mesh</w:t>
            </w:r>
          </w:p>
        </w:tc>
        <w:tc>
          <w:tcPr>
            <w:tcW w:type="dxa" w:w="4093"/>
            <w:vAlign w:val="center"/>
          </w:tcPr>
          <w:p>
            <w:pPr>
              <w:spacing w:before="20" w:after="20" w:line="240" w:lineRule="auto"/>
            </w:pPr>
            <w:r>
              <w:rPr>
                <w:rFonts w:ascii="Times New Roman" w:hAnsi="Times New Roman" w:eastAsia="SimSun"/>
                <w:b w:val="0"/>
                <w:sz w:val="16"/>
              </w:rPr>
              <w:t>Present geometry and two deck-point layouts</w:t>
            </w:r>
          </w:p>
        </w:tc>
        <w:tc>
          <w:tcPr>
            <w:tcW w:type="dxa" w:w="1910"/>
            <w:vAlign w:val="center"/>
          </w:tcPr>
          <w:p>
            <w:pPr>
              <w:spacing w:before="20" w:after="20" w:line="240" w:lineRule="auto"/>
            </w:pPr>
            <w:r>
              <w:rPr>
                <w:rFonts w:ascii="Times New Roman" w:hAnsi="Times New Roman" w:eastAsia="SimSun"/>
                <w:b w:val="0"/>
                <w:sz w:val="16"/>
              </w:rPr>
              <w:t>4029 x 2257</w:t>
            </w:r>
          </w:p>
        </w:tc>
        <w:tc>
          <w:tcPr>
            <w:tcW w:type="dxa" w:w="1091"/>
            <w:vAlign w:val="center"/>
          </w:tcPr>
          <w:p>
            <w:pPr>
              <w:spacing w:before="20" w:after="20" w:line="240" w:lineRule="auto"/>
            </w:pPr>
            <w:r>
              <w:rPr>
                <w:rFonts w:ascii="Times New Roman" w:hAnsi="Times New Roman" w:eastAsia="SimSun"/>
                <w:b w:val="0"/>
                <w:sz w:val="16"/>
              </w:rPr>
              <w:t>是</w:t>
            </w:r>
          </w:p>
        </w:tc>
        <w:tc>
          <w:tcPr>
            <w:tcW w:type="dxa" w:w="3005"/>
            <w:vAlign w:val="center"/>
          </w:tcPr>
          <w:p>
            <w:pPr>
              <w:spacing w:before="20" w:after="20" w:line="240" w:lineRule="auto"/>
            </w:pPr>
            <w:r>
              <w:rPr>
                <w:rFonts w:ascii="Times New Roman" w:hAnsi="Times New Roman" w:eastAsia="SimSun"/>
                <w:b w:val="0"/>
                <w:sz w:val="16"/>
              </w:rPr>
              <w:t>6b271ae6b1f9f857</w:t>
            </w:r>
          </w:p>
        </w:tc>
      </w:tr>
      <w:tr>
        <w:trPr>
          <w:cantSplit/>
        </w:trPr>
        <w:tc>
          <w:tcPr>
            <w:tcW w:type="dxa" w:w="3547"/>
            <w:vAlign w:val="center"/>
          </w:tcPr>
          <w:p>
            <w:pPr>
              <w:spacing w:before="20" w:after="20" w:line="240" w:lineRule="auto"/>
            </w:pPr>
            <w:r>
              <w:rPr>
                <w:rFonts w:ascii="Times New Roman" w:hAnsi="Times New Roman" w:eastAsia="SimSun"/>
                <w:b w:val="0"/>
                <w:sz w:val="16"/>
              </w:rPr>
              <w:t>fig03-yang-identified-landing-comparison</w:t>
            </w:r>
          </w:p>
        </w:tc>
        <w:tc>
          <w:tcPr>
            <w:tcW w:type="dxa" w:w="4093"/>
            <w:vAlign w:val="center"/>
          </w:tcPr>
          <w:p>
            <w:pPr>
              <w:spacing w:before="20" w:after="20" w:line="240" w:lineRule="auto"/>
            </w:pPr>
            <w:r>
              <w:rPr>
                <w:rFonts w:ascii="Times New Roman" w:hAnsi="Times New Roman" w:eastAsia="SimSun"/>
                <w:b w:val="0"/>
                <w:sz w:val="16"/>
              </w:rPr>
              <w:t>Digitized reference versus present reduced-model calculation</w:t>
            </w:r>
          </w:p>
        </w:tc>
        <w:tc>
          <w:tcPr>
            <w:tcW w:type="dxa" w:w="1910"/>
            <w:vAlign w:val="center"/>
          </w:tcPr>
          <w:p>
            <w:pPr>
              <w:spacing w:before="20" w:after="20" w:line="240" w:lineRule="auto"/>
            </w:pPr>
            <w:r>
              <w:rPr>
                <w:rFonts w:ascii="Times New Roman" w:hAnsi="Times New Roman" w:eastAsia="SimSun"/>
                <w:b w:val="0"/>
                <w:sz w:val="16"/>
              </w:rPr>
              <w:t>4296 x 3399</w:t>
            </w:r>
          </w:p>
        </w:tc>
        <w:tc>
          <w:tcPr>
            <w:tcW w:type="dxa" w:w="1091"/>
            <w:vAlign w:val="center"/>
          </w:tcPr>
          <w:p>
            <w:pPr>
              <w:spacing w:before="20" w:after="20" w:line="240" w:lineRule="auto"/>
            </w:pPr>
            <w:r>
              <w:rPr>
                <w:rFonts w:ascii="Times New Roman" w:hAnsi="Times New Roman" w:eastAsia="SimSun"/>
                <w:b w:val="0"/>
                <w:sz w:val="16"/>
              </w:rPr>
              <w:t>是</w:t>
            </w:r>
          </w:p>
        </w:tc>
        <w:tc>
          <w:tcPr>
            <w:tcW w:type="dxa" w:w="3005"/>
            <w:vAlign w:val="center"/>
          </w:tcPr>
          <w:p>
            <w:pPr>
              <w:spacing w:before="20" w:after="20" w:line="240" w:lineRule="auto"/>
            </w:pPr>
            <w:r>
              <w:rPr>
                <w:rFonts w:ascii="Times New Roman" w:hAnsi="Times New Roman" w:eastAsia="SimSun"/>
                <w:b w:val="0"/>
                <w:sz w:val="16"/>
              </w:rPr>
              <w:t>0a5197c871668851</w:t>
            </w:r>
          </w:p>
        </w:tc>
      </w:tr>
      <w:tr>
        <w:trPr>
          <w:cantSplit/>
        </w:trPr>
        <w:tc>
          <w:tcPr>
            <w:tcW w:type="dxa" w:w="3547"/>
            <w:vAlign w:val="center"/>
          </w:tcPr>
          <w:p>
            <w:pPr>
              <w:spacing w:before="20" w:after="20" w:line="240" w:lineRule="auto"/>
            </w:pPr>
            <w:r>
              <w:rPr>
                <w:rFonts w:ascii="Times New Roman" w:hAnsi="Times New Roman" w:eastAsia="SimSun"/>
                <w:b w:val="0"/>
                <w:sz w:val="16"/>
              </w:rPr>
              <w:t>fig04-platform-hydrodynamic-response</w:t>
            </w:r>
          </w:p>
        </w:tc>
        <w:tc>
          <w:tcPr>
            <w:tcW w:type="dxa" w:w="4093"/>
            <w:vAlign w:val="center"/>
          </w:tcPr>
          <w:p>
            <w:pPr>
              <w:spacing w:before="20" w:after="20" w:line="240" w:lineRule="auto"/>
            </w:pPr>
            <w:r>
              <w:rPr>
                <w:rFonts w:ascii="Times New Roman" w:hAnsi="Times New Roman" w:eastAsia="SimSun"/>
                <w:b w:val="0"/>
                <w:sz w:val="16"/>
              </w:rPr>
              <w:t>Present hydrodynamic and refinement calculations</w:t>
            </w:r>
          </w:p>
        </w:tc>
        <w:tc>
          <w:tcPr>
            <w:tcW w:type="dxa" w:w="1910"/>
            <w:vAlign w:val="center"/>
          </w:tcPr>
          <w:p>
            <w:pPr>
              <w:spacing w:before="20" w:after="20" w:line="240" w:lineRule="auto"/>
            </w:pPr>
            <w:r>
              <w:rPr>
                <w:rFonts w:ascii="Times New Roman" w:hAnsi="Times New Roman" w:eastAsia="SimSun"/>
                <w:b w:val="0"/>
                <w:sz w:val="16"/>
              </w:rPr>
              <w:t>4299 x 2799</w:t>
            </w:r>
          </w:p>
        </w:tc>
        <w:tc>
          <w:tcPr>
            <w:tcW w:type="dxa" w:w="1091"/>
            <w:vAlign w:val="center"/>
          </w:tcPr>
          <w:p>
            <w:pPr>
              <w:spacing w:before="20" w:after="20" w:line="240" w:lineRule="auto"/>
            </w:pPr>
            <w:r>
              <w:rPr>
                <w:rFonts w:ascii="Times New Roman" w:hAnsi="Times New Roman" w:eastAsia="SimSun"/>
                <w:b w:val="0"/>
                <w:sz w:val="16"/>
              </w:rPr>
              <w:t>是</w:t>
            </w:r>
          </w:p>
        </w:tc>
        <w:tc>
          <w:tcPr>
            <w:tcW w:type="dxa" w:w="3005"/>
            <w:vAlign w:val="center"/>
          </w:tcPr>
          <w:p>
            <w:pPr>
              <w:spacing w:before="20" w:after="20" w:line="240" w:lineRule="auto"/>
            </w:pPr>
            <w:r>
              <w:rPr>
                <w:rFonts w:ascii="Times New Roman" w:hAnsi="Times New Roman" w:eastAsia="SimSun"/>
                <w:b w:val="0"/>
                <w:sz w:val="16"/>
              </w:rPr>
              <w:t>db83a3110b4e5a39</w:t>
            </w:r>
          </w:p>
        </w:tc>
      </w:tr>
      <w:tr>
        <w:trPr>
          <w:cantSplit/>
        </w:trPr>
        <w:tc>
          <w:tcPr>
            <w:tcW w:type="dxa" w:w="3547"/>
            <w:vAlign w:val="center"/>
          </w:tcPr>
          <w:p>
            <w:pPr>
              <w:spacing w:before="20" w:after="20" w:line="240" w:lineRule="auto"/>
            </w:pPr>
            <w:r>
              <w:rPr>
                <w:rFonts w:ascii="Times New Roman" w:hAnsi="Times New Roman" w:eastAsia="SimSun"/>
                <w:b w:val="0"/>
                <w:sz w:val="16"/>
              </w:rPr>
              <w:t>fig05-random-wave-deck-statistics</w:t>
            </w:r>
          </w:p>
        </w:tc>
        <w:tc>
          <w:tcPr>
            <w:tcW w:type="dxa" w:w="4093"/>
            <w:vAlign w:val="center"/>
          </w:tcPr>
          <w:p>
            <w:pPr>
              <w:spacing w:before="20" w:after="20" w:line="240" w:lineRule="auto"/>
            </w:pPr>
            <w:r>
              <w:rPr>
                <w:rFonts w:ascii="Times New Roman" w:hAnsi="Times New Roman" w:eastAsia="SimSun"/>
                <w:b w:val="0"/>
                <w:sz w:val="16"/>
              </w:rPr>
              <w:t>Present 1000-realization statistics and validity flags</w:t>
            </w:r>
          </w:p>
        </w:tc>
        <w:tc>
          <w:tcPr>
            <w:tcW w:type="dxa" w:w="1910"/>
            <w:vAlign w:val="center"/>
          </w:tcPr>
          <w:p>
            <w:pPr>
              <w:spacing w:before="20" w:after="20" w:line="240" w:lineRule="auto"/>
            </w:pPr>
            <w:r>
              <w:rPr>
                <w:rFonts w:ascii="Times New Roman" w:hAnsi="Times New Roman" w:eastAsia="SimSun"/>
                <w:b w:val="0"/>
                <w:sz w:val="16"/>
              </w:rPr>
              <w:t>4299 x 2799</w:t>
            </w:r>
          </w:p>
        </w:tc>
        <w:tc>
          <w:tcPr>
            <w:tcW w:type="dxa" w:w="1091"/>
            <w:vAlign w:val="center"/>
          </w:tcPr>
          <w:p>
            <w:pPr>
              <w:spacing w:before="20" w:after="20" w:line="240" w:lineRule="auto"/>
            </w:pPr>
            <w:r>
              <w:rPr>
                <w:rFonts w:ascii="Times New Roman" w:hAnsi="Times New Roman" w:eastAsia="SimSun"/>
                <w:b w:val="0"/>
                <w:sz w:val="16"/>
              </w:rPr>
              <w:t>是</w:t>
            </w:r>
          </w:p>
        </w:tc>
        <w:tc>
          <w:tcPr>
            <w:tcW w:type="dxa" w:w="3005"/>
            <w:vAlign w:val="center"/>
          </w:tcPr>
          <w:p>
            <w:pPr>
              <w:spacing w:before="20" w:after="20" w:line="240" w:lineRule="auto"/>
            </w:pPr>
            <w:r>
              <w:rPr>
                <w:rFonts w:ascii="Times New Roman" w:hAnsi="Times New Roman" w:eastAsia="SimSun"/>
                <w:b w:val="0"/>
                <w:sz w:val="16"/>
              </w:rPr>
              <w:t>66f2168bdcafca5c</w:t>
            </w:r>
          </w:p>
        </w:tc>
      </w:tr>
      <w:tr>
        <w:trPr>
          <w:cantSplit/>
        </w:trPr>
        <w:tc>
          <w:tcPr>
            <w:tcW w:type="dxa" w:w="3547"/>
            <w:vAlign w:val="center"/>
          </w:tcPr>
          <w:p>
            <w:pPr>
              <w:spacing w:before="20" w:after="20" w:line="240" w:lineRule="auto"/>
            </w:pPr>
            <w:r>
              <w:rPr>
                <w:rFonts w:ascii="Times New Roman" w:hAnsi="Times New Roman" w:eastAsia="SimSun"/>
                <w:b w:val="0"/>
                <w:sz w:val="16"/>
              </w:rPr>
              <w:t>fig06-partitioned-contact-feedback</w:t>
            </w:r>
          </w:p>
        </w:tc>
        <w:tc>
          <w:tcPr>
            <w:tcW w:type="dxa" w:w="4093"/>
            <w:vAlign w:val="center"/>
          </w:tcPr>
          <w:p>
            <w:pPr>
              <w:spacing w:before="20" w:after="20" w:line="240" w:lineRule="auto"/>
            </w:pPr>
            <w:r>
              <w:rPr>
                <w:rFonts w:ascii="Times New Roman" w:hAnsi="Times New Roman" w:eastAsia="SimSun"/>
                <w:b w:val="0"/>
                <w:sz w:val="16"/>
              </w:rPr>
              <w:t>Present same-platform multibody response and numerical sensitivity</w:t>
            </w:r>
          </w:p>
        </w:tc>
        <w:tc>
          <w:tcPr>
            <w:tcW w:type="dxa" w:w="1910"/>
            <w:vAlign w:val="center"/>
          </w:tcPr>
          <w:p>
            <w:pPr>
              <w:spacing w:before="20" w:after="20" w:line="240" w:lineRule="auto"/>
            </w:pPr>
            <w:r>
              <w:rPr>
                <w:rFonts w:ascii="Times New Roman" w:hAnsi="Times New Roman" w:eastAsia="SimSun"/>
                <w:b w:val="0"/>
                <w:sz w:val="16"/>
              </w:rPr>
              <w:t>4299 x 4719</w:t>
            </w:r>
          </w:p>
        </w:tc>
        <w:tc>
          <w:tcPr>
            <w:tcW w:type="dxa" w:w="1091"/>
            <w:vAlign w:val="center"/>
          </w:tcPr>
          <w:p>
            <w:pPr>
              <w:spacing w:before="20" w:after="20" w:line="240" w:lineRule="auto"/>
            </w:pPr>
            <w:r>
              <w:rPr>
                <w:rFonts w:ascii="Times New Roman" w:hAnsi="Times New Roman" w:eastAsia="SimSun"/>
                <w:b w:val="0"/>
                <w:sz w:val="16"/>
              </w:rPr>
              <w:t>是</w:t>
            </w:r>
          </w:p>
        </w:tc>
        <w:tc>
          <w:tcPr>
            <w:tcW w:type="dxa" w:w="3005"/>
            <w:vAlign w:val="center"/>
          </w:tcPr>
          <w:p>
            <w:pPr>
              <w:spacing w:before="20" w:after="20" w:line="240" w:lineRule="auto"/>
            </w:pPr>
            <w:r>
              <w:rPr>
                <w:rFonts w:ascii="Times New Roman" w:hAnsi="Times New Roman" w:eastAsia="SimSun"/>
                <w:b w:val="0"/>
                <w:sz w:val="16"/>
              </w:rPr>
              <w:t>b4d06de4475e7e77</w:t>
            </w:r>
          </w:p>
        </w:tc>
      </w:tr>
      <w:tr>
        <w:trPr>
          <w:cantSplit/>
        </w:trPr>
        <w:tc>
          <w:tcPr>
            <w:tcW w:type="dxa" w:w="3547"/>
            <w:vAlign w:val="center"/>
          </w:tcPr>
          <w:p>
            <w:pPr>
              <w:spacing w:before="20" w:after="20" w:line="240" w:lineRule="auto"/>
            </w:pPr>
            <w:r>
              <w:rPr>
                <w:rFonts w:ascii="Times New Roman" w:hAnsi="Times New Roman" w:eastAsia="SimSun"/>
                <w:b w:val="0"/>
                <w:sz w:val="16"/>
              </w:rPr>
              <w:t>figS01-yang-identifiability</w:t>
            </w:r>
          </w:p>
        </w:tc>
        <w:tc>
          <w:tcPr>
            <w:tcW w:type="dxa" w:w="4093"/>
            <w:vAlign w:val="center"/>
          </w:tcPr>
          <w:p>
            <w:pPr>
              <w:spacing w:before="20" w:after="20" w:line="240" w:lineRule="auto"/>
            </w:pPr>
            <w:r>
              <w:rPr>
                <w:rFonts w:ascii="Times New Roman" w:hAnsi="Times New Roman" w:eastAsia="SimSun"/>
                <w:b w:val="0"/>
                <w:sz w:val="16"/>
              </w:rPr>
              <w:t>Present multi-start identifiability result</w:t>
            </w:r>
          </w:p>
        </w:tc>
        <w:tc>
          <w:tcPr>
            <w:tcW w:type="dxa" w:w="1910"/>
            <w:vAlign w:val="center"/>
          </w:tcPr>
          <w:p>
            <w:pPr>
              <w:spacing w:before="20" w:after="20" w:line="240" w:lineRule="auto"/>
            </w:pPr>
            <w:r>
              <w:rPr>
                <w:rFonts w:ascii="Times New Roman" w:hAnsi="Times New Roman" w:eastAsia="SimSun"/>
                <w:b w:val="0"/>
                <w:sz w:val="16"/>
              </w:rPr>
              <w:t>4303 x 1869</w:t>
            </w:r>
          </w:p>
        </w:tc>
        <w:tc>
          <w:tcPr>
            <w:tcW w:type="dxa" w:w="1091"/>
            <w:vAlign w:val="center"/>
          </w:tcPr>
          <w:p>
            <w:pPr>
              <w:spacing w:before="20" w:after="20" w:line="240" w:lineRule="auto"/>
            </w:pPr>
            <w:r>
              <w:rPr>
                <w:rFonts w:ascii="Times New Roman" w:hAnsi="Times New Roman" w:eastAsia="SimSun"/>
                <w:b w:val="0"/>
                <w:sz w:val="16"/>
              </w:rPr>
              <w:t>是</w:t>
            </w:r>
          </w:p>
        </w:tc>
        <w:tc>
          <w:tcPr>
            <w:tcW w:type="dxa" w:w="3005"/>
            <w:vAlign w:val="center"/>
          </w:tcPr>
          <w:p>
            <w:pPr>
              <w:spacing w:before="20" w:after="20" w:line="240" w:lineRule="auto"/>
            </w:pPr>
            <w:r>
              <w:rPr>
                <w:rFonts w:ascii="Times New Roman" w:hAnsi="Times New Roman" w:eastAsia="SimSun"/>
                <w:b w:val="0"/>
                <w:sz w:val="16"/>
              </w:rPr>
              <w:t>495d07339611b49b</w:t>
            </w:r>
          </w:p>
        </w:tc>
      </w:tr>
      <w:tr>
        <w:trPr>
          <w:cantSplit/>
        </w:trPr>
        <w:tc>
          <w:tcPr>
            <w:tcW w:type="dxa" w:w="3547"/>
            <w:vAlign w:val="center"/>
          </w:tcPr>
          <w:p>
            <w:pPr>
              <w:spacing w:before="20" w:after="20" w:line="240" w:lineRule="auto"/>
            </w:pPr>
            <w:r>
              <w:rPr>
                <w:rFonts w:ascii="Times New Roman" w:hAnsi="Times New Roman" w:eastAsia="SimSun"/>
                <w:b w:val="0"/>
                <w:sz w:val="16"/>
              </w:rPr>
              <w:t>figS02-yang-deck-filter-reproduction</w:t>
            </w:r>
          </w:p>
        </w:tc>
        <w:tc>
          <w:tcPr>
            <w:tcW w:type="dxa" w:w="4093"/>
            <w:vAlign w:val="center"/>
          </w:tcPr>
          <w:p>
            <w:pPr>
              <w:spacing w:before="20" w:after="20" w:line="240" w:lineRule="auto"/>
            </w:pPr>
            <w:r>
              <w:rPr>
                <w:rFonts w:ascii="Times New Roman" w:hAnsi="Times New Roman" w:eastAsia="SimSun"/>
                <w:b w:val="0"/>
                <w:sz w:val="16"/>
              </w:rPr>
              <w:t>Supplementary transfer-function reconstruction</w:t>
            </w:r>
          </w:p>
        </w:tc>
        <w:tc>
          <w:tcPr>
            <w:tcW w:type="dxa" w:w="1910"/>
            <w:vAlign w:val="center"/>
          </w:tcPr>
          <w:p>
            <w:pPr>
              <w:spacing w:before="20" w:after="20" w:line="240" w:lineRule="auto"/>
            </w:pPr>
            <w:r>
              <w:rPr>
                <w:rFonts w:ascii="Times New Roman" w:hAnsi="Times New Roman" w:eastAsia="SimSun"/>
                <w:b w:val="0"/>
                <w:sz w:val="16"/>
              </w:rPr>
              <w:t>4299 x 2769</w:t>
            </w:r>
          </w:p>
        </w:tc>
        <w:tc>
          <w:tcPr>
            <w:tcW w:type="dxa" w:w="1091"/>
            <w:vAlign w:val="center"/>
          </w:tcPr>
          <w:p>
            <w:pPr>
              <w:spacing w:before="20" w:after="20" w:line="240" w:lineRule="auto"/>
            </w:pPr>
            <w:r>
              <w:rPr>
                <w:rFonts w:ascii="Times New Roman" w:hAnsi="Times New Roman" w:eastAsia="SimSun"/>
                <w:b w:val="0"/>
                <w:sz w:val="16"/>
              </w:rPr>
              <w:t>是</w:t>
            </w:r>
          </w:p>
        </w:tc>
        <w:tc>
          <w:tcPr>
            <w:tcW w:type="dxa" w:w="3005"/>
            <w:vAlign w:val="center"/>
          </w:tcPr>
          <w:p>
            <w:pPr>
              <w:spacing w:before="20" w:after="20" w:line="240" w:lineRule="auto"/>
            </w:pPr>
            <w:r>
              <w:rPr>
                <w:rFonts w:ascii="Times New Roman" w:hAnsi="Times New Roman" w:eastAsia="SimSun"/>
                <w:b w:val="0"/>
                <w:sz w:val="16"/>
              </w:rPr>
              <w:t>a68a77a375f853a7</w:t>
            </w:r>
          </w:p>
        </w:tc>
      </w:tr>
    </w:tbl>
    <w:p>
      <w:pPr>
        <w:spacing w:after="20"/>
      </w:pPr>
    </w:p>
    <w:p>
      <w:pPr>
        <w:pStyle w:val="Heading1"/>
      </w:pPr>
      <w:r>
        <w:t>7. 未解决问题及结论约束</w:t>
      </w:r>
    </w:p>
    <w:tbl>
      <w:tblPr>
        <w:tblStyle w:val="TableGrid"/>
        <w:tblW w:type="dxa" w:w="13646"/>
        <w:jc w:val="center"/>
        <w:tblLayout w:type="fixed"/>
        <w:tblLook w:firstColumn="1" w:firstRow="1" w:lastColumn="0" w:lastRow="0" w:noHBand="0" w:noVBand="1" w:val="04A0"/>
        <w:tblInd w:w="120" w:type="dxa"/>
      </w:tblPr>
      <w:tblGrid>
        <w:gridCol w:w="1228"/>
        <w:gridCol w:w="3411"/>
        <w:gridCol w:w="4230"/>
        <w:gridCol w:w="4777"/>
      </w:tblGrid>
      <w:tr>
        <w:trPr>
          <w:cantSplit/>
          <w:tblHeader w:val="true"/>
        </w:trPr>
        <w:tc>
          <w:tcPr>
            <w:tcW w:type="dxa" w:w="1228"/>
            <w:vAlign w:val="center"/>
            <w:shd w:fill="EAF0F4"/>
          </w:tcPr>
          <w:p>
            <w:pPr>
              <w:spacing w:before="20" w:after="20" w:line="240" w:lineRule="auto"/>
            </w:pPr>
            <w:r>
              <w:rPr>
                <w:rFonts w:ascii="Times New Roman" w:hAnsi="Times New Roman" w:eastAsia="SimSun"/>
                <w:b/>
                <w:sz w:val="16"/>
              </w:rPr>
              <w:t>严重度</w:t>
            </w:r>
          </w:p>
        </w:tc>
        <w:tc>
          <w:tcPr>
            <w:tcW w:type="dxa" w:w="3411"/>
            <w:vAlign w:val="center"/>
            <w:shd w:fill="EAF0F4"/>
          </w:tcPr>
          <w:p>
            <w:pPr>
              <w:spacing w:before="20" w:after="20" w:line="240" w:lineRule="auto"/>
            </w:pPr>
            <w:r>
              <w:rPr>
                <w:rFonts w:ascii="Times New Roman" w:hAnsi="Times New Roman" w:eastAsia="SimSun"/>
                <w:b/>
                <w:sz w:val="16"/>
              </w:rPr>
              <w:t>项目</w:t>
            </w:r>
          </w:p>
        </w:tc>
        <w:tc>
          <w:tcPr>
            <w:tcW w:type="dxa" w:w="4230"/>
            <w:vAlign w:val="center"/>
            <w:shd w:fill="EAF0F4"/>
          </w:tcPr>
          <w:p>
            <w:pPr>
              <w:spacing w:before="20" w:after="20" w:line="240" w:lineRule="auto"/>
            </w:pPr>
            <w:r>
              <w:rPr>
                <w:rFonts w:ascii="Times New Roman" w:hAnsi="Times New Roman" w:eastAsia="SimSun"/>
                <w:b/>
                <w:sz w:val="16"/>
              </w:rPr>
              <w:t>证据</w:t>
            </w:r>
          </w:p>
        </w:tc>
        <w:tc>
          <w:tcPr>
            <w:tcW w:type="dxa" w:w="4777"/>
            <w:vAlign w:val="center"/>
            <w:shd w:fill="EAF0F4"/>
          </w:tcPr>
          <w:p>
            <w:pPr>
              <w:spacing w:before="20" w:after="20" w:line="240" w:lineRule="auto"/>
            </w:pPr>
            <w:r>
              <w:rPr>
                <w:rFonts w:ascii="Times New Roman" w:hAnsi="Times New Roman" w:eastAsia="SimSun"/>
                <w:b/>
                <w:sz w:val="16"/>
              </w:rPr>
              <w:t>结论约束</w:t>
            </w:r>
          </w:p>
        </w:tc>
      </w:tr>
      <w:tr>
        <w:trPr>
          <w:cantSplit/>
        </w:trPr>
        <w:tc>
          <w:tcPr>
            <w:tcW w:type="dxa" w:w="1228"/>
            <w:vAlign w:val="center"/>
          </w:tcPr>
          <w:p>
            <w:pPr>
              <w:spacing w:before="20" w:after="20" w:line="240" w:lineRule="auto"/>
            </w:pPr>
            <w:r>
              <w:rPr>
                <w:rFonts w:ascii="Times New Roman" w:hAnsi="Times New Roman" w:eastAsia="SimSun"/>
                <w:b w:val="0"/>
                <w:sz w:val="16"/>
              </w:rPr>
              <w:t>high</w:t>
            </w:r>
          </w:p>
        </w:tc>
        <w:tc>
          <w:tcPr>
            <w:tcW w:type="dxa" w:w="3411"/>
            <w:vAlign w:val="center"/>
          </w:tcPr>
          <w:p>
            <w:pPr>
              <w:spacing w:before="20" w:after="20" w:line="240" w:lineRule="auto"/>
            </w:pPr>
            <w:r>
              <w:rPr>
                <w:rFonts w:ascii="Times New Roman" w:hAnsi="Times New Roman" w:eastAsia="SimSun"/>
                <w:b w:val="0"/>
                <w:sz w:val="16"/>
              </w:rPr>
              <w:t>Repository certification regression</w:t>
            </w:r>
          </w:p>
        </w:tc>
        <w:tc>
          <w:tcPr>
            <w:tcW w:type="dxa" w:w="4230"/>
            <w:vAlign w:val="center"/>
          </w:tcPr>
          <w:p>
            <w:pPr>
              <w:spacing w:before="20" w:after="20" w:line="240" w:lineRule="auto"/>
            </w:pPr>
            <w:r>
              <w:rPr>
                <w:rFonts w:ascii="Times New Roman" w:hAnsi="Times New Roman" w:eastAsia="SimSun"/>
                <w:b w:val="0"/>
                <w:sz w:val="16"/>
              </w:rPr>
              <w:t>The registered four-case comparator reports 157 failed output files (65/13/7/72 by case).</w:t>
            </w:r>
          </w:p>
        </w:tc>
        <w:tc>
          <w:tcPr>
            <w:tcW w:type="dxa" w:w="4777"/>
            <w:vAlign w:val="center"/>
          </w:tcPr>
          <w:p>
            <w:pPr>
              <w:spacing w:before="20" w:after="20" w:line="240" w:lineRule="auto"/>
            </w:pPr>
            <w:r>
              <w:rPr>
                <w:rFonts w:ascii="Times New Roman" w:hAnsi="Times New Roman" w:eastAsia="SimSun"/>
                <w:b w:val="0"/>
                <w:sz w:val="16"/>
              </w:rPr>
              <w:t>No solver-certification or hydrodynamic-benchmark pass is claimed; cause remains unresolved.</w:t>
            </w:r>
          </w:p>
        </w:tc>
      </w:tr>
      <w:tr>
        <w:trPr>
          <w:cantSplit/>
        </w:trPr>
        <w:tc>
          <w:tcPr>
            <w:tcW w:type="dxa" w:w="1228"/>
            <w:vAlign w:val="center"/>
          </w:tcPr>
          <w:p>
            <w:pPr>
              <w:spacing w:before="20" w:after="20" w:line="240" w:lineRule="auto"/>
            </w:pPr>
            <w:r>
              <w:rPr>
                <w:rFonts w:ascii="Times New Roman" w:hAnsi="Times New Roman" w:eastAsia="SimSun"/>
                <w:b w:val="0"/>
                <w:sz w:val="16"/>
              </w:rPr>
              <w:t>high</w:t>
            </w:r>
          </w:p>
        </w:tc>
        <w:tc>
          <w:tcPr>
            <w:tcW w:type="dxa" w:w="3411"/>
            <w:vAlign w:val="center"/>
          </w:tcPr>
          <w:p>
            <w:pPr>
              <w:spacing w:before="20" w:after="20" w:line="240" w:lineRule="auto"/>
            </w:pPr>
            <w:r>
              <w:rPr>
                <w:rFonts w:ascii="Times New Roman" w:hAnsi="Times New Roman" w:eastAsia="SimSun"/>
                <w:b w:val="0"/>
                <w:sz w:val="16"/>
              </w:rPr>
              <w:t>Hydrodynamic mesh refinement</w:t>
            </w:r>
          </w:p>
        </w:tc>
        <w:tc>
          <w:tcPr>
            <w:tcW w:type="dxa" w:w="4230"/>
            <w:vAlign w:val="center"/>
          </w:tcPr>
          <w:p>
            <w:pPr>
              <w:spacing w:before="20" w:after="20" w:line="240" w:lineRule="auto"/>
            </w:pPr>
            <w:r>
              <w:rPr>
                <w:rFonts w:ascii="Times New Roman" w:hAnsi="Times New Roman" w:eastAsia="SimSun"/>
                <w:b w:val="0"/>
                <w:sz w:val="16"/>
              </w:rPr>
              <w:t>Medium-to-fine maximum selected change is 5.88%, above the 5% criterion.</w:t>
            </w:r>
          </w:p>
        </w:tc>
        <w:tc>
          <w:tcPr>
            <w:tcW w:type="dxa" w:w="4777"/>
            <w:vAlign w:val="center"/>
          </w:tcPr>
          <w:p>
            <w:pPr>
              <w:spacing w:before="20" w:after="20" w:line="240" w:lineRule="auto"/>
            </w:pPr>
            <w:r>
              <w:rPr>
                <w:rFonts w:ascii="Times New Roman" w:hAnsi="Times New Roman" w:eastAsia="SimSun"/>
                <w:b w:val="0"/>
                <w:sz w:val="16"/>
              </w:rPr>
              <w:t>Medium-grid RAOs are reported as sampled case-study results, not mesh-converged predictions.</w:t>
            </w:r>
          </w:p>
        </w:tc>
      </w:tr>
      <w:tr>
        <w:trPr>
          <w:cantSplit/>
        </w:trPr>
        <w:tc>
          <w:tcPr>
            <w:tcW w:type="dxa" w:w="1228"/>
            <w:vAlign w:val="center"/>
          </w:tcPr>
          <w:p>
            <w:pPr>
              <w:spacing w:before="20" w:after="20" w:line="240" w:lineRule="auto"/>
            </w:pPr>
            <w:r>
              <w:rPr>
                <w:rFonts w:ascii="Times New Roman" w:hAnsi="Times New Roman" w:eastAsia="SimSun"/>
                <w:b w:val="0"/>
                <w:sz w:val="16"/>
              </w:rPr>
              <w:t>high</w:t>
            </w:r>
          </w:p>
        </w:tc>
        <w:tc>
          <w:tcPr>
            <w:tcW w:type="dxa" w:w="3411"/>
            <w:vAlign w:val="center"/>
          </w:tcPr>
          <w:p>
            <w:pPr>
              <w:spacing w:before="20" w:after="20" w:line="240" w:lineRule="auto"/>
            </w:pPr>
            <w:r>
              <w:rPr>
                <w:rFonts w:ascii="Times New Roman" w:hAnsi="Times New Roman" w:eastAsia="SimSun"/>
                <w:b w:val="0"/>
                <w:sz w:val="16"/>
              </w:rPr>
              <w:t>Linear free-surface validity</w:t>
            </w:r>
          </w:p>
        </w:tc>
        <w:tc>
          <w:tcPr>
            <w:tcW w:type="dxa" w:w="4230"/>
            <w:vAlign w:val="center"/>
          </w:tcPr>
          <w:p>
            <w:pPr>
              <w:spacing w:before="20" w:after="20" w:line="240" w:lineRule="auto"/>
            </w:pPr>
            <w:r>
              <w:rPr>
                <w:rFonts w:ascii="Times New Roman" w:hAnsi="Times New Roman" w:eastAsia="SimSun"/>
                <w:b w:val="0"/>
                <w:sz w:val="16"/>
              </w:rPr>
              <w:t>Only 41/63 random-wave cases pass tilt and deck-edge criteria; worst P95 tilt is 11.99 deg.</w:t>
            </w:r>
          </w:p>
        </w:tc>
        <w:tc>
          <w:tcPr>
            <w:tcW w:type="dxa" w:w="4777"/>
            <w:vAlign w:val="center"/>
          </w:tcPr>
          <w:p>
            <w:pPr>
              <w:spacing w:before="20" w:after="20" w:line="240" w:lineRule="auto"/>
            </w:pPr>
            <w:r>
              <w:rPr>
                <w:rFonts w:ascii="Times New Roman" w:hAnsi="Times New Roman" w:eastAsia="SimSun"/>
                <w:b w:val="0"/>
                <w:sz w:val="16"/>
              </w:rPr>
              <w:t>Failed conditions are screens for nonlinear analysis, not operational predictions.</w:t>
            </w:r>
          </w:p>
        </w:tc>
      </w:tr>
      <w:tr>
        <w:trPr>
          <w:cantSplit/>
        </w:trPr>
        <w:tc>
          <w:tcPr>
            <w:tcW w:type="dxa" w:w="1228"/>
            <w:vAlign w:val="center"/>
          </w:tcPr>
          <w:p>
            <w:pPr>
              <w:spacing w:before="20" w:after="20" w:line="240" w:lineRule="auto"/>
            </w:pPr>
            <w:r>
              <w:rPr>
                <w:rFonts w:ascii="Times New Roman" w:hAnsi="Times New Roman" w:eastAsia="SimSun"/>
                <w:b w:val="0"/>
                <w:sz w:val="16"/>
              </w:rPr>
              <w:t>high</w:t>
            </w:r>
          </w:p>
        </w:tc>
        <w:tc>
          <w:tcPr>
            <w:tcW w:type="dxa" w:w="3411"/>
            <w:vAlign w:val="center"/>
          </w:tcPr>
          <w:p>
            <w:pPr>
              <w:spacing w:before="20" w:after="20" w:line="240" w:lineRule="auto"/>
            </w:pPr>
            <w:r>
              <w:rPr>
                <w:rFonts w:ascii="Times New Roman" w:hAnsi="Times New Roman" w:eastAsia="SimSun"/>
                <w:b w:val="0"/>
                <w:sz w:val="16"/>
              </w:rPr>
              <w:t>Contact numerical convergence</w:t>
            </w:r>
          </w:p>
        </w:tc>
        <w:tc>
          <w:tcPr>
            <w:tcW w:type="dxa" w:w="4230"/>
            <w:vAlign w:val="center"/>
          </w:tcPr>
          <w:p>
            <w:pPr>
              <w:spacing w:before="20" w:after="20" w:line="240" w:lineRule="auto"/>
            </w:pPr>
            <w:r>
              <w:rPr>
                <w:rFonts w:ascii="Times New Roman" w:hAnsi="Times New Roman" w:eastAsia="SimSun"/>
                <w:b w:val="0"/>
                <w:sz w:val="16"/>
              </w:rPr>
              <w:t>Time-step convergence and contact-stiffness regularization both fail for local force/stroke/touchdown metrics.</w:t>
            </w:r>
          </w:p>
        </w:tc>
        <w:tc>
          <w:tcPr>
            <w:tcW w:type="dxa" w:w="4777"/>
            <w:vAlign w:val="center"/>
          </w:tcPr>
          <w:p>
            <w:pPr>
              <w:spacing w:before="20" w:after="20" w:line="240" w:lineRule="auto"/>
            </w:pPr>
            <w:r>
              <w:rPr>
                <w:rFonts w:ascii="Times New Roman" w:hAnsi="Times New Roman" w:eastAsia="SimSun"/>
                <w:b w:val="0"/>
                <w:sz w:val="16"/>
              </w:rPr>
              <w:t>No contact peak is qualified as a design load.</w:t>
            </w:r>
          </w:p>
        </w:tc>
      </w:tr>
      <w:tr>
        <w:trPr>
          <w:cantSplit/>
        </w:trPr>
        <w:tc>
          <w:tcPr>
            <w:tcW w:type="dxa" w:w="1228"/>
            <w:vAlign w:val="center"/>
          </w:tcPr>
          <w:p>
            <w:pPr>
              <w:spacing w:before="20" w:after="20" w:line="240" w:lineRule="auto"/>
            </w:pPr>
            <w:r>
              <w:rPr>
                <w:rFonts w:ascii="Times New Roman" w:hAnsi="Times New Roman" w:eastAsia="SimSun"/>
                <w:b w:val="0"/>
                <w:sz w:val="16"/>
              </w:rPr>
              <w:t>high</w:t>
            </w:r>
          </w:p>
        </w:tc>
        <w:tc>
          <w:tcPr>
            <w:tcW w:type="dxa" w:w="3411"/>
            <w:vAlign w:val="center"/>
          </w:tcPr>
          <w:p>
            <w:pPr>
              <w:spacing w:before="20" w:after="20" w:line="240" w:lineRule="auto"/>
            </w:pPr>
            <w:r>
              <w:rPr>
                <w:rFonts w:ascii="Times New Roman" w:hAnsi="Times New Roman" w:eastAsia="SimSun"/>
                <w:b w:val="0"/>
                <w:sz w:val="16"/>
              </w:rPr>
              <w:t>Stable standing</w:t>
            </w:r>
          </w:p>
        </w:tc>
        <w:tc>
          <w:tcPr>
            <w:tcW w:type="dxa" w:w="4230"/>
            <w:vAlign w:val="center"/>
          </w:tcPr>
          <w:p>
            <w:pPr>
              <w:spacing w:before="20" w:after="20" w:line="240" w:lineRule="auto"/>
            </w:pPr>
            <w:r>
              <w:rPr>
                <w:rFonts w:ascii="Times New Roman" w:hAnsi="Times New Roman" w:eastAsia="SimSun"/>
                <w:b w:val="0"/>
                <w:sz w:val="16"/>
              </w:rPr>
              <w:t>Final vertical speed and angular rate exceed the diagnostic thresholds.</w:t>
            </w:r>
          </w:p>
        </w:tc>
        <w:tc>
          <w:tcPr>
            <w:tcW w:type="dxa" w:w="4777"/>
            <w:vAlign w:val="center"/>
          </w:tcPr>
          <w:p>
            <w:pPr>
              <w:spacing w:before="20" w:after="20" w:line="240" w:lineRule="auto"/>
            </w:pPr>
            <w:r>
              <w:rPr>
                <w:rFonts w:ascii="Times New Roman" w:hAnsi="Times New Roman" w:eastAsia="SimSun"/>
                <w:b w:val="0"/>
                <w:sz w:val="16"/>
              </w:rPr>
              <w:t>The simulated interval demonstrates contact dynamics, not a completed stable landing.</w:t>
            </w:r>
          </w:p>
        </w:tc>
      </w:tr>
      <w:tr>
        <w:trPr>
          <w:cantSplit/>
        </w:trPr>
        <w:tc>
          <w:tcPr>
            <w:tcW w:type="dxa" w:w="1228"/>
            <w:vAlign w:val="center"/>
          </w:tcPr>
          <w:p>
            <w:pPr>
              <w:spacing w:before="20" w:after="20" w:line="240" w:lineRule="auto"/>
            </w:pPr>
            <w:r>
              <w:rPr>
                <w:rFonts w:ascii="Times New Roman" w:hAnsi="Times New Roman" w:eastAsia="SimSun"/>
                <w:b w:val="0"/>
                <w:sz w:val="16"/>
              </w:rPr>
              <w:t>medium</w:t>
            </w:r>
          </w:p>
        </w:tc>
        <w:tc>
          <w:tcPr>
            <w:tcW w:type="dxa" w:w="3411"/>
            <w:vAlign w:val="center"/>
          </w:tcPr>
          <w:p>
            <w:pPr>
              <w:spacing w:before="20" w:after="20" w:line="240" w:lineRule="auto"/>
            </w:pPr>
            <w:r>
              <w:rPr>
                <w:rFonts w:ascii="Times New Roman" w:hAnsi="Times New Roman" w:eastAsia="SimSun"/>
                <w:b w:val="0"/>
                <w:sz w:val="16"/>
              </w:rPr>
              <w:t>Reduced-model identifiability</w:t>
            </w:r>
          </w:p>
        </w:tc>
        <w:tc>
          <w:tcPr>
            <w:tcW w:type="dxa" w:w="4230"/>
            <w:vAlign w:val="center"/>
          </w:tcPr>
          <w:p>
            <w:pPr>
              <w:spacing w:before="20" w:after="20" w:line="240" w:lineRule="auto"/>
            </w:pPr>
            <w:r>
              <w:rPr>
                <w:rFonts w:ascii="Times New Roman" w:hAnsi="Times New Roman" w:eastAsia="SimSun"/>
                <w:b w:val="0"/>
                <w:sz w:val="16"/>
              </w:rPr>
              <w:t>127/128 starts are near-optimal and parameters are strongly correlated.</w:t>
            </w:r>
          </w:p>
        </w:tc>
        <w:tc>
          <w:tcPr>
            <w:tcW w:type="dxa" w:w="4777"/>
            <w:vAlign w:val="center"/>
          </w:tcPr>
          <w:p>
            <w:pPr>
              <w:spacing w:before="20" w:after="20" w:line="240" w:lineRule="auto"/>
            </w:pPr>
            <w:r>
              <w:rPr>
                <w:rFonts w:ascii="Times New Roman" w:hAnsi="Times New Roman" w:eastAsia="SimSun"/>
                <w:b w:val="0"/>
                <w:sz w:val="16"/>
              </w:rPr>
              <w:t>Yang curves support response comparison, not unique physical parameter recovery.</w:t>
            </w:r>
          </w:p>
        </w:tc>
      </w:tr>
      <w:tr>
        <w:trPr>
          <w:cantSplit/>
        </w:trPr>
        <w:tc>
          <w:tcPr>
            <w:tcW w:type="dxa" w:w="1228"/>
            <w:vAlign w:val="center"/>
          </w:tcPr>
          <w:p>
            <w:pPr>
              <w:spacing w:before="20" w:after="20" w:line="240" w:lineRule="auto"/>
            </w:pPr>
            <w:r>
              <w:rPr>
                <w:rFonts w:ascii="Times New Roman" w:hAnsi="Times New Roman" w:eastAsia="SimSun"/>
                <w:b w:val="0"/>
                <w:sz w:val="16"/>
              </w:rPr>
              <w:t>medium</w:t>
            </w:r>
          </w:p>
        </w:tc>
        <w:tc>
          <w:tcPr>
            <w:tcW w:type="dxa" w:w="3411"/>
            <w:vAlign w:val="center"/>
          </w:tcPr>
          <w:p>
            <w:pPr>
              <w:spacing w:before="20" w:after="20" w:line="240" w:lineRule="auto"/>
            </w:pPr>
            <w:r>
              <w:rPr>
                <w:rFonts w:ascii="Times New Roman" w:hAnsi="Times New Roman" w:eastAsia="SimSun"/>
                <w:b w:val="0"/>
                <w:sz w:val="16"/>
              </w:rPr>
              <w:t>Horizontal platform closure</w:t>
            </w:r>
          </w:p>
        </w:tc>
        <w:tc>
          <w:tcPr>
            <w:tcW w:type="dxa" w:w="4230"/>
            <w:vAlign w:val="center"/>
          </w:tcPr>
          <w:p>
            <w:pPr>
              <w:spacing w:before="20" w:after="20" w:line="240" w:lineRule="auto"/>
            </w:pPr>
            <w:r>
              <w:rPr>
                <w:rFonts w:ascii="Times New Roman" w:hAnsi="Times New Roman" w:eastAsia="SimSun"/>
                <w:b w:val="0"/>
                <w:sz w:val="16"/>
              </w:rPr>
              <w:t>Fx, Fy and Mz are calculated but not injected because horizontal restoring is absent.</w:t>
            </w:r>
          </w:p>
        </w:tc>
        <w:tc>
          <w:tcPr>
            <w:tcW w:type="dxa" w:w="4777"/>
            <w:vAlign w:val="center"/>
          </w:tcPr>
          <w:p>
            <w:pPr>
              <w:spacing w:before="20" w:after="20" w:line="240" w:lineRule="auto"/>
            </w:pPr>
            <w:r>
              <w:rPr>
                <w:rFonts w:ascii="Times New Roman" w:hAnsi="Times New Roman" w:eastAsia="SimSun"/>
                <w:b w:val="0"/>
                <w:sz w:val="16"/>
              </w:rPr>
              <w:t>Feedback is restricted to heave, roll and pitch.</w:t>
            </w:r>
          </w:p>
        </w:tc>
      </w:tr>
      <w:tr>
        <w:trPr>
          <w:cantSplit/>
        </w:trPr>
        <w:tc>
          <w:tcPr>
            <w:tcW w:type="dxa" w:w="1228"/>
            <w:vAlign w:val="center"/>
          </w:tcPr>
          <w:p>
            <w:pPr>
              <w:spacing w:before="20" w:after="20" w:line="240" w:lineRule="auto"/>
            </w:pPr>
            <w:r>
              <w:rPr>
                <w:rFonts w:ascii="Times New Roman" w:hAnsi="Times New Roman" w:eastAsia="SimSun"/>
                <w:b w:val="0"/>
                <w:sz w:val="16"/>
              </w:rPr>
              <w:t>medium</w:t>
            </w:r>
          </w:p>
        </w:tc>
        <w:tc>
          <w:tcPr>
            <w:tcW w:type="dxa" w:w="3411"/>
            <w:vAlign w:val="center"/>
          </w:tcPr>
          <w:p>
            <w:pPr>
              <w:spacing w:before="20" w:after="20" w:line="240" w:lineRule="auto"/>
            </w:pPr>
            <w:r>
              <w:rPr>
                <w:rFonts w:ascii="Times New Roman" w:hAnsi="Times New Roman" w:eastAsia="SimSun"/>
                <w:b w:val="0"/>
                <w:sz w:val="16"/>
              </w:rPr>
              <w:t>Literature-derived full-scale inputs</w:t>
            </w:r>
          </w:p>
        </w:tc>
        <w:tc>
          <w:tcPr>
            <w:tcW w:type="dxa" w:w="4230"/>
            <w:vAlign w:val="center"/>
          </w:tcPr>
          <w:p>
            <w:pPr>
              <w:spacing w:before="20" w:after="20" w:line="240" w:lineRule="auto"/>
            </w:pPr>
            <w:r>
              <w:rPr>
                <w:rFonts w:ascii="Times New Roman" w:hAnsi="Times New Roman" w:eastAsia="SimSun"/>
                <w:b w:val="0"/>
                <w:sz w:val="16"/>
              </w:rPr>
              <w:t>Vehicle geometry and absorber curves are proxies digitized from public literature; azimuths and component inertia allocation remain declared assumptions.</w:t>
            </w:r>
          </w:p>
        </w:tc>
        <w:tc>
          <w:tcPr>
            <w:tcW w:type="dxa" w:w="4777"/>
            <w:vAlign w:val="center"/>
          </w:tcPr>
          <w:p>
            <w:pPr>
              <w:spacing w:before="20" w:after="20" w:line="240" w:lineRule="auto"/>
            </w:pPr>
            <w:r>
              <w:rPr>
                <w:rFonts w:ascii="Times New Roman" w:hAnsi="Times New Roman" w:eastAsia="SimSun"/>
                <w:b w:val="0"/>
                <w:sz w:val="16"/>
              </w:rPr>
              <w:t>The full-scale calculation is a proof of concept, not a reproduction of proprietary vehicle data.</w:t>
            </w:r>
          </w:p>
        </w:tc>
      </w:tr>
    </w:tbl>
    <w:p>
      <w:pPr>
        <w:spacing w:after="20"/>
      </w:pPr>
    </w:p>
    <w:p>
      <w:pPr>
        <w:pStyle w:val="Heading1"/>
      </w:pPr>
      <w:r>
        <w:t>8. 可重复执行命令</w:t>
      </w:r>
    </w:p>
    <w:p>
      <w:pPr>
        <w:spacing w:before="80" w:after="120" w:line="240" w:lineRule="auto"/>
        <w:ind w:left="280" w:right="160"/>
        <w:jc w:val="left"/>
      </w:pPr>
      <w:r>
        <w:rPr>
          <w:rFonts w:ascii="Consolas" w:hAnsi="Consolas" w:eastAsia="SimSun"/>
          <w:sz w:val="16"/>
        </w:rPr>
        <w:t>python .\analysis\rocket_recovery\barge_hydrodynamic_convergence.py --execute</w:t>
        <w:br/>
        <w:t>python .\analysis\rocket_recovery\deck_point_rao.py --case .\RocketRecoveryCases\Barge_120x50</w:t>
        <w:br/>
        <w:t>python .\analysis\rocket_recovery\barge_wave_sensitivity.py report</w:t>
        <w:br/>
        <w:t>python .\analysis\rocket_recovery\barge_wave_duration_sensitivity.py report</w:t>
        <w:br/>
        <w:t>python .\analysis\rocket_recovery\yang_2026_identifiability.py report</w:t>
        <w:br/>
        <w:t>python .\analysis\rocket_recovery\chrono_same_platform_multibody.py report</w:t>
        <w:br/>
        <w:t>python .\analysis\rocket_recovery\yang_2026_figures.py</w:t>
        <w:br/>
        <w:t>python .\analysis\rocket_recovery\paper_integrity_audit.py report</w:t>
      </w:r>
    </w:p>
    <w:p>
      <w:pPr>
        <w:pStyle w:val="Heading1"/>
      </w:pPr>
      <w:r>
        <w:t>9. 审查结论</w:t>
      </w:r>
    </w:p>
    <w:p>
      <w:pPr>
        <w:spacing w:after="100"/>
      </w:pPr>
      <w:r>
        <w:rPr>
          <w:rFonts w:ascii="SimSun" w:hAnsi="SimSun" w:eastAsia="SimSun"/>
          <w:sz w:val="21"/>
        </w:rPr>
        <w:t>PASS_WITH_DECLARED_LIMITATIONS 表示数字、来源、代码、图件和正文限定语之间已建立可追溯关系，不表示所有数值模型均通过验证。现阶段能够支持的是理论接口、实现可重复性、局部甲板运动机制和同一平台反馈演示；不能支持真实型号支腿载荷、着陆成功率、允许海况或全六自由度动力定位闭环。</w:t>
      </w:r>
    </w:p>
    <w:sectPr w:rsidR="00FC693F" w:rsidRPr="0006063C" w:rsidSect="00034616">
      <w:headerReference w:type="default" r:id="rId9"/>
      <w:footerReference w:type="default" r:id="rId10"/>
      <w:pgSz w:w="15840" w:h="12240" w:orient="landscape"/>
      <w:pgMar w:top="936" w:right="1037" w:bottom="936"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SimSun"/>
        <w:color w:val="5C656E"/>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SimSun"/>
        <w:color w:val="000000"/>
        <w:sz w:val="16"/>
      </w:rPr>
      <w:t>海上回收着陆论文 | 真实性、准确性与完整性审查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jc w:val="both"/>
    </w:pPr>
    <w:rPr>
      <w:rFonts w:ascii="Times New Roman" w:hAnsi="Times New Roman" w:eastAsia="SimSu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eastAsia="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Sim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Sim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before="520"/>
      <w:contextualSpacing/>
      <w:jc w:val="center"/>
    </w:pPr>
    <w:rPr>
      <w:rFonts w:asciiTheme="majorHAnsi" w:eastAsiaTheme="majorEastAsia" w:hAnsiTheme="majorHAnsi" w:cstheme="majorBidi" w:ascii="Times New Roman" w:hAnsi="Times New Roman" w:eastAsia="SimHe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海上回收着陆论文真实性准确性与完整性审查</dc:title>
  <dc:subject>Research integrity and reproducibility audit</dc:subject>
  <dc:creator>Sea-landing dynamics research project</dc:creator>
  <cp:keywords>data lineage, reproducibility, research integrity, reviewer response</cp:keywords>
  <dc:description>generated by python-docx</dc:description>
  <cp:lastModifiedBy/>
  <cp:revision>1</cp:revision>
  <dcterms:created xsi:type="dcterms:W3CDTF">2013-12-23T23:15:00Z</dcterms:created>
  <dcterms:modified xsi:type="dcterms:W3CDTF">2013-12-23T23:15:00Z</dcterms:modified>
  <cp:category/>
</cp:coreProperties>
</file>