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720" w:after="440"/>
        <w:jc w:val="center"/>
      </w:pPr>
      <w:r>
        <w:rPr>
          <w:rFonts w:ascii="SimHei" w:hAnsi="SimHei" w:eastAsia="SimSun"/>
          <w:b/>
          <w:color w:val="000000"/>
          <w:sz w:val="36"/>
        </w:rPr>
        <w:t>2026-09-27 论文小修与证据核对说明</w:t>
      </w:r>
    </w:p>
    <w:p>
      <w:pPr>
        <w:pStyle w:val="Heading1"/>
      </w:pPr>
      <w:r>
        <w:t>版本与范围</w:t>
      </w:r>
    </w:p>
    <w:p>
      <w:pPr>
        <w:spacing w:after="100"/>
      </w:pPr>
      <w:r>
        <w:rPr>
          <w:rFonts w:ascii="SimSun" w:hAnsi="SimSun" w:eastAsia="SimSun"/>
          <w:sz w:val="21"/>
        </w:rPr>
        <w:t>本次以用户提供的 20260925-审稿意见/HAMS_manuscript_revised.docx 及其对应 Markdown 为底稿，共调整 22 处文字。没有回退到较早的 9 月 20 日稿。修改后的文件为 HAMS_manuscript_refined_20260927.docx、同名 PDF 和 manuscript_refined_20260927.md。</w:t>
      </w:r>
    </w:p>
    <w:p>
      <w:pPr>
        <w:spacing w:after="100"/>
      </w:pPr>
      <w:r>
        <w:rPr>
          <w:rFonts w:ascii="SimSun" w:hAnsi="SimSun" w:eastAsia="SimSun"/>
          <w:sz w:val="21"/>
        </w:rPr>
        <w:t>本次完成的是论文小修、已有证据核对、候选补丁适用性预检和排版检查。未安装候选补丁，未运行修正后的完整多体接触算例，也未将审查包里的 74 项测试计作本机本轮新执行的测试。原始审稿文件保持不变。</w:t>
      </w:r>
    </w:p>
    <w:p>
      <w:pPr>
        <w:pStyle w:val="Heading1"/>
      </w:pPr>
      <w:r>
        <w:t>主要文字调整</w:t>
      </w:r>
    </w:p>
    <w:p>
      <w:pPr>
        <w:spacing w:after="100"/>
      </w:pPr>
      <w:r>
        <w:rPr>
          <w:rFonts w:ascii="SimSun" w:hAnsi="SimSun" w:eastAsia="SimSun"/>
          <w:sz w:val="21"/>
        </w:rPr>
        <w:t>1. 摘要按研究问题、方法、分层结果和适用范围组织，保留 4.1%、127/128、5.88%、41/63 等关键结果及其限制。 2. 引言用频域水动力、辐射记忆、局部运动学和接触载荷反馈说明总体框架；在方法和数据可用性部分保留第三方求解器归属。 3. 守恒重采样的描述增加“源、目标网格覆盖相同起止时间”的条件，明确冲量保持不等于峰值准确或功守恒。 4. 修正图 1 图注的因果解释：水平三自由度保持不动是施加的运动约束，不能由“缺少水平恢复力数据”直接推导。 5. 将“actual foot locations”改为“modeled foot locations”，图 5 同步采用模型足点表述；图 S1 的参数改称有效模型参数，避免把观测映射系数当作实测部件参数。 6. 明确缺少 PyChrono 的是所给证据中的独立审查环境，不能据此说明当前工作机也缺少该环境。 7. 缩减重复的审查式、工作安排式句子，同时完整保留图 6、表 4 的修正前身份及未收敛结论。</w:t>
      </w:r>
    </w:p>
    <w:p>
      <w:pPr>
        <w:spacing w:after="100"/>
      </w:pPr>
      <w:r>
        <w:rPr>
          <w:rFonts w:ascii="SimSun" w:hAnsi="SimSun" w:eastAsia="SimSun"/>
          <w:sz w:val="21"/>
        </w:rPr>
        <w:t>逐条原句、新句和修改原因见 revision_evidence.json；全文差异见 manuscript_changes.diff。</w:t>
      </w:r>
    </w:p>
    <w:p>
      <w:pPr>
        <w:pStyle w:val="Heading1"/>
      </w:pPr>
      <w:r>
        <w:t>十二项意见如何体现在论文中</w:t>
      </w:r>
    </w:p>
    <w:tbl>
      <w:tblPr>
        <w:tblStyle w:val="TableGrid"/>
        <w:tblW w:type="dxa" w:w="958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95"/>
        <w:gridCol w:w="3195"/>
        <w:gridCol w:w="3196"/>
      </w:tblGrid>
      <w:tr>
        <w:trPr>
          <w:cantSplit/>
          <w:tblHeader w:val="true"/>
        </w:trPr>
        <w:tc>
          <w:tcPr>
            <w:tcW w:type="dxa" w:w="3195"/>
            <w:vAlign w:val="center"/>
            <w:shd w:fill="EAF0F4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/>
                <w:sz w:val="16"/>
              </w:rPr>
              <w:t>意见</w:t>
            </w:r>
          </w:p>
        </w:tc>
        <w:tc>
          <w:tcPr>
            <w:tcW w:type="dxa" w:w="3195"/>
            <w:vAlign w:val="center"/>
            <w:shd w:fill="EAF0F4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/>
                <w:sz w:val="16"/>
              </w:rPr>
              <w:t>论文对应位置</w:t>
            </w:r>
          </w:p>
        </w:tc>
        <w:tc>
          <w:tcPr>
            <w:tcW w:type="dxa" w:w="3196"/>
            <w:vAlign w:val="center"/>
            <w:shd w:fill="EAF0F4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/>
                <w:sz w:val="16"/>
              </w:rPr>
              <w:t>本轮处理及仍需完成的工作</w:t>
            </w:r>
          </w:p>
        </w:tc>
      </w:tr>
      <w:tr>
        <w:trPr>
          <w:cantSplit/>
        </w:trPr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R01 惯量换轴</w:t>
            </w:r>
          </w:p>
        </w:tc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2.4、4.4、结论</w:t>
            </w:r>
          </w:p>
        </w:tc>
        <w:tc>
          <w:tcPr>
            <w:tcW w:type="dxa" w:w="3196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保留坐标变换、68.35 倍输入差异和组合惯量分配说明；不把候选输入写成已重算的响应。</w:t>
            </w:r>
          </w:p>
        </w:tc>
      </w:tr>
      <w:tr>
        <w:trPr>
          <w:cantSplit/>
        </w:trPr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R02 甲板几何与参考点</w:t>
            </w:r>
          </w:p>
        </w:tc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3.1、2.5、4.4</w:t>
            </w:r>
          </w:p>
        </w:tc>
        <w:tc>
          <w:tcPr>
            <w:tcW w:type="dxa" w:w="3196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保留 180×54、z=0 与 120×50、z=3 的差异；修正后仍须实际接触运行。</w:t>
            </w:r>
          </w:p>
        </w:tc>
      </w:tr>
      <w:tr>
        <w:trPr>
          <w:cantSplit/>
        </w:trPr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R03 主路径传力</w:t>
            </w:r>
          </w:p>
        </w:tc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2.5</w:t>
            </w:r>
          </w:p>
        </w:tc>
        <w:tc>
          <w:tcPr>
            <w:tcW w:type="dxa" w:w="3196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区分已执行的点插值与候选守恒重采样，补足共同时间覆盖条件。</w:t>
            </w:r>
          </w:p>
        </w:tc>
      </w:tr>
      <w:tr>
        <w:trPr>
          <w:cantSplit/>
        </w:trPr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R04 完整历史</w:t>
            </w:r>
          </w:p>
        </w:tc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4.4、数据可用性</w:t>
            </w:r>
          </w:p>
        </w:tc>
        <w:tc>
          <w:tcPr>
            <w:tcW w:type="dxa" w:w="3196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保留 3638 与 40001 节点、0.132% 冲量差；不称旧归档为完整原始历史。</w:t>
            </w:r>
          </w:p>
        </w:tc>
      </w:tr>
      <w:tr>
        <w:trPr>
          <w:cantSplit/>
        </w:trPr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R05 法向力定义</w:t>
            </w:r>
          </w:p>
        </w:tc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2.4、图6、表4</w:t>
            </w:r>
          </w:p>
        </w:tc>
        <w:tc>
          <w:tcPr>
            <w:tcW w:type="dxa" w:w="3196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保留正向世界竖直力的定义及已修正图标签；未替换为新法向力数值。</w:t>
            </w:r>
          </w:p>
        </w:tc>
      </w:tr>
      <w:tr>
        <w:trPr>
          <w:cantSplit/>
        </w:trPr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R06 作用反作用与功率</w:t>
            </w:r>
          </w:p>
        </w:tc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2.5、4.4</w:t>
            </w:r>
          </w:p>
        </w:tc>
        <w:tc>
          <w:tcPr>
            <w:tcW w:type="dxa" w:w="3196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明确同源取负只是组装检查；平台单侧能量余额不等于完整耦合能量闭合。</w:t>
            </w:r>
          </w:p>
        </w:tc>
      </w:tr>
      <w:tr>
        <w:trPr>
          <w:cantSplit/>
        </w:trPr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R07 比较组闭合条件</w:t>
            </w:r>
          </w:p>
        </w:tc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3.4、4.4、4.5</w:t>
            </w:r>
          </w:p>
        </w:tc>
        <w:tc>
          <w:tcPr>
            <w:tcW w:type="dxa" w:w="3196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保留四/二/一次反馈与 20/10 秒窗口差异；候选统一判据尚待实际运行。</w:t>
            </w:r>
          </w:p>
        </w:tc>
      </w:tr>
      <w:tr>
        <w:trPr>
          <w:cantSplit/>
        </w:trPr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R08 起步瞬态</w:t>
            </w:r>
          </w:p>
        </w:tc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3.4</w:t>
            </w:r>
          </w:p>
        </w:tc>
        <w:tc>
          <w:tcPr>
            <w:tcW w:type="dxa" w:w="3196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保留零初值、4 秒预演及有限时长瞬态说明，不称平稳海况着陆。</w:t>
            </w:r>
          </w:p>
        </w:tc>
      </w:tr>
      <w:tr>
        <w:trPr>
          <w:cantSplit/>
        </w:trPr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R09 水动力验收</w:t>
            </w:r>
          </w:p>
        </w:tc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3.5、4.2、结论</w:t>
            </w:r>
          </w:p>
        </w:tc>
        <w:tc>
          <w:tcPr>
            <w:tcW w:type="dxa" w:w="3196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保留 157 个文件失败、11.74%/11.78%、5.88% 和未验证组合阻抗。</w:t>
            </w:r>
          </w:p>
        </w:tc>
      </w:tr>
      <w:tr>
        <w:trPr>
          <w:cantSplit/>
        </w:trPr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R10 Yang比较</w:t>
            </w:r>
          </w:p>
        </w:tc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3.3、4.1、表3</w:t>
            </w:r>
          </w:p>
        </w:tc>
        <w:tc>
          <w:tcPr>
            <w:tcW w:type="dxa" w:w="3196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保留只拟合同时触地、参考对齐、负相关和不可辨识结果；表格数值不变。</w:t>
            </w:r>
          </w:p>
        </w:tc>
      </w:tr>
      <w:tr>
        <w:trPr>
          <w:cantSplit/>
        </w:trPr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R11 随机波指标</w:t>
            </w:r>
          </w:p>
        </w:tc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3.2、4.3</w:t>
            </w:r>
          </w:p>
        </w:tc>
        <w:tc>
          <w:tcPr>
            <w:tcW w:type="dxa" w:w="3196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保留记录极值、1000 条样本、时长差异和初步几何筛查的边界。</w:t>
            </w:r>
          </w:p>
        </w:tc>
      </w:tr>
      <w:tr>
        <w:trPr>
          <w:cantSplit/>
        </w:trPr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R12 来源与环境</w:t>
            </w:r>
          </w:p>
        </w:tc>
        <w:tc>
          <w:tcPr>
            <w:tcW w:type="dxa" w:w="3195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3.5、数据可用性</w:t>
            </w:r>
          </w:p>
        </w:tc>
        <w:tc>
          <w:tcPr>
            <w:tcW w:type="dxa" w:w="3196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SimSun"/>
                <w:b w:val="0"/>
                <w:sz w:val="16"/>
              </w:rPr>
              <w:t>区分用户所给独立复算证据、本轮编辑检查、参考输入与模型输出。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SimSun" w:hAnsi="SimSun" w:eastAsia="SimSun"/>
          <w:sz w:val="21"/>
        </w:rPr>
        <w:t>上述“已写入论文”不表示相应物理问题已经修复。接触重算、局部收敛、主峰细网格与频域/时域阻抗一致性仍是后续计算任务。</w:t>
      </w:r>
    </w:p>
    <w:p>
      <w:pPr>
        <w:pStyle w:val="Heading1"/>
      </w:pPr>
      <w:r>
        <w:t>完整性与一致性</w:t>
      </w:r>
    </w:p>
    <w:p>
      <w:pPr>
        <w:spacing w:after="100"/>
      </w:pPr>
      <w:r>
        <w:rPr>
          <w:rFonts w:ascii="SimSun" w:hAnsi="SimSun" w:eastAsia="SimSun"/>
          <w:sz w:val="21"/>
        </w:rPr>
        <w:t>直接编辑底稿中的文字节点，不经旧版 Markdown 转 Word 工具重建论文。生成脚本会逐一比较原稿与新稿：</w:t>
      </w:r>
    </w:p>
    <w:p>
      <w:pPr>
        <w:pStyle w:val="ListBullet"/>
      </w:pPr>
      <w:r>
        <w:rPr>
          <w:rFonts w:ascii="SimSun" w:hAnsi="SimSun" w:eastAsia="SimSun"/>
          <w:sz w:val="20"/>
        </w:rPr>
        <w:t>四张表的 XML 内容一致，表 3 和表 4 未改动数值；</w:t>
      </w:r>
    </w:p>
    <w:p>
      <w:pPr>
        <w:pStyle w:val="ListBullet"/>
      </w:pPr>
      <w:r>
        <w:rPr>
          <w:rFonts w:ascii="SimSun" w:hAnsi="SimSun" w:eastAsia="SimSun"/>
          <w:sz w:val="20"/>
        </w:rPr>
        <w:t>100 个原生 OMML 公式对象一致；</w:t>
      </w:r>
    </w:p>
    <w:p>
      <w:pPr>
        <w:pStyle w:val="ListBullet"/>
      </w:pPr>
      <w:r>
        <w:rPr>
          <w:rFonts w:ascii="SimSun" w:hAnsi="SimSun" w:eastAsia="SimSun"/>
          <w:sz w:val="20"/>
        </w:rPr>
        <w:t>八幅嵌入图的文件哈希一致，包含用户已经改过标签的图 6；</w:t>
      </w:r>
    </w:p>
    <w:p>
      <w:pPr>
        <w:pStyle w:val="ListBullet"/>
      </w:pPr>
      <w:r>
        <w:rPr>
          <w:rFonts w:ascii="SimSun" w:hAnsi="SimSun" w:eastAsia="SimSun"/>
          <w:sz w:val="20"/>
        </w:rPr>
        <w:t>原始 Word 文件哈希不变；</w:t>
      </w:r>
    </w:p>
    <w:p>
      <w:pPr>
        <w:pStyle w:val="ListBullet"/>
      </w:pPr>
      <w:r>
        <w:rPr>
          <w:rFonts w:ascii="SimSun" w:hAnsi="SimSun" w:eastAsia="SimSun"/>
          <w:sz w:val="20"/>
        </w:rPr>
        <w:t>候选补丁清单中的三个旧模块哈希匹配，新增模块尚不存在，默认预检通过。</w:t>
      </w:r>
    </w:p>
    <w:p>
      <w:pPr>
        <w:spacing w:after="100"/>
      </w:pPr>
      <w:r>
        <w:rPr>
          <w:rFonts w:ascii="SimSun" w:hAnsi="SimSun" w:eastAsia="SimSun"/>
          <w:sz w:val="21"/>
        </w:rPr>
        <w:t>本轮没有重新生成求解数据。independent_checks.json 和 freshₕams_comparison.json 的哈希作为所给证据来源保存在本轮记录中，其 Linux/Python 运行环境与当前编辑环境分开记录。哈希仅用于文件身份与追溯。</w:t>
      </w:r>
    </w:p>
    <w:p>
      <w:pPr>
        <w:pStyle w:val="Heading1"/>
      </w:pPr>
      <w:r>
        <w:t>阅读与复用</w:t>
      </w:r>
    </w:p>
    <w:p>
      <w:pPr>
        <w:spacing w:after="100"/>
      </w:pPr>
      <w:r>
        <w:rPr>
          <w:rFonts w:ascii="SimSun" w:hAnsi="SimSun" w:eastAsia="SimSun"/>
          <w:sz w:val="21"/>
        </w:rPr>
        <w:t>英文稿仍保留“corrected coupled-contact rerun pending”页眉。当前版本适合继续作者内部审读、比较和开展所列最小复算，不应去除待重算标记后直接作为已验证投稿终稿。</w:t>
      </w:r>
    </w:p>
    <w:p>
      <w:pPr>
        <w:spacing w:after="100"/>
      </w:pPr>
      <w:r>
        <w:rPr>
          <w:rFonts w:ascii="SimSun" w:hAnsi="SimSun" w:eastAsia="SimSun"/>
          <w:sz w:val="21"/>
        </w:rPr>
        <w:t>再生成本次编辑稿：</w:t>
      </w:r>
    </w:p>
    <w:p>
      <w:pPr>
        <w:spacing w:before="80" w:after="120" w:line="240" w:lineRule="auto"/>
        <w:ind w:left="280" w:right="160"/>
        <w:jc w:val="left"/>
      </w:pPr>
      <w:r>
        <w:rPr>
          <w:rFonts w:ascii="Consolas" w:hAnsi="Consolas" w:eastAsia="SimSun"/>
          <w:sz w:val="16"/>
        </w:rPr>
        <w:t>E:/Miniconda3/python.exe paper/yang_2026_extension/refine_review_20260927.py</w:t>
      </w:r>
    </w:p>
    <w:p>
      <w:pPr>
        <w:spacing w:after="100"/>
      </w:pPr>
      <w:r>
        <w:rPr>
          <w:rFonts w:ascii="SimSun" w:hAnsi="SimSun" w:eastAsia="SimSun"/>
          <w:sz w:val="21"/>
        </w:rPr>
        <w:t>此命令读取并保留用户底稿，在本轮目录重建小修版和差异记录，不安装数值候选补丁，不启动接触计算。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81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SimSun"/>
        <w:color w:val="5C656E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SimSun"/>
        <w:color w:val="000000"/>
        <w:sz w:val="16"/>
      </w:rPr>
      <w:t>2026-09-27 | 论文小修与证据核对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  <w:jc w:val="both"/>
    </w:pPr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 w:before="920"/>
      <w:contextualSpacing/>
      <w:jc w:val="center"/>
    </w:pPr>
    <w:rPr>
      <w:rFonts w:asciiTheme="majorHAnsi" w:eastAsiaTheme="majorEastAsia" w:hAnsiTheme="majorHAnsi" w:cstheme="majorBidi" w:ascii="Times New Roman" w:hAnsi="Times New Roman" w:eastAsia="Sim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2026-09-27 论文小修与证据核对说明</dc:title>
  <dc:subject>Editorial revision and evidence boundaries</dc:subject>
  <dc:creator>Sea-landing dynamics research project</dc:creator>
  <cp:keywords>data lineage, reproducibility, research integrity, reviewer response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