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jc w:val="left"/>
      </w:pPr>
      <w:r>
        <w:rPr>
          <w:rFonts w:ascii="Arial" w:hAnsi="Arial" w:eastAsia="Arial"/>
          <w:b/>
          <w:i w:val="0"/>
          <w:color w:val="1D6F78"/>
          <w:sz w:val="17"/>
        </w:rPr>
        <w:t>TECHNICAL AUDIT MEMORANDUM</w:t>
      </w:r>
    </w:p>
    <w:p>
      <w:pPr>
        <w:keepNext w:val="0"/>
        <w:widowControl/>
        <w:spacing w:after="100" w:before="0" w:line="240" w:lineRule="auto"/>
      </w:pPr>
      <w:r>
        <w:rPr>
          <w:rFonts w:ascii="Microsoft YaHei" w:hAnsi="Microsoft YaHei" w:eastAsia="Microsoft YaHei"/>
          <w:b/>
          <w:i w:val="0"/>
          <w:color w:val="17324D"/>
          <w:sz w:val="48"/>
        </w:rPr>
        <w:t>严格审稿与真实性证据报告</w:t>
      </w:r>
    </w:p>
    <w:p>
      <w:pPr>
        <w:keepNext w:val="0"/>
        <w:widowControl/>
        <w:spacing w:after="280" w:before="0" w:line="288" w:lineRule="auto"/>
      </w:pPr>
      <w:r>
        <w:rPr>
          <w:rFonts w:ascii="Microsoft YaHei" w:hAnsi="Microsoft YaHei" w:eastAsia="Microsoft YaHei"/>
          <w:b w:val="0"/>
          <w:i w:val="0"/>
          <w:color w:val="1D6F78"/>
          <w:sz w:val="24"/>
        </w:rPr>
        <w:t>代码、原始/处理数据、图表—结果逻辑与论文表述的交叉核验</w:t>
      </w:r>
    </w:p>
    <w:tbl>
      <w:tblPr>
        <w:tblW w:type="auto" w:w="0"/>
        <w:jc w:val="left"/>
        <w:tblLayout w:type="fixed"/>
        <w:tblLook w:firstColumn="1" w:firstRow="1" w:lastColumn="0" w:lastRow="0" w:noHBand="0" w:noVBand="1" w:val="04A0"/>
      </w:tblPr>
      <w:tblGrid>
        <w:gridCol w:w="4876"/>
        <w:gridCol w:w="4876"/>
      </w:tblGrid>
      <w:tr>
        <w:tc>
          <w:tcPr>
            <w:tcW w:type="dxa" w:w="1814"/>
            <w:tcMar>
              <w:top w:w="90" w:type="dxa"/>
              <w:start w:w="100" w:type="dxa"/>
              <w:bottom w:w="90" w:type="dxa"/>
              <w:end w:w="100" w:type="dxa"/>
            </w:tcMar>
            <w:shd w:fill="17324D"/>
          </w:tcPr>
          <w:p>
            <w:pPr>
              <w:spacing w:after="0"/>
            </w:pPr>
            <w:r>
              <w:rPr>
                <w:rFonts w:ascii="Microsoft YaHei" w:hAnsi="Microsoft YaHei" w:eastAsia="Microsoft YaHei"/>
                <w:b/>
                <w:i w:val="0"/>
                <w:color w:val="FFFFFF"/>
                <w:sz w:val="17"/>
              </w:rPr>
              <w:t>项目</w:t>
            </w:r>
          </w:p>
        </w:tc>
        <w:tc>
          <w:tcPr>
            <w:tcW w:type="dxa" w:w="7711"/>
            <w:tcMar>
              <w:top w:w="90" w:type="dxa"/>
              <w:start w:w="100" w:type="dxa"/>
              <w:bottom w:w="90" w:type="dxa"/>
              <w:end w:w="100" w:type="dxa"/>
            </w:tcMar>
          </w:tcPr>
          <w:p>
            <w:pPr>
              <w:spacing w:after="0"/>
            </w:pPr>
            <w:r>
              <w:rPr>
                <w:rFonts w:ascii="Microsoft YaHei" w:hAnsi="Microsoft YaHei" w:eastAsia="Microsoft YaHei"/>
                <w:b w:val="0"/>
                <w:i w:val="0"/>
                <w:color w:val="1F2933"/>
                <w:sz w:val="17"/>
              </w:rPr>
              <w:t>20260522-pluvial-flood-risk-DGGS-H3</w:t>
            </w:r>
          </w:p>
        </w:tc>
      </w:tr>
      <w:tr>
        <w:tc>
          <w:tcPr>
            <w:tcW w:type="dxa" w:w="1814"/>
            <w:tcMar>
              <w:top w:w="90" w:type="dxa"/>
              <w:start w:w="100" w:type="dxa"/>
              <w:bottom w:w="90" w:type="dxa"/>
              <w:end w:w="100" w:type="dxa"/>
            </w:tcMar>
            <w:shd w:fill="17324D"/>
          </w:tcPr>
          <w:p>
            <w:pPr>
              <w:spacing w:after="0"/>
            </w:pPr>
            <w:r>
              <w:rPr>
                <w:rFonts w:ascii="Microsoft YaHei" w:hAnsi="Microsoft YaHei" w:eastAsia="Microsoft YaHei"/>
                <w:b/>
                <w:i w:val="0"/>
                <w:color w:val="FFFFFF"/>
                <w:sz w:val="17"/>
              </w:rPr>
              <w:t>审查对象</w:t>
            </w:r>
          </w:p>
        </w:tc>
        <w:tc>
          <w:tcPr>
            <w:tcW w:type="dxa" w:w="7711"/>
            <w:tcMar>
              <w:top w:w="90" w:type="dxa"/>
              <w:start w:w="100" w:type="dxa"/>
              <w:bottom w:w="90" w:type="dxa"/>
              <w:end w:w="100" w:type="dxa"/>
            </w:tcMar>
          </w:tcPr>
          <w:p>
            <w:pPr>
              <w:spacing w:after="0"/>
            </w:pPr>
            <w:r>
              <w:rPr>
                <w:rFonts w:ascii="Microsoft YaHei" w:hAnsi="Microsoft YaHei" w:eastAsia="Microsoft YaHei"/>
                <w:b w:val="0"/>
                <w:i w:val="0"/>
                <w:color w:val="1F2933"/>
                <w:sz w:val="17"/>
              </w:rPr>
              <w:t>docs/paper/manuscript.pdf、report.pdf、源代码、raw/processed 数据、模型与输出图表</w:t>
            </w:r>
          </w:p>
        </w:tc>
      </w:tr>
      <w:tr>
        <w:tc>
          <w:tcPr>
            <w:tcW w:type="dxa" w:w="1814"/>
            <w:tcMar>
              <w:top w:w="90" w:type="dxa"/>
              <w:start w:w="100" w:type="dxa"/>
              <w:bottom w:w="90" w:type="dxa"/>
              <w:end w:w="100" w:type="dxa"/>
            </w:tcMar>
            <w:shd w:fill="17324D"/>
          </w:tcPr>
          <w:p>
            <w:pPr>
              <w:spacing w:after="0"/>
            </w:pPr>
            <w:r>
              <w:rPr>
                <w:rFonts w:ascii="Microsoft YaHei" w:hAnsi="Microsoft YaHei" w:eastAsia="Microsoft YaHei"/>
                <w:b/>
                <w:i w:val="0"/>
                <w:color w:val="FFFFFF"/>
                <w:sz w:val="17"/>
              </w:rPr>
              <w:t>审查结论</w:t>
            </w:r>
          </w:p>
        </w:tc>
        <w:tc>
          <w:tcPr>
            <w:tcW w:type="dxa" w:w="7711"/>
            <w:tcMar>
              <w:top w:w="90" w:type="dxa"/>
              <w:start w:w="100" w:type="dxa"/>
              <w:bottom w:w="90" w:type="dxa"/>
              <w:end w:w="100" w:type="dxa"/>
            </w:tcMar>
          </w:tcPr>
          <w:p>
            <w:pPr>
              <w:spacing w:after="0"/>
            </w:pPr>
            <w:r>
              <w:rPr>
                <w:rFonts w:ascii="Microsoft YaHei" w:hAnsi="Microsoft YaHei" w:eastAsia="Microsoft YaHei"/>
                <w:b/>
                <w:i w:val="0"/>
                <w:color w:val="A83232"/>
                <w:sz w:val="17"/>
              </w:rPr>
              <w:t>重大修改（Major Revision）— 当前版本不建议投稿</w:t>
            </w:r>
          </w:p>
        </w:tc>
      </w:tr>
      <w:tr>
        <w:tc>
          <w:tcPr>
            <w:tcW w:type="dxa" w:w="1814"/>
            <w:tcMar>
              <w:top w:w="90" w:type="dxa"/>
              <w:start w:w="100" w:type="dxa"/>
              <w:bottom w:w="90" w:type="dxa"/>
              <w:end w:w="100" w:type="dxa"/>
            </w:tcMar>
            <w:shd w:fill="17324D"/>
          </w:tcPr>
          <w:p>
            <w:pPr>
              <w:spacing w:after="0"/>
            </w:pPr>
            <w:r>
              <w:rPr>
                <w:rFonts w:ascii="Microsoft YaHei" w:hAnsi="Microsoft YaHei" w:eastAsia="Microsoft YaHei"/>
                <w:b/>
                <w:i w:val="0"/>
                <w:color w:val="FFFFFF"/>
                <w:sz w:val="17"/>
              </w:rPr>
              <w:t>证据快照</w:t>
            </w:r>
          </w:p>
        </w:tc>
        <w:tc>
          <w:tcPr>
            <w:tcW w:type="dxa" w:w="7711"/>
            <w:tcMar>
              <w:top w:w="90" w:type="dxa"/>
              <w:start w:w="100" w:type="dxa"/>
              <w:bottom w:w="90" w:type="dxa"/>
              <w:end w:w="100" w:type="dxa"/>
            </w:tcMar>
          </w:tcPr>
          <w:p>
            <w:pPr>
              <w:spacing w:after="0"/>
            </w:pPr>
            <w:r>
              <w:rPr>
                <w:rFonts w:ascii="Microsoft YaHei" w:hAnsi="Microsoft YaHei" w:eastAsia="Microsoft YaHei"/>
                <w:b w:val="0"/>
                <w:i w:val="0"/>
                <w:color w:val="1F2933"/>
                <w:sz w:val="17"/>
              </w:rPr>
              <w:t>Git HEAD 1be9288db06e；工作树 dirty=True</w:t>
            </w:r>
          </w:p>
        </w:tc>
      </w:tr>
      <w:tr>
        <w:tc>
          <w:tcPr>
            <w:tcW w:type="dxa" w:w="1814"/>
            <w:tcMar>
              <w:top w:w="90" w:type="dxa"/>
              <w:start w:w="100" w:type="dxa"/>
              <w:bottom w:w="90" w:type="dxa"/>
              <w:end w:w="100" w:type="dxa"/>
            </w:tcMar>
            <w:shd w:fill="17324D"/>
          </w:tcPr>
          <w:p>
            <w:pPr>
              <w:spacing w:after="0"/>
            </w:pPr>
            <w:r>
              <w:rPr>
                <w:rFonts w:ascii="Microsoft YaHei" w:hAnsi="Microsoft YaHei" w:eastAsia="Microsoft YaHei"/>
                <w:b/>
                <w:i w:val="0"/>
                <w:color w:val="FFFFFF"/>
                <w:sz w:val="17"/>
              </w:rPr>
              <w:t>报告生成</w:t>
            </w:r>
          </w:p>
        </w:tc>
        <w:tc>
          <w:tcPr>
            <w:tcW w:type="dxa" w:w="7711"/>
            <w:tcMar>
              <w:top w:w="90" w:type="dxa"/>
              <w:start w:w="100" w:type="dxa"/>
              <w:bottom w:w="90" w:type="dxa"/>
              <w:end w:w="100" w:type="dxa"/>
            </w:tcMar>
          </w:tcPr>
          <w:p>
            <w:pPr>
              <w:spacing w:after="0"/>
            </w:pPr>
            <w:r>
              <w:rPr>
                <w:rFonts w:ascii="Microsoft YaHei" w:hAnsi="Microsoft YaHei" w:eastAsia="Microsoft YaHei"/>
                <w:b w:val="0"/>
                <w:i w:val="0"/>
                <w:color w:val="1F2933"/>
                <w:sz w:val="17"/>
              </w:rPr>
              <w:t>2026-08-30 07:45 中国标准时间</w:t>
            </w:r>
          </w:p>
        </w:tc>
      </w:tr>
    </w:tbl>
    <w:p>
      <w:pPr>
        <w:spacing w:after="80"/>
      </w:pPr>
    </w:p>
    <w:tbl>
      <w:tblPr>
        <w:tblW w:type="auto" w:w="0"/>
        <w:jc w:val="center"/>
        <w:tblLayout w:type="fixed"/>
        <w:tblLook w:firstColumn="1" w:firstRow="1" w:lastColumn="0" w:lastRow="0" w:noHBand="0" w:noVBand="1" w:val="04A0"/>
      </w:tblPr>
      <w:tblGrid>
        <w:gridCol w:w="9751"/>
      </w:tblGrid>
      <w:tr>
        <w:tc>
          <w:tcPr>
            <w:tcW w:type="dxa" w:w="9752"/>
            <w:tcMar>
              <w:top w:w="130" w:type="dxa"/>
              <w:start w:w="180" w:type="dxa"/>
              <w:bottom w:w="130" w:type="dxa"/>
              <w:end w:w="180" w:type="dxa"/>
            </w:tcMar>
            <w:shd w:fill="FCE8E6"/>
            <w:vAlign w:val="center"/>
          </w:tcPr>
          <w:p>
            <w:pPr>
              <w:keepNext w:val="0"/>
              <w:widowControl/>
              <w:spacing w:after="40" w:before="0" w:line="276" w:lineRule="auto"/>
            </w:pPr>
            <w:r>
              <w:rPr>
                <w:rFonts w:ascii="Microsoft YaHei" w:hAnsi="Microsoft YaHei" w:eastAsia="Microsoft YaHei"/>
                <w:b/>
                <w:i w:val="0"/>
                <w:color w:val="A83232"/>
                <w:sz w:val="20"/>
              </w:rPr>
              <w:t>一句话结论</w:t>
            </w:r>
          </w:p>
          <w:p>
            <w:pPr>
              <w:keepNext w:val="0"/>
              <w:widowControl/>
              <w:spacing w:after="0" w:before="0" w:line="293" w:lineRule="auto"/>
            </w:pPr>
            <w:r>
              <w:rPr>
                <w:rFonts w:ascii="Microsoft YaHei" w:hAnsi="Microsoft YaHei" w:eastAsia="Microsoft YaHei"/>
                <w:b w:val="0"/>
                <w:i w:val="0"/>
                <w:color w:val="1F2933"/>
                <w:sz w:val="18"/>
              </w:rPr>
              <w:t>现有证据支持“当前数值是由本项目代码针对本地原始快照计算得到，未发现引用论文 PFIb 数据或实质段落被直接移入”的有限结论；但无法支持“所有输入均为作者自有数据”“数据端点均为官方来源”“图 2(c) 是全量拟合”“当前提交版本已被不可变归档”等更强声明。必须先修复 P0 项并整链重跑。</w:t>
            </w:r>
          </w:p>
        </w:tc>
      </w:tr>
    </w:tbl>
    <w:p>
      <w:pPr>
        <w:spacing w:after="0"/>
      </w:pPr>
    </w:p>
    <w:p>
      <w:pPr>
        <w:keepNext w:val="0"/>
        <w:widowControl/>
        <w:spacing w:after="60" w:before="0" w:line="300" w:lineRule="auto"/>
      </w:pPr>
      <w:r>
        <w:rPr>
          <w:rFonts w:ascii="Microsoft YaHei" w:hAnsi="Microsoft YaHei" w:eastAsia="Microsoft YaHei"/>
          <w:b w:val="0"/>
          <w:i w:val="0"/>
          <w:color w:val="667581"/>
          <w:sz w:val="17"/>
        </w:rPr>
        <w:t>证据边界：本报告是对当前工作目录快照的技术审查，不是数据权属法律意见，也不能对所有外部文献做全宇宙查重。公开政府/第三方数据本来就不属于作者；应主张“分析、代码执行与派生结果由作者完成”，而不是“原始数据归作者所有”。</w:t>
      </w:r>
    </w:p>
    <w:p>
      <w:r>
        <w:br w:type="page"/>
      </w:r>
    </w:p>
    <w:p>
      <w:pPr>
        <w:pStyle w:val="Heading1"/>
        <w:keepNext/>
      </w:pPr>
      <w:r>
        <w:t>1. 总体审稿结论</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2268"/>
            <w:shd w:fill="17324D"/>
            <w:vAlign w:val="center"/>
            <w:tcMar>
              <w:top w:w="90" w:type="dxa"/>
              <w:start w:w="100" w:type="dxa"/>
              <w:bottom w:w="90" w:type="dxa"/>
              <w:end w:w="100" w:type="dxa"/>
            </w:tcMar>
          </w:tcPr>
          <w:p>
            <w:pPr>
              <w:keepNext w:val="0"/>
              <w:widowControl/>
              <w:spacing w:after="0" w:before="0" w:line="240" w:lineRule="auto"/>
              <w:jc w:val="center"/>
            </w:pPr>
            <w:r>
              <w:rPr>
                <w:rFonts w:ascii="Microsoft YaHei" w:hAnsi="Microsoft YaHei" w:eastAsia="Microsoft YaHei"/>
                <w:b/>
                <w:i w:val="0"/>
                <w:color w:val="FFFFFF"/>
                <w:sz w:val="16"/>
              </w:rPr>
              <w:t>审查维度</w:t>
            </w:r>
          </w:p>
        </w:tc>
        <w:tc>
          <w:tcPr>
            <w:tcW w:type="dxa" w:w="1304"/>
            <w:shd w:fill="17324D"/>
            <w:vAlign w:val="center"/>
            <w:tcMar>
              <w:top w:w="90" w:type="dxa"/>
              <w:start w:w="100" w:type="dxa"/>
              <w:bottom w:w="90" w:type="dxa"/>
              <w:end w:w="100" w:type="dxa"/>
            </w:tcMar>
          </w:tcPr>
          <w:p>
            <w:pPr>
              <w:keepNext w:val="0"/>
              <w:widowControl/>
              <w:spacing w:after="0" w:before="0" w:line="240" w:lineRule="auto"/>
              <w:jc w:val="center"/>
            </w:pPr>
            <w:r>
              <w:rPr>
                <w:rFonts w:ascii="Microsoft YaHei" w:hAnsi="Microsoft YaHei" w:eastAsia="Microsoft YaHei"/>
                <w:b/>
                <w:i w:val="0"/>
                <w:color w:val="FFFFFF"/>
                <w:sz w:val="16"/>
              </w:rPr>
              <w:t>状态</w:t>
            </w:r>
          </w:p>
        </w:tc>
        <w:tc>
          <w:tcPr>
            <w:tcW w:type="dxa" w:w="6066"/>
            <w:shd w:fill="17324D"/>
            <w:vAlign w:val="center"/>
            <w:tcMar>
              <w:top w:w="90" w:type="dxa"/>
              <w:start w:w="100" w:type="dxa"/>
              <w:bottom w:w="90" w:type="dxa"/>
              <w:end w:w="100" w:type="dxa"/>
            </w:tcMar>
          </w:tcPr>
          <w:p>
            <w:pPr>
              <w:keepNext w:val="0"/>
              <w:widowControl/>
              <w:spacing w:after="0" w:before="0" w:line="240" w:lineRule="auto"/>
              <w:jc w:val="center"/>
            </w:pPr>
            <w:r>
              <w:rPr>
                <w:rFonts w:ascii="Microsoft YaHei" w:hAnsi="Microsoft YaHei" w:eastAsia="Microsoft YaHei"/>
                <w:b/>
                <w:i w:val="0"/>
                <w:color w:val="FFFFFF"/>
                <w:sz w:val="16"/>
              </w:rPr>
              <w:t>证据与判定</w:t>
            </w:r>
          </w:p>
        </w:tc>
      </w:tr>
      <w:tr>
        <w:trPr>
          <w:cantSplit/>
        </w:trPr>
        <w:tc>
          <w:tcPr>
            <w:tcW w:type="dxa" w:w="2268"/>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7"/>
              </w:rPr>
              <w:t>当前表格→指标独立复算</w:t>
            </w:r>
          </w:p>
        </w:tc>
        <w:tc>
          <w:tcPr>
            <w:tcW w:type="dxa" w:w="1304"/>
            <w:vAlign w:val="top"/>
            <w:tcMar>
              <w:top w:w="90" w:type="dxa"/>
              <w:start w:w="100" w:type="dxa"/>
              <w:bottom w:w="90" w:type="dxa"/>
              <w:end w:w="100" w:type="dxa"/>
            </w:tcMar>
            <w:shd w:fill="EAF5EA"/>
          </w:tcPr>
          <w:p>
            <w:pPr>
              <w:keepNext w:val="0"/>
              <w:widowControl/>
              <w:spacing w:after="0" w:before="0" w:line="269" w:lineRule="auto"/>
            </w:pPr>
            <w:r>
              <w:rPr>
                <w:rFonts w:ascii="Microsoft YaHei" w:hAnsi="Microsoft YaHei" w:eastAsia="Microsoft YaHei"/>
                <w:b/>
                <w:i w:val="0"/>
                <w:color w:val="2E6B3C"/>
                <w:sz w:val="17"/>
              </w:rPr>
              <w:t>通过</w:t>
            </w:r>
          </w:p>
        </w:tc>
        <w:tc>
          <w:tcPr>
            <w:tcW w:type="dxa" w:w="6066"/>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7"/>
              </w:rPr>
              <w:t>141/956 个网格的空间 CV、OOF ROC-AUC/AP、准确率、F1、R²均可从现有表格独立复算并与 metadata 一致。</w:t>
            </w:r>
          </w:p>
        </w:tc>
      </w:tr>
      <w:tr>
        <w:trPr>
          <w:cantSplit/>
        </w:trPr>
        <w:tc>
          <w:tcPr>
            <w:tcW w:type="dxa" w:w="2268"/>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7"/>
              </w:rPr>
              <w:t>当前 raw→processed 重建</w:t>
            </w:r>
          </w:p>
        </w:tc>
        <w:tc>
          <w:tcPr>
            <w:tcW w:type="dxa" w:w="1304"/>
            <w:vAlign w:val="top"/>
            <w:tcMar>
              <w:top w:w="90" w:type="dxa"/>
              <w:start w:w="100" w:type="dxa"/>
              <w:bottom w:w="90" w:type="dxa"/>
              <w:end w:w="100" w:type="dxa"/>
            </w:tcMar>
            <w:shd w:fill="EAF5EA"/>
          </w:tcPr>
          <w:p>
            <w:pPr>
              <w:keepNext w:val="0"/>
              <w:widowControl/>
              <w:spacing w:after="0" w:before="0" w:line="269" w:lineRule="auto"/>
            </w:pPr>
            <w:r>
              <w:rPr>
                <w:rFonts w:ascii="Microsoft YaHei" w:hAnsi="Microsoft YaHei" w:eastAsia="Microsoft YaHei"/>
                <w:b/>
                <w:i w:val="0"/>
                <w:color w:val="2E6B3C"/>
                <w:sz w:val="17"/>
              </w:rPr>
              <w:t>通过</w:t>
            </w:r>
          </w:p>
        </w:tc>
        <w:tc>
          <w:tcPr>
            <w:tcW w:type="dxa" w:w="6066"/>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7"/>
              </w:rPr>
              <w:t>关闭 synthetic fallback 后，H3 集合、标签、文本字段一致；连续几何量最大差异约 3.7×10⁻⁸，属于浮点几何差异。</w:t>
            </w:r>
          </w:p>
        </w:tc>
      </w:tr>
      <w:tr>
        <w:trPr>
          <w:cantSplit/>
        </w:trPr>
        <w:tc>
          <w:tcPr>
            <w:tcW w:type="dxa" w:w="2268"/>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7"/>
              </w:rPr>
              <w:t>参考论文数据未被直接使用</w:t>
            </w:r>
          </w:p>
        </w:tc>
        <w:tc>
          <w:tcPr>
            <w:tcW w:type="dxa" w:w="1304"/>
            <w:vAlign w:val="top"/>
            <w:tcMar>
              <w:top w:w="90" w:type="dxa"/>
              <w:start w:w="100" w:type="dxa"/>
              <w:bottom w:w="90" w:type="dxa"/>
              <w:end w:w="100" w:type="dxa"/>
            </w:tcMar>
            <w:shd w:fill="FFF8D9"/>
          </w:tcPr>
          <w:p>
            <w:pPr>
              <w:keepNext w:val="0"/>
              <w:widowControl/>
              <w:spacing w:after="0" w:before="0" w:line="269" w:lineRule="auto"/>
            </w:pPr>
            <w:r>
              <w:rPr>
                <w:rFonts w:ascii="Microsoft YaHei" w:hAnsi="Microsoft YaHei" w:eastAsia="Microsoft YaHei"/>
                <w:b/>
                <w:i w:val="0"/>
                <w:color w:val="B56212"/>
                <w:sz w:val="17"/>
              </w:rPr>
              <w:t>部分通过</w:t>
            </w:r>
          </w:p>
        </w:tc>
        <w:tc>
          <w:tcPr>
            <w:tcW w:type="dxa" w:w="6066"/>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7"/>
              </w:rPr>
              <w:t>未发现 PFIb 数据/模型实现或可疑实质文字复用；但只检查了仓库内提供的参考论文，不能证明对所有来源的绝对原创。</w:t>
            </w:r>
          </w:p>
        </w:tc>
      </w:tr>
      <w:tr>
        <w:trPr>
          <w:cantSplit/>
        </w:trPr>
        <w:tc>
          <w:tcPr>
            <w:tcW w:type="dxa" w:w="2268"/>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7"/>
              </w:rPr>
              <w:t>来源为官方且权属可追踪</w:t>
            </w:r>
          </w:p>
        </w:tc>
        <w:tc>
          <w:tcPr>
            <w:tcW w:type="dxa" w:w="1304"/>
            <w:vAlign w:val="top"/>
            <w:tcMar>
              <w:top w:w="90" w:type="dxa"/>
              <w:start w:w="100" w:type="dxa"/>
              <w:bottom w:w="90" w:type="dxa"/>
              <w:end w:w="100" w:type="dxa"/>
            </w:tcMar>
            <w:shd w:fill="FCE8E6"/>
          </w:tcPr>
          <w:p>
            <w:pPr>
              <w:keepNext w:val="0"/>
              <w:widowControl/>
              <w:spacing w:after="0" w:before="0" w:line="269" w:lineRule="auto"/>
            </w:pPr>
            <w:r>
              <w:rPr>
                <w:rFonts w:ascii="Microsoft YaHei" w:hAnsi="Microsoft YaHei" w:eastAsia="Microsoft YaHei"/>
                <w:b/>
                <w:i w:val="0"/>
                <w:color w:val="A83232"/>
                <w:sz w:val="17"/>
              </w:rPr>
              <w:t>不通过</w:t>
            </w:r>
          </w:p>
        </w:tc>
        <w:tc>
          <w:tcPr>
            <w:tcW w:type="dxa" w:w="6066"/>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7"/>
              </w:rPr>
              <w:t>DEP 和 311 当前 ArcGIS 服务由个人/非机构账号持有，缺许可证与官方组织标识；manifest 缺精确 URL、逐层时间、许可和 SHA-256。</w:t>
            </w:r>
          </w:p>
        </w:tc>
      </w:tr>
      <w:tr>
        <w:trPr>
          <w:cantSplit/>
        </w:trPr>
        <w:tc>
          <w:tcPr>
            <w:tcW w:type="dxa" w:w="2268"/>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7"/>
              </w:rPr>
              <w:t>论文边界框与数据一致</w:t>
            </w:r>
          </w:p>
        </w:tc>
        <w:tc>
          <w:tcPr>
            <w:tcW w:type="dxa" w:w="1304"/>
            <w:vAlign w:val="top"/>
            <w:tcMar>
              <w:top w:w="90" w:type="dxa"/>
              <w:start w:w="100" w:type="dxa"/>
              <w:bottom w:w="90" w:type="dxa"/>
              <w:end w:w="100" w:type="dxa"/>
            </w:tcMar>
            <w:shd w:fill="FCE8E6"/>
          </w:tcPr>
          <w:p>
            <w:pPr>
              <w:keepNext w:val="0"/>
              <w:widowControl/>
              <w:spacing w:after="0" w:before="0" w:line="269" w:lineRule="auto"/>
            </w:pPr>
            <w:r>
              <w:rPr>
                <w:rFonts w:ascii="Microsoft YaHei" w:hAnsi="Microsoft YaHei" w:eastAsia="Microsoft YaHei"/>
                <w:b/>
                <w:i w:val="0"/>
                <w:color w:val="A83232"/>
                <w:sz w:val="17"/>
              </w:rPr>
              <w:t>不通过</w:t>
            </w:r>
          </w:p>
        </w:tc>
        <w:tc>
          <w:tcPr>
            <w:tcW w:type="dxa" w:w="6066"/>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7"/>
              </w:rPr>
              <w:t>论文写的 bbox 生成 262 个 R9 网格，而 141 个结果实际来自较小 smoke bbox。</w:t>
            </w:r>
          </w:p>
        </w:tc>
      </w:tr>
      <w:tr>
        <w:trPr>
          <w:cantSplit/>
        </w:trPr>
        <w:tc>
          <w:tcPr>
            <w:tcW w:type="dxa" w:w="2268"/>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7"/>
              </w:rPr>
              <w:t>图 2(c)/adaptive 为全量拟合</w:t>
            </w:r>
          </w:p>
        </w:tc>
        <w:tc>
          <w:tcPr>
            <w:tcW w:type="dxa" w:w="1304"/>
            <w:vAlign w:val="top"/>
            <w:tcMar>
              <w:top w:w="90" w:type="dxa"/>
              <w:start w:w="100" w:type="dxa"/>
              <w:bottom w:w="90" w:type="dxa"/>
              <w:end w:w="100" w:type="dxa"/>
            </w:tcMar>
            <w:shd w:fill="FCE8E6"/>
          </w:tcPr>
          <w:p>
            <w:pPr>
              <w:keepNext w:val="0"/>
              <w:widowControl/>
              <w:spacing w:after="0" w:before="0" w:line="269" w:lineRule="auto"/>
            </w:pPr>
            <w:r>
              <w:rPr>
                <w:rFonts w:ascii="Microsoft YaHei" w:hAnsi="Microsoft YaHei" w:eastAsia="Microsoft YaHei"/>
                <w:b/>
                <w:i w:val="0"/>
                <w:color w:val="A83232"/>
                <w:sz w:val="17"/>
              </w:rPr>
              <w:t>不通过</w:t>
            </w:r>
          </w:p>
        </w:tc>
        <w:tc>
          <w:tcPr>
            <w:tcW w:type="dxa" w:w="6066"/>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7"/>
              </w:rPr>
              <w:t>保存模型与 80% split 重拟合逐点完全相同，与 100% 全量拟合显著不同。</w:t>
            </w:r>
          </w:p>
        </w:tc>
      </w:tr>
      <w:tr>
        <w:trPr>
          <w:cantSplit/>
        </w:trPr>
        <w:tc>
          <w:tcPr>
            <w:tcW w:type="dxa" w:w="2268"/>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7"/>
              </w:rPr>
              <w:t>图片→数据→代码前后对应</w:t>
            </w:r>
          </w:p>
        </w:tc>
        <w:tc>
          <w:tcPr>
            <w:tcW w:type="dxa" w:w="1304"/>
            <w:vAlign w:val="top"/>
            <w:tcMar>
              <w:top w:w="90" w:type="dxa"/>
              <w:start w:w="100" w:type="dxa"/>
              <w:bottom w:w="90" w:type="dxa"/>
              <w:end w:w="100" w:type="dxa"/>
            </w:tcMar>
            <w:shd w:fill="FFF8D9"/>
          </w:tcPr>
          <w:p>
            <w:pPr>
              <w:keepNext w:val="0"/>
              <w:widowControl/>
              <w:spacing w:after="0" w:before="0" w:line="269" w:lineRule="auto"/>
            </w:pPr>
            <w:r>
              <w:rPr>
                <w:rFonts w:ascii="Microsoft YaHei" w:hAnsi="Microsoft YaHei" w:eastAsia="Microsoft YaHei"/>
                <w:b/>
                <w:i w:val="0"/>
                <w:color w:val="B56212"/>
                <w:sz w:val="17"/>
              </w:rPr>
              <w:t>部分通过</w:t>
            </w:r>
          </w:p>
        </w:tc>
        <w:tc>
          <w:tcPr>
            <w:tcW w:type="dxa" w:w="6066"/>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7"/>
              </w:rPr>
              <w:t>图可由当前工作流再生成，核心 CSV 数值吻合；但 Fig.2(c) 语义错误，Fig.4 注释裁切，若干版式/图注不合格。</w:t>
            </w:r>
          </w:p>
        </w:tc>
      </w:tr>
      <w:tr>
        <w:trPr>
          <w:cantSplit/>
        </w:trPr>
        <w:tc>
          <w:tcPr>
            <w:tcW w:type="dxa" w:w="2268"/>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7"/>
              </w:rPr>
              <w:t>提交快照可复现</w:t>
            </w:r>
          </w:p>
        </w:tc>
        <w:tc>
          <w:tcPr>
            <w:tcW w:type="dxa" w:w="1304"/>
            <w:vAlign w:val="top"/>
            <w:tcMar>
              <w:top w:w="90" w:type="dxa"/>
              <w:start w:w="100" w:type="dxa"/>
              <w:bottom w:w="90" w:type="dxa"/>
              <w:end w:w="100" w:type="dxa"/>
            </w:tcMar>
            <w:shd w:fill="FCE8E6"/>
          </w:tcPr>
          <w:p>
            <w:pPr>
              <w:keepNext w:val="0"/>
              <w:widowControl/>
              <w:spacing w:after="0" w:before="0" w:line="269" w:lineRule="auto"/>
            </w:pPr>
            <w:r>
              <w:rPr>
                <w:rFonts w:ascii="Microsoft YaHei" w:hAnsi="Microsoft YaHei" w:eastAsia="Microsoft YaHei"/>
                <w:b/>
                <w:i w:val="0"/>
                <w:color w:val="A83232"/>
                <w:sz w:val="17"/>
              </w:rPr>
              <w:t>不通过</w:t>
            </w:r>
          </w:p>
        </w:tc>
        <w:tc>
          <w:tcPr>
            <w:tcW w:type="dxa" w:w="6066"/>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7"/>
              </w:rPr>
              <w:t>submission-v2 指向 HEAD，但工作树有 64 个变更/未跟踪项；依赖无锁定，metadata 的 H3 版本与环境不一致。</w:t>
            </w:r>
          </w:p>
        </w:tc>
      </w:tr>
      <w:tr>
        <w:trPr>
          <w:cantSplit/>
        </w:trPr>
        <w:tc>
          <w:tcPr>
            <w:tcW w:type="dxa" w:w="2268"/>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7"/>
              </w:rPr>
              <w:t>作者、贡献与 AI 声明</w:t>
            </w:r>
          </w:p>
        </w:tc>
        <w:tc>
          <w:tcPr>
            <w:tcW w:type="dxa" w:w="1304"/>
            <w:vAlign w:val="top"/>
            <w:tcMar>
              <w:top w:w="90" w:type="dxa"/>
              <w:start w:w="100" w:type="dxa"/>
              <w:bottom w:w="90" w:type="dxa"/>
              <w:end w:w="100" w:type="dxa"/>
            </w:tcMar>
            <w:shd w:fill="FFF1DB"/>
          </w:tcPr>
          <w:p>
            <w:pPr>
              <w:keepNext w:val="0"/>
              <w:widowControl/>
              <w:spacing w:after="0" w:before="0" w:line="269" w:lineRule="auto"/>
            </w:pPr>
            <w:r>
              <w:rPr>
                <w:rFonts w:ascii="Microsoft YaHei" w:hAnsi="Microsoft YaHei" w:eastAsia="Microsoft YaHei"/>
                <w:b/>
                <w:i w:val="0"/>
                <w:color w:val="B56212"/>
                <w:sz w:val="17"/>
              </w:rPr>
              <w:t>待作者确认</w:t>
            </w:r>
          </w:p>
        </w:tc>
        <w:tc>
          <w:tcPr>
            <w:tcW w:type="dxa" w:w="6066"/>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7"/>
              </w:rPr>
              <w:t>pyproject/README 残留参考论文机构；CRediT 未填；AI 声明与仓库中实际辅助痕迹可能不一致。</w:t>
            </w:r>
          </w:p>
        </w:tc>
      </w:tr>
    </w:tbl>
    <w:p>
      <w:pPr>
        <w:spacing w:after="0"/>
      </w:pPr>
    </w:p>
    <w:tbl>
      <w:tblPr>
        <w:tblW w:type="auto" w:w="0"/>
        <w:jc w:val="center"/>
        <w:tblLayout w:type="fixed"/>
        <w:tblLook w:firstColumn="1" w:firstRow="1" w:lastColumn="0" w:lastRow="0" w:noHBand="0" w:noVBand="1" w:val="04A0"/>
      </w:tblPr>
      <w:tblGrid>
        <w:gridCol w:w="9751"/>
      </w:tblGrid>
      <w:tr>
        <w:tc>
          <w:tcPr>
            <w:tcW w:type="dxa" w:w="9752"/>
            <w:tcMar>
              <w:top w:w="130" w:type="dxa"/>
              <w:start w:w="180" w:type="dxa"/>
              <w:bottom w:w="130" w:type="dxa"/>
              <w:end w:w="180" w:type="dxa"/>
            </w:tcMar>
            <w:shd w:fill="FFF1DB"/>
            <w:vAlign w:val="center"/>
          </w:tcPr>
          <w:p>
            <w:pPr>
              <w:keepNext w:val="0"/>
              <w:widowControl/>
              <w:spacing w:after="40" w:before="0" w:line="276" w:lineRule="auto"/>
            </w:pPr>
            <w:r>
              <w:rPr>
                <w:rFonts w:ascii="Microsoft YaHei" w:hAnsi="Microsoft YaHei" w:eastAsia="Microsoft YaHei"/>
                <w:b/>
                <w:i w:val="0"/>
                <w:color w:val="B56212"/>
                <w:sz w:val="20"/>
              </w:rPr>
              <w:t>推荐决定：Major Revision / 暂不投稿</w:t>
            </w:r>
          </w:p>
          <w:p>
            <w:pPr>
              <w:keepNext w:val="0"/>
              <w:widowControl/>
              <w:spacing w:after="0" w:before="0" w:line="293" w:lineRule="auto"/>
            </w:pPr>
            <w:r>
              <w:rPr>
                <w:rFonts w:ascii="Microsoft YaHei" w:hAnsi="Microsoft YaHei" w:eastAsia="Microsoft YaHei"/>
                <w:b w:val="0"/>
                <w:i w:val="0"/>
                <w:color w:val="1F2933"/>
                <w:sz w:val="18"/>
              </w:rPr>
              <w:t>这不是因为所有结果都不可用，而是因为若按当前文字投稿，审稿人能从代码直接反证关键方法声明。修复顺序必须是：冻结真实数据来源→修复全量模型→统一 bbox/标签/尺度定义→全链重跑→再改文稿与图。</w:t>
            </w:r>
          </w:p>
        </w:tc>
      </w:tr>
    </w:tbl>
    <w:p>
      <w:pPr>
        <w:spacing w:after="0"/>
      </w:pPr>
    </w:p>
    <w:p>
      <w:pPr>
        <w:pStyle w:val="Heading2"/>
        <w:keepNext/>
      </w:pPr>
      <w:r>
        <w:t>1.1 经过独立核验仍可保留的结果</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2268"/>
            <w:shd w:fill="17324D"/>
            <w:vAlign w:val="center"/>
            <w:tcMar>
              <w:top w:w="90" w:type="dxa"/>
              <w:start w:w="100" w:type="dxa"/>
              <w:bottom w:w="90" w:type="dxa"/>
              <w:end w:w="100" w:type="dxa"/>
            </w:tcMar>
          </w:tcPr>
          <w:p>
            <w:pPr>
              <w:keepNext w:val="0"/>
              <w:widowControl/>
              <w:spacing w:after="0" w:before="0" w:line="240" w:lineRule="auto"/>
              <w:jc w:val="center"/>
            </w:pPr>
            <w:r>
              <w:rPr>
                <w:rFonts w:ascii="Microsoft YaHei" w:hAnsi="Microsoft YaHei" w:eastAsia="Microsoft YaHei"/>
                <w:b/>
                <w:i w:val="0"/>
                <w:color w:val="FFFFFF"/>
                <w:sz w:val="16"/>
              </w:rPr>
              <w:t>数据集</w:t>
            </w:r>
          </w:p>
        </w:tc>
        <w:tc>
          <w:tcPr>
            <w:tcW w:type="dxa" w:w="567"/>
            <w:shd w:fill="17324D"/>
            <w:vAlign w:val="center"/>
            <w:tcMar>
              <w:top w:w="90" w:type="dxa"/>
              <w:start w:w="100" w:type="dxa"/>
              <w:bottom w:w="90" w:type="dxa"/>
              <w:end w:w="100" w:type="dxa"/>
            </w:tcMar>
          </w:tcPr>
          <w:p>
            <w:pPr>
              <w:keepNext w:val="0"/>
              <w:widowControl/>
              <w:spacing w:after="0" w:before="0" w:line="240" w:lineRule="auto"/>
              <w:jc w:val="center"/>
            </w:pPr>
            <w:r>
              <w:rPr>
                <w:rFonts w:ascii="Microsoft YaHei" w:hAnsi="Microsoft YaHei" w:eastAsia="Microsoft YaHei"/>
                <w:b/>
                <w:i w:val="0"/>
                <w:color w:val="FFFFFF"/>
                <w:sz w:val="16"/>
              </w:rPr>
              <w:t>n</w:t>
            </w:r>
          </w:p>
        </w:tc>
        <w:tc>
          <w:tcPr>
            <w:tcW w:type="dxa" w:w="3231"/>
            <w:shd w:fill="17324D"/>
            <w:vAlign w:val="center"/>
            <w:tcMar>
              <w:top w:w="90" w:type="dxa"/>
              <w:start w:w="100" w:type="dxa"/>
              <w:bottom w:w="90" w:type="dxa"/>
              <w:end w:w="100" w:type="dxa"/>
            </w:tcMar>
          </w:tcPr>
          <w:p>
            <w:pPr>
              <w:keepNext w:val="0"/>
              <w:widowControl/>
              <w:spacing w:after="0" w:before="0" w:line="240" w:lineRule="auto"/>
              <w:jc w:val="center"/>
            </w:pPr>
            <w:r>
              <w:rPr>
                <w:rFonts w:ascii="Microsoft YaHei" w:hAnsi="Microsoft YaHei" w:eastAsia="Microsoft YaHei"/>
                <w:b/>
                <w:i w:val="0"/>
                <w:color w:val="FFFFFF"/>
                <w:sz w:val="16"/>
              </w:rPr>
              <w:t>Accuracy / F1</w:t>
            </w:r>
          </w:p>
        </w:tc>
        <w:tc>
          <w:tcPr>
            <w:tcW w:type="dxa" w:w="3572"/>
            <w:shd w:fill="17324D"/>
            <w:vAlign w:val="center"/>
            <w:tcMar>
              <w:top w:w="90" w:type="dxa"/>
              <w:start w:w="100" w:type="dxa"/>
              <w:bottom w:w="90" w:type="dxa"/>
              <w:end w:w="100" w:type="dxa"/>
            </w:tcMar>
          </w:tcPr>
          <w:p>
            <w:pPr>
              <w:keepNext w:val="0"/>
              <w:widowControl/>
              <w:spacing w:after="0" w:before="0" w:line="240" w:lineRule="auto"/>
              <w:jc w:val="center"/>
            </w:pPr>
            <w:r>
              <w:rPr>
                <w:rFonts w:ascii="Microsoft YaHei" w:hAnsi="Microsoft YaHei" w:eastAsia="Microsoft YaHei"/>
                <w:b/>
                <w:i w:val="0"/>
                <w:color w:val="FFFFFF"/>
                <w:sz w:val="16"/>
              </w:rPr>
              <w:t>R² / pooled ROC-AUC / AP</w:t>
            </w:r>
          </w:p>
        </w:tc>
      </w:tr>
      <w:tr>
        <w:trPr>
          <w:cantSplit/>
        </w:trPr>
        <w:tc>
          <w:tcPr>
            <w:tcW w:type="dxa" w:w="2268"/>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小范围（实际 smoke bbox）</w:t>
            </w:r>
          </w:p>
        </w:tc>
        <w:tc>
          <w:tcPr>
            <w:tcW w:type="dxa" w:w="567"/>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141</w:t>
            </w:r>
          </w:p>
        </w:tc>
        <w:tc>
          <w:tcPr>
            <w:tcW w:type="dxa" w:w="3231"/>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0.781 ± 0.123 / 0.822</w:t>
            </w:r>
          </w:p>
        </w:tc>
        <w:tc>
          <w:tcPr>
            <w:tcW w:type="dxa" w:w="3572"/>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0.048 ± 0.348 / 0.780 / 0.805</w:t>
            </w:r>
          </w:p>
        </w:tc>
      </w:tr>
      <w:tr>
        <w:trPr>
          <w:cantSplit/>
        </w:trPr>
        <w:tc>
          <w:tcPr>
            <w:tcW w:type="dxa" w:w="2268"/>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扩展范围</w:t>
            </w:r>
          </w:p>
        </w:tc>
        <w:tc>
          <w:tcPr>
            <w:tcW w:type="dxa" w:w="567"/>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956</w:t>
            </w:r>
          </w:p>
        </w:tc>
        <w:tc>
          <w:tcPr>
            <w:tcW w:type="dxa" w:w="3231"/>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0.821 ± 0.033 / 0.819</w:t>
            </w:r>
          </w:p>
        </w:tc>
        <w:tc>
          <w:tcPr>
            <w:tcW w:type="dxa" w:w="3572"/>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0.333 ± 0.144 / 0.883 / 0.812</w:t>
            </w:r>
          </w:p>
        </w:tc>
      </w:tr>
    </w:tbl>
    <w:p>
      <w:pPr>
        <w:spacing w:after="0"/>
      </w:pPr>
    </w:p>
    <w:p>
      <w:pPr>
        <w:pStyle w:val="ListBullet"/>
        <w:keepNext w:val="0"/>
        <w:widowControl/>
        <w:spacing w:after="60" w:before="0" w:line="283" w:lineRule="auto"/>
      </w:pPr>
      <w:r>
        <w:rPr>
          <w:rFonts w:ascii="Microsoft YaHei" w:hAnsi="Microsoft YaHei" w:eastAsia="Microsoft YaHei"/>
          <w:b w:val="0"/>
          <w:i w:val="0"/>
          <w:color w:val="1F2933"/>
          <w:sz w:val="18"/>
        </w:rPr>
        <w:t>OOF 文件与训练表按 h3_index 一一对应，无重复网格，y_true 无错配。</w:t>
      </w:r>
    </w:p>
    <w:p>
      <w:pPr>
        <w:pStyle w:val="ListBullet"/>
        <w:keepNext w:val="0"/>
        <w:widowControl/>
        <w:spacing w:after="60" w:before="0" w:line="283" w:lineRule="auto"/>
      </w:pPr>
      <w:r>
        <w:rPr>
          <w:rFonts w:ascii="Microsoft YaHei" w:hAnsi="Microsoft YaHei" w:eastAsia="Microsoft YaHei"/>
          <w:b w:val="0"/>
          <w:i w:val="0"/>
          <w:color w:val="1F2933"/>
          <w:sz w:val="18"/>
        </w:rPr>
        <w:t>目标构造 E=max(DEP 面积占比, 311 是否存在, HWM 是否存在) 在三个处理表中均可逐行复算。</w:t>
      </w:r>
    </w:p>
    <w:p>
      <w:pPr>
        <w:pStyle w:val="ListBullet"/>
        <w:keepNext w:val="0"/>
        <w:widowControl/>
        <w:spacing w:after="60" w:before="0" w:line="283" w:lineRule="auto"/>
      </w:pPr>
      <w:r>
        <w:rPr>
          <w:rFonts w:ascii="Microsoft YaHei" w:hAnsi="Microsoft YaHei" w:eastAsia="Microsoft YaHei"/>
          <w:b w:val="0"/>
          <w:i w:val="0"/>
          <w:color w:val="1F2933"/>
          <w:sz w:val="18"/>
        </w:rPr>
        <w:t>测试结果：58 passed，1 skipped；src/scripts/tests compileall 通过。</w:t>
      </w:r>
    </w:p>
    <w:p>
      <w:pPr>
        <w:pStyle w:val="ListBullet"/>
        <w:keepNext w:val="0"/>
        <w:widowControl/>
        <w:spacing w:after="60" w:before="0" w:line="283" w:lineRule="auto"/>
      </w:pPr>
      <w:r>
        <w:rPr>
          <w:rFonts w:ascii="Microsoft YaHei" w:hAnsi="Microsoft YaHei" w:eastAsia="Microsoft YaHei"/>
          <w:b w:val="0"/>
          <w:i w:val="0"/>
          <w:color w:val="1F2933"/>
          <w:sz w:val="18"/>
        </w:rPr>
        <w:t>当前 raw 快照关闭合成回填后可以重建处理表，说明现有主结果不是‘算一半、猜一半’。</w:t>
      </w:r>
    </w:p>
    <w:p>
      <w:pPr>
        <w:pStyle w:val="Heading2"/>
        <w:keepNext/>
      </w:pPr>
      <w:r>
        <w:t>1.2 不能写成确定事实的内容</w:t>
      </w:r>
    </w:p>
    <w:p>
      <w:pPr>
        <w:pStyle w:val="ListBullet"/>
        <w:keepNext w:val="0"/>
        <w:widowControl/>
        <w:spacing w:after="60" w:before="0" w:line="283" w:lineRule="auto"/>
      </w:pPr>
      <w:r>
        <w:rPr>
          <w:rFonts w:ascii="Microsoft YaHei" w:hAnsi="Microsoft YaHei" w:eastAsia="Microsoft YaHei"/>
          <w:b w:val="0"/>
          <w:i w:val="0"/>
          <w:color w:val="1F2933"/>
          <w:sz w:val="18"/>
        </w:rPr>
        <w:t>不能写“所有原始数据是我们自己的”。原始输入是公开/第三方资料；作者自己的应是抓取快照、处理脚本、派生表、模型与图。</w:t>
      </w:r>
    </w:p>
    <w:p>
      <w:pPr>
        <w:pStyle w:val="ListBullet"/>
        <w:keepNext w:val="0"/>
        <w:widowControl/>
        <w:spacing w:after="60" w:before="0" w:line="283" w:lineRule="auto"/>
      </w:pPr>
      <w:r>
        <w:rPr>
          <w:rFonts w:ascii="Microsoft YaHei" w:hAnsi="Microsoft YaHei" w:eastAsia="Microsoft YaHei"/>
          <w:b w:val="0"/>
          <w:i w:val="0"/>
          <w:color w:val="1F2933"/>
          <w:sz w:val="18"/>
        </w:rPr>
        <w:t>不能写“已证明绝无抄袭”。当前只对提供的参考论文做了局部文本与实现搜索；结果是‘未发现可疑实质复用’，不是绝对证明。</w:t>
      </w:r>
    </w:p>
    <w:p>
      <w:pPr>
        <w:pStyle w:val="ListBullet"/>
        <w:keepNext w:val="0"/>
        <w:widowControl/>
        <w:spacing w:after="60" w:before="0" w:line="283" w:lineRule="auto"/>
      </w:pPr>
      <w:r>
        <w:rPr>
          <w:rFonts w:ascii="Microsoft YaHei" w:hAnsi="Microsoft YaHei" w:eastAsia="Microsoft YaHei"/>
          <w:b w:val="0"/>
          <w:i w:val="0"/>
          <w:color w:val="1F2933"/>
          <w:sz w:val="18"/>
        </w:rPr>
        <w:t>不能把模型输出称为物理洪水风险、积水深度或发生概率。当前监督目标是人为组合的开放证据分数。</w:t>
      </w:r>
    </w:p>
    <w:p>
      <w:pPr>
        <w:pStyle w:val="ListBullet"/>
        <w:keepNext w:val="0"/>
        <w:widowControl/>
        <w:spacing w:after="60" w:before="0" w:line="283" w:lineRule="auto"/>
      </w:pPr>
      <w:r>
        <w:rPr>
          <w:rFonts w:ascii="Microsoft YaHei" w:hAnsi="Microsoft YaHei" w:eastAsia="Microsoft YaHei"/>
          <w:b w:val="0"/>
          <w:i w:val="0"/>
          <w:color w:val="1F2933"/>
          <w:sz w:val="18"/>
        </w:rPr>
        <w:t>不能把恒定 75 mm/h 的占位降雨写成已验证的 rainfall-conditioned model；四个场景的每个网格输出范围严格为 0。</w:t>
      </w:r>
    </w:p>
    <w:p>
      <w:pPr>
        <w:spacing w:after="0" w:before="40"/>
      </w:pPr>
    </w:p>
    <w:p>
      <w:pPr>
        <w:pStyle w:val="Heading1"/>
        <w:keepNext/>
      </w:pPr>
      <w:r>
        <w:t>2. 审查范围、方法与证据链</w:t>
      </w:r>
    </w:p>
    <w:p>
      <w:pPr>
        <w:keepNext w:val="0"/>
        <w:widowControl/>
        <w:spacing w:after="100" w:before="0" w:line="300" w:lineRule="auto"/>
      </w:pPr>
      <w:r>
        <w:rPr>
          <w:rFonts w:ascii="Microsoft YaHei" w:hAnsi="Microsoft YaHei" w:eastAsia="Microsoft YaHei"/>
          <w:b w:val="0"/>
          <w:i w:val="0"/>
          <w:color w:val="1F2933"/>
          <w:sz w:val="19"/>
        </w:rPr>
        <w:t>审查覆盖论文 PDF/Markdown、报告 PDF/Markdown、src 与 scripts、tests、raw/processed 数据、模型工件、输出 CSV/JSON 与 8 组论文图。所有审查性脚本和重建输出都写入审查输出目录，没有覆盖原论文、原模型或原数据。</w:t>
      </w:r>
    </w:p>
    <w:p>
      <w:pPr>
        <w:pStyle w:val="Heading2"/>
        <w:keepNext/>
      </w:pPr>
      <w:r>
        <w:t>2.1 执行的核验</w:t>
      </w:r>
    </w:p>
    <w:p>
      <w:pPr>
        <w:pStyle w:val="ListBullet"/>
        <w:keepNext w:val="0"/>
        <w:widowControl/>
        <w:spacing w:after="60" w:before="0" w:line="283" w:lineRule="auto"/>
      </w:pPr>
      <w:r>
        <w:rPr>
          <w:rFonts w:ascii="Microsoft YaHei" w:hAnsi="Microsoft YaHei" w:eastAsia="Microsoft YaHei"/>
          <w:b w:val="0"/>
          <w:i w:val="0"/>
          <w:color w:val="1F2933"/>
          <w:sz w:val="18"/>
        </w:rPr>
        <w:t>静态代码审查：训练/保存路径、特征和标签组装、空间 CV、尺度诊断、情景预测、负对照、绘图及元数据。</w:t>
      </w:r>
    </w:p>
    <w:p>
      <w:pPr>
        <w:pStyle w:val="ListBullet"/>
        <w:keepNext w:val="0"/>
        <w:widowControl/>
        <w:spacing w:after="60" w:before="0" w:line="283" w:lineRule="auto"/>
      </w:pPr>
      <w:r>
        <w:rPr>
          <w:rFonts w:ascii="Microsoft YaHei" w:hAnsi="Microsoft YaHei" w:eastAsia="Microsoft YaHei"/>
          <w:b w:val="0"/>
          <w:i w:val="0"/>
          <w:color w:val="1F2933"/>
          <w:sz w:val="18"/>
        </w:rPr>
        <w:t>结构与哈希清点：文件数、raw 向量特征数/几何类型、处理表主键与空值、模型元数据、Git 快照。</w:t>
      </w:r>
    </w:p>
    <w:p>
      <w:pPr>
        <w:pStyle w:val="ListBullet"/>
        <w:keepNext w:val="0"/>
        <w:widowControl/>
        <w:spacing w:after="60" w:before="0" w:line="283" w:lineRule="auto"/>
      </w:pPr>
      <w:r>
        <w:rPr>
          <w:rFonts w:ascii="Microsoft YaHei" w:hAnsi="Microsoft YaHei" w:eastAsia="Microsoft YaHei"/>
          <w:b w:val="0"/>
          <w:i w:val="0"/>
          <w:color w:val="1F2933"/>
          <w:sz w:val="18"/>
        </w:rPr>
        <w:t>独立数值复算：从 OOF/折表重新计算 accuracy、F1、R²、ROC-AUC、AP，并与 metadata 对照。</w:t>
      </w:r>
    </w:p>
    <w:p>
      <w:pPr>
        <w:pStyle w:val="ListBullet"/>
        <w:keepNext w:val="0"/>
        <w:widowControl/>
        <w:spacing w:after="60" w:before="0" w:line="283" w:lineRule="auto"/>
      </w:pPr>
      <w:r>
        <w:rPr>
          <w:rFonts w:ascii="Microsoft YaHei" w:hAnsi="Microsoft YaHei" w:eastAsia="Microsoft YaHei"/>
          <w:b w:val="0"/>
          <w:i w:val="0"/>
          <w:color w:val="1F2933"/>
          <w:sz w:val="18"/>
        </w:rPr>
        <w:t>模型身份实验：分别用相同 80% split 和 100% 数据重拟合，与保存模型逐网格比较预测。</w:t>
      </w:r>
    </w:p>
    <w:p>
      <w:pPr>
        <w:pStyle w:val="ListBullet"/>
        <w:keepNext w:val="0"/>
        <w:widowControl/>
        <w:spacing w:after="60" w:before="0" w:line="283" w:lineRule="auto"/>
      </w:pPr>
      <w:r>
        <w:rPr>
          <w:rFonts w:ascii="Microsoft YaHei" w:hAnsi="Microsoft YaHei" w:eastAsia="Microsoft YaHei"/>
          <w:b w:val="0"/>
          <w:i w:val="0"/>
          <w:color w:val="1F2933"/>
          <w:sz w:val="18"/>
        </w:rPr>
        <w:t>raw→processed 重建：明确 fallback_synthetic=False，重新组装 141、956 与 R10 991 网格。</w:t>
      </w:r>
    </w:p>
    <w:p>
      <w:pPr>
        <w:pStyle w:val="ListBullet"/>
        <w:keepNext w:val="0"/>
        <w:widowControl/>
        <w:spacing w:after="60" w:before="0" w:line="283" w:lineRule="auto"/>
      </w:pPr>
      <w:r>
        <w:rPr>
          <w:rFonts w:ascii="Microsoft YaHei" w:hAnsi="Microsoft YaHei" w:eastAsia="Microsoft YaHei"/>
          <w:b w:val="0"/>
          <w:i w:val="0"/>
          <w:color w:val="1F2933"/>
          <w:sz w:val="18"/>
        </w:rPr>
        <w:t>图片重生成：调用当前绘图链生成审查副本，比较尺寸、哈希和数值来源；逐页检查 manuscript.pdf（23 页）与 report.pdf（29 页）。</w:t>
      </w:r>
    </w:p>
    <w:p>
      <w:pPr>
        <w:pStyle w:val="ListBullet"/>
        <w:keepNext w:val="0"/>
        <w:widowControl/>
        <w:spacing w:after="60" w:before="0" w:line="283" w:lineRule="auto"/>
      </w:pPr>
      <w:r>
        <w:rPr>
          <w:rFonts w:ascii="Microsoft YaHei" w:hAnsi="Microsoft YaHei" w:eastAsia="Microsoft YaHei"/>
          <w:b w:val="0"/>
          <w:i w:val="0"/>
          <w:color w:val="1F2933"/>
          <w:sz w:val="18"/>
        </w:rPr>
        <w:t>局部原创性检查：将论文正文与仓库提供的参考论文 Markdown 做 10-token 精确重叠和段落相似度检查，并搜索 PFIb 数据/模型痕迹。</w:t>
      </w:r>
    </w:p>
    <w:p>
      <w:pPr>
        <w:pStyle w:val="ListBullet"/>
        <w:keepNext w:val="0"/>
        <w:widowControl/>
        <w:spacing w:after="60" w:before="0" w:line="283" w:lineRule="auto"/>
      </w:pPr>
      <w:r>
        <w:rPr>
          <w:rFonts w:ascii="Microsoft YaHei" w:hAnsi="Microsoft YaHei" w:eastAsia="Microsoft YaHei"/>
          <w:b w:val="0"/>
          <w:i w:val="0"/>
          <w:color w:val="1F2933"/>
          <w:sz w:val="18"/>
        </w:rPr>
        <w:t>端点身份检查：查询 ArcGIS 服务 item owner/org/license；对官方落地页进行交叉确认。</w:t>
      </w:r>
    </w:p>
    <w:p>
      <w:pPr>
        <w:pStyle w:val="Heading2"/>
        <w:keepNext/>
      </w:pPr>
      <w:r>
        <w:t>2.2 证据等级</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1587"/>
            <w:shd w:fill="17324D"/>
            <w:vAlign w:val="center"/>
            <w:tcMar>
              <w:top w:w="90" w:type="dxa"/>
              <w:start w:w="100" w:type="dxa"/>
              <w:bottom w:w="90" w:type="dxa"/>
              <w:end w:w="100" w:type="dxa"/>
            </w:tcMar>
          </w:tcPr>
          <w:p>
            <w:pPr>
              <w:keepNext w:val="0"/>
              <w:widowControl/>
              <w:spacing w:after="0" w:before="0" w:line="240" w:lineRule="auto"/>
              <w:jc w:val="center"/>
            </w:pPr>
            <w:r>
              <w:rPr>
                <w:rFonts w:ascii="Microsoft YaHei" w:hAnsi="Microsoft YaHei" w:eastAsia="Microsoft YaHei"/>
                <w:b/>
                <w:i w:val="0"/>
                <w:color w:val="FFFFFF"/>
                <w:sz w:val="16"/>
              </w:rPr>
              <w:t>等级</w:t>
            </w:r>
          </w:p>
        </w:tc>
        <w:tc>
          <w:tcPr>
            <w:tcW w:type="dxa" w:w="3515"/>
            <w:shd w:fill="17324D"/>
            <w:vAlign w:val="center"/>
            <w:tcMar>
              <w:top w:w="90" w:type="dxa"/>
              <w:start w:w="100" w:type="dxa"/>
              <w:bottom w:w="90" w:type="dxa"/>
              <w:end w:w="100" w:type="dxa"/>
            </w:tcMar>
          </w:tcPr>
          <w:p>
            <w:pPr>
              <w:keepNext w:val="0"/>
              <w:widowControl/>
              <w:spacing w:after="0" w:before="0" w:line="240" w:lineRule="auto"/>
              <w:jc w:val="center"/>
            </w:pPr>
            <w:r>
              <w:rPr>
                <w:rFonts w:ascii="Microsoft YaHei" w:hAnsi="Microsoft YaHei" w:eastAsia="Microsoft YaHei"/>
                <w:b/>
                <w:i w:val="0"/>
                <w:color w:val="FFFFFF"/>
                <w:sz w:val="16"/>
              </w:rPr>
              <w:t>含义</w:t>
            </w:r>
          </w:p>
        </w:tc>
        <w:tc>
          <w:tcPr>
            <w:tcW w:type="dxa" w:w="4536"/>
            <w:shd w:fill="17324D"/>
            <w:vAlign w:val="center"/>
            <w:tcMar>
              <w:top w:w="90" w:type="dxa"/>
              <w:start w:w="100" w:type="dxa"/>
              <w:bottom w:w="90" w:type="dxa"/>
              <w:end w:w="100" w:type="dxa"/>
            </w:tcMar>
          </w:tcPr>
          <w:p>
            <w:pPr>
              <w:keepNext w:val="0"/>
              <w:widowControl/>
              <w:spacing w:after="0" w:before="0" w:line="240" w:lineRule="auto"/>
              <w:jc w:val="center"/>
            </w:pPr>
            <w:r>
              <w:rPr>
                <w:rFonts w:ascii="Microsoft YaHei" w:hAnsi="Microsoft YaHei" w:eastAsia="Microsoft YaHei"/>
                <w:b/>
                <w:i w:val="0"/>
                <w:color w:val="FFFFFF"/>
                <w:sz w:val="16"/>
              </w:rPr>
              <w:t>本报告示例</w:t>
            </w:r>
          </w:p>
        </w:tc>
      </w:tr>
      <w:tr>
        <w:trPr>
          <w:cantSplit/>
        </w:trPr>
        <w:tc>
          <w:tcPr>
            <w:tcW w:type="dxa" w:w="1587"/>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A：可重复实验</w:t>
            </w:r>
          </w:p>
        </w:tc>
        <w:tc>
          <w:tcPr>
            <w:tcW w:type="dxa" w:w="3515"/>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由当前代码/数据重新执行或独立数值复算</w:t>
            </w:r>
          </w:p>
        </w:tc>
        <w:tc>
          <w:tcPr>
            <w:tcW w:type="dxa" w:w="4536"/>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CV 指标、raw 重建、模型 80%/100% 身份对照</w:t>
            </w:r>
          </w:p>
        </w:tc>
      </w:tr>
      <w:tr>
        <w:trPr>
          <w:cantSplit/>
        </w:trPr>
        <w:tc>
          <w:tcPr>
            <w:tcW w:type="dxa" w:w="1587"/>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B：文件与元数据证据</w:t>
            </w:r>
          </w:p>
        </w:tc>
        <w:tc>
          <w:tcPr>
            <w:tcW w:type="dxa" w:w="3515"/>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由代码行、哈希、manifest、Git 状态直接支持</w:t>
            </w:r>
          </w:p>
        </w:tc>
        <w:tc>
          <w:tcPr>
            <w:tcW w:type="dxa" w:w="4536"/>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bbox、端点 owner、dirty tree、缺许可/校验和</w:t>
            </w:r>
          </w:p>
        </w:tc>
      </w:tr>
      <w:tr>
        <w:trPr>
          <w:cantSplit/>
        </w:trPr>
        <w:tc>
          <w:tcPr>
            <w:tcW w:type="dxa" w:w="1587"/>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C：人工视觉审查</w:t>
            </w:r>
          </w:p>
        </w:tc>
        <w:tc>
          <w:tcPr>
            <w:tcW w:type="dxa" w:w="3515"/>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逐页/逐图观察，适合版式和语义判断</w:t>
            </w:r>
          </w:p>
        </w:tc>
        <w:tc>
          <w:tcPr>
            <w:tcW w:type="dxa" w:w="4536"/>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Fig.4 裁切、表格跨页、公式未渲染</w:t>
            </w:r>
          </w:p>
        </w:tc>
      </w:tr>
      <w:tr>
        <w:trPr>
          <w:cantSplit/>
        </w:trPr>
        <w:tc>
          <w:tcPr>
            <w:tcW w:type="dxa" w:w="1587"/>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D：有限排除证据</w:t>
            </w:r>
          </w:p>
        </w:tc>
        <w:tc>
          <w:tcPr>
            <w:tcW w:type="dxa" w:w="3515"/>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未发现不等于绝对不存在</w:t>
            </w:r>
          </w:p>
        </w:tc>
        <w:tc>
          <w:tcPr>
            <w:tcW w:type="dxa" w:w="4536"/>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未发现引用论文 PFIb 数据或实质文本复制</w:t>
            </w:r>
          </w:p>
        </w:tc>
      </w:tr>
    </w:tbl>
    <w:p>
      <w:pPr>
        <w:spacing w:after="0"/>
      </w:pPr>
    </w:p>
    <w:tbl>
      <w:tblPr>
        <w:tblW w:type="auto" w:w="0"/>
        <w:jc w:val="center"/>
        <w:tblLayout w:type="fixed"/>
        <w:tblLook w:firstColumn="1" w:firstRow="1" w:lastColumn="0" w:lastRow="0" w:noHBand="0" w:noVBand="1" w:val="04A0"/>
      </w:tblPr>
      <w:tblGrid>
        <w:gridCol w:w="9751"/>
      </w:tblGrid>
      <w:tr>
        <w:tc>
          <w:tcPr>
            <w:tcW w:type="dxa" w:w="9752"/>
            <w:tcMar>
              <w:top w:w="130" w:type="dxa"/>
              <w:start w:w="180" w:type="dxa"/>
              <w:bottom w:w="130" w:type="dxa"/>
              <w:end w:w="180" w:type="dxa"/>
            </w:tcMar>
            <w:shd w:fill="E8F4F3"/>
            <w:vAlign w:val="center"/>
          </w:tcPr>
          <w:p>
            <w:pPr>
              <w:keepNext w:val="0"/>
              <w:widowControl/>
              <w:spacing w:after="40" w:before="0" w:line="276" w:lineRule="auto"/>
            </w:pPr>
            <w:r>
              <w:rPr>
                <w:rFonts w:ascii="Microsoft YaHei" w:hAnsi="Microsoft YaHei" w:eastAsia="Microsoft YaHei"/>
                <w:b/>
                <w:i w:val="0"/>
                <w:color w:val="1D6F78"/>
                <w:sz w:val="20"/>
              </w:rPr>
              <w:t>可证伪性原则</w:t>
            </w:r>
          </w:p>
          <w:p>
            <w:pPr>
              <w:keepNext w:val="0"/>
              <w:widowControl/>
              <w:spacing w:after="0" w:before="0" w:line="293" w:lineRule="auto"/>
            </w:pPr>
            <w:r>
              <w:rPr>
                <w:rFonts w:ascii="Microsoft YaHei" w:hAnsi="Microsoft YaHei" w:eastAsia="Microsoft YaHei"/>
                <w:b w:val="0"/>
                <w:i w:val="0"/>
                <w:color w:val="1F2933"/>
                <w:sz w:val="18"/>
              </w:rPr>
              <w:t>凡是无法从当前仓库、数据快照或权威元数据证明的事项，报告统一标注为“待作者确认”或“尚不能证明”，不以猜测填补证据缺口。</w:t>
            </w:r>
          </w:p>
        </w:tc>
      </w:tr>
    </w:tbl>
    <w:p>
      <w:pPr>
        <w:spacing w:after="0"/>
      </w:pPr>
    </w:p>
    <w:p>
      <w:pPr>
        <w:spacing w:after="0" w:before="40"/>
      </w:pPr>
    </w:p>
    <w:p>
      <w:pPr>
        <w:pStyle w:val="Heading1"/>
        <w:keepNext/>
      </w:pPr>
      <w:r>
        <w:t>3. 真实性、独立性与原创性审查</w:t>
      </w:r>
    </w:p>
    <w:p>
      <w:pPr>
        <w:pStyle w:val="Heading2"/>
        <w:keepNext/>
      </w:pPr>
      <w:r>
        <w:t>3.1 当前证据支持什么</w:t>
      </w:r>
    </w:p>
    <w:p>
      <w:pPr>
        <w:pStyle w:val="ListBullet"/>
        <w:keepNext w:val="0"/>
        <w:widowControl/>
        <w:spacing w:after="60" w:before="0" w:line="283" w:lineRule="auto"/>
      </w:pPr>
      <w:r>
        <w:rPr>
          <w:rFonts w:ascii="Microsoft YaHei" w:hAnsi="Microsoft YaHei" w:eastAsia="Microsoft YaHei"/>
          <w:b w:val="0"/>
          <w:i w:val="0"/>
          <w:color w:val="1F2933"/>
          <w:sz w:val="18"/>
        </w:rPr>
        <w:t>现有处理表可由当前 raw 文件重建，H3 主键、标签、类别、文本 provenance 字段一致；最大连续值差异来自几何浮点计算。</w:t>
      </w:r>
    </w:p>
    <w:p>
      <w:pPr>
        <w:pStyle w:val="ListBullet"/>
        <w:keepNext w:val="0"/>
        <w:widowControl/>
        <w:spacing w:after="60" w:before="0" w:line="283" w:lineRule="auto"/>
      </w:pPr>
      <w:r>
        <w:rPr>
          <w:rFonts w:ascii="Microsoft YaHei" w:hAnsi="Microsoft YaHei" w:eastAsia="Microsoft YaHei"/>
          <w:b w:val="0"/>
          <w:i w:val="0"/>
          <w:color w:val="1F2933"/>
          <w:sz w:val="18"/>
        </w:rPr>
        <w:t>主空间 CV 指标可从 OOF 文件独立复算，结果与 metadata 完全一致。</w:t>
      </w:r>
    </w:p>
    <w:p>
      <w:pPr>
        <w:pStyle w:val="ListBullet"/>
        <w:keepNext w:val="0"/>
        <w:widowControl/>
        <w:spacing w:after="60" w:before="0" w:line="283" w:lineRule="auto"/>
      </w:pPr>
      <w:r>
        <w:rPr>
          <w:rFonts w:ascii="Microsoft YaHei" w:hAnsi="Microsoft YaHei" w:eastAsia="Microsoft YaHei"/>
          <w:b w:val="0"/>
          <w:i w:val="0"/>
          <w:color w:val="1F2933"/>
          <w:sz w:val="18"/>
        </w:rPr>
        <w:t>仓库未发现参考论文 proprietary PFIb 数据表、其模型权重或实现；本项目使用的 DEP/311/HWM/地形/建筑/水系输入与参考论文的 proprietary building-level PFIb 路径不同。</w:t>
      </w:r>
    </w:p>
    <w:p>
      <w:pPr>
        <w:pStyle w:val="ListBullet"/>
        <w:keepNext w:val="0"/>
        <w:widowControl/>
        <w:spacing w:after="60" w:before="0" w:line="283" w:lineRule="auto"/>
      </w:pPr>
      <w:r>
        <w:rPr>
          <w:rFonts w:ascii="Microsoft YaHei" w:hAnsi="Microsoft YaHei" w:eastAsia="Microsoft YaHei"/>
          <w:b w:val="0"/>
          <w:i w:val="0"/>
          <w:color w:val="1F2933"/>
          <w:sz w:val="18"/>
        </w:rPr>
        <w:t>正文对比得到 15 个 10-word 精确重叠，全部来自 Elsevier 常见 competing-interest 模板；最高段落相似度约 0.313，未发现实质段落直接复制。</w:t>
      </w:r>
    </w:p>
    <w:p>
      <w:pPr>
        <w:pStyle w:val="Heading2"/>
        <w:keepNext/>
      </w:pPr>
      <w:r>
        <w:t>3.2 当前证据不能支持什么</w:t>
      </w:r>
    </w:p>
    <w:p>
      <w:pPr>
        <w:pStyle w:val="ListBullet"/>
        <w:keepNext w:val="0"/>
        <w:widowControl/>
        <w:spacing w:after="60" w:before="0" w:line="283" w:lineRule="auto"/>
      </w:pPr>
      <w:r>
        <w:rPr>
          <w:rFonts w:ascii="Microsoft YaHei" w:hAnsi="Microsoft YaHei" w:eastAsia="Microsoft YaHei"/>
          <w:b w:val="0"/>
          <w:i w:val="0"/>
          <w:color w:val="1F2933"/>
          <w:sz w:val="18"/>
        </w:rPr>
        <w:t>公开数据不是作者自有财产。正确表述是：作者独立下载/冻结公开快照，编写处理和建模代码并生成派生结果。</w:t>
      </w:r>
    </w:p>
    <w:p>
      <w:pPr>
        <w:pStyle w:val="ListBullet"/>
        <w:keepNext w:val="0"/>
        <w:widowControl/>
        <w:spacing w:after="60" w:before="0" w:line="283" w:lineRule="auto"/>
      </w:pPr>
      <w:r>
        <w:rPr>
          <w:rFonts w:ascii="Microsoft YaHei" w:hAnsi="Microsoft YaHei" w:eastAsia="Microsoft YaHei"/>
          <w:b w:val="0"/>
          <w:i w:val="0"/>
          <w:color w:val="1F2933"/>
          <w:sz w:val="18"/>
        </w:rPr>
        <w:t>DEP/311 服务当前 owner 分别是“20221058@GT2022”和“jeichen_GIS”，无官方组织 ID、license 或 copyright 字段；只能称为 public ArcGIS mirrors，不能称为经验证的官方 NYC 端点。</w:t>
      </w:r>
    </w:p>
    <w:p>
      <w:pPr>
        <w:pStyle w:val="ListBullet"/>
        <w:keepNext w:val="0"/>
        <w:widowControl/>
        <w:spacing w:after="60" w:before="0" w:line="283" w:lineRule="auto"/>
      </w:pPr>
      <w:r>
        <w:rPr>
          <w:rFonts w:ascii="Microsoft YaHei" w:hAnsi="Microsoft YaHei" w:eastAsia="Microsoft YaHei"/>
          <w:b w:val="0"/>
          <w:i w:val="0"/>
          <w:color w:val="1F2933"/>
          <w:sz w:val="18"/>
        </w:rPr>
        <w:t>局部查重不能排除对未纳入审查的所有论文、代码库或历史文件的重用；作者仍须提供贡献记录、实验日志和数据快照来源。</w:t>
      </w:r>
    </w:p>
    <w:p>
      <w:pPr>
        <w:pStyle w:val="ListBullet"/>
        <w:keepNext w:val="0"/>
        <w:widowControl/>
        <w:spacing w:after="60" w:before="0" w:line="283" w:lineRule="auto"/>
      </w:pPr>
      <w:r>
        <w:rPr>
          <w:rFonts w:ascii="Microsoft YaHei" w:hAnsi="Microsoft YaHei" w:eastAsia="Microsoft YaHei"/>
          <w:b w:val="0"/>
          <w:i w:val="0"/>
          <w:color w:val="1F2933"/>
          <w:sz w:val="18"/>
        </w:rPr>
        <w:t>同一次工作树内生成的图、表、论文互相一致，只能证明内部一致性；raw 重建与独立模型实验才是更强证据。</w:t>
      </w:r>
    </w:p>
    <w:p>
      <w:pPr>
        <w:pStyle w:val="Heading2"/>
        <w:keepNext/>
      </w:pPr>
      <w:r>
        <w:t>3.3 原始数据身份与风险</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2041"/>
            <w:shd w:fill="17324D"/>
            <w:vAlign w:val="center"/>
            <w:tcMar>
              <w:top w:w="90" w:type="dxa"/>
              <w:start w:w="100" w:type="dxa"/>
              <w:bottom w:w="90" w:type="dxa"/>
              <w:end w:w="100" w:type="dxa"/>
            </w:tcMar>
          </w:tcPr>
          <w:p>
            <w:pPr>
              <w:keepNext w:val="0"/>
              <w:widowControl/>
              <w:spacing w:after="0" w:before="0" w:line="240" w:lineRule="auto"/>
              <w:jc w:val="center"/>
            </w:pPr>
            <w:r>
              <w:rPr>
                <w:rFonts w:ascii="Microsoft YaHei" w:hAnsi="Microsoft YaHei" w:eastAsia="Microsoft YaHei"/>
                <w:b/>
                <w:i w:val="0"/>
                <w:color w:val="FFFFFF"/>
                <w:sz w:val="16"/>
              </w:rPr>
              <w:t>图层</w:t>
            </w:r>
          </w:p>
        </w:tc>
        <w:tc>
          <w:tcPr>
            <w:tcW w:type="dxa" w:w="2381"/>
            <w:shd w:fill="17324D"/>
            <w:vAlign w:val="center"/>
            <w:tcMar>
              <w:top w:w="90" w:type="dxa"/>
              <w:start w:w="100" w:type="dxa"/>
              <w:bottom w:w="90" w:type="dxa"/>
              <w:end w:w="100" w:type="dxa"/>
            </w:tcMar>
          </w:tcPr>
          <w:p>
            <w:pPr>
              <w:keepNext w:val="0"/>
              <w:widowControl/>
              <w:spacing w:after="0" w:before="0" w:line="240" w:lineRule="auto"/>
              <w:jc w:val="center"/>
            </w:pPr>
            <w:r>
              <w:rPr>
                <w:rFonts w:ascii="Microsoft YaHei" w:hAnsi="Microsoft YaHei" w:eastAsia="Microsoft YaHei"/>
                <w:b/>
                <w:i w:val="0"/>
                <w:color w:val="FFFFFF"/>
                <w:sz w:val="16"/>
              </w:rPr>
              <w:t>ArcGIS owner</w:t>
            </w:r>
          </w:p>
        </w:tc>
        <w:tc>
          <w:tcPr>
            <w:tcW w:type="dxa" w:w="2268"/>
            <w:shd w:fill="17324D"/>
            <w:vAlign w:val="center"/>
            <w:tcMar>
              <w:top w:w="90" w:type="dxa"/>
              <w:start w:w="100" w:type="dxa"/>
              <w:bottom w:w="90" w:type="dxa"/>
              <w:end w:w="100" w:type="dxa"/>
            </w:tcMar>
          </w:tcPr>
          <w:p>
            <w:pPr>
              <w:keepNext w:val="0"/>
              <w:widowControl/>
              <w:spacing w:after="0" w:before="0" w:line="240" w:lineRule="auto"/>
              <w:jc w:val="center"/>
            </w:pPr>
            <w:r>
              <w:rPr>
                <w:rFonts w:ascii="Microsoft YaHei" w:hAnsi="Microsoft YaHei" w:eastAsia="Microsoft YaHei"/>
                <w:b/>
                <w:i w:val="0"/>
                <w:color w:val="FFFFFF"/>
                <w:sz w:val="16"/>
              </w:rPr>
              <w:t>org ID</w:t>
            </w:r>
          </w:p>
        </w:tc>
        <w:tc>
          <w:tcPr>
            <w:tcW w:type="dxa" w:w="2948"/>
            <w:shd w:fill="17324D"/>
            <w:vAlign w:val="center"/>
            <w:tcMar>
              <w:top w:w="90" w:type="dxa"/>
              <w:start w:w="100" w:type="dxa"/>
              <w:bottom w:w="90" w:type="dxa"/>
              <w:end w:w="100" w:type="dxa"/>
            </w:tcMar>
          </w:tcPr>
          <w:p>
            <w:pPr>
              <w:keepNext w:val="0"/>
              <w:widowControl/>
              <w:spacing w:after="0" w:before="0" w:line="240" w:lineRule="auto"/>
              <w:jc w:val="center"/>
            </w:pPr>
            <w:r>
              <w:rPr>
                <w:rFonts w:ascii="Microsoft YaHei" w:hAnsi="Microsoft YaHei" w:eastAsia="Microsoft YaHei"/>
                <w:b/>
                <w:i w:val="0"/>
                <w:color w:val="FFFFFF"/>
                <w:sz w:val="16"/>
              </w:rPr>
              <w:t>审查判定</w:t>
            </w:r>
          </w:p>
        </w:tc>
      </w:tr>
      <w:tr>
        <w:trPr>
          <w:cantSplit/>
        </w:trPr>
        <w:tc>
          <w:tcPr>
            <w:tcW w:type="dxa" w:w="2041"/>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DEP stormwater</w:t>
            </w:r>
          </w:p>
        </w:tc>
        <w:tc>
          <w:tcPr>
            <w:tcW w:type="dxa" w:w="2381"/>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20221058@GT2022</w:t>
            </w:r>
          </w:p>
        </w:tc>
        <w:tc>
          <w:tcPr>
            <w:tcW w:type="dxa" w:w="2268"/>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w:t>
            </w:r>
          </w:p>
        </w:tc>
        <w:tc>
          <w:tcPr>
            <w:tcW w:type="dxa" w:w="2948"/>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官方身份未证实</w:t>
            </w:r>
          </w:p>
        </w:tc>
      </w:tr>
      <w:tr>
        <w:trPr>
          <w:cantSplit/>
        </w:trPr>
        <w:tc>
          <w:tcPr>
            <w:tcW w:type="dxa" w:w="2041"/>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311 streetfloodtime</w:t>
            </w:r>
          </w:p>
        </w:tc>
        <w:tc>
          <w:tcPr>
            <w:tcW w:type="dxa" w:w="2381"/>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jeichen_GIS</w:t>
            </w:r>
          </w:p>
        </w:tc>
        <w:tc>
          <w:tcPr>
            <w:tcW w:type="dxa" w:w="2268"/>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w:t>
            </w:r>
          </w:p>
        </w:tc>
        <w:tc>
          <w:tcPr>
            <w:tcW w:type="dxa" w:w="2948"/>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官方身份未证实</w:t>
            </w:r>
          </w:p>
        </w:tc>
      </w:tr>
      <w:tr>
        <w:trPr>
          <w:cantSplit/>
        </w:trPr>
        <w:tc>
          <w:tcPr>
            <w:tcW w:type="dxa" w:w="2041"/>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Building footprints</w:t>
            </w:r>
          </w:p>
        </w:tc>
        <w:tc>
          <w:tcPr>
            <w:tcW w:type="dxa" w:w="2381"/>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maps.nyc.data</w:t>
            </w:r>
          </w:p>
        </w:tc>
        <w:tc>
          <w:tcPr>
            <w:tcW w:type="dxa" w:w="2268"/>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yG5s3afENB5iO9fj</w:t>
            </w:r>
          </w:p>
        </w:tc>
        <w:tc>
          <w:tcPr>
            <w:tcW w:type="dxa" w:w="2948"/>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NYC 组织/条款可见</w:t>
            </w:r>
          </w:p>
        </w:tc>
      </w:tr>
    </w:tbl>
    <w:p>
      <w:pPr>
        <w:spacing w:after="0"/>
      </w:pPr>
    </w:p>
    <w:p>
      <w:pPr>
        <w:keepNext w:val="0"/>
        <w:widowControl/>
        <w:spacing w:after="100" w:before="0" w:line="300" w:lineRule="auto"/>
      </w:pPr>
      <w:r>
        <w:rPr>
          <w:rFonts w:ascii="Microsoft YaHei" w:hAnsi="Microsoft YaHei" w:eastAsia="Microsoft YaHei"/>
          <w:b w:val="0"/>
          <w:i w:val="0"/>
          <w:color w:val="1F2933"/>
          <w:sz w:val="18"/>
        </w:rPr>
        <w:t>建筑端点由 maps.nyc.data 持有，位于 NYC ArcGIS 组织并带 NYC Terms；USGS Ida HWM 有官方数据发布页与 DOI/CC0 信息。DEP/311 应改从官方数据门户或官方落地页可追踪的下载链接获取，或在文中明确说明镜像身份并保存原始官方链路。</w:t>
      </w:r>
    </w:p>
    <w:p>
      <w:pPr>
        <w:pStyle w:val="Heading2"/>
        <w:keepNext/>
      </w:pPr>
      <w:r>
        <w:t>3.4 必须建立的真实性证据包</w:t>
      </w:r>
    </w:p>
    <w:p>
      <w:pPr>
        <w:pStyle w:val="ListBullet"/>
        <w:keepNext w:val="0"/>
        <w:widowControl/>
        <w:spacing w:after="60" w:before="0" w:line="283" w:lineRule="auto"/>
      </w:pPr>
      <w:r>
        <w:rPr>
          <w:rFonts w:ascii="Microsoft YaHei" w:hAnsi="Microsoft YaHei" w:eastAsia="Microsoft YaHei"/>
          <w:b w:val="0"/>
          <w:i w:val="0"/>
          <w:color w:val="1F2933"/>
          <w:sz w:val="18"/>
        </w:rPr>
        <w:t>data_manifest.csv/json：每一层记录 official_landing_page、exact_download_url/service+layer、item owner/org、query、vintage、retrieved_utc、CRS、bbox、feature_count、size_bytes、sha256、license。</w:t>
      </w:r>
    </w:p>
    <w:p>
      <w:pPr>
        <w:pStyle w:val="ListBullet"/>
        <w:keepNext w:val="0"/>
        <w:widowControl/>
        <w:spacing w:after="60" w:before="0" w:line="283" w:lineRule="auto"/>
      </w:pPr>
      <w:r>
        <w:rPr>
          <w:rFonts w:ascii="Microsoft YaHei" w:hAnsi="Microsoft YaHei" w:eastAsia="Microsoft YaHei"/>
          <w:b w:val="0"/>
          <w:i w:val="0"/>
          <w:color w:val="1F2933"/>
          <w:sz w:val="18"/>
        </w:rPr>
        <w:t>run_manifest.json：Git commit、dirty=false、Python/OS、完整依赖锁、H3 版本、随机种子、配置文件 SHA、全部 raw/processed/model/output SHA。</w:t>
      </w:r>
    </w:p>
    <w:p>
      <w:pPr>
        <w:pStyle w:val="ListBullet"/>
        <w:keepNext w:val="0"/>
        <w:widowControl/>
        <w:spacing w:after="60" w:before="0" w:line="283" w:lineRule="auto"/>
      </w:pPr>
      <w:r>
        <w:rPr>
          <w:rFonts w:ascii="Microsoft YaHei" w:hAnsi="Microsoft YaHei" w:eastAsia="Microsoft YaHei"/>
          <w:b w:val="0"/>
          <w:i w:val="0"/>
          <w:color w:val="1F2933"/>
          <w:sz w:val="18"/>
        </w:rPr>
        <w:t>provenance_by_column.csv：每个 feature/label 列的 source file、算法、单位、聚合方式、缺失数、合成回填数（生产运行必须为 0）。</w:t>
      </w:r>
    </w:p>
    <w:p>
      <w:pPr>
        <w:pStyle w:val="ListBullet"/>
        <w:keepNext w:val="0"/>
        <w:widowControl/>
        <w:spacing w:after="60" w:before="0" w:line="283" w:lineRule="auto"/>
      </w:pPr>
      <w:r>
        <w:rPr>
          <w:rFonts w:ascii="Microsoft YaHei" w:hAnsi="Microsoft YaHei" w:eastAsia="Microsoft YaHei"/>
          <w:b w:val="0"/>
          <w:i w:val="0"/>
          <w:color w:val="1F2933"/>
          <w:sz w:val="18"/>
        </w:rPr>
        <w:t>execution_log.txt：从空 outputs/models 开始的命令、UTC 起止时间、退出码和测试结果；保留只读原始快照。</w:t>
      </w:r>
    </w:p>
    <w:p>
      <w:pPr>
        <w:pStyle w:val="ListBullet"/>
        <w:keepNext w:val="0"/>
        <w:widowControl/>
        <w:spacing w:after="60" w:before="0" w:line="283" w:lineRule="auto"/>
      </w:pPr>
      <w:r>
        <w:rPr>
          <w:rFonts w:ascii="Microsoft YaHei" w:hAnsi="Microsoft YaHei" w:eastAsia="Microsoft YaHei"/>
          <w:b w:val="0"/>
          <w:i w:val="0"/>
          <w:color w:val="1F2933"/>
          <w:sz w:val="18"/>
        </w:rPr>
        <w:t>figure_manifest.csv：图号→脚本→输入文件 SHA→输出图 SHA→图中展示的列/指标→论文引用位置。</w:t>
      </w:r>
    </w:p>
    <w:p>
      <w:pPr>
        <w:pStyle w:val="ListBullet"/>
        <w:keepNext w:val="0"/>
        <w:widowControl/>
        <w:spacing w:after="60" w:before="0" w:line="283" w:lineRule="auto"/>
      </w:pPr>
      <w:r>
        <w:rPr>
          <w:rFonts w:ascii="Microsoft YaHei" w:hAnsi="Microsoft YaHei" w:eastAsia="Microsoft YaHei"/>
          <w:b w:val="0"/>
          <w:i w:val="0"/>
          <w:color w:val="1F2933"/>
          <w:sz w:val="18"/>
        </w:rPr>
        <w:t>authorship_record.md：每名作者 CRediT、数据/代码/图表责任人、AI 工具实际用途及人工复核签字。</w:t>
      </w:r>
    </w:p>
    <w:p>
      <w:pPr>
        <w:spacing w:after="0" w:before="40"/>
      </w:pPr>
    </w:p>
    <w:p>
      <w:pPr>
        <w:pStyle w:val="Heading1"/>
        <w:keepNext/>
      </w:pPr>
      <w:r>
        <w:t>4. P0：投稿前必须修复的问题</w:t>
      </w:r>
    </w:p>
    <w:p>
      <w:pPr>
        <w:pStyle w:val="Heading2"/>
        <w:keepNext/>
      </w:pPr>
      <w:r>
        <w:t>P0-01 研究范围与 n=141 自相矛盾</w:t>
      </w:r>
    </w:p>
    <w:p>
      <w:pPr>
        <w:keepNext w:val="0"/>
        <w:widowControl/>
        <w:spacing w:after="60" w:before="0" w:line="300" w:lineRule="auto"/>
      </w:pPr>
      <w:r>
        <w:rPr>
          <w:rFonts w:ascii="Microsoft YaHei" w:hAnsi="Microsoft YaHei" w:eastAsia="Microsoft YaHei"/>
          <w:b/>
          <w:i w:val="0"/>
          <w:color w:val="1F2933"/>
          <w:sz w:val="19"/>
        </w:rPr>
        <w:t>证据：</w:t>
      </w:r>
      <w:r>
        <w:rPr>
          <w:rFonts w:ascii="Microsoft YaHei" w:hAnsi="Microsoft YaHei" w:eastAsia="Microsoft YaHei"/>
          <w:b w:val="0"/>
          <w:i w:val="0"/>
          <w:color w:val="1F2933"/>
          <w:sz w:val="19"/>
        </w:rPr>
        <w:t>论文写 bbox≈[-74.02, 40.70, -73.97, 40.76]；该范围在 R9 产生 262 个网格。现有 n=141、地图坐标和 nyc_smoke 实际使用 [-74.02, 40.70, -73.98, 40.74]。</w:t>
      </w:r>
    </w:p>
    <w:p>
      <w:pPr>
        <w:keepNext w:val="0"/>
        <w:widowControl/>
        <w:spacing w:after="60" w:before="0" w:line="300" w:lineRule="auto"/>
      </w:pPr>
      <w:r>
        <w:rPr>
          <w:rFonts w:ascii="Microsoft YaHei" w:hAnsi="Microsoft YaHei" w:eastAsia="Microsoft YaHei"/>
          <w:b/>
          <w:i w:val="0"/>
          <w:color w:val="1F2933"/>
          <w:sz w:val="19"/>
        </w:rPr>
        <w:t>影响：</w:t>
      </w:r>
      <w:r>
        <w:rPr>
          <w:rFonts w:ascii="Microsoft YaHei" w:hAnsi="Microsoft YaHei" w:eastAsia="Microsoft YaHei"/>
          <w:b w:val="0"/>
          <w:i w:val="0"/>
          <w:color w:val="1F2933"/>
          <w:sz w:val="19"/>
        </w:rPr>
        <w:t>这是研究区域、样本量和全部小范围结果的定义错误。读者按论文无法复现 141。</w:t>
      </w:r>
    </w:p>
    <w:p>
      <w:pPr>
        <w:keepNext w:val="0"/>
        <w:widowControl/>
        <w:spacing w:after="120" w:before="0" w:line="300" w:lineRule="auto"/>
      </w:pPr>
      <w:r>
        <w:rPr>
          <w:rFonts w:ascii="Microsoft YaHei" w:hAnsi="Microsoft YaHei" w:eastAsia="Microsoft YaHei"/>
          <w:b/>
          <w:i w:val="0"/>
          <w:color w:val="1F2933"/>
          <w:sz w:val="19"/>
        </w:rPr>
        <w:t>具体修改：</w:t>
      </w:r>
      <w:r>
        <w:rPr>
          <w:rFonts w:ascii="Microsoft YaHei" w:hAnsi="Microsoft YaHei" w:eastAsia="Microsoft YaHei"/>
          <w:b w:val="0"/>
          <w:i w:val="0"/>
          <w:color w:val="1F2933"/>
          <w:sz w:val="19"/>
        </w:rPr>
        <w:t>二选一并全局统一：(A) 保留 141 结果，把区域明确改称 smoke pilot extent 并写真实 bbox；(B) 保留“Lower Manhattan”主张，用论文 bbox 重建 262 网格并重跑所有表图。推荐 B，若时间不足才选 A。</w:t>
      </w:r>
    </w:p>
    <w:p>
      <w:pPr>
        <w:pStyle w:val="Heading2"/>
        <w:keepNext/>
      </w:pPr>
      <w:r>
        <w:t>P0-02 ‘full-fit’模型实际只在 80% 数据上训练</w:t>
      </w:r>
    </w:p>
    <w:p>
      <w:pPr>
        <w:keepNext w:val="0"/>
        <w:widowControl/>
        <w:spacing w:after="60" w:before="0" w:line="300" w:lineRule="auto"/>
      </w:pPr>
      <w:r>
        <w:rPr>
          <w:rFonts w:ascii="Microsoft YaHei" w:hAnsi="Microsoft YaHei" w:eastAsia="Microsoft YaHei"/>
          <w:b/>
          <w:i w:val="0"/>
          <w:color w:val="1F2933"/>
          <w:sz w:val="19"/>
        </w:rPr>
        <w:t>证据：</w:t>
      </w:r>
      <w:r>
        <w:rPr>
          <w:rFonts w:ascii="Microsoft YaHei" w:hAnsi="Microsoft YaHei" w:eastAsia="Microsoft YaHei"/>
          <w:b w:val="0"/>
          <w:i w:val="0"/>
          <w:color w:val="1F2933"/>
          <w:sz w:val="19"/>
        </w:rPr>
        <w:t>model.py:67–79 先 train_test_split，再只 fit(X_tr)；pipeline.py:71–107 保存该对象。保存模型与独立 80% refit 的预测最大差为 0，与 100% refit 最大差在 LM 为 0.819（分类）/0.736（回归），expanded 为 0.718/0.605。</w:t>
      </w:r>
    </w:p>
    <w:p>
      <w:pPr>
        <w:keepNext w:val="0"/>
        <w:widowControl/>
        <w:spacing w:after="60" w:before="0" w:line="300" w:lineRule="auto"/>
      </w:pPr>
      <w:r>
        <w:rPr>
          <w:rFonts w:ascii="Microsoft YaHei" w:hAnsi="Microsoft YaHei" w:eastAsia="Microsoft YaHei"/>
          <w:b/>
          <w:i w:val="0"/>
          <w:color w:val="1F2933"/>
          <w:sz w:val="19"/>
        </w:rPr>
        <w:t>影响：</w:t>
      </w:r>
      <w:r>
        <w:rPr>
          <w:rFonts w:ascii="Microsoft YaHei" w:hAnsi="Microsoft YaHei" w:eastAsia="Microsoft YaHei"/>
          <w:b w:val="0"/>
          <w:i w:val="0"/>
          <w:color w:val="1F2933"/>
          <w:sz w:val="19"/>
        </w:rPr>
        <w:t>Fig.2(c)、方法 3.6/4.1、自适应加密及相关图注的‘all 141 cells’陈述可被代码直接反证。</w:t>
      </w:r>
    </w:p>
    <w:p>
      <w:pPr>
        <w:keepNext w:val="0"/>
        <w:widowControl/>
        <w:spacing w:after="120" w:before="0" w:line="300" w:lineRule="auto"/>
      </w:pPr>
      <w:r>
        <w:rPr>
          <w:rFonts w:ascii="Microsoft YaHei" w:hAnsi="Microsoft YaHei" w:eastAsia="Microsoft YaHei"/>
          <w:b/>
          <w:i w:val="0"/>
          <w:color w:val="1F2933"/>
          <w:sz w:val="19"/>
        </w:rPr>
        <w:t>具体修改：</w:t>
      </w:r>
      <w:r>
        <w:rPr>
          <w:rFonts w:ascii="Microsoft YaHei" w:hAnsi="Microsoft YaHei" w:eastAsia="Microsoft YaHei"/>
          <w:b w:val="0"/>
          <w:i w:val="0"/>
          <w:color w:val="1F2933"/>
          <w:sz w:val="19"/>
        </w:rPr>
        <w:t>训练函数返回 evaluation artifacts 与 deployment artifacts 两套对象。CV/holdout 仅评价；评价完成后用全部 X,y 新建 classifier_full/regressor_full 并保存独立文件。图 2(c) 与 adaptive 只读 full 文件，metadata 写 fit_rows、training_h3_sha256、role。重跑全部依赖输出。</w:t>
      </w:r>
    </w:p>
    <w:p>
      <w:pPr>
        <w:pStyle w:val="Heading2"/>
        <w:keepNext/>
      </w:pPr>
      <w:r>
        <w:t>P0-03 DEP/311 被写成官方源，但当前端点身份不成立</w:t>
      </w:r>
    </w:p>
    <w:p>
      <w:pPr>
        <w:keepNext w:val="0"/>
        <w:widowControl/>
        <w:spacing w:after="60" w:before="0" w:line="300" w:lineRule="auto"/>
      </w:pPr>
      <w:r>
        <w:rPr>
          <w:rFonts w:ascii="Microsoft YaHei" w:hAnsi="Microsoft YaHei" w:eastAsia="Microsoft YaHei"/>
          <w:b/>
          <w:i w:val="0"/>
          <w:color w:val="1F2933"/>
          <w:sz w:val="19"/>
        </w:rPr>
        <w:t>证据：</w:t>
      </w:r>
      <w:r>
        <w:rPr>
          <w:rFonts w:ascii="Microsoft YaHei" w:hAnsi="Microsoft YaHei" w:eastAsia="Microsoft YaHei"/>
          <w:b w:val="0"/>
          <w:i w:val="0"/>
          <w:color w:val="1F2933"/>
          <w:sz w:val="19"/>
        </w:rPr>
        <w:t>ArcGIS item owner/org/license 检查显示 DEP 与 311 分别来自个人/非机构账号，org ID 为空，许可和版权字段为空。现有 manifest 没有 exact URL、逐层检索时间、许可或 SHA。</w:t>
      </w:r>
    </w:p>
    <w:p>
      <w:pPr>
        <w:keepNext w:val="0"/>
        <w:widowControl/>
        <w:spacing w:after="60" w:before="0" w:line="300" w:lineRule="auto"/>
      </w:pPr>
      <w:r>
        <w:rPr>
          <w:rFonts w:ascii="Microsoft YaHei" w:hAnsi="Microsoft YaHei" w:eastAsia="Microsoft YaHei"/>
          <w:b/>
          <w:i w:val="0"/>
          <w:color w:val="1F2933"/>
          <w:sz w:val="19"/>
        </w:rPr>
        <w:t>影响：</w:t>
      </w:r>
      <w:r>
        <w:rPr>
          <w:rFonts w:ascii="Microsoft YaHei" w:hAnsi="Microsoft YaHei" w:eastAsia="Microsoft YaHei"/>
          <w:b w:val="0"/>
          <w:i w:val="0"/>
          <w:color w:val="1F2933"/>
          <w:sz w:val="19"/>
        </w:rPr>
        <w:t>来源真实性、可再获取性和法律许可均不足；“direct NYC DEP/NYC 311 source”表述过强。</w:t>
      </w:r>
    </w:p>
    <w:p>
      <w:pPr>
        <w:keepNext w:val="0"/>
        <w:widowControl/>
        <w:spacing w:after="120" w:before="0" w:line="300" w:lineRule="auto"/>
      </w:pPr>
      <w:r>
        <w:rPr>
          <w:rFonts w:ascii="Microsoft YaHei" w:hAnsi="Microsoft YaHei" w:eastAsia="Microsoft YaHei"/>
          <w:b/>
          <w:i w:val="0"/>
          <w:color w:val="1F2933"/>
          <w:sz w:val="19"/>
        </w:rPr>
        <w:t>具体修改：</w:t>
      </w:r>
      <w:r>
        <w:rPr>
          <w:rFonts w:ascii="Microsoft YaHei" w:hAnsi="Microsoft YaHei" w:eastAsia="Microsoft YaHei"/>
          <w:b w:val="0"/>
          <w:i w:val="0"/>
          <w:color w:val="1F2933"/>
          <w:sz w:val="19"/>
        </w:rPr>
        <w:t>从 NYC 官方开放数据门户/官方页面追溯正式数据集 ID；重新下载、校验并冻结。若只能使用镜像，文中明确‘public mirror, official identity not verified’，同时给官方语义对照和许可依据。</w:t>
      </w:r>
    </w:p>
    <w:p>
      <w:pPr>
        <w:pStyle w:val="Heading2"/>
        <w:keepNext/>
      </w:pPr>
      <w:r>
        <w:t>P0-04 生产数据组装默认允许合成回填</w:t>
      </w:r>
    </w:p>
    <w:p>
      <w:pPr>
        <w:keepNext w:val="0"/>
        <w:widowControl/>
        <w:spacing w:after="60" w:before="0" w:line="300" w:lineRule="auto"/>
      </w:pPr>
      <w:r>
        <w:rPr>
          <w:rFonts w:ascii="Microsoft YaHei" w:hAnsi="Microsoft YaHei" w:eastAsia="Microsoft YaHei"/>
          <w:b/>
          <w:i w:val="0"/>
          <w:color w:val="1F2933"/>
          <w:sz w:val="19"/>
        </w:rPr>
        <w:t>证据：</w:t>
      </w:r>
      <w:r>
        <w:rPr>
          <w:rFonts w:ascii="Microsoft YaHei" w:hAnsi="Microsoft YaHei" w:eastAsia="Microsoft YaHei"/>
          <w:b w:val="0"/>
          <w:i w:val="0"/>
          <w:color w:val="1F2933"/>
          <w:sz w:val="19"/>
        </w:rPr>
        <w:t>assemble.py:192–268 先生成 synthetic/hash 特征，fallback_synthetic 默认 True，并可对观测 join 的 NaN 回填 synthetic；pipeline 多处默认也为 True。observed.add 在检查完整性前执行。</w:t>
      </w:r>
    </w:p>
    <w:p>
      <w:pPr>
        <w:keepNext w:val="0"/>
        <w:widowControl/>
        <w:spacing w:after="60" w:before="0" w:line="300" w:lineRule="auto"/>
      </w:pPr>
      <w:r>
        <w:rPr>
          <w:rFonts w:ascii="Microsoft YaHei" w:hAnsi="Microsoft YaHei" w:eastAsia="Microsoft YaHei"/>
          <w:b/>
          <w:i w:val="0"/>
          <w:color w:val="1F2933"/>
          <w:sz w:val="19"/>
        </w:rPr>
        <w:t>影响：</w:t>
      </w:r>
      <w:r>
        <w:rPr>
          <w:rFonts w:ascii="Microsoft YaHei" w:hAnsi="Microsoft YaHei" w:eastAsia="Microsoft YaHei"/>
          <w:b w:val="0"/>
          <w:i w:val="0"/>
          <w:color w:val="1F2933"/>
          <w:sz w:val="19"/>
        </w:rPr>
        <w:t>未来任何缺失文件或 join 空值都可能悄悄变成合成数据，provenance 仍可能显示 observed。这正是‘做一半、臆断一半’的结构性风险。</w:t>
      </w:r>
    </w:p>
    <w:p>
      <w:pPr>
        <w:keepNext w:val="0"/>
        <w:widowControl/>
        <w:spacing w:after="120" w:before="0" w:line="300" w:lineRule="auto"/>
      </w:pPr>
      <w:r>
        <w:rPr>
          <w:rFonts w:ascii="Microsoft YaHei" w:hAnsi="Microsoft YaHei" w:eastAsia="Microsoft YaHei"/>
          <w:b/>
          <w:i w:val="0"/>
          <w:color w:val="1F2933"/>
          <w:sz w:val="19"/>
        </w:rPr>
        <w:t>具体修改：</w:t>
      </w:r>
      <w:r>
        <w:rPr>
          <w:rFonts w:ascii="Microsoft YaHei" w:hAnsi="Microsoft YaHei" w:eastAsia="Microsoft YaHei"/>
          <w:b w:val="0"/>
          <w:i w:val="0"/>
          <w:color w:val="1F2933"/>
          <w:sz w:val="19"/>
        </w:rPr>
        <w:t>生产入口默认 fallback_synthetic=False；发现文件缺失、列缺失或任一 NaN 立即失败。合成模式只能由显式 --demo/--allow-synthetic 开启，输出 data_mode=synthetic，且论文流水线禁止读取。逐列记录 observed_count/synthetic_count/null_count。</w:t>
      </w:r>
    </w:p>
    <w:p>
      <w:pPr>
        <w:pStyle w:val="Heading2"/>
        <w:keepNext/>
      </w:pPr>
      <w:r>
        <w:t>P0-05 版本归档声明不真实</w:t>
      </w:r>
    </w:p>
    <w:p>
      <w:pPr>
        <w:keepNext w:val="0"/>
        <w:widowControl/>
        <w:spacing w:after="60" w:before="0" w:line="300" w:lineRule="auto"/>
      </w:pPr>
      <w:r>
        <w:rPr>
          <w:rFonts w:ascii="Microsoft YaHei" w:hAnsi="Microsoft YaHei" w:eastAsia="Microsoft YaHei"/>
          <w:b/>
          <w:i w:val="0"/>
          <w:color w:val="1F2933"/>
          <w:sz w:val="19"/>
        </w:rPr>
        <w:t>证据：</w:t>
      </w:r>
      <w:r>
        <w:rPr>
          <w:rFonts w:ascii="Microsoft YaHei" w:hAnsi="Microsoft YaHei" w:eastAsia="Microsoft YaHei"/>
          <w:b w:val="0"/>
          <w:i w:val="0"/>
          <w:color w:val="1F2933"/>
          <w:sz w:val="19"/>
        </w:rPr>
        <w:t>HEAD 与 submission-v2 指向 1be9288db06e，但当前工作树 dirty 且有 64 个变更/未跟踪项；论文和结果属于未归档状态。依赖仅用 &gt;=，无 lock；metadata 写 H3 4.5.0，而当前环境为 4.4.2。</w:t>
      </w:r>
    </w:p>
    <w:p>
      <w:pPr>
        <w:keepNext w:val="0"/>
        <w:widowControl/>
        <w:spacing w:after="60" w:before="0" w:line="300" w:lineRule="auto"/>
      </w:pPr>
      <w:r>
        <w:rPr>
          <w:rFonts w:ascii="Microsoft YaHei" w:hAnsi="Microsoft YaHei" w:eastAsia="Microsoft YaHei"/>
          <w:b/>
          <w:i w:val="0"/>
          <w:color w:val="1F2933"/>
          <w:sz w:val="19"/>
        </w:rPr>
        <w:t>影响：</w:t>
      </w:r>
      <w:r>
        <w:rPr>
          <w:rFonts w:ascii="Microsoft YaHei" w:hAnsi="Microsoft YaHei" w:eastAsia="Microsoft YaHei"/>
          <w:b w:val="0"/>
          <w:i w:val="0"/>
          <w:color w:val="1F2933"/>
          <w:sz w:val="19"/>
        </w:rPr>
        <w:t>第三方无法从所谓 immutable tag 得到当前论文和数据结果；像素级图也无法复现。</w:t>
      </w:r>
    </w:p>
    <w:p>
      <w:pPr>
        <w:keepNext w:val="0"/>
        <w:widowControl/>
        <w:spacing w:after="120" w:before="0" w:line="300" w:lineRule="auto"/>
      </w:pPr>
      <w:r>
        <w:rPr>
          <w:rFonts w:ascii="Microsoft YaHei" w:hAnsi="Microsoft YaHei" w:eastAsia="Microsoft YaHei"/>
          <w:b/>
          <w:i w:val="0"/>
          <w:color w:val="1F2933"/>
          <w:sz w:val="19"/>
        </w:rPr>
        <w:t>具体修改：</w:t>
      </w:r>
      <w:r>
        <w:rPr>
          <w:rFonts w:ascii="Microsoft YaHei" w:hAnsi="Microsoft YaHei" w:eastAsia="Microsoft YaHei"/>
          <w:b w:val="0"/>
          <w:i w:val="0"/>
          <w:color w:val="1F2933"/>
          <w:sz w:val="19"/>
        </w:rPr>
        <w:t>先整理并移除临时/无关文件；锁定依赖；从干净工作树全链执行；在执行后提交、打新 tag/DOI；manifest 写 commit 和所有工件 SHA。论文只引用新归档。</w:t>
      </w:r>
    </w:p>
    <w:p>
      <w:pPr>
        <w:pStyle w:val="Heading2"/>
        <w:keepNext/>
      </w:pPr>
      <w:r>
        <w:t>P0-06 作者机构、贡献与参考论文残留</w:t>
      </w:r>
    </w:p>
    <w:p>
      <w:pPr>
        <w:keepNext w:val="0"/>
        <w:widowControl/>
        <w:spacing w:after="60" w:before="0" w:line="300" w:lineRule="auto"/>
      </w:pPr>
      <w:r>
        <w:rPr>
          <w:rFonts w:ascii="Microsoft YaHei" w:hAnsi="Microsoft YaHei" w:eastAsia="Microsoft YaHei"/>
          <w:b/>
          <w:i w:val="0"/>
          <w:color w:val="1F2933"/>
          <w:sz w:val="19"/>
        </w:rPr>
        <w:t>证据：</w:t>
      </w:r>
      <w:r>
        <w:rPr>
          <w:rFonts w:ascii="Microsoft YaHei" w:hAnsi="Microsoft YaHei" w:eastAsia="Microsoft YaHei"/>
          <w:b w:val="0"/>
          <w:i w:val="0"/>
          <w:color w:val="1F2933"/>
          <w:sz w:val="19"/>
        </w:rPr>
        <w:t>pyproject.toml 作者写 NTNU / 7Analytics / Ostfold University College，README 开头重复参考论文机构；论文 CRediT 仍是占位符。补充 ZIP 的 PII 与参考论文不一致且内容是无关的 VolturnUS_Model.prt。</w:t>
      </w:r>
    </w:p>
    <w:p>
      <w:pPr>
        <w:keepNext w:val="0"/>
        <w:widowControl/>
        <w:spacing w:after="60" w:before="0" w:line="300" w:lineRule="auto"/>
      </w:pPr>
      <w:r>
        <w:rPr>
          <w:rFonts w:ascii="Microsoft YaHei" w:hAnsi="Microsoft YaHei" w:eastAsia="Microsoft YaHei"/>
          <w:b/>
          <w:i w:val="0"/>
          <w:color w:val="1F2933"/>
          <w:sz w:val="19"/>
        </w:rPr>
        <w:t>影响：</w:t>
      </w:r>
      <w:r>
        <w:rPr>
          <w:rFonts w:ascii="Microsoft YaHei" w:hAnsi="Microsoft YaHei" w:eastAsia="Microsoft YaHei"/>
          <w:b w:val="0"/>
          <w:i w:val="0"/>
          <w:color w:val="1F2933"/>
          <w:sz w:val="19"/>
        </w:rPr>
        <w:t>会造成作者身份、机构冒用、材料来源或论文独立性的严重疑问。</w:t>
      </w:r>
    </w:p>
    <w:p>
      <w:pPr>
        <w:keepNext w:val="0"/>
        <w:widowControl/>
        <w:spacing w:after="120" w:before="0" w:line="300" w:lineRule="auto"/>
      </w:pPr>
      <w:r>
        <w:rPr>
          <w:rFonts w:ascii="Microsoft YaHei" w:hAnsi="Microsoft YaHei" w:eastAsia="Microsoft YaHei"/>
          <w:b/>
          <w:i w:val="0"/>
          <w:color w:val="1F2933"/>
          <w:sz w:val="19"/>
        </w:rPr>
        <w:t>具体修改：</w:t>
      </w:r>
      <w:r>
        <w:rPr>
          <w:rFonts w:ascii="Microsoft YaHei" w:hAnsi="Microsoft YaHei" w:eastAsia="Microsoft YaHei"/>
          <w:b w:val="0"/>
          <w:i w:val="0"/>
          <w:color w:val="1F2933"/>
          <w:sz w:val="19"/>
        </w:rPr>
        <w:t>由作者本人确认并填写真实姓名/单位/ORCID/CRediT；删除所有无权使用的机构残留；将无关 ZIP 隔离出投稿包并记录原因。未经权利人确认不得保留机构名。</w:t>
      </w:r>
    </w:p>
    <w:p>
      <w:pPr>
        <w:pStyle w:val="Heading2"/>
        <w:keepNext/>
      </w:pPr>
      <w:r>
        <w:t>P0-07 尺度热点的 tie-break 与‘matched budgets’不成立</w:t>
      </w:r>
    </w:p>
    <w:p>
      <w:pPr>
        <w:keepNext w:val="0"/>
        <w:widowControl/>
        <w:spacing w:after="60" w:before="0" w:line="300" w:lineRule="auto"/>
      </w:pPr>
      <w:r>
        <w:rPr>
          <w:rFonts w:ascii="Microsoft YaHei" w:hAnsi="Microsoft YaHei" w:eastAsia="Microsoft YaHei"/>
          <w:b/>
          <w:i w:val="0"/>
          <w:color w:val="1F2933"/>
          <w:sz w:val="19"/>
        </w:rPr>
        <w:t>证据：</w:t>
      </w:r>
      <w:r>
        <w:rPr>
          <w:rFonts w:ascii="Microsoft YaHei" w:hAnsi="Microsoft YaHei" w:eastAsia="Microsoft YaHei"/>
          <w:b w:val="0"/>
          <w:i w:val="0"/>
          <w:color w:val="1F2933"/>
          <w:sz w:val="19"/>
        </w:rPr>
        <w:t>R10 有 991 网格，top 10%=99；阈值为 1，149 个网格并列最高，代码按 H3 字符串任取 99。投影到 R9/R8 后 fine hotspot 覆盖 56/17 个父网格，而 coarse set 只有 16/3，支持比为 3.5/5.67。</w:t>
      </w:r>
    </w:p>
    <w:p>
      <w:pPr>
        <w:keepNext w:val="0"/>
        <w:widowControl/>
        <w:spacing w:after="60" w:before="0" w:line="300" w:lineRule="auto"/>
      </w:pPr>
      <w:r>
        <w:rPr>
          <w:rFonts w:ascii="Microsoft YaHei" w:hAnsi="Microsoft YaHei" w:eastAsia="Microsoft YaHei"/>
          <w:b/>
          <w:i w:val="0"/>
          <w:color w:val="1F2933"/>
          <w:sz w:val="19"/>
        </w:rPr>
        <w:t>影响：</w:t>
      </w:r>
      <w:r>
        <w:rPr>
          <w:rFonts w:ascii="Microsoft YaHei" w:hAnsi="Microsoft YaHei" w:eastAsia="Microsoft YaHei"/>
          <w:b w:val="0"/>
          <w:i w:val="0"/>
          <w:color w:val="1F2933"/>
          <w:sz w:val="19"/>
        </w:rPr>
        <w:t>Jaccard 对任意字符串 tie-break 敏感；不同分辨率各取 10% 网格并不等于相同面积/空间预算。</w:t>
      </w:r>
    </w:p>
    <w:p>
      <w:pPr>
        <w:keepNext w:val="0"/>
        <w:widowControl/>
        <w:spacing w:after="120" w:before="0" w:line="300" w:lineRule="auto"/>
      </w:pPr>
      <w:r>
        <w:rPr>
          <w:rFonts w:ascii="Microsoft YaHei" w:hAnsi="Microsoft YaHei" w:eastAsia="Microsoft YaHei"/>
          <w:b/>
          <w:i w:val="0"/>
          <w:color w:val="1F2933"/>
          <w:sz w:val="19"/>
        </w:rPr>
        <w:t>具体修改：</w:t>
      </w:r>
      <w:r>
        <w:rPr>
          <w:rFonts w:ascii="Microsoft YaHei" w:hAnsi="Microsoft YaHei" w:eastAsia="Microsoft YaHei"/>
          <w:b w:val="0"/>
          <w:i w:val="0"/>
          <w:color w:val="1F2933"/>
          <w:sz w:val="19"/>
        </w:rPr>
        <w:t>用物理面积/投影后支持匹配预算；并列值采用 all-ties 加权、fractional membership 或重复随机 tie-break bootstrap，报告中位数与 95% CI。增加连续 rank correlation 或 area-weighted overlap。删除‘matched budgets’直到真正实现。</w:t>
      </w:r>
    </w:p>
    <w:p>
      <w:pPr>
        <w:pStyle w:val="Heading2"/>
        <w:keepNext/>
      </w:pPr>
      <w:r>
        <w:t>P0-08 Data/code availability 与 AI 使用声明不完整</w:t>
      </w:r>
    </w:p>
    <w:p>
      <w:pPr>
        <w:keepNext w:val="0"/>
        <w:widowControl/>
        <w:spacing w:after="60" w:before="0" w:line="300" w:lineRule="auto"/>
      </w:pPr>
      <w:r>
        <w:rPr>
          <w:rFonts w:ascii="Microsoft YaHei" w:hAnsi="Microsoft YaHei" w:eastAsia="Microsoft YaHei"/>
          <w:b/>
          <w:i w:val="0"/>
          <w:color w:val="1F2933"/>
          <w:sz w:val="19"/>
        </w:rPr>
        <w:t>证据：</w:t>
      </w:r>
      <w:r>
        <w:rPr>
          <w:rFonts w:ascii="Microsoft YaHei" w:hAnsi="Microsoft YaHei" w:eastAsia="Microsoft YaHei"/>
          <w:b w:val="0"/>
          <w:i w:val="0"/>
          <w:color w:val="1F2933"/>
          <w:sz w:val="19"/>
        </w:rPr>
        <w:t>论文声称 raw→URL/license 映射和 immutable tag，实际 manifest/工作树不支持；AI 声明只写编辑，但仓库存在广泛的代码、审查和写作辅助痕迹。</w:t>
      </w:r>
    </w:p>
    <w:p>
      <w:pPr>
        <w:keepNext w:val="0"/>
        <w:widowControl/>
        <w:spacing w:after="60" w:before="0" w:line="300" w:lineRule="auto"/>
      </w:pPr>
      <w:r>
        <w:rPr>
          <w:rFonts w:ascii="Microsoft YaHei" w:hAnsi="Microsoft YaHei" w:eastAsia="Microsoft YaHei"/>
          <w:b/>
          <w:i w:val="0"/>
          <w:color w:val="1F2933"/>
          <w:sz w:val="19"/>
        </w:rPr>
        <w:t>影响：</w:t>
      </w:r>
      <w:r>
        <w:rPr>
          <w:rFonts w:ascii="Microsoft YaHei" w:hAnsi="Microsoft YaHei" w:eastAsia="Microsoft YaHei"/>
          <w:b w:val="0"/>
          <w:i w:val="0"/>
          <w:color w:val="1F2933"/>
          <w:sz w:val="19"/>
        </w:rPr>
        <w:t>提交声明与可观察证据不一致，属于研究诚信风险。</w:t>
      </w:r>
    </w:p>
    <w:p>
      <w:pPr>
        <w:keepNext w:val="0"/>
        <w:widowControl/>
        <w:spacing w:after="120" w:before="0" w:line="300" w:lineRule="auto"/>
      </w:pPr>
      <w:r>
        <w:rPr>
          <w:rFonts w:ascii="Microsoft YaHei" w:hAnsi="Microsoft YaHei" w:eastAsia="Microsoft YaHei"/>
          <w:b/>
          <w:i w:val="0"/>
          <w:color w:val="1F2933"/>
          <w:sz w:val="19"/>
        </w:rPr>
        <w:t>具体修改：</w:t>
      </w:r>
      <w:r>
        <w:rPr>
          <w:rFonts w:ascii="Microsoft YaHei" w:hAnsi="Microsoft YaHei" w:eastAsia="Microsoft YaHei"/>
          <w:b w:val="0"/>
          <w:i w:val="0"/>
          <w:color w:val="1F2933"/>
          <w:sz w:val="19"/>
        </w:rPr>
        <w:t>按期刊政策和实际使用如实重写。列明 AI 用于语言、代码 review/debug、测试设计、图表一致性与审查草稿（以作者真实情况为准）；说明所有代码实际执行、输出核验和最终责任均由作者承担。</w:t>
      </w:r>
    </w:p>
    <w:p>
      <w:pPr>
        <w:spacing w:after="0" w:before="40"/>
      </w:pPr>
    </w:p>
    <w:p>
      <w:pPr>
        <w:pStyle w:val="Heading1"/>
        <w:keepNext/>
      </w:pPr>
      <w:r>
        <w:t>5. 数据、标签与空间逻辑审查</w:t>
      </w:r>
    </w:p>
    <w:p>
      <w:pPr>
        <w:pStyle w:val="Heading2"/>
        <w:keepNext/>
      </w:pPr>
      <w:r>
        <w:t>5.1 raw→processed 重建结果</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1871"/>
            <w:shd w:fill="17324D"/>
            <w:vAlign w:val="center"/>
            <w:tcMar>
              <w:top w:w="90" w:type="dxa"/>
              <w:start w:w="100" w:type="dxa"/>
              <w:bottom w:w="90" w:type="dxa"/>
              <w:end w:w="100" w:type="dxa"/>
            </w:tcMar>
          </w:tcPr>
          <w:p>
            <w:pPr>
              <w:keepNext w:val="0"/>
              <w:widowControl/>
              <w:spacing w:after="0" w:before="0" w:line="240" w:lineRule="auto"/>
              <w:jc w:val="center"/>
            </w:pPr>
            <w:r>
              <w:rPr>
                <w:rFonts w:ascii="Microsoft YaHei" w:hAnsi="Microsoft YaHei" w:eastAsia="Microsoft YaHei"/>
                <w:b/>
                <w:i w:val="0"/>
                <w:color w:val="FFFFFF"/>
                <w:sz w:val="16"/>
              </w:rPr>
              <w:t>对象</w:t>
            </w:r>
          </w:p>
        </w:tc>
        <w:tc>
          <w:tcPr>
            <w:tcW w:type="dxa" w:w="2608"/>
            <w:shd w:fill="17324D"/>
            <w:vAlign w:val="center"/>
            <w:tcMar>
              <w:top w:w="90" w:type="dxa"/>
              <w:start w:w="100" w:type="dxa"/>
              <w:bottom w:w="90" w:type="dxa"/>
              <w:end w:w="100" w:type="dxa"/>
            </w:tcMar>
          </w:tcPr>
          <w:p>
            <w:pPr>
              <w:keepNext w:val="0"/>
              <w:widowControl/>
              <w:spacing w:after="0" w:before="0" w:line="240" w:lineRule="auto"/>
              <w:jc w:val="center"/>
            </w:pPr>
            <w:r>
              <w:rPr>
                <w:rFonts w:ascii="Microsoft YaHei" w:hAnsi="Microsoft YaHei" w:eastAsia="Microsoft YaHei"/>
                <w:b/>
                <w:i w:val="0"/>
                <w:color w:val="FFFFFF"/>
                <w:sz w:val="16"/>
              </w:rPr>
              <w:t>H3/列/标签</w:t>
            </w:r>
          </w:p>
        </w:tc>
        <w:tc>
          <w:tcPr>
            <w:tcW w:type="dxa" w:w="3458"/>
            <w:shd w:fill="17324D"/>
            <w:vAlign w:val="center"/>
            <w:tcMar>
              <w:top w:w="90" w:type="dxa"/>
              <w:start w:w="100" w:type="dxa"/>
              <w:bottom w:w="90" w:type="dxa"/>
              <w:end w:w="100" w:type="dxa"/>
            </w:tcMar>
          </w:tcPr>
          <w:p>
            <w:pPr>
              <w:keepNext w:val="0"/>
              <w:widowControl/>
              <w:spacing w:after="0" w:before="0" w:line="240" w:lineRule="auto"/>
              <w:jc w:val="center"/>
            </w:pPr>
            <w:r>
              <w:rPr>
                <w:rFonts w:ascii="Microsoft YaHei" w:hAnsi="Microsoft YaHei" w:eastAsia="Microsoft YaHei"/>
                <w:b/>
                <w:i w:val="0"/>
                <w:color w:val="FFFFFF"/>
                <w:sz w:val="16"/>
              </w:rPr>
              <w:t>最大数值差</w:t>
            </w:r>
          </w:p>
        </w:tc>
        <w:tc>
          <w:tcPr>
            <w:tcW w:type="dxa" w:w="1701"/>
            <w:shd w:fill="17324D"/>
            <w:vAlign w:val="center"/>
            <w:tcMar>
              <w:top w:w="90" w:type="dxa"/>
              <w:start w:w="100" w:type="dxa"/>
              <w:bottom w:w="90" w:type="dxa"/>
              <w:end w:w="100" w:type="dxa"/>
            </w:tcMar>
          </w:tcPr>
          <w:p>
            <w:pPr>
              <w:keepNext w:val="0"/>
              <w:widowControl/>
              <w:spacing w:after="0" w:before="0" w:line="240" w:lineRule="auto"/>
              <w:jc w:val="center"/>
            </w:pPr>
            <w:r>
              <w:rPr>
                <w:rFonts w:ascii="Microsoft YaHei" w:hAnsi="Microsoft YaHei" w:eastAsia="Microsoft YaHei"/>
                <w:b/>
                <w:i w:val="0"/>
                <w:color w:val="FFFFFF"/>
                <w:sz w:val="16"/>
              </w:rPr>
              <w:t>判定</w:t>
            </w:r>
          </w:p>
        </w:tc>
      </w:tr>
      <w:tr>
        <w:trPr>
          <w:cantSplit/>
        </w:trPr>
        <w:tc>
          <w:tcPr>
            <w:tcW w:type="dxa" w:w="1871"/>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LM 141 R9</w:t>
            </w:r>
          </w:p>
        </w:tc>
        <w:tc>
          <w:tcPr>
            <w:tcW w:type="dxa" w:w="2608"/>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集合、列、文本、class 全同</w:t>
            </w:r>
          </w:p>
        </w:tc>
        <w:tc>
          <w:tcPr>
            <w:tcW w:type="dxa" w:w="3458"/>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building 2.81e-08; distance 1.58e-09</w:t>
            </w:r>
          </w:p>
        </w:tc>
        <w:tc>
          <w:tcPr>
            <w:tcW w:type="dxa" w:w="1701"/>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科学等价</w:t>
            </w:r>
          </w:p>
        </w:tc>
      </w:tr>
      <w:tr>
        <w:trPr>
          <w:cantSplit/>
        </w:trPr>
        <w:tc>
          <w:tcPr>
            <w:tcW w:type="dxa" w:w="1871"/>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Expanded 956 R9</w:t>
            </w:r>
          </w:p>
        </w:tc>
        <w:tc>
          <w:tcPr>
            <w:tcW w:type="dxa" w:w="2608"/>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集合、列、文本、class 全同</w:t>
            </w:r>
          </w:p>
        </w:tc>
        <w:tc>
          <w:tcPr>
            <w:tcW w:type="dxa" w:w="3458"/>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building 3.63e-08; distance 1.58e-09</w:t>
            </w:r>
          </w:p>
        </w:tc>
        <w:tc>
          <w:tcPr>
            <w:tcW w:type="dxa" w:w="1701"/>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科学等价</w:t>
            </w:r>
          </w:p>
        </w:tc>
      </w:tr>
      <w:tr>
        <w:trPr>
          <w:cantSplit/>
        </w:trPr>
        <w:tc>
          <w:tcPr>
            <w:tcW w:type="dxa" w:w="1871"/>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R10 labels 991</w:t>
            </w:r>
          </w:p>
        </w:tc>
        <w:tc>
          <w:tcPr>
            <w:tcW w:type="dxa" w:w="2608"/>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集合、列、文本、class 全同</w:t>
            </w:r>
          </w:p>
        </w:tc>
        <w:tc>
          <w:tcPr>
            <w:tcW w:type="dxa" w:w="3458"/>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max area difference 3.10e-12</w:t>
            </w:r>
          </w:p>
        </w:tc>
        <w:tc>
          <w:tcPr>
            <w:tcW w:type="dxa" w:w="1701"/>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科学等价</w:t>
            </w:r>
          </w:p>
        </w:tc>
      </w:tr>
    </w:tbl>
    <w:p>
      <w:pPr>
        <w:spacing w:after="0"/>
      </w:pPr>
    </w:p>
    <w:p>
      <w:pPr>
        <w:keepNext w:val="0"/>
        <w:widowControl/>
        <w:spacing w:after="100" w:before="0" w:line="300" w:lineRule="auto"/>
      </w:pPr>
      <w:r>
        <w:rPr>
          <w:rFonts w:ascii="Microsoft YaHei" w:hAnsi="Microsoft YaHei" w:eastAsia="Microsoft YaHei"/>
          <w:b w:val="0"/>
          <w:i w:val="0"/>
          <w:color w:val="1F2933"/>
          <w:sz w:val="19"/>
        </w:rPr>
        <w:t>说明：若使用严格 10⁻¹² 阈值，部分几何列会被标记不同；差异上限约 10⁻⁸，来自 Shapely/几何运算顺序，不是标签或数据内容漂移。报告因此判定为科学等价而非字节完全相同。</w:t>
      </w:r>
    </w:p>
    <w:p>
      <w:pPr>
        <w:pStyle w:val="Heading2"/>
        <w:keepNext/>
      </w:pPr>
      <w:r>
        <w:t>5.2 原始向量快照</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2381"/>
            <w:shd w:fill="17324D"/>
            <w:vAlign w:val="center"/>
            <w:tcMar>
              <w:top w:w="90" w:type="dxa"/>
              <w:start w:w="100" w:type="dxa"/>
              <w:bottom w:w="90" w:type="dxa"/>
              <w:end w:w="100" w:type="dxa"/>
            </w:tcMar>
          </w:tcPr>
          <w:p>
            <w:pPr>
              <w:keepNext w:val="0"/>
              <w:widowControl/>
              <w:spacing w:after="0" w:before="0" w:line="240" w:lineRule="auto"/>
              <w:jc w:val="center"/>
            </w:pPr>
            <w:r>
              <w:rPr>
                <w:rFonts w:ascii="Microsoft YaHei" w:hAnsi="Microsoft YaHei" w:eastAsia="Microsoft YaHei"/>
                <w:b/>
                <w:i w:val="0"/>
                <w:color w:val="FFFFFF"/>
                <w:sz w:val="16"/>
              </w:rPr>
              <w:t>图层</w:t>
            </w:r>
          </w:p>
        </w:tc>
        <w:tc>
          <w:tcPr>
            <w:tcW w:type="dxa" w:w="1134"/>
            <w:shd w:fill="17324D"/>
            <w:vAlign w:val="center"/>
            <w:tcMar>
              <w:top w:w="90" w:type="dxa"/>
              <w:start w:w="100" w:type="dxa"/>
              <w:bottom w:w="90" w:type="dxa"/>
              <w:end w:w="100" w:type="dxa"/>
            </w:tcMar>
          </w:tcPr>
          <w:p>
            <w:pPr>
              <w:keepNext w:val="0"/>
              <w:widowControl/>
              <w:spacing w:after="0" w:before="0" w:line="240" w:lineRule="auto"/>
              <w:jc w:val="center"/>
            </w:pPr>
            <w:r>
              <w:rPr>
                <w:rFonts w:ascii="Microsoft YaHei" w:hAnsi="Microsoft YaHei" w:eastAsia="Microsoft YaHei"/>
                <w:b/>
                <w:i w:val="0"/>
                <w:color w:val="FFFFFF"/>
                <w:sz w:val="16"/>
              </w:rPr>
              <w:t>features</w:t>
            </w:r>
          </w:p>
        </w:tc>
        <w:tc>
          <w:tcPr>
            <w:tcW w:type="dxa" w:w="2438"/>
            <w:shd w:fill="17324D"/>
            <w:vAlign w:val="center"/>
            <w:tcMar>
              <w:top w:w="90" w:type="dxa"/>
              <w:start w:w="100" w:type="dxa"/>
              <w:bottom w:w="90" w:type="dxa"/>
              <w:end w:w="100" w:type="dxa"/>
            </w:tcMar>
          </w:tcPr>
          <w:p>
            <w:pPr>
              <w:keepNext w:val="0"/>
              <w:widowControl/>
              <w:spacing w:after="0" w:before="0" w:line="240" w:lineRule="auto"/>
              <w:jc w:val="center"/>
            </w:pPr>
            <w:r>
              <w:rPr>
                <w:rFonts w:ascii="Microsoft YaHei" w:hAnsi="Microsoft YaHei" w:eastAsia="Microsoft YaHei"/>
                <w:b/>
                <w:i w:val="0"/>
                <w:color w:val="FFFFFF"/>
                <w:sz w:val="16"/>
              </w:rPr>
              <w:t>geometry</w:t>
            </w:r>
          </w:p>
        </w:tc>
        <w:tc>
          <w:tcPr>
            <w:tcW w:type="dxa" w:w="3685"/>
            <w:shd w:fill="17324D"/>
            <w:vAlign w:val="center"/>
            <w:tcMar>
              <w:top w:w="90" w:type="dxa"/>
              <w:start w:w="100" w:type="dxa"/>
              <w:bottom w:w="90" w:type="dxa"/>
              <w:end w:w="100" w:type="dxa"/>
            </w:tcMar>
          </w:tcPr>
          <w:p>
            <w:pPr>
              <w:keepNext w:val="0"/>
              <w:widowControl/>
              <w:spacing w:after="0" w:before="0" w:line="240" w:lineRule="auto"/>
              <w:jc w:val="center"/>
            </w:pPr>
            <w:r>
              <w:rPr>
                <w:rFonts w:ascii="Microsoft YaHei" w:hAnsi="Microsoft YaHei" w:eastAsia="Microsoft YaHei"/>
                <w:b/>
                <w:i w:val="0"/>
                <w:color w:val="FFFFFF"/>
                <w:sz w:val="16"/>
              </w:rPr>
              <w:t>SHA-256（前16位）</w:t>
            </w:r>
          </w:p>
        </w:tc>
      </w:tr>
      <w:tr>
        <w:trPr>
          <w:cantSplit/>
        </w:trPr>
        <w:tc>
          <w:tcPr>
            <w:tcW w:type="dxa" w:w="2381"/>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DEP current (LM)</w:t>
            </w:r>
          </w:p>
        </w:tc>
        <w:tc>
          <w:tcPr>
            <w:tcW w:type="dxa" w:w="1134"/>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2</w:t>
            </w:r>
          </w:p>
        </w:tc>
        <w:tc>
          <w:tcPr>
            <w:tcW w:type="dxa" w:w="2438"/>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MultiPolygon:2</w:t>
            </w:r>
          </w:p>
        </w:tc>
        <w:tc>
          <w:tcPr>
            <w:tcW w:type="dxa" w:w="3685"/>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175c7b31edeabab8…</w:t>
            </w:r>
          </w:p>
        </w:tc>
      </w:tr>
      <w:tr>
        <w:trPr>
          <w:cantSplit/>
        </w:trPr>
        <w:tc>
          <w:tcPr>
            <w:tcW w:type="dxa" w:w="2381"/>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311 (LM)</w:t>
            </w:r>
          </w:p>
        </w:tc>
        <w:tc>
          <w:tcPr>
            <w:tcW w:type="dxa" w:w="1134"/>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488</w:t>
            </w:r>
          </w:p>
        </w:tc>
        <w:tc>
          <w:tcPr>
            <w:tcW w:type="dxa" w:w="2438"/>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Point:488</w:t>
            </w:r>
          </w:p>
        </w:tc>
        <w:tc>
          <w:tcPr>
            <w:tcW w:type="dxa" w:w="3685"/>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47cf5dcf488adad0…</w:t>
            </w:r>
          </w:p>
        </w:tc>
      </w:tr>
      <w:tr>
        <w:trPr>
          <w:cantSplit/>
        </w:trPr>
        <w:tc>
          <w:tcPr>
            <w:tcW w:type="dxa" w:w="2381"/>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311 (expanded)</w:t>
            </w:r>
          </w:p>
        </w:tc>
        <w:tc>
          <w:tcPr>
            <w:tcW w:type="dxa" w:w="1134"/>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1134</w:t>
            </w:r>
          </w:p>
        </w:tc>
        <w:tc>
          <w:tcPr>
            <w:tcW w:type="dxa" w:w="2438"/>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Point:1134</w:t>
            </w:r>
          </w:p>
        </w:tc>
        <w:tc>
          <w:tcPr>
            <w:tcW w:type="dxa" w:w="3685"/>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9847293561abe66c…</w:t>
            </w:r>
          </w:p>
        </w:tc>
      </w:tr>
      <w:tr>
        <w:trPr>
          <w:cantSplit/>
        </w:trPr>
        <w:tc>
          <w:tcPr>
            <w:tcW w:type="dxa" w:w="2381"/>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USGS HWM</w:t>
            </w:r>
          </w:p>
        </w:tc>
        <w:tc>
          <w:tcPr>
            <w:tcW w:type="dxa" w:w="1134"/>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159</w:t>
            </w:r>
          </w:p>
        </w:tc>
        <w:tc>
          <w:tcPr>
            <w:tcW w:type="dxa" w:w="2438"/>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Point:159</w:t>
            </w:r>
          </w:p>
        </w:tc>
        <w:tc>
          <w:tcPr>
            <w:tcW w:type="dxa" w:w="3685"/>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2ca3f65a7c9ba365…</w:t>
            </w:r>
          </w:p>
        </w:tc>
      </w:tr>
      <w:tr>
        <w:trPr>
          <w:cantSplit/>
        </w:trPr>
        <w:tc>
          <w:tcPr>
            <w:tcW w:type="dxa" w:w="2381"/>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Buildings (LM)</w:t>
            </w:r>
          </w:p>
        </w:tc>
        <w:tc>
          <w:tcPr>
            <w:tcW w:type="dxa" w:w="1134"/>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18767</w:t>
            </w:r>
          </w:p>
        </w:tc>
        <w:tc>
          <w:tcPr>
            <w:tcW w:type="dxa" w:w="2438"/>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Polygon:18767</w:t>
            </w:r>
          </w:p>
        </w:tc>
        <w:tc>
          <w:tcPr>
            <w:tcW w:type="dxa" w:w="3685"/>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47df709d639f2f93…</w:t>
            </w:r>
          </w:p>
        </w:tc>
      </w:tr>
      <w:tr>
        <w:trPr>
          <w:cantSplit/>
        </w:trPr>
        <w:tc>
          <w:tcPr>
            <w:tcW w:type="dxa" w:w="2381"/>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Buildings (expanded)</w:t>
            </w:r>
          </w:p>
        </w:tc>
        <w:tc>
          <w:tcPr>
            <w:tcW w:type="dxa" w:w="1134"/>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69718</w:t>
            </w:r>
          </w:p>
        </w:tc>
        <w:tc>
          <w:tcPr>
            <w:tcW w:type="dxa" w:w="2438"/>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Polygon:69718</w:t>
            </w:r>
          </w:p>
        </w:tc>
        <w:tc>
          <w:tcPr>
            <w:tcW w:type="dxa" w:w="3685"/>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5ee3badb7a7a0d1c…</w:t>
            </w:r>
          </w:p>
        </w:tc>
      </w:tr>
    </w:tbl>
    <w:p>
      <w:pPr>
        <w:spacing w:after="0"/>
      </w:pPr>
    </w:p>
    <w:p>
      <w:pPr>
        <w:keepNext w:val="0"/>
        <w:widowControl/>
        <w:spacing w:after="100" w:before="0" w:line="300" w:lineRule="auto"/>
      </w:pPr>
      <w:r>
        <w:rPr>
          <w:rFonts w:ascii="Microsoft YaHei" w:hAnsi="Microsoft YaHei" w:eastAsia="Microsoft YaHei"/>
          <w:b w:val="0"/>
          <w:i w:val="0"/>
          <w:color w:val="1F2933"/>
          <w:sz w:val="19"/>
        </w:rPr>
        <w:t>DEP 与 HWM 文件在两个 study 目录中哈希完全相同并不自动表示错误：它们是全域/复合几何，后续在 H3 overlay 时裁剪。但 expanded manifest 中仍出现“Lower Manhattan bbox subset”式说明，必须纠正。</w:t>
      </w:r>
    </w:p>
    <w:p>
      <w:pPr>
        <w:pStyle w:val="Heading2"/>
        <w:keepNext/>
      </w:pPr>
      <w:r>
        <w:t>5.3 标签定义的科学含义</w:t>
      </w:r>
    </w:p>
    <w:tbl>
      <w:tblPr>
        <w:tblW w:type="auto" w:w="0"/>
        <w:jc w:val="center"/>
        <w:tblLayout w:type="fixed"/>
        <w:tblLook w:firstColumn="1" w:firstRow="1" w:lastColumn="0" w:lastRow="0" w:noHBand="0" w:noVBand="1" w:val="04A0"/>
      </w:tblPr>
      <w:tblGrid>
        <w:gridCol w:w="9752"/>
      </w:tblGrid>
      <w:tr>
        <w:tc>
          <w:tcPr>
            <w:tcW w:type="dxa" w:w="9639"/>
            <w:tcMar>
              <w:top w:w="120" w:type="dxa"/>
              <w:start w:w="150" w:type="dxa"/>
              <w:bottom w:w="120" w:type="dxa"/>
              <w:end w:w="150" w:type="dxa"/>
            </w:tcMar>
            <w:shd w:fill="F5F6F7"/>
          </w:tcPr>
          <w:p>
            <w:pPr>
              <w:keepNext w:val="0"/>
              <w:widowControl/>
              <w:spacing w:after="0" w:before="0" w:line="252" w:lineRule="auto"/>
            </w:pPr>
            <w:r>
              <w:rPr>
                <w:rFonts w:ascii="Consolas" w:hAnsi="Consolas" w:eastAsia="Consolas"/>
                <w:b w:val="0"/>
                <w:i w:val="0"/>
                <w:color w:val="28323A"/>
                <w:sz w:val="15"/>
              </w:rPr>
              <w:t>a_DEP,c = area(DEP polygon ∩ cell c) / area(cell c)</w:t>
            </w:r>
            <w:r>
              <w:br/>
            </w:r>
            <w:r>
              <w:rPr>
                <w:rFonts w:ascii="Consolas" w:hAnsi="Consolas" w:eastAsia="Consolas"/>
                <w:b w:val="0"/>
                <w:i w:val="0"/>
                <w:color w:val="28323A"/>
                <w:sz w:val="15"/>
              </w:rPr>
              <w:t>z_311,c = 1 if at least one complaint point lies in c, else 0</w:t>
            </w:r>
            <w:r>
              <w:br/>
            </w:r>
            <w:r>
              <w:rPr>
                <w:rFonts w:ascii="Consolas" w:hAnsi="Consolas" w:eastAsia="Consolas"/>
                <w:b w:val="0"/>
                <w:i w:val="0"/>
                <w:color w:val="28323A"/>
                <w:sz w:val="15"/>
              </w:rPr>
              <w:t>z_HWM,c = 1 if at least one Ida high-water mark lies in c, else 0</w:t>
            </w:r>
            <w:r>
              <w:br/>
            </w:r>
            <w:r>
              <w:rPr>
                <w:rFonts w:ascii="Consolas" w:hAnsi="Consolas" w:eastAsia="Consolas"/>
                <w:b w:val="0"/>
                <w:i w:val="0"/>
                <w:color w:val="28323A"/>
                <w:sz w:val="15"/>
              </w:rPr>
              <w:t>E_c = max(a_DEP,c, z_311,c, z_HWM,c)</w:t>
            </w:r>
            <w:r>
              <w:br/>
            </w:r>
            <w:r>
              <w:rPr>
                <w:rFonts w:ascii="Consolas" w:hAnsi="Consolas" w:eastAsia="Consolas"/>
                <w:b w:val="0"/>
                <w:i w:val="0"/>
                <w:color w:val="28323A"/>
                <w:sz w:val="15"/>
              </w:rPr>
              <w:t>Y_c = 1[E_c ≥ 10^-9]</w:t>
            </w:r>
          </w:p>
        </w:tc>
      </w:tr>
    </w:tbl>
    <w:p>
      <w:pPr>
        <w:spacing w:after="0"/>
      </w:pPr>
    </w:p>
    <w:p>
      <w:pPr>
        <w:pStyle w:val="ListBullet"/>
        <w:keepNext w:val="0"/>
        <w:widowControl/>
        <w:spacing w:after="60" w:before="0" w:line="283" w:lineRule="auto"/>
      </w:pPr>
      <w:r>
        <w:rPr>
          <w:rFonts w:ascii="Microsoft YaHei" w:hAnsi="Microsoft YaHei" w:eastAsia="Microsoft YaHei"/>
          <w:b w:val="0"/>
          <w:i w:val="0"/>
          <w:color w:val="1F2933"/>
          <w:sz w:val="18"/>
        </w:rPr>
        <w:t>代码与表格严格遵循该 max 规则；这是可保留的内部一致性。</w:t>
      </w:r>
    </w:p>
    <w:p>
      <w:pPr>
        <w:pStyle w:val="ListBullet"/>
        <w:keepNext w:val="0"/>
        <w:widowControl/>
        <w:spacing w:after="60" w:before="0" w:line="283" w:lineRule="auto"/>
      </w:pPr>
      <w:r>
        <w:rPr>
          <w:rFonts w:ascii="Microsoft YaHei" w:hAnsi="Microsoft YaHei" w:eastAsia="Microsoft YaHei"/>
          <w:b w:val="0"/>
          <w:i w:val="0"/>
          <w:color w:val="1F2933"/>
          <w:sz w:val="18"/>
        </w:rPr>
        <w:t>一个 311 点或一个 HWM 点会把 E 直接置为 1，信息量与大面积 DEP 重叠不在同一量纲；E 的双峰和 149 个满分 R10 网格正由此产生。</w:t>
      </w:r>
    </w:p>
    <w:p>
      <w:pPr>
        <w:pStyle w:val="ListBullet"/>
        <w:keepNext w:val="0"/>
        <w:widowControl/>
        <w:spacing w:after="60" w:before="0" w:line="283" w:lineRule="auto"/>
      </w:pPr>
      <w:r>
        <w:rPr>
          <w:rFonts w:ascii="Microsoft YaHei" w:hAnsi="Microsoft YaHei" w:eastAsia="Microsoft YaHei"/>
          <w:b w:val="0"/>
          <w:i w:val="0"/>
          <w:color w:val="1F2933"/>
          <w:sz w:val="18"/>
        </w:rPr>
        <w:t>311 为 2010–2014 的历史报告，DEP 为模型输出面，HWM 为 Ida 2021 事件点；时间和机制混合，E 不是单一事件真值。</w:t>
      </w:r>
    </w:p>
    <w:p>
      <w:pPr>
        <w:pStyle w:val="ListBullet"/>
        <w:keepNext w:val="0"/>
        <w:widowControl/>
        <w:spacing w:after="60" w:before="0" w:line="283" w:lineRule="auto"/>
      </w:pPr>
      <w:r>
        <w:rPr>
          <w:rFonts w:ascii="Microsoft YaHei" w:hAnsi="Microsoft YaHei" w:eastAsia="Microsoft YaHei"/>
          <w:b w:val="0"/>
          <w:i w:val="0"/>
          <w:color w:val="1F2933"/>
          <w:sz w:val="18"/>
        </w:rPr>
        <w:t>建议变量改名 flood_evidence_score / flood_evidence_class；全文避免称 risk、severity、depth、probability 或 ground truth。</w:t>
      </w:r>
    </w:p>
    <w:p>
      <w:pPr>
        <w:pStyle w:val="ListBullet"/>
        <w:keepNext w:val="0"/>
        <w:widowControl/>
        <w:spacing w:after="60" w:before="0" w:line="283" w:lineRule="auto"/>
      </w:pPr>
      <w:r>
        <w:rPr>
          <w:rFonts w:ascii="Microsoft YaHei" w:hAnsi="Microsoft YaHei" w:eastAsia="Microsoft YaHei"/>
          <w:b w:val="0"/>
          <w:i w:val="0"/>
          <w:color w:val="1F2933"/>
          <w:sz w:val="18"/>
        </w:rPr>
        <w:t>做敏感性：point presence 改成经时间/质量加权的点密度，DEP 与点源分别标准化；报告 max、weighted sum、source-specific multi-task 三种定义。</w:t>
      </w:r>
    </w:p>
    <w:p>
      <w:pPr>
        <w:pStyle w:val="Heading2"/>
        <w:keepNext/>
      </w:pPr>
      <w:r>
        <w:t>5.4 面积和距离计算的坐标系</w:t>
      </w:r>
    </w:p>
    <w:p>
      <w:pPr>
        <w:keepNext w:val="0"/>
        <w:widowControl/>
        <w:spacing w:after="100" w:before="0" w:line="300" w:lineRule="auto"/>
      </w:pPr>
      <w:r>
        <w:rPr>
          <w:rFonts w:ascii="Microsoft YaHei" w:hAnsi="Microsoft YaHei" w:eastAsia="Microsoft YaHei"/>
          <w:b w:val="0"/>
          <w:i w:val="0"/>
          <w:color w:val="1F2933"/>
          <w:sz w:val="19"/>
        </w:rPr>
        <w:t>features.py:165–170 与 labels.py:367–383 直接用 EPSG:4326 经纬度多边形的 Shapely area 做面积比例。小区域内分子/分母部分抵消，且重建结果稳定，但这不是严谨的面积计算。</w:t>
      </w:r>
    </w:p>
    <w:p>
      <w:pPr>
        <w:pStyle w:val="ListBullet"/>
        <w:keepNext w:val="0"/>
        <w:widowControl/>
        <w:spacing w:after="60" w:before="0" w:line="283" w:lineRule="auto"/>
      </w:pPr>
      <w:r>
        <w:rPr>
          <w:rFonts w:ascii="Microsoft YaHei" w:hAnsi="Microsoft YaHei" w:eastAsia="Microsoft YaHei"/>
          <w:b w:val="0"/>
          <w:i w:val="0"/>
          <w:color w:val="1F2933"/>
          <w:sz w:val="18"/>
        </w:rPr>
        <w:t>在相交前将网格与源几何投影到 EPSG:2263（NY StatePlane Long Island）或合适等面积 CRS。</w:t>
      </w:r>
    </w:p>
    <w:p>
      <w:pPr>
        <w:pStyle w:val="ListBullet"/>
        <w:keepNext w:val="0"/>
        <w:widowControl/>
        <w:spacing w:after="60" w:before="0" w:line="283" w:lineRule="auto"/>
      </w:pPr>
      <w:r>
        <w:rPr>
          <w:rFonts w:ascii="Microsoft YaHei" w:hAnsi="Microsoft YaHei" w:eastAsia="Microsoft YaHei"/>
          <w:b w:val="0"/>
          <w:i w:val="0"/>
          <w:color w:val="1F2933"/>
          <w:sz w:val="18"/>
        </w:rPr>
        <w:t>记录 CRS、单位、无效几何修复数和 area conservation check；用旧/新实现做差异表。</w:t>
      </w:r>
    </w:p>
    <w:p>
      <w:pPr>
        <w:pStyle w:val="ListBullet"/>
        <w:keepNext w:val="0"/>
        <w:widowControl/>
        <w:spacing w:after="60" w:before="0" w:line="283" w:lineRule="auto"/>
      </w:pPr>
      <w:r>
        <w:rPr>
          <w:rFonts w:ascii="Microsoft YaHei" w:hAnsi="Microsoft YaHei" w:eastAsia="Microsoft YaHei"/>
          <w:b w:val="0"/>
          <w:i w:val="0"/>
          <w:color w:val="1F2933"/>
          <w:sz w:val="18"/>
        </w:rPr>
        <w:t>dist_stream_m 实际包含岸线、潮汐河流和水体，应改名 distance_to_mapped_water_m，不要写成经典 stream proximity。</w:t>
      </w:r>
    </w:p>
    <w:p>
      <w:pPr>
        <w:pStyle w:val="Heading2"/>
        <w:keepNext/>
      </w:pPr>
      <w:r>
        <w:t>5.5 降雨条件</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2551"/>
            <w:shd w:fill="17324D"/>
            <w:vAlign w:val="center"/>
            <w:tcMar>
              <w:top w:w="90" w:type="dxa"/>
              <w:start w:w="100" w:type="dxa"/>
              <w:bottom w:w="90" w:type="dxa"/>
              <w:end w:w="100" w:type="dxa"/>
            </w:tcMar>
          </w:tcPr>
          <w:p>
            <w:pPr>
              <w:keepNext w:val="0"/>
              <w:widowControl/>
              <w:spacing w:after="0" w:before="0" w:line="240" w:lineRule="auto"/>
              <w:jc w:val="center"/>
            </w:pPr>
            <w:r>
              <w:rPr>
                <w:rFonts w:ascii="Microsoft YaHei" w:hAnsi="Microsoft YaHei" w:eastAsia="Microsoft YaHei"/>
                <w:b/>
                <w:i w:val="0"/>
                <w:color w:val="FFFFFF"/>
                <w:sz w:val="16"/>
              </w:rPr>
              <w:t>场景</w:t>
            </w:r>
          </w:p>
        </w:tc>
        <w:tc>
          <w:tcPr>
            <w:tcW w:type="dxa" w:w="1701"/>
            <w:shd w:fill="17324D"/>
            <w:vAlign w:val="center"/>
            <w:tcMar>
              <w:top w:w="90" w:type="dxa"/>
              <w:start w:w="100" w:type="dxa"/>
              <w:bottom w:w="90" w:type="dxa"/>
              <w:end w:w="100" w:type="dxa"/>
            </w:tcMar>
          </w:tcPr>
          <w:p>
            <w:pPr>
              <w:keepNext w:val="0"/>
              <w:widowControl/>
              <w:spacing w:after="0" w:before="0" w:line="240" w:lineRule="auto"/>
              <w:jc w:val="center"/>
            </w:pPr>
            <w:r>
              <w:rPr>
                <w:rFonts w:ascii="Microsoft YaHei" w:hAnsi="Microsoft YaHei" w:eastAsia="Microsoft YaHei"/>
                <w:b/>
                <w:i w:val="0"/>
                <w:color w:val="FFFFFF"/>
                <w:sz w:val="16"/>
              </w:rPr>
              <w:t>mm/h</w:t>
            </w:r>
          </w:p>
        </w:tc>
        <w:tc>
          <w:tcPr>
            <w:tcW w:type="dxa" w:w="1701"/>
            <w:shd w:fill="17324D"/>
            <w:vAlign w:val="center"/>
            <w:tcMar>
              <w:top w:w="90" w:type="dxa"/>
              <w:start w:w="100" w:type="dxa"/>
              <w:bottom w:w="90" w:type="dxa"/>
              <w:end w:w="100" w:type="dxa"/>
            </w:tcMar>
          </w:tcPr>
          <w:p>
            <w:pPr>
              <w:keepNext w:val="0"/>
              <w:widowControl/>
              <w:spacing w:after="0" w:before="0" w:line="240" w:lineRule="auto"/>
              <w:jc w:val="center"/>
            </w:pPr>
            <w:r>
              <w:rPr>
                <w:rFonts w:ascii="Microsoft YaHei" w:hAnsi="Microsoft YaHei" w:eastAsia="Microsoft YaHei"/>
                <w:b/>
                <w:i w:val="0"/>
                <w:color w:val="FFFFFF"/>
                <w:sz w:val="16"/>
              </w:rPr>
              <w:t>n</w:t>
            </w:r>
          </w:p>
        </w:tc>
        <w:tc>
          <w:tcPr>
            <w:tcW w:type="dxa" w:w="3685"/>
            <w:shd w:fill="17324D"/>
            <w:vAlign w:val="center"/>
            <w:tcMar>
              <w:top w:w="90" w:type="dxa"/>
              <w:start w:w="100" w:type="dxa"/>
              <w:bottom w:w="90" w:type="dxa"/>
              <w:end w:w="100" w:type="dxa"/>
            </w:tcMar>
          </w:tcPr>
          <w:p>
            <w:pPr>
              <w:keepNext w:val="0"/>
              <w:widowControl/>
              <w:spacing w:after="0" w:before="0" w:line="240" w:lineRule="auto"/>
              <w:jc w:val="center"/>
            </w:pPr>
            <w:r>
              <w:rPr>
                <w:rFonts w:ascii="Microsoft YaHei" w:hAnsi="Microsoft YaHei" w:eastAsia="Microsoft YaHei"/>
                <w:b/>
                <w:i w:val="0"/>
                <w:color w:val="FFFFFF"/>
                <w:sz w:val="16"/>
              </w:rPr>
              <w:t>mean PFI_h</w:t>
            </w:r>
          </w:p>
        </w:tc>
      </w:tr>
      <w:tr>
        <w:trPr>
          <w:cantSplit/>
        </w:trPr>
        <w:tc>
          <w:tcPr>
            <w:tcW w:type="dxa" w:w="2551"/>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extreme</w:t>
            </w:r>
          </w:p>
        </w:tc>
        <w:tc>
          <w:tcPr>
            <w:tcW w:type="dxa" w:w="1701"/>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100.0</w:t>
            </w:r>
          </w:p>
        </w:tc>
        <w:tc>
          <w:tcPr>
            <w:tcW w:type="dxa" w:w="1701"/>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141</w:t>
            </w:r>
          </w:p>
        </w:tc>
        <w:tc>
          <w:tcPr>
            <w:tcW w:type="dxa" w:w="3685"/>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0.677389974</w:t>
            </w:r>
          </w:p>
        </w:tc>
      </w:tr>
      <w:tr>
        <w:trPr>
          <w:cantSplit/>
        </w:trPr>
        <w:tc>
          <w:tcPr>
            <w:tcW w:type="dxa" w:w="2551"/>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heavy</w:t>
            </w:r>
          </w:p>
        </w:tc>
        <w:tc>
          <w:tcPr>
            <w:tcW w:type="dxa" w:w="1701"/>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40.0</w:t>
            </w:r>
          </w:p>
        </w:tc>
        <w:tc>
          <w:tcPr>
            <w:tcW w:type="dxa" w:w="1701"/>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141</w:t>
            </w:r>
          </w:p>
        </w:tc>
        <w:tc>
          <w:tcPr>
            <w:tcW w:type="dxa" w:w="3685"/>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0.677389974</w:t>
            </w:r>
          </w:p>
        </w:tc>
      </w:tr>
      <w:tr>
        <w:trPr>
          <w:cantSplit/>
        </w:trPr>
        <w:tc>
          <w:tcPr>
            <w:tcW w:type="dxa" w:w="2551"/>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ida_like</w:t>
            </w:r>
          </w:p>
        </w:tc>
        <w:tc>
          <w:tcPr>
            <w:tcW w:type="dxa" w:w="1701"/>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75.0</w:t>
            </w:r>
          </w:p>
        </w:tc>
        <w:tc>
          <w:tcPr>
            <w:tcW w:type="dxa" w:w="1701"/>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141</w:t>
            </w:r>
          </w:p>
        </w:tc>
        <w:tc>
          <w:tcPr>
            <w:tcW w:type="dxa" w:w="3685"/>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0.677389974</w:t>
            </w:r>
          </w:p>
        </w:tc>
      </w:tr>
      <w:tr>
        <w:trPr>
          <w:cantSplit/>
        </w:trPr>
        <w:tc>
          <w:tcPr>
            <w:tcW w:type="dxa" w:w="2551"/>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moderate</w:t>
            </w:r>
          </w:p>
        </w:tc>
        <w:tc>
          <w:tcPr>
            <w:tcW w:type="dxa" w:w="1701"/>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25.0</w:t>
            </w:r>
          </w:p>
        </w:tc>
        <w:tc>
          <w:tcPr>
            <w:tcW w:type="dxa" w:w="1701"/>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141</w:t>
            </w:r>
          </w:p>
        </w:tc>
        <w:tc>
          <w:tcPr>
            <w:tcW w:type="dxa" w:w="3685"/>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0.677389974</w:t>
            </w:r>
          </w:p>
        </w:tc>
      </w:tr>
    </w:tbl>
    <w:p>
      <w:pPr>
        <w:spacing w:after="0"/>
      </w:pPr>
    </w:p>
    <w:p>
      <w:pPr>
        <w:keepNext w:val="0"/>
        <w:widowControl/>
        <w:spacing w:after="100" w:before="0" w:line="300" w:lineRule="auto"/>
      </w:pPr>
      <w:r>
        <w:rPr>
          <w:rFonts w:ascii="Microsoft YaHei" w:hAnsi="Microsoft YaHei" w:eastAsia="Microsoft YaHei"/>
          <w:b w:val="0"/>
          <w:i w:val="0"/>
          <w:color w:val="1F2933"/>
          <w:sz w:val="19"/>
        </w:rPr>
        <w:t>四场景共 564 行；每个网格的 max−min=0.0，非零响应网格=0。训练 rainfall_mm_h 恒为 75，模型中该特征重要度为 0。</w:t>
      </w:r>
    </w:p>
    <w:tbl>
      <w:tblPr>
        <w:tblW w:type="auto" w:w="0"/>
        <w:jc w:val="center"/>
        <w:tblLayout w:type="fixed"/>
        <w:tblLook w:firstColumn="1" w:firstRow="1" w:lastColumn="0" w:lastRow="0" w:noHBand="0" w:noVBand="1" w:val="04A0"/>
      </w:tblPr>
      <w:tblGrid>
        <w:gridCol w:w="9751"/>
      </w:tblGrid>
      <w:tr>
        <w:tc>
          <w:tcPr>
            <w:tcW w:type="dxa" w:w="9752"/>
            <w:tcMar>
              <w:top w:w="130" w:type="dxa"/>
              <w:start w:w="180" w:type="dxa"/>
              <w:bottom w:w="130" w:type="dxa"/>
              <w:end w:w="180" w:type="dxa"/>
            </w:tcMar>
            <w:shd w:fill="FFF8D9"/>
            <w:vAlign w:val="center"/>
          </w:tcPr>
          <w:p>
            <w:pPr>
              <w:keepNext w:val="0"/>
              <w:widowControl/>
              <w:spacing w:after="40" w:before="0" w:line="276" w:lineRule="auto"/>
            </w:pPr>
            <w:r>
              <w:rPr>
                <w:rFonts w:ascii="Microsoft YaHei" w:hAnsi="Microsoft YaHei" w:eastAsia="Microsoft YaHei"/>
                <w:b/>
                <w:i w:val="0"/>
                <w:color w:val="B56212"/>
                <w:sz w:val="20"/>
              </w:rPr>
              <w:t>结论</w:t>
            </w:r>
          </w:p>
          <w:p>
            <w:pPr>
              <w:keepNext w:val="0"/>
              <w:widowControl/>
              <w:spacing w:after="0" w:before="0" w:line="293" w:lineRule="auto"/>
            </w:pPr>
            <w:r>
              <w:rPr>
                <w:rFonts w:ascii="Microsoft YaHei" w:hAnsi="Microsoft YaHei" w:eastAsia="Microsoft YaHei"/>
                <w:b w:val="0"/>
                <w:i w:val="0"/>
                <w:color w:val="1F2933"/>
                <w:sz w:val="18"/>
              </w:rPr>
              <w:t>当前只能把 rainfall_mm_h 描述为接口占位/未识别条件，不能声称场景响应或事件条件化已被数据验证。若论文主线不依赖降雨，建议从主模型与主图中移除；若保留，必须引入具有空间/事件变化的真实雷达或雨量站数据并重新训练。</w:t>
            </w:r>
          </w:p>
        </w:tc>
      </w:tr>
    </w:tbl>
    <w:p>
      <w:pPr>
        <w:spacing w:after="0"/>
      </w:pPr>
    </w:p>
    <w:p>
      <w:pPr>
        <w:spacing w:after="0" w:before="40"/>
      </w:pPr>
    </w:p>
    <w:p>
      <w:pPr>
        <w:pStyle w:val="Heading1"/>
        <w:keepNext/>
      </w:pPr>
      <w:r>
        <w:t>6. 代码与模型完整性审查</w:t>
      </w:r>
    </w:p>
    <w:p>
      <w:pPr>
        <w:pStyle w:val="Heading2"/>
        <w:keepNext/>
      </w:pPr>
      <w:r>
        <w:t>6.1 已做得较好的部分</w:t>
      </w:r>
    </w:p>
    <w:p>
      <w:pPr>
        <w:pStyle w:val="ListBullet"/>
        <w:keepNext w:val="0"/>
        <w:widowControl/>
        <w:spacing w:after="60" w:before="0" w:line="283" w:lineRule="auto"/>
      </w:pPr>
      <w:r>
        <w:rPr>
          <w:rFonts w:ascii="Microsoft YaHei" w:hAnsi="Microsoft YaHei" w:eastAsia="Microsoft YaHei"/>
          <w:b w:val="0"/>
          <w:i w:val="0"/>
          <w:color w:val="1F2933"/>
          <w:sz w:val="18"/>
        </w:rPr>
        <w:t>以 H3 R7 parent 作为 GroupKFold group，定义上避免同一 parent block 同时进入训练和测试。</w:t>
      </w:r>
    </w:p>
    <w:p>
      <w:pPr>
        <w:pStyle w:val="ListBullet"/>
        <w:keepNext w:val="0"/>
        <w:widowControl/>
        <w:spacing w:after="60" w:before="0" w:line="283" w:lineRule="auto"/>
      </w:pPr>
      <w:r>
        <w:rPr>
          <w:rFonts w:ascii="Microsoft YaHei" w:hAnsi="Microsoft YaHei" w:eastAsia="Microsoft YaHei"/>
          <w:b w:val="0"/>
          <w:i w:val="0"/>
          <w:color w:val="1F2933"/>
          <w:sz w:val="18"/>
        </w:rPr>
        <w:t>OOF 预测逐网格保存，ROC-AUC/AP 可以在折外预测上重新计算；预处理位于折内 pipeline。</w:t>
      </w:r>
    </w:p>
    <w:p>
      <w:pPr>
        <w:pStyle w:val="ListBullet"/>
        <w:keepNext w:val="0"/>
        <w:widowControl/>
        <w:spacing w:after="60" w:before="0" w:line="283" w:lineRule="auto"/>
      </w:pPr>
      <w:r>
        <w:rPr>
          <w:rFonts w:ascii="Microsoft YaHei" w:hAnsi="Microsoft YaHei" w:eastAsia="Microsoft YaHei"/>
          <w:b w:val="0"/>
          <w:i w:val="0"/>
          <w:color w:val="1F2933"/>
          <w:sz w:val="18"/>
        </w:rPr>
        <w:t>当前 paper run 显式给 negative control 传入 OOF model score，避免直接比较由定义决定的 target score。</w:t>
      </w:r>
    </w:p>
    <w:p>
      <w:pPr>
        <w:pStyle w:val="ListBullet"/>
        <w:keepNext w:val="0"/>
        <w:widowControl/>
        <w:spacing w:after="60" w:before="0" w:line="283" w:lineRule="auto"/>
      </w:pPr>
      <w:r>
        <w:rPr>
          <w:rFonts w:ascii="Microsoft YaHei" w:hAnsi="Microsoft YaHei" w:eastAsia="Microsoft YaHei"/>
          <w:b w:val="0"/>
          <w:i w:val="0"/>
          <w:color w:val="1F2933"/>
          <w:sz w:val="18"/>
        </w:rPr>
        <w:t>原始重建在 fallback_synthetic=False 下无空值，说明当前结果所依赖的数据列是完整的。</w:t>
      </w:r>
    </w:p>
    <w:p>
      <w:pPr>
        <w:pStyle w:val="Heading2"/>
        <w:keepNext/>
      </w:pPr>
      <w:r>
        <w:t>6.2 需要修改的代码问题</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907"/>
            <w:shd w:fill="17324D"/>
            <w:vAlign w:val="center"/>
            <w:tcMar>
              <w:top w:w="90" w:type="dxa"/>
              <w:start w:w="100" w:type="dxa"/>
              <w:bottom w:w="90" w:type="dxa"/>
              <w:end w:w="100" w:type="dxa"/>
            </w:tcMar>
          </w:tcPr>
          <w:p>
            <w:pPr>
              <w:keepNext w:val="0"/>
              <w:widowControl/>
              <w:spacing w:after="0" w:before="0" w:line="240" w:lineRule="auto"/>
              <w:jc w:val="center"/>
            </w:pPr>
            <w:r>
              <w:rPr>
                <w:rFonts w:ascii="Microsoft YaHei" w:hAnsi="Microsoft YaHei" w:eastAsia="Microsoft YaHei"/>
                <w:b/>
                <w:i w:val="0"/>
                <w:color w:val="FFFFFF"/>
                <w:sz w:val="16"/>
              </w:rPr>
              <w:t>级别</w:t>
            </w:r>
          </w:p>
        </w:tc>
        <w:tc>
          <w:tcPr>
            <w:tcW w:type="dxa" w:w="2551"/>
            <w:shd w:fill="17324D"/>
            <w:vAlign w:val="center"/>
            <w:tcMar>
              <w:top w:w="90" w:type="dxa"/>
              <w:start w:w="100" w:type="dxa"/>
              <w:bottom w:w="90" w:type="dxa"/>
              <w:end w:w="100" w:type="dxa"/>
            </w:tcMar>
          </w:tcPr>
          <w:p>
            <w:pPr>
              <w:keepNext w:val="0"/>
              <w:widowControl/>
              <w:spacing w:after="0" w:before="0" w:line="240" w:lineRule="auto"/>
              <w:jc w:val="center"/>
            </w:pPr>
            <w:r>
              <w:rPr>
                <w:rFonts w:ascii="Microsoft YaHei" w:hAnsi="Microsoft YaHei" w:eastAsia="Microsoft YaHei"/>
                <w:b/>
                <w:i w:val="0"/>
                <w:color w:val="FFFFFF"/>
                <w:sz w:val="16"/>
              </w:rPr>
              <w:t>位置</w:t>
            </w:r>
          </w:p>
        </w:tc>
        <w:tc>
          <w:tcPr>
            <w:tcW w:type="dxa" w:w="3458"/>
            <w:shd w:fill="17324D"/>
            <w:vAlign w:val="center"/>
            <w:tcMar>
              <w:top w:w="90" w:type="dxa"/>
              <w:start w:w="100" w:type="dxa"/>
              <w:bottom w:w="90" w:type="dxa"/>
              <w:end w:w="100" w:type="dxa"/>
            </w:tcMar>
          </w:tcPr>
          <w:p>
            <w:pPr>
              <w:keepNext w:val="0"/>
              <w:widowControl/>
              <w:spacing w:after="0" w:before="0" w:line="240" w:lineRule="auto"/>
              <w:jc w:val="center"/>
            </w:pPr>
            <w:r>
              <w:rPr>
                <w:rFonts w:ascii="Microsoft YaHei" w:hAnsi="Microsoft YaHei" w:eastAsia="Microsoft YaHei"/>
                <w:b/>
                <w:i w:val="0"/>
                <w:color w:val="FFFFFF"/>
                <w:sz w:val="16"/>
              </w:rPr>
              <w:t>问题</w:t>
            </w:r>
          </w:p>
        </w:tc>
        <w:tc>
          <w:tcPr>
            <w:tcW w:type="dxa" w:w="2721"/>
            <w:shd w:fill="17324D"/>
            <w:vAlign w:val="center"/>
            <w:tcMar>
              <w:top w:w="90" w:type="dxa"/>
              <w:start w:w="100" w:type="dxa"/>
              <w:bottom w:w="90" w:type="dxa"/>
              <w:end w:w="100" w:type="dxa"/>
            </w:tcMar>
          </w:tcPr>
          <w:p>
            <w:pPr>
              <w:keepNext w:val="0"/>
              <w:widowControl/>
              <w:spacing w:after="0" w:before="0" w:line="240" w:lineRule="auto"/>
              <w:jc w:val="center"/>
            </w:pPr>
            <w:r>
              <w:rPr>
                <w:rFonts w:ascii="Microsoft YaHei" w:hAnsi="Microsoft YaHei" w:eastAsia="Microsoft YaHei"/>
                <w:b/>
                <w:i w:val="0"/>
                <w:color w:val="FFFFFF"/>
                <w:sz w:val="16"/>
              </w:rPr>
              <w:t>修改</w:t>
            </w:r>
          </w:p>
        </w:tc>
      </w:tr>
      <w:tr>
        <w:trPr>
          <w:cantSplit/>
        </w:trPr>
        <w:tc>
          <w:tcPr>
            <w:tcW w:type="dxa" w:w="907"/>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5"/>
              </w:rPr>
              <w:t>严重</w:t>
            </w:r>
          </w:p>
        </w:tc>
        <w:tc>
          <w:tcPr>
            <w:tcW w:type="dxa" w:w="2551"/>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5"/>
              </w:rPr>
              <w:t>model.py:67–101; pipeline.py:71–107</w:t>
            </w:r>
          </w:p>
        </w:tc>
        <w:tc>
          <w:tcPr>
            <w:tcW w:type="dxa" w:w="3458"/>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5"/>
              </w:rPr>
              <w:t>保存的是 80% split 模型，不是 full fit</w:t>
            </w:r>
          </w:p>
        </w:tc>
        <w:tc>
          <w:tcPr>
            <w:tcW w:type="dxa" w:w="2721"/>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5"/>
              </w:rPr>
              <w:t>分离 eval/full artifacts；metadata 写 fit role/rows/hash</w:t>
            </w:r>
          </w:p>
        </w:tc>
      </w:tr>
      <w:tr>
        <w:trPr>
          <w:cantSplit/>
        </w:trPr>
        <w:tc>
          <w:tcPr>
            <w:tcW w:type="dxa" w:w="907"/>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5"/>
              </w:rPr>
              <w:t>严重</w:t>
            </w:r>
          </w:p>
        </w:tc>
        <w:tc>
          <w:tcPr>
            <w:tcW w:type="dxa" w:w="2551"/>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5"/>
              </w:rPr>
              <w:t>assemble.py:192–268; pipeline defaults</w:t>
            </w:r>
          </w:p>
        </w:tc>
        <w:tc>
          <w:tcPr>
            <w:tcW w:type="dxa" w:w="3458"/>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5"/>
              </w:rPr>
              <w:t>生产默认 synthetic fallback，可能伪装为 observed</w:t>
            </w:r>
          </w:p>
        </w:tc>
        <w:tc>
          <w:tcPr>
            <w:tcW w:type="dxa" w:w="2721"/>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5"/>
              </w:rPr>
              <w:t>默认 fail-closed；显式 demo 开关；逐列计数</w:t>
            </w:r>
          </w:p>
        </w:tc>
      </w:tr>
      <w:tr>
        <w:trPr>
          <w:cantSplit/>
        </w:trPr>
        <w:tc>
          <w:tcPr>
            <w:tcW w:type="dxa" w:w="907"/>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5"/>
              </w:rPr>
              <w:t>高</w:t>
            </w:r>
          </w:p>
        </w:tc>
        <w:tc>
          <w:tcPr>
            <w:tcW w:type="dxa" w:w="2551"/>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5"/>
              </w:rPr>
              <w:t>features.py:165–170; labels.py:367–383</w:t>
            </w:r>
          </w:p>
        </w:tc>
        <w:tc>
          <w:tcPr>
            <w:tcW w:type="dxa" w:w="3458"/>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5"/>
              </w:rPr>
              <w:t>经纬度平面 area</w:t>
            </w:r>
          </w:p>
        </w:tc>
        <w:tc>
          <w:tcPr>
            <w:tcW w:type="dxa" w:w="2721"/>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5"/>
              </w:rPr>
              <w:t>投影到本地/等面积 CRS 后求交</w:t>
            </w:r>
          </w:p>
        </w:tc>
      </w:tr>
      <w:tr>
        <w:trPr>
          <w:cantSplit/>
        </w:trPr>
        <w:tc>
          <w:tcPr>
            <w:tcW w:type="dxa" w:w="907"/>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5"/>
              </w:rPr>
              <w:t>高</w:t>
            </w:r>
          </w:p>
        </w:tc>
        <w:tc>
          <w:tcPr>
            <w:tcW w:type="dxa" w:w="2551"/>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5"/>
              </w:rPr>
              <w:t>scale diagnostic scripts</w:t>
            </w:r>
          </w:p>
        </w:tc>
        <w:tc>
          <w:tcPr>
            <w:tcW w:type="dxa" w:w="3458"/>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5"/>
              </w:rPr>
              <w:t>149 个满分并列，字符串 tie-break；预算未按面积匹配</w:t>
            </w:r>
          </w:p>
        </w:tc>
        <w:tc>
          <w:tcPr>
            <w:tcW w:type="dxa" w:w="2721"/>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5"/>
              </w:rPr>
              <w:t>weighted/all-tie/bootstrap；area-matched support</w:t>
            </w:r>
          </w:p>
        </w:tc>
      </w:tr>
      <w:tr>
        <w:trPr>
          <w:cantSplit/>
        </w:trPr>
        <w:tc>
          <w:tcPr>
            <w:tcW w:type="dxa" w:w="907"/>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5"/>
              </w:rPr>
              <w:t>中</w:t>
            </w:r>
          </w:p>
        </w:tc>
        <w:tc>
          <w:tcPr>
            <w:tcW w:type="dxa" w:w="2551"/>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5"/>
              </w:rPr>
              <w:t>estimators.py/config.py</w:t>
            </w:r>
          </w:p>
        </w:tc>
        <w:tc>
          <w:tcPr>
            <w:tcW w:type="dxa" w:w="3458"/>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5"/>
              </w:rPr>
              <w:t>estimator 使用模块常量 42，不读运行配置 seed</w:t>
            </w:r>
          </w:p>
        </w:tc>
        <w:tc>
          <w:tcPr>
            <w:tcW w:type="dxa" w:w="2721"/>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5"/>
              </w:rPr>
              <w:t>seed 作为函数参数贯穿并写 metadata</w:t>
            </w:r>
          </w:p>
        </w:tc>
      </w:tr>
      <w:tr>
        <w:trPr>
          <w:cantSplit/>
        </w:trPr>
        <w:tc>
          <w:tcPr>
            <w:tcW w:type="dxa" w:w="907"/>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5"/>
              </w:rPr>
              <w:t>中</w:t>
            </w:r>
          </w:p>
        </w:tc>
        <w:tc>
          <w:tcPr>
            <w:tcW w:type="dxa" w:w="2551"/>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5"/>
              </w:rPr>
              <w:t>baselines / negative_control helpers</w:t>
            </w:r>
          </w:p>
        </w:tc>
        <w:tc>
          <w:tcPr>
            <w:tcW w:type="dxa" w:w="3458"/>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5"/>
              </w:rPr>
              <w:t>宽泛 except 与危险默认列可能隐藏错误</w:t>
            </w:r>
          </w:p>
        </w:tc>
        <w:tc>
          <w:tcPr>
            <w:tcW w:type="dxa" w:w="2721"/>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5"/>
              </w:rPr>
              <w:t>只捕获预期异常；要求显式 score_col</w:t>
            </w:r>
          </w:p>
        </w:tc>
      </w:tr>
      <w:tr>
        <w:trPr>
          <w:cantSplit/>
        </w:trPr>
        <w:tc>
          <w:tcPr>
            <w:tcW w:type="dxa" w:w="907"/>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5"/>
              </w:rPr>
              <w:t>中</w:t>
            </w:r>
          </w:p>
        </w:tc>
        <w:tc>
          <w:tcPr>
            <w:tcW w:type="dxa" w:w="2551"/>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5"/>
              </w:rPr>
              <w:t>metadata.py / requirements</w:t>
            </w:r>
          </w:p>
        </w:tc>
        <w:tc>
          <w:tcPr>
            <w:tcW w:type="dxa" w:w="3458"/>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5"/>
              </w:rPr>
              <w:t>绝对路径、版本漂移、无锁文件</w:t>
            </w:r>
          </w:p>
        </w:tc>
        <w:tc>
          <w:tcPr>
            <w:tcW w:type="dxa" w:w="2721"/>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5"/>
              </w:rPr>
              <w:t>相对路径、commit/hash、uv/pip lock</w:t>
            </w:r>
          </w:p>
        </w:tc>
      </w:tr>
      <w:tr>
        <w:trPr>
          <w:cantSplit/>
        </w:trPr>
        <w:tc>
          <w:tcPr>
            <w:tcW w:type="dxa" w:w="907"/>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5"/>
              </w:rPr>
              <w:t>中</w:t>
            </w:r>
          </w:p>
        </w:tc>
        <w:tc>
          <w:tcPr>
            <w:tcW w:type="dxa" w:w="2551"/>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5"/>
              </w:rPr>
              <w:t>tests</w:t>
            </w:r>
          </w:p>
        </w:tc>
        <w:tc>
          <w:tcPr>
            <w:tcW w:type="dxa" w:w="3458"/>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5"/>
              </w:rPr>
              <w:t>缺 raw→paper、full-fit、manifest、tie、视觉回归测试</w:t>
            </w:r>
          </w:p>
        </w:tc>
        <w:tc>
          <w:tcPr>
            <w:tcW w:type="dxa" w:w="2721"/>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5"/>
              </w:rPr>
              <w:t>加入集成和不变量测试</w:t>
            </w:r>
          </w:p>
        </w:tc>
      </w:tr>
    </w:tbl>
    <w:p>
      <w:pPr>
        <w:spacing w:after="0"/>
      </w:pPr>
    </w:p>
    <w:p>
      <w:pPr>
        <w:pStyle w:val="Heading2"/>
        <w:keepNext/>
      </w:pPr>
      <w:r>
        <w:t>6.3 推荐的模型工件协议</w:t>
      </w:r>
    </w:p>
    <w:tbl>
      <w:tblPr>
        <w:tblW w:type="auto" w:w="0"/>
        <w:jc w:val="center"/>
        <w:tblLayout w:type="fixed"/>
        <w:tblLook w:firstColumn="1" w:firstRow="1" w:lastColumn="0" w:lastRow="0" w:noHBand="0" w:noVBand="1" w:val="04A0"/>
      </w:tblPr>
      <w:tblGrid>
        <w:gridCol w:w="9752"/>
      </w:tblGrid>
      <w:tr>
        <w:tc>
          <w:tcPr>
            <w:tcW w:type="dxa" w:w="9639"/>
            <w:tcMar>
              <w:top w:w="120" w:type="dxa"/>
              <w:start w:w="150" w:type="dxa"/>
              <w:bottom w:w="120" w:type="dxa"/>
              <w:end w:w="150" w:type="dxa"/>
            </w:tcMar>
            <w:shd w:fill="F5F6F7"/>
          </w:tcPr>
          <w:p>
            <w:pPr>
              <w:keepNext w:val="0"/>
              <w:widowControl/>
              <w:spacing w:after="0" w:before="0" w:line="252" w:lineRule="auto"/>
            </w:pPr>
            <w:r>
              <w:rPr>
                <w:rFonts w:ascii="Consolas" w:hAnsi="Consolas" w:eastAsia="Consolas"/>
                <w:b w:val="0"/>
                <w:i w:val="0"/>
                <w:color w:val="28323A"/>
                <w:sz w:val="15"/>
              </w:rPr>
              <w:t>models/&lt;run&gt;/</w:t>
            </w:r>
            <w:r>
              <w:br/>
            </w:r>
            <w:r>
              <w:rPr>
                <w:rFonts w:ascii="Consolas" w:hAnsi="Consolas" w:eastAsia="Consolas"/>
                <w:b w:val="0"/>
                <w:i w:val="0"/>
                <w:color w:val="28323A"/>
                <w:sz w:val="15"/>
              </w:rPr>
              <w:t xml:space="preserve">  evaluation/</w:t>
            </w:r>
            <w:r>
              <w:br/>
            </w:r>
            <w:r>
              <w:rPr>
                <w:rFonts w:ascii="Consolas" w:hAnsi="Consolas" w:eastAsia="Consolas"/>
                <w:b w:val="0"/>
                <w:i w:val="0"/>
                <w:color w:val="28323A"/>
                <w:sz w:val="15"/>
              </w:rPr>
              <w:t xml:space="preserve">    spatial_cv_folds.csv</w:t>
            </w:r>
            <w:r>
              <w:br/>
            </w:r>
            <w:r>
              <w:rPr>
                <w:rFonts w:ascii="Consolas" w:hAnsi="Consolas" w:eastAsia="Consolas"/>
                <w:b w:val="0"/>
                <w:i w:val="0"/>
                <w:color w:val="28323A"/>
                <w:sz w:val="15"/>
              </w:rPr>
              <w:t xml:space="preserve">    spatial_cv_oof_predictions.csv</w:t>
            </w:r>
            <w:r>
              <w:br/>
            </w:r>
            <w:r>
              <w:rPr>
                <w:rFonts w:ascii="Consolas" w:hAnsi="Consolas" w:eastAsia="Consolas"/>
                <w:b w:val="0"/>
                <w:i w:val="0"/>
                <w:color w:val="28323A"/>
                <w:sz w:val="15"/>
              </w:rPr>
              <w:t xml:space="preserve">    split_diagnostic_classifier.joblib   # optional; never used for maps</w:t>
            </w:r>
            <w:r>
              <w:br/>
            </w:r>
            <w:r>
              <w:rPr>
                <w:rFonts w:ascii="Consolas" w:hAnsi="Consolas" w:eastAsia="Consolas"/>
                <w:b w:val="0"/>
                <w:i w:val="0"/>
                <w:color w:val="28323A"/>
                <w:sz w:val="15"/>
              </w:rPr>
              <w:t xml:space="preserve">  deployment/</w:t>
            </w:r>
            <w:r>
              <w:br/>
            </w:r>
            <w:r>
              <w:rPr>
                <w:rFonts w:ascii="Consolas" w:hAnsi="Consolas" w:eastAsia="Consolas"/>
                <w:b w:val="0"/>
                <w:i w:val="0"/>
                <w:color w:val="28323A"/>
                <w:sz w:val="15"/>
              </w:rPr>
              <w:t xml:space="preserve">    classifier_full.joblib               # fit_rows == n_cells</w:t>
            </w:r>
            <w:r>
              <w:br/>
            </w:r>
            <w:r>
              <w:rPr>
                <w:rFonts w:ascii="Consolas" w:hAnsi="Consolas" w:eastAsia="Consolas"/>
                <w:b w:val="0"/>
                <w:i w:val="0"/>
                <w:color w:val="28323A"/>
                <w:sz w:val="15"/>
              </w:rPr>
              <w:t xml:space="preserve">    regressor_full.joblib</w:t>
            </w:r>
            <w:r>
              <w:br/>
            </w:r>
            <w:r>
              <w:rPr>
                <w:rFonts w:ascii="Consolas" w:hAnsi="Consolas" w:eastAsia="Consolas"/>
                <w:b w:val="0"/>
                <w:i w:val="0"/>
                <w:color w:val="28323A"/>
                <w:sz w:val="15"/>
              </w:rPr>
              <w:t xml:space="preserve">    feature_columns.json</w:t>
            </w:r>
            <w:r>
              <w:br/>
            </w:r>
            <w:r>
              <w:rPr>
                <w:rFonts w:ascii="Consolas" w:hAnsi="Consolas" w:eastAsia="Consolas"/>
                <w:b w:val="0"/>
                <w:i w:val="0"/>
                <w:color w:val="28323A"/>
                <w:sz w:val="15"/>
              </w:rPr>
              <w:t xml:space="preserve">  run_manifest.json                      # role, fit_rows, H3 hash, data/config/code hashes</w:t>
            </w:r>
          </w:p>
        </w:tc>
      </w:tr>
    </w:tbl>
    <w:p>
      <w:pPr>
        <w:spacing w:after="0"/>
      </w:pPr>
    </w:p>
    <w:p>
      <w:pPr>
        <w:pStyle w:val="ListBullet"/>
        <w:keepNext w:val="0"/>
        <w:widowControl/>
        <w:spacing w:after="60" w:before="0" w:line="283" w:lineRule="auto"/>
      </w:pPr>
      <w:r>
        <w:rPr>
          <w:rFonts w:ascii="Microsoft YaHei" w:hAnsi="Microsoft YaHei" w:eastAsia="Microsoft YaHei"/>
          <w:b w:val="0"/>
          <w:i w:val="0"/>
          <w:color w:val="1F2933"/>
          <w:sz w:val="18"/>
        </w:rPr>
        <w:t>每个加载函数必须接受 expected_role；绘图/自适应要求 role=deployment_full，CV 汇总只读 evaluation。</w:t>
      </w:r>
    </w:p>
    <w:p>
      <w:pPr>
        <w:pStyle w:val="ListBullet"/>
        <w:keepNext w:val="0"/>
        <w:widowControl/>
        <w:spacing w:after="60" w:before="0" w:line="283" w:lineRule="auto"/>
      </w:pPr>
      <w:r>
        <w:rPr>
          <w:rFonts w:ascii="Microsoft YaHei" w:hAnsi="Microsoft YaHei" w:eastAsia="Microsoft YaHei"/>
          <w:b w:val="0"/>
          <w:i w:val="0"/>
          <w:color w:val="1F2933"/>
          <w:sz w:val="18"/>
        </w:rPr>
        <w:t>新增测试：保存模型在全部 X 上的 prediction 必须等于同配置独立 100% refit，且 manifest.fit_rows==n_cells。</w:t>
      </w:r>
    </w:p>
    <w:p>
      <w:pPr>
        <w:pStyle w:val="ListBullet"/>
        <w:keepNext w:val="0"/>
        <w:widowControl/>
        <w:spacing w:after="60" w:before="0" w:line="283" w:lineRule="auto"/>
      </w:pPr>
      <w:r>
        <w:rPr>
          <w:rFonts w:ascii="Microsoft YaHei" w:hAnsi="Microsoft YaHei" w:eastAsia="Microsoft YaHei"/>
          <w:b w:val="0"/>
          <w:i w:val="0"/>
          <w:color w:val="1F2933"/>
          <w:sz w:val="18"/>
        </w:rPr>
        <w:t>新增测试：production run 中 synthetic_count 或 null_count 非零立即失败。</w:t>
      </w:r>
    </w:p>
    <w:p>
      <w:pPr>
        <w:pStyle w:val="Heading2"/>
        <w:keepNext/>
      </w:pPr>
      <w:r>
        <w:t>6.4 评价设计局限</w:t>
      </w:r>
    </w:p>
    <w:p>
      <w:pPr>
        <w:pStyle w:val="ListBullet"/>
        <w:keepNext w:val="0"/>
        <w:widowControl/>
        <w:spacing w:after="60" w:before="0" w:line="283" w:lineRule="auto"/>
      </w:pPr>
      <w:r>
        <w:rPr>
          <w:rFonts w:ascii="Microsoft YaHei" w:hAnsi="Microsoft YaHei" w:eastAsia="Microsoft YaHei"/>
          <w:b w:val="0"/>
          <w:i w:val="0"/>
          <w:color w:val="1F2933"/>
          <w:sz w:val="18"/>
        </w:rPr>
        <w:t>空间分块比随机拆分更诚实，但相邻 R7 block 仍共享边界；未设置 spatial buffer，不能声称完全无空间泄漏。</w:t>
      </w:r>
    </w:p>
    <w:p>
      <w:pPr>
        <w:pStyle w:val="ListBullet"/>
        <w:keepNext w:val="0"/>
        <w:widowControl/>
        <w:spacing w:after="60" w:before="0" w:line="283" w:lineRule="auto"/>
      </w:pPr>
      <w:r>
        <w:rPr>
          <w:rFonts w:ascii="Microsoft YaHei" w:hAnsi="Microsoft YaHei" w:eastAsia="Microsoft YaHei"/>
          <w:b w:val="0"/>
          <w:i w:val="0"/>
          <w:color w:val="1F2933"/>
          <w:sz w:val="18"/>
        </w:rPr>
        <w:t>小范围仅 7 个 block/141 cells，折大小 21–49，方差大；扩展范围 28 blocks 更可信，但仍无外部城市/事件验证。</w:t>
      </w:r>
    </w:p>
    <w:p>
      <w:pPr>
        <w:pStyle w:val="ListBullet"/>
        <w:keepNext w:val="0"/>
        <w:widowControl/>
        <w:spacing w:after="60" w:before="0" w:line="283" w:lineRule="auto"/>
      </w:pPr>
      <w:r>
        <w:rPr>
          <w:rFonts w:ascii="Microsoft YaHei" w:hAnsi="Microsoft YaHei" w:eastAsia="Microsoft YaHei"/>
          <w:b w:val="0"/>
          <w:i w:val="0"/>
          <w:color w:val="1F2933"/>
          <w:sz w:val="18"/>
        </w:rPr>
        <w:t>k=3/R6 只有 3 groups，因此最多 3 folds；Table 8 caption 的“same five-fold protocol”错误。</w:t>
      </w:r>
    </w:p>
    <w:p>
      <w:pPr>
        <w:pStyle w:val="ListBullet"/>
        <w:keepNext w:val="0"/>
        <w:widowControl/>
        <w:spacing w:after="60" w:before="0" w:line="283" w:lineRule="auto"/>
      </w:pPr>
      <w:r>
        <w:rPr>
          <w:rFonts w:ascii="Microsoft YaHei" w:hAnsi="Microsoft YaHei" w:eastAsia="Microsoft YaHei"/>
          <w:b w:val="0"/>
          <w:i w:val="0"/>
          <w:color w:val="1F2933"/>
          <w:sz w:val="18"/>
        </w:rPr>
        <w:t>source ablation 只能说降低单一来源驱动的担忧，不能证明不存在 311 报告偏差、空间混杂或 DEP 预测面造成的循环。</w:t>
      </w:r>
    </w:p>
    <w:p>
      <w:pPr>
        <w:spacing w:after="0" w:before="40"/>
      </w:pPr>
    </w:p>
    <w:p>
      <w:pPr>
        <w:pStyle w:val="Heading1"/>
        <w:keepNext/>
      </w:pPr>
      <w:r>
        <w:t>7. 结果与模型的独立数值核验</w:t>
      </w:r>
    </w:p>
    <w:p>
      <w:pPr>
        <w:pStyle w:val="Heading2"/>
        <w:keepNext/>
      </w:pPr>
      <w:r>
        <w:t>7.1 保存模型身份实验</w:t>
      </w:r>
    </w:p>
    <w:tbl>
      <w:tblPr>
        <w:tblStyle w:val="TableGrid"/>
        <w:tblW w:type="auto" w:w="0"/>
        <w:jc w:val="center"/>
        <w:tblLayout w:type="fixed"/>
        <w:tblLook w:firstColumn="1" w:firstRow="1" w:lastColumn="0" w:lastRow="0" w:noHBand="0" w:noVBand="1" w:val="04A0"/>
      </w:tblPr>
      <w:tblGrid>
        <w:gridCol w:w="1950"/>
        <w:gridCol w:w="1950"/>
        <w:gridCol w:w="1950"/>
        <w:gridCol w:w="1950"/>
        <w:gridCol w:w="1950"/>
      </w:tblGrid>
      <w:tr>
        <w:trPr>
          <w:tblHeader w:val="true"/>
        </w:trPr>
        <w:tc>
          <w:tcPr>
            <w:tcW w:type="dxa" w:w="1190"/>
            <w:shd w:fill="17324D"/>
            <w:vAlign w:val="center"/>
            <w:tcMar>
              <w:top w:w="90" w:type="dxa"/>
              <w:start w:w="100" w:type="dxa"/>
              <w:bottom w:w="90" w:type="dxa"/>
              <w:end w:w="100" w:type="dxa"/>
            </w:tcMar>
          </w:tcPr>
          <w:p>
            <w:pPr>
              <w:keepNext w:val="0"/>
              <w:widowControl/>
              <w:spacing w:after="0" w:before="0" w:line="240" w:lineRule="auto"/>
              <w:jc w:val="center"/>
            </w:pPr>
            <w:r>
              <w:rPr>
                <w:rFonts w:ascii="Microsoft YaHei" w:hAnsi="Microsoft YaHei" w:eastAsia="Microsoft YaHei"/>
                <w:b/>
                <w:i w:val="0"/>
                <w:color w:val="FFFFFF"/>
                <w:sz w:val="16"/>
              </w:rPr>
              <w:t>数据</w:t>
            </w:r>
          </w:p>
        </w:tc>
        <w:tc>
          <w:tcPr>
            <w:tcW w:type="dxa" w:w="1814"/>
            <w:shd w:fill="17324D"/>
            <w:vAlign w:val="center"/>
            <w:tcMar>
              <w:top w:w="90" w:type="dxa"/>
              <w:start w:w="100" w:type="dxa"/>
              <w:bottom w:w="90" w:type="dxa"/>
              <w:end w:w="100" w:type="dxa"/>
            </w:tcMar>
          </w:tcPr>
          <w:p>
            <w:pPr>
              <w:keepNext w:val="0"/>
              <w:widowControl/>
              <w:spacing w:after="0" w:before="0" w:line="240" w:lineRule="auto"/>
              <w:jc w:val="center"/>
            </w:pPr>
            <w:r>
              <w:rPr>
                <w:rFonts w:ascii="Microsoft YaHei" w:hAnsi="Microsoft YaHei" w:eastAsia="Microsoft YaHei"/>
                <w:b/>
                <w:i w:val="0"/>
                <w:color w:val="FFFFFF"/>
                <w:sz w:val="16"/>
              </w:rPr>
              <w:t>80%/100% rows</w:t>
            </w:r>
          </w:p>
        </w:tc>
        <w:tc>
          <w:tcPr>
            <w:tcW w:type="dxa" w:w="2154"/>
            <w:shd w:fill="17324D"/>
            <w:vAlign w:val="center"/>
            <w:tcMar>
              <w:top w:w="90" w:type="dxa"/>
              <w:start w:w="100" w:type="dxa"/>
              <w:bottom w:w="90" w:type="dxa"/>
              <w:end w:w="100" w:type="dxa"/>
            </w:tcMar>
          </w:tcPr>
          <w:p>
            <w:pPr>
              <w:keepNext w:val="0"/>
              <w:widowControl/>
              <w:spacing w:after="0" w:before="0" w:line="240" w:lineRule="auto"/>
              <w:jc w:val="center"/>
            </w:pPr>
            <w:r>
              <w:rPr>
                <w:rFonts w:ascii="Microsoft YaHei" w:hAnsi="Microsoft YaHei" w:eastAsia="Microsoft YaHei"/>
                <w:b/>
                <w:i w:val="0"/>
                <w:color w:val="FFFFFF"/>
                <w:sz w:val="16"/>
              </w:rPr>
              <w:t>saved vs 80% proba</w:t>
            </w:r>
          </w:p>
        </w:tc>
        <w:tc>
          <w:tcPr>
            <w:tcW w:type="dxa" w:w="2268"/>
            <w:shd w:fill="17324D"/>
            <w:vAlign w:val="center"/>
            <w:tcMar>
              <w:top w:w="90" w:type="dxa"/>
              <w:start w:w="100" w:type="dxa"/>
              <w:bottom w:w="90" w:type="dxa"/>
              <w:end w:w="100" w:type="dxa"/>
            </w:tcMar>
          </w:tcPr>
          <w:p>
            <w:pPr>
              <w:keepNext w:val="0"/>
              <w:widowControl/>
              <w:spacing w:after="0" w:before="0" w:line="240" w:lineRule="auto"/>
              <w:jc w:val="center"/>
            </w:pPr>
            <w:r>
              <w:rPr>
                <w:rFonts w:ascii="Microsoft YaHei" w:hAnsi="Microsoft YaHei" w:eastAsia="Microsoft YaHei"/>
                <w:b/>
                <w:i w:val="0"/>
                <w:color w:val="FFFFFF"/>
                <w:sz w:val="16"/>
              </w:rPr>
              <w:t>saved vs 100% proba</w:t>
            </w:r>
          </w:p>
        </w:tc>
        <w:tc>
          <w:tcPr>
            <w:tcW w:type="dxa" w:w="2211"/>
            <w:shd w:fill="17324D"/>
            <w:vAlign w:val="center"/>
            <w:tcMar>
              <w:top w:w="90" w:type="dxa"/>
              <w:start w:w="100" w:type="dxa"/>
              <w:bottom w:w="90" w:type="dxa"/>
              <w:end w:w="100" w:type="dxa"/>
            </w:tcMar>
          </w:tcPr>
          <w:p>
            <w:pPr>
              <w:keepNext w:val="0"/>
              <w:widowControl/>
              <w:spacing w:after="0" w:before="0" w:line="240" w:lineRule="auto"/>
              <w:jc w:val="center"/>
            </w:pPr>
            <w:r>
              <w:rPr>
                <w:rFonts w:ascii="Microsoft YaHei" w:hAnsi="Microsoft YaHei" w:eastAsia="Microsoft YaHei"/>
                <w:b/>
                <w:i w:val="0"/>
                <w:color w:val="FFFFFF"/>
                <w:sz w:val="16"/>
              </w:rPr>
              <w:t>saved vs 100% reg</w:t>
            </w:r>
          </w:p>
        </w:tc>
      </w:tr>
      <w:tr>
        <w:trPr>
          <w:cantSplit/>
        </w:trPr>
        <w:tc>
          <w:tcPr>
            <w:tcW w:type="dxa" w:w="1190"/>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LM</w:t>
            </w:r>
          </w:p>
        </w:tc>
        <w:tc>
          <w:tcPr>
            <w:tcW w:type="dxa" w:w="1814"/>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112/141</w:t>
            </w:r>
          </w:p>
        </w:tc>
        <w:tc>
          <w:tcPr>
            <w:tcW w:type="dxa" w:w="2154"/>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0.0</w:t>
            </w:r>
          </w:p>
        </w:tc>
        <w:tc>
          <w:tcPr>
            <w:tcW w:type="dxa" w:w="2268"/>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0.819</w:t>
            </w:r>
          </w:p>
        </w:tc>
        <w:tc>
          <w:tcPr>
            <w:tcW w:type="dxa" w:w="2211"/>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0.736</w:t>
            </w:r>
          </w:p>
        </w:tc>
      </w:tr>
      <w:tr>
        <w:trPr>
          <w:cantSplit/>
        </w:trPr>
        <w:tc>
          <w:tcPr>
            <w:tcW w:type="dxa" w:w="1190"/>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Expanded</w:t>
            </w:r>
          </w:p>
        </w:tc>
        <w:tc>
          <w:tcPr>
            <w:tcW w:type="dxa" w:w="1814"/>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764/956</w:t>
            </w:r>
          </w:p>
        </w:tc>
        <w:tc>
          <w:tcPr>
            <w:tcW w:type="dxa" w:w="2154"/>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0.0</w:t>
            </w:r>
          </w:p>
        </w:tc>
        <w:tc>
          <w:tcPr>
            <w:tcW w:type="dxa" w:w="2268"/>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0.718</w:t>
            </w:r>
          </w:p>
        </w:tc>
        <w:tc>
          <w:tcPr>
            <w:tcW w:type="dxa" w:w="2211"/>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0.605</w:t>
            </w:r>
          </w:p>
        </w:tc>
      </w:tr>
    </w:tbl>
    <w:p>
      <w:pPr>
        <w:spacing w:after="0"/>
      </w:pPr>
    </w:p>
    <w:p>
      <w:pPr>
        <w:keepNext w:val="0"/>
        <w:widowControl/>
        <w:spacing w:after="100" w:before="0" w:line="300" w:lineRule="auto"/>
      </w:pPr>
      <w:r>
        <w:rPr>
          <w:rFonts w:ascii="Microsoft YaHei" w:hAnsi="Microsoft YaHei" w:eastAsia="Microsoft YaHei"/>
          <w:b w:val="0"/>
          <w:i w:val="0"/>
          <w:color w:val="1F2933"/>
          <w:sz w:val="19"/>
        </w:rPr>
        <w:t>saved vs 80% 差为 0 是决定性证据：当前保存模型就是 split 后的训练子集模型。saved vs 100% 的大差异说明问题不是数值噪声或序列化差异。</w:t>
      </w:r>
    </w:p>
    <w:p>
      <w:pPr>
        <w:pStyle w:val="Heading2"/>
        <w:keepNext/>
      </w:pPr>
      <w:r>
        <w:t>7.2 空间 CV 可复算性</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2324"/>
            <w:shd w:fill="17324D"/>
            <w:vAlign w:val="center"/>
            <w:tcMar>
              <w:top w:w="90" w:type="dxa"/>
              <w:start w:w="100" w:type="dxa"/>
              <w:bottom w:w="90" w:type="dxa"/>
              <w:end w:w="100" w:type="dxa"/>
            </w:tcMar>
          </w:tcPr>
          <w:p>
            <w:pPr>
              <w:keepNext w:val="0"/>
              <w:widowControl/>
              <w:spacing w:after="0" w:before="0" w:line="240" w:lineRule="auto"/>
              <w:jc w:val="center"/>
            </w:pPr>
            <w:r>
              <w:rPr>
                <w:rFonts w:ascii="Microsoft YaHei" w:hAnsi="Microsoft YaHei" w:eastAsia="Microsoft YaHei"/>
                <w:b/>
                <w:i w:val="0"/>
                <w:color w:val="FFFFFF"/>
                <w:sz w:val="16"/>
              </w:rPr>
              <w:t>检查</w:t>
            </w:r>
          </w:p>
        </w:tc>
        <w:tc>
          <w:tcPr>
            <w:tcW w:type="dxa" w:w="2324"/>
            <w:shd w:fill="17324D"/>
            <w:vAlign w:val="center"/>
            <w:tcMar>
              <w:top w:w="90" w:type="dxa"/>
              <w:start w:w="100" w:type="dxa"/>
              <w:bottom w:w="90" w:type="dxa"/>
              <w:end w:w="100" w:type="dxa"/>
            </w:tcMar>
          </w:tcPr>
          <w:p>
            <w:pPr>
              <w:keepNext w:val="0"/>
              <w:widowControl/>
              <w:spacing w:after="0" w:before="0" w:line="240" w:lineRule="auto"/>
              <w:jc w:val="center"/>
            </w:pPr>
            <w:r>
              <w:rPr>
                <w:rFonts w:ascii="Microsoft YaHei" w:hAnsi="Microsoft YaHei" w:eastAsia="Microsoft YaHei"/>
                <w:b/>
                <w:i w:val="0"/>
                <w:color w:val="FFFFFF"/>
                <w:sz w:val="16"/>
              </w:rPr>
              <w:t>LM</w:t>
            </w:r>
          </w:p>
        </w:tc>
        <w:tc>
          <w:tcPr>
            <w:tcW w:type="dxa" w:w="2324"/>
            <w:shd w:fill="17324D"/>
            <w:vAlign w:val="center"/>
            <w:tcMar>
              <w:top w:w="90" w:type="dxa"/>
              <w:start w:w="100" w:type="dxa"/>
              <w:bottom w:w="90" w:type="dxa"/>
              <w:end w:w="100" w:type="dxa"/>
            </w:tcMar>
          </w:tcPr>
          <w:p>
            <w:pPr>
              <w:keepNext w:val="0"/>
              <w:widowControl/>
              <w:spacing w:after="0" w:before="0" w:line="240" w:lineRule="auto"/>
              <w:jc w:val="center"/>
            </w:pPr>
            <w:r>
              <w:rPr>
                <w:rFonts w:ascii="Microsoft YaHei" w:hAnsi="Microsoft YaHei" w:eastAsia="Microsoft YaHei"/>
                <w:b/>
                <w:i w:val="0"/>
                <w:color w:val="FFFFFF"/>
                <w:sz w:val="16"/>
              </w:rPr>
              <w:t>Expanded</w:t>
            </w:r>
          </w:p>
        </w:tc>
        <w:tc>
          <w:tcPr>
            <w:tcW w:type="dxa" w:w="2664"/>
            <w:shd w:fill="17324D"/>
            <w:vAlign w:val="center"/>
            <w:tcMar>
              <w:top w:w="90" w:type="dxa"/>
              <w:start w:w="100" w:type="dxa"/>
              <w:bottom w:w="90" w:type="dxa"/>
              <w:end w:w="100" w:type="dxa"/>
            </w:tcMar>
          </w:tcPr>
          <w:p>
            <w:pPr>
              <w:keepNext w:val="0"/>
              <w:widowControl/>
              <w:spacing w:after="0" w:before="0" w:line="240" w:lineRule="auto"/>
              <w:jc w:val="center"/>
            </w:pPr>
            <w:r>
              <w:rPr>
                <w:rFonts w:ascii="Microsoft YaHei" w:hAnsi="Microsoft YaHei" w:eastAsia="Microsoft YaHei"/>
                <w:b/>
                <w:i w:val="0"/>
                <w:color w:val="FFFFFF"/>
                <w:sz w:val="16"/>
              </w:rPr>
              <w:t>判定</w:t>
            </w:r>
          </w:p>
        </w:tc>
      </w:tr>
      <w:tr>
        <w:trPr>
          <w:cantSplit/>
        </w:trPr>
        <w:tc>
          <w:tcPr>
            <w:tcW w:type="dxa" w:w="2324"/>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OOF 行数/重复</w:t>
            </w:r>
          </w:p>
        </w:tc>
        <w:tc>
          <w:tcPr>
            <w:tcW w:type="dxa" w:w="2324"/>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141 / 0</w:t>
            </w:r>
          </w:p>
        </w:tc>
        <w:tc>
          <w:tcPr>
            <w:tcW w:type="dxa" w:w="2324"/>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956 / 0</w:t>
            </w:r>
          </w:p>
        </w:tc>
        <w:tc>
          <w:tcPr>
            <w:tcW w:type="dxa" w:w="2664"/>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通过</w:t>
            </w:r>
          </w:p>
        </w:tc>
      </w:tr>
      <w:tr>
        <w:trPr>
          <w:cantSplit/>
        </w:trPr>
        <w:tc>
          <w:tcPr>
            <w:tcW w:type="dxa" w:w="2324"/>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y_true 与处理表错配</w:t>
            </w:r>
          </w:p>
        </w:tc>
        <w:tc>
          <w:tcPr>
            <w:tcW w:type="dxa" w:w="2324"/>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0</w:t>
            </w:r>
          </w:p>
        </w:tc>
        <w:tc>
          <w:tcPr>
            <w:tcW w:type="dxa" w:w="2324"/>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0</w:t>
            </w:r>
          </w:p>
        </w:tc>
        <w:tc>
          <w:tcPr>
            <w:tcW w:type="dxa" w:w="2664"/>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通过</w:t>
            </w:r>
          </w:p>
        </w:tc>
      </w:tr>
      <w:tr>
        <w:trPr>
          <w:cantSplit/>
        </w:trPr>
        <w:tc>
          <w:tcPr>
            <w:tcW w:type="dxa" w:w="2324"/>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pooled ROC-AUC</w:t>
            </w:r>
          </w:p>
        </w:tc>
        <w:tc>
          <w:tcPr>
            <w:tcW w:type="dxa" w:w="2324"/>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0.779748284</w:t>
            </w:r>
          </w:p>
        </w:tc>
        <w:tc>
          <w:tcPr>
            <w:tcW w:type="dxa" w:w="2324"/>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0.883398126</w:t>
            </w:r>
          </w:p>
        </w:tc>
        <w:tc>
          <w:tcPr>
            <w:tcW w:type="dxa" w:w="2664"/>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与 metadata 一致</w:t>
            </w:r>
          </w:p>
        </w:tc>
      </w:tr>
      <w:tr>
        <w:trPr>
          <w:cantSplit/>
        </w:trPr>
        <w:tc>
          <w:tcPr>
            <w:tcW w:type="dxa" w:w="2324"/>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pooled AP</w:t>
            </w:r>
          </w:p>
        </w:tc>
        <w:tc>
          <w:tcPr>
            <w:tcW w:type="dxa" w:w="2324"/>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0.804805150</w:t>
            </w:r>
          </w:p>
        </w:tc>
        <w:tc>
          <w:tcPr>
            <w:tcW w:type="dxa" w:w="2324"/>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0.812127284</w:t>
            </w:r>
          </w:p>
        </w:tc>
        <w:tc>
          <w:tcPr>
            <w:tcW w:type="dxa" w:w="2664"/>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与 metadata 一致</w:t>
            </w:r>
          </w:p>
        </w:tc>
      </w:tr>
      <w:tr>
        <w:trPr>
          <w:cantSplit/>
        </w:trPr>
        <w:tc>
          <w:tcPr>
            <w:tcW w:type="dxa" w:w="2324"/>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fold accuracy mean</w:t>
            </w:r>
          </w:p>
        </w:tc>
        <w:tc>
          <w:tcPr>
            <w:tcW w:type="dxa" w:w="2324"/>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0.781432282</w:t>
            </w:r>
          </w:p>
        </w:tc>
        <w:tc>
          <w:tcPr>
            <w:tcW w:type="dxa" w:w="2324"/>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0.821259857</w:t>
            </w:r>
          </w:p>
        </w:tc>
        <w:tc>
          <w:tcPr>
            <w:tcW w:type="dxa" w:w="2664"/>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与 metadata 一致</w:t>
            </w:r>
          </w:p>
        </w:tc>
      </w:tr>
      <w:tr>
        <w:trPr>
          <w:cantSplit/>
        </w:trPr>
        <w:tc>
          <w:tcPr>
            <w:tcW w:type="dxa" w:w="2324"/>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fold R² mean</w:t>
            </w:r>
          </w:p>
        </w:tc>
        <w:tc>
          <w:tcPr>
            <w:tcW w:type="dxa" w:w="2324"/>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0.048051827</w:t>
            </w:r>
          </w:p>
        </w:tc>
        <w:tc>
          <w:tcPr>
            <w:tcW w:type="dxa" w:w="2324"/>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0.333493858</w:t>
            </w:r>
          </w:p>
        </w:tc>
        <w:tc>
          <w:tcPr>
            <w:tcW w:type="dxa" w:w="2664"/>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与 metadata 一致</w:t>
            </w:r>
          </w:p>
        </w:tc>
      </w:tr>
    </w:tbl>
    <w:p>
      <w:pPr>
        <w:spacing w:after="0"/>
      </w:pPr>
    </w:p>
    <w:p>
      <w:pPr>
        <w:keepNext w:val="0"/>
        <w:widowControl/>
        <w:spacing w:after="100" w:before="0" w:line="300" w:lineRule="auto"/>
      </w:pPr>
      <w:r>
        <w:rPr>
          <w:rFonts w:ascii="Microsoft YaHei" w:hAnsi="Microsoft YaHei" w:eastAsia="Microsoft YaHei"/>
          <w:b w:val="0"/>
          <w:i w:val="0"/>
          <w:color w:val="1F2933"/>
          <w:sz w:val="19"/>
        </w:rPr>
        <w:t>注：metadata 的 pr_auc 实际是 sklearn average_precision_score，论文写 AP 是正确的；代码字段建议改名 pooled_average_precision，避免与梯形积分 PR-AUC 混淆。</w:t>
      </w:r>
    </w:p>
    <w:p>
      <w:pPr>
        <w:pStyle w:val="Heading2"/>
        <w:keepNext/>
      </w:pPr>
      <w:r>
        <w:t>7.3 尺度诊断的再解释</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2551"/>
            <w:shd w:fill="17324D"/>
            <w:vAlign w:val="center"/>
            <w:tcMar>
              <w:top w:w="90" w:type="dxa"/>
              <w:start w:w="100" w:type="dxa"/>
              <w:bottom w:w="90" w:type="dxa"/>
              <w:end w:w="100" w:type="dxa"/>
            </w:tcMar>
          </w:tcPr>
          <w:p>
            <w:pPr>
              <w:keepNext w:val="0"/>
              <w:widowControl/>
              <w:spacing w:after="0" w:before="0" w:line="240" w:lineRule="auto"/>
              <w:jc w:val="center"/>
            </w:pPr>
            <w:r>
              <w:rPr>
                <w:rFonts w:ascii="Microsoft YaHei" w:hAnsi="Microsoft YaHei" w:eastAsia="Microsoft YaHei"/>
                <w:b/>
                <w:i w:val="0"/>
                <w:color w:val="FFFFFF"/>
                <w:sz w:val="16"/>
              </w:rPr>
              <w:t>量</w:t>
            </w:r>
          </w:p>
        </w:tc>
        <w:tc>
          <w:tcPr>
            <w:tcW w:type="dxa" w:w="2381"/>
            <w:shd w:fill="17324D"/>
            <w:vAlign w:val="center"/>
            <w:tcMar>
              <w:top w:w="90" w:type="dxa"/>
              <w:start w:w="100" w:type="dxa"/>
              <w:bottom w:w="90" w:type="dxa"/>
              <w:end w:w="100" w:type="dxa"/>
            </w:tcMar>
          </w:tcPr>
          <w:p>
            <w:pPr>
              <w:keepNext w:val="0"/>
              <w:widowControl/>
              <w:spacing w:after="0" w:before="0" w:line="240" w:lineRule="auto"/>
              <w:jc w:val="center"/>
            </w:pPr>
            <w:r>
              <w:rPr>
                <w:rFonts w:ascii="Microsoft YaHei" w:hAnsi="Microsoft YaHei" w:eastAsia="Microsoft YaHei"/>
                <w:b/>
                <w:i w:val="0"/>
                <w:color w:val="FFFFFF"/>
                <w:sz w:val="16"/>
              </w:rPr>
              <w:t>值</w:t>
            </w:r>
          </w:p>
        </w:tc>
        <w:tc>
          <w:tcPr>
            <w:tcW w:type="dxa" w:w="4706"/>
            <w:shd w:fill="17324D"/>
            <w:vAlign w:val="center"/>
            <w:tcMar>
              <w:top w:w="90" w:type="dxa"/>
              <w:start w:w="100" w:type="dxa"/>
              <w:bottom w:w="90" w:type="dxa"/>
              <w:end w:w="100" w:type="dxa"/>
            </w:tcMar>
          </w:tcPr>
          <w:p>
            <w:pPr>
              <w:keepNext w:val="0"/>
              <w:widowControl/>
              <w:spacing w:after="0" w:before="0" w:line="240" w:lineRule="auto"/>
              <w:jc w:val="center"/>
            </w:pPr>
            <w:r>
              <w:rPr>
                <w:rFonts w:ascii="Microsoft YaHei" w:hAnsi="Microsoft YaHei" w:eastAsia="Microsoft YaHei"/>
                <w:b/>
                <w:i w:val="0"/>
                <w:color w:val="FFFFFF"/>
                <w:sz w:val="16"/>
              </w:rPr>
              <w:t>含义</w:t>
            </w:r>
          </w:p>
        </w:tc>
      </w:tr>
      <w:tr>
        <w:trPr>
          <w:cantSplit/>
        </w:trPr>
        <w:tc>
          <w:tcPr>
            <w:tcW w:type="dxa" w:w="2551"/>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R10 total / top-k</w:t>
            </w:r>
          </w:p>
        </w:tc>
        <w:tc>
          <w:tcPr>
            <w:tcW w:type="dxa" w:w="2381"/>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991 / 99</w:t>
            </w:r>
          </w:p>
        </w:tc>
        <w:tc>
          <w:tcPr>
            <w:tcW w:type="dxa" w:w="4706"/>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名义 10%</w:t>
            </w:r>
          </w:p>
        </w:tc>
      </w:tr>
      <w:tr>
        <w:trPr>
          <w:cantSplit/>
        </w:trPr>
        <w:tc>
          <w:tcPr>
            <w:tcW w:type="dxa" w:w="2551"/>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top-k threshold</w:t>
            </w:r>
          </w:p>
        </w:tc>
        <w:tc>
          <w:tcPr>
            <w:tcW w:type="dxa" w:w="2381"/>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1.0</w:t>
            </w:r>
          </w:p>
        </w:tc>
        <w:tc>
          <w:tcPr>
            <w:tcW w:type="dxa" w:w="4706"/>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最高分即阈值</w:t>
            </w:r>
          </w:p>
        </w:tc>
      </w:tr>
      <w:tr>
        <w:trPr>
          <w:cantSplit/>
        </w:trPr>
        <w:tc>
          <w:tcPr>
            <w:tcW w:type="dxa" w:w="2551"/>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tied at threshold</w:t>
            </w:r>
          </w:p>
        </w:tc>
        <w:tc>
          <w:tcPr>
            <w:tcW w:type="dxa" w:w="2381"/>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149</w:t>
            </w:r>
          </w:p>
        </w:tc>
        <w:tc>
          <w:tcPr>
            <w:tcW w:type="dxa" w:w="4706"/>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149 个候选中任取 99</w:t>
            </w:r>
          </w:p>
        </w:tc>
      </w:tr>
      <w:tr>
        <w:trPr>
          <w:cantSplit/>
        </w:trPr>
        <w:tc>
          <w:tcPr>
            <w:tcW w:type="dxa" w:w="2551"/>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projected fine parents R9 / coarse set</w:t>
            </w:r>
          </w:p>
        </w:tc>
        <w:tc>
          <w:tcPr>
            <w:tcW w:type="dxa" w:w="2381"/>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56 / 16</w:t>
            </w:r>
          </w:p>
        </w:tc>
        <w:tc>
          <w:tcPr>
            <w:tcW w:type="dxa" w:w="4706"/>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空间支持比 3.5</w:t>
            </w:r>
          </w:p>
        </w:tc>
      </w:tr>
      <w:tr>
        <w:trPr>
          <w:cantSplit/>
        </w:trPr>
        <w:tc>
          <w:tcPr>
            <w:tcW w:type="dxa" w:w="2551"/>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projected fine parents R8 / coarse set</w:t>
            </w:r>
          </w:p>
        </w:tc>
        <w:tc>
          <w:tcPr>
            <w:tcW w:type="dxa" w:w="2381"/>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17 / 3</w:t>
            </w:r>
          </w:p>
        </w:tc>
        <w:tc>
          <w:tcPr>
            <w:tcW w:type="dxa" w:w="4706"/>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空间支持比 5.67</w:t>
            </w:r>
          </w:p>
        </w:tc>
      </w:tr>
    </w:tbl>
    <w:p>
      <w:pPr>
        <w:spacing w:after="0"/>
      </w:pPr>
    </w:p>
    <w:p>
      <w:pPr>
        <w:keepNext w:val="0"/>
        <w:widowControl/>
        <w:spacing w:after="100" w:before="0" w:line="300" w:lineRule="auto"/>
      </w:pPr>
      <w:r>
        <w:rPr>
          <w:rFonts w:ascii="Microsoft YaHei" w:hAnsi="Microsoft YaHei" w:eastAsia="Microsoft YaHei"/>
          <w:b w:val="0"/>
          <w:i w:val="0"/>
          <w:color w:val="1F2933"/>
          <w:sz w:val="19"/>
        </w:rPr>
        <w:t>所以当前 Jaccard 数值虽然可由代码得到，但其科学解释不是稳定的‘尺度损失’，而是特定 tie-break 和不等支持预算下的集合重叠。表和图应在方法修复后重算。</w:t>
      </w:r>
    </w:p>
    <w:p>
      <w:pPr>
        <w:spacing w:after="0" w:before="40"/>
      </w:pPr>
    </w:p>
    <w:p>
      <w:pPr>
        <w:pStyle w:val="Heading1"/>
        <w:keepNext/>
      </w:pPr>
      <w:r>
        <w:t>8. 图片—数据—文字的逐图审查</w:t>
      </w:r>
    </w:p>
    <w:p>
      <w:pPr>
        <w:pStyle w:val="Heading2"/>
        <w:keepNext/>
      </w:pPr>
      <w:r>
        <w:t>8.1 图表对应性总表</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1701"/>
            <w:shd w:fill="17324D"/>
            <w:vAlign w:val="center"/>
            <w:tcMar>
              <w:top w:w="90" w:type="dxa"/>
              <w:start w:w="100" w:type="dxa"/>
              <w:bottom w:w="90" w:type="dxa"/>
              <w:end w:w="100" w:type="dxa"/>
            </w:tcMar>
          </w:tcPr>
          <w:p>
            <w:pPr>
              <w:keepNext w:val="0"/>
              <w:widowControl/>
              <w:spacing w:after="0" w:before="0" w:line="240" w:lineRule="auto"/>
              <w:jc w:val="center"/>
            </w:pPr>
            <w:r>
              <w:rPr>
                <w:rFonts w:ascii="Microsoft YaHei" w:hAnsi="Microsoft YaHei" w:eastAsia="Microsoft YaHei"/>
                <w:b/>
                <w:i w:val="0"/>
                <w:color w:val="FFFFFF"/>
                <w:sz w:val="16"/>
              </w:rPr>
              <w:t>图</w:t>
            </w:r>
          </w:p>
        </w:tc>
        <w:tc>
          <w:tcPr>
            <w:tcW w:type="dxa" w:w="2608"/>
            <w:shd w:fill="17324D"/>
            <w:vAlign w:val="center"/>
            <w:tcMar>
              <w:top w:w="90" w:type="dxa"/>
              <w:start w:w="100" w:type="dxa"/>
              <w:bottom w:w="90" w:type="dxa"/>
              <w:end w:w="100" w:type="dxa"/>
            </w:tcMar>
          </w:tcPr>
          <w:p>
            <w:pPr>
              <w:keepNext w:val="0"/>
              <w:widowControl/>
              <w:spacing w:after="0" w:before="0" w:line="240" w:lineRule="auto"/>
              <w:jc w:val="center"/>
            </w:pPr>
            <w:r>
              <w:rPr>
                <w:rFonts w:ascii="Microsoft YaHei" w:hAnsi="Microsoft YaHei" w:eastAsia="Microsoft YaHei"/>
                <w:b/>
                <w:i w:val="0"/>
                <w:color w:val="FFFFFF"/>
                <w:sz w:val="16"/>
              </w:rPr>
              <w:t>数据逻辑</w:t>
            </w:r>
          </w:p>
        </w:tc>
        <w:tc>
          <w:tcPr>
            <w:tcW w:type="dxa" w:w="1247"/>
            <w:shd w:fill="17324D"/>
            <w:vAlign w:val="center"/>
            <w:tcMar>
              <w:top w:w="90" w:type="dxa"/>
              <w:start w:w="100" w:type="dxa"/>
              <w:bottom w:w="90" w:type="dxa"/>
              <w:end w:w="100" w:type="dxa"/>
            </w:tcMar>
          </w:tcPr>
          <w:p>
            <w:pPr>
              <w:keepNext w:val="0"/>
              <w:widowControl/>
              <w:spacing w:after="0" w:before="0" w:line="240" w:lineRule="auto"/>
              <w:jc w:val="center"/>
            </w:pPr>
            <w:r>
              <w:rPr>
                <w:rFonts w:ascii="Microsoft YaHei" w:hAnsi="Microsoft YaHei" w:eastAsia="Microsoft YaHei"/>
                <w:b/>
                <w:i w:val="0"/>
                <w:color w:val="FFFFFF"/>
                <w:sz w:val="16"/>
              </w:rPr>
              <w:t>状态</w:t>
            </w:r>
          </w:p>
        </w:tc>
        <w:tc>
          <w:tcPr>
            <w:tcW w:type="dxa" w:w="4082"/>
            <w:shd w:fill="17324D"/>
            <w:vAlign w:val="center"/>
            <w:tcMar>
              <w:top w:w="90" w:type="dxa"/>
              <w:start w:w="100" w:type="dxa"/>
              <w:bottom w:w="90" w:type="dxa"/>
              <w:end w:w="100" w:type="dxa"/>
            </w:tcMar>
          </w:tcPr>
          <w:p>
            <w:pPr>
              <w:keepNext w:val="0"/>
              <w:widowControl/>
              <w:spacing w:after="0" w:before="0" w:line="240" w:lineRule="auto"/>
              <w:jc w:val="center"/>
            </w:pPr>
            <w:r>
              <w:rPr>
                <w:rFonts w:ascii="Microsoft YaHei" w:hAnsi="Microsoft YaHei" w:eastAsia="Microsoft YaHei"/>
                <w:b/>
                <w:i w:val="0"/>
                <w:color w:val="FFFFFF"/>
                <w:sz w:val="16"/>
              </w:rPr>
              <w:t>修改要求</w:t>
            </w:r>
          </w:p>
        </w:tc>
      </w:tr>
      <w:tr>
        <w:trPr>
          <w:cantSplit/>
        </w:trPr>
        <w:tc>
          <w:tcPr>
            <w:tcW w:type="dxa" w:w="1701"/>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5"/>
              </w:rPr>
              <w:t>Fig.1 workflow</w:t>
            </w:r>
          </w:p>
        </w:tc>
        <w:tc>
          <w:tcPr>
            <w:tcW w:type="dxa" w:w="2608"/>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5"/>
              </w:rPr>
              <w:t>当前代码流程基本对应</w:t>
            </w:r>
          </w:p>
        </w:tc>
        <w:tc>
          <w:tcPr>
            <w:tcW w:type="dxa" w:w="1247"/>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5"/>
              </w:rPr>
              <w:t>PASS/改字</w:t>
            </w:r>
          </w:p>
        </w:tc>
        <w:tc>
          <w:tcPr>
            <w:tcW w:type="dxa" w:w="4082"/>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5"/>
              </w:rPr>
              <w:t>把 rainfall-conditioned 改为 rainfall hook；明确 full deployment model 与 CV 分离</w:t>
            </w:r>
          </w:p>
        </w:tc>
      </w:tr>
      <w:tr>
        <w:trPr>
          <w:cantSplit/>
        </w:trPr>
        <w:tc>
          <w:tcPr>
            <w:tcW w:type="dxa" w:w="1701"/>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5"/>
              </w:rPr>
              <w:t>Fig.2 spatial maps</w:t>
            </w:r>
          </w:p>
        </w:tc>
        <w:tc>
          <w:tcPr>
            <w:tcW w:type="dxa" w:w="2608"/>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5"/>
              </w:rPr>
              <w:t>a=target；b=OOF；c=保存模型</w:t>
            </w:r>
          </w:p>
        </w:tc>
        <w:tc>
          <w:tcPr>
            <w:tcW w:type="dxa" w:w="1247"/>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5"/>
              </w:rPr>
              <w:t>FAIL</w:t>
            </w:r>
          </w:p>
        </w:tc>
        <w:tc>
          <w:tcPr>
            <w:tcW w:type="dxa" w:w="4082"/>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5"/>
              </w:rPr>
              <w:t>c 不是 all-cell full-fit；修复模型后重画并更新统计/图注</w:t>
            </w:r>
          </w:p>
        </w:tc>
      </w:tr>
      <w:tr>
        <w:trPr>
          <w:cantSplit/>
        </w:trPr>
        <w:tc>
          <w:tcPr>
            <w:tcW w:type="dxa" w:w="1701"/>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5"/>
              </w:rPr>
              <w:t>Fig.3 source maps</w:t>
            </w:r>
          </w:p>
        </w:tc>
        <w:tc>
          <w:tcPr>
            <w:tcW w:type="dxa" w:w="2608"/>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5"/>
              </w:rPr>
              <w:t>DEP/311/HWM/max 规则对应</w:t>
            </w:r>
          </w:p>
        </w:tc>
        <w:tc>
          <w:tcPr>
            <w:tcW w:type="dxa" w:w="1247"/>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5"/>
              </w:rPr>
              <w:t>PASS/来源风险</w:t>
            </w:r>
          </w:p>
        </w:tc>
        <w:tc>
          <w:tcPr>
            <w:tcW w:type="dxa" w:w="4082"/>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5"/>
              </w:rPr>
              <w:t>HWM 在 LM 为 0 与数据一致；端点身份及 target 命名需改</w:t>
            </w:r>
          </w:p>
        </w:tc>
      </w:tr>
      <w:tr>
        <w:trPr>
          <w:cantSplit/>
        </w:trPr>
        <w:tc>
          <w:tcPr>
            <w:tcW w:type="dxa" w:w="1701"/>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5"/>
              </w:rPr>
              <w:t>Fig.4 spatial CV</w:t>
            </w:r>
          </w:p>
        </w:tc>
        <w:tc>
          <w:tcPr>
            <w:tcW w:type="dxa" w:w="2608"/>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5"/>
              </w:rPr>
              <w:t>折分数据对应</w:t>
            </w:r>
          </w:p>
        </w:tc>
        <w:tc>
          <w:tcPr>
            <w:tcW w:type="dxa" w:w="1247"/>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5"/>
              </w:rPr>
              <w:t>VISUAL FAIL</w:t>
            </w:r>
          </w:p>
        </w:tc>
        <w:tc>
          <w:tcPr>
            <w:tcW w:type="dxa" w:w="4082"/>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5"/>
              </w:rPr>
              <w:t>底部 n/prevalence 注释被裁切/与图例冲突；增大 bottom margin 或移入面板</w:t>
            </w:r>
          </w:p>
        </w:tc>
      </w:tr>
      <w:tr>
        <w:trPr>
          <w:cantSplit/>
        </w:trPr>
        <w:tc>
          <w:tcPr>
            <w:tcW w:type="dxa" w:w="1701"/>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5"/>
              </w:rPr>
              <w:t>Fig.5 multi-resolution</w:t>
            </w:r>
          </w:p>
        </w:tc>
        <w:tc>
          <w:tcPr>
            <w:tcW w:type="dxa" w:w="2608"/>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5"/>
              </w:rPr>
              <w:t>R10→R9/R8 mean 表面对应</w:t>
            </w:r>
          </w:p>
        </w:tc>
        <w:tc>
          <w:tcPr>
            <w:tcW w:type="dxa" w:w="1247"/>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5"/>
              </w:rPr>
              <w:t>PASS/解释风险</w:t>
            </w:r>
          </w:p>
        </w:tc>
        <w:tc>
          <w:tcPr>
            <w:tcW w:type="dxa" w:w="4082"/>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5"/>
              </w:rPr>
              <w:t>图本身可重生；不要由其推出稳健 hotspot budget</w:t>
            </w:r>
          </w:p>
        </w:tc>
      </w:tr>
      <w:tr>
        <w:trPr>
          <w:cantSplit/>
        </w:trPr>
        <w:tc>
          <w:tcPr>
            <w:tcW w:type="dxa" w:w="1701"/>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5"/>
              </w:rPr>
              <w:t>Fig.6 resolution effects</w:t>
            </w:r>
          </w:p>
        </w:tc>
        <w:tc>
          <w:tcPr>
            <w:tcW w:type="dxa" w:w="2608"/>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5"/>
              </w:rPr>
              <w:t>CSV 数值对应</w:t>
            </w:r>
          </w:p>
        </w:tc>
        <w:tc>
          <w:tcPr>
            <w:tcW w:type="dxa" w:w="1247"/>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5"/>
              </w:rPr>
              <w:t>FAIL/方法</w:t>
            </w:r>
          </w:p>
        </w:tc>
        <w:tc>
          <w:tcPr>
            <w:tcW w:type="dxa" w:w="4082"/>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5"/>
              </w:rPr>
              <w:t>tie 与不等空间支持使 Jaccard 解释失效，方法修复后重画</w:t>
            </w:r>
          </w:p>
        </w:tc>
      </w:tr>
      <w:tr>
        <w:trPr>
          <w:cantSplit/>
        </w:trPr>
        <w:tc>
          <w:tcPr>
            <w:tcW w:type="dxa" w:w="1701"/>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5"/>
              </w:rPr>
              <w:t>Fig.S1 Jaccard</w:t>
            </w:r>
          </w:p>
        </w:tc>
        <w:tc>
          <w:tcPr>
            <w:tcW w:type="dxa" w:w="2608"/>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5"/>
              </w:rPr>
              <w:t>CSV 数值对应</w:t>
            </w:r>
          </w:p>
        </w:tc>
        <w:tc>
          <w:tcPr>
            <w:tcW w:type="dxa" w:w="1247"/>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5"/>
              </w:rPr>
              <w:t>FAIL/方法</w:t>
            </w:r>
          </w:p>
        </w:tc>
        <w:tc>
          <w:tcPr>
            <w:tcW w:type="dxa" w:w="4082"/>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5"/>
              </w:rPr>
              <w:t>同上；增加 tie bootstrap CI/area-weighted 指标</w:t>
            </w:r>
          </w:p>
        </w:tc>
      </w:tr>
      <w:tr>
        <w:trPr>
          <w:cantSplit/>
        </w:trPr>
        <w:tc>
          <w:tcPr>
            <w:tcW w:type="dxa" w:w="1701"/>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5"/>
              </w:rPr>
              <w:t>Fig.S2 adaptive</w:t>
            </w:r>
          </w:p>
        </w:tc>
        <w:tc>
          <w:tcPr>
            <w:tcW w:type="dxa" w:w="2608"/>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5"/>
              </w:rPr>
              <w:t>当前保存模型与 cell count 对应</w:t>
            </w:r>
          </w:p>
        </w:tc>
        <w:tc>
          <w:tcPr>
            <w:tcW w:type="dxa" w:w="1247"/>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5"/>
              </w:rPr>
              <w:t>FAIL/语义</w:t>
            </w:r>
          </w:p>
        </w:tc>
        <w:tc>
          <w:tcPr>
            <w:tcW w:type="dxa" w:w="4082"/>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5"/>
              </w:rPr>
              <w:t>使用错误的 80% 模型筛选；只证明表示规模，不证明精度/效率</w:t>
            </w:r>
          </w:p>
        </w:tc>
      </w:tr>
    </w:tbl>
    <w:p>
      <w:pPr>
        <w:spacing w:after="0"/>
      </w:pPr>
    </w:p>
    <w:p>
      <w:pPr>
        <w:pStyle w:val="Heading2"/>
        <w:keepNext/>
      </w:pPr>
      <w:r>
        <w:t>8.2 Figure 2：视觉正确但模型语义错误</w:t>
      </w:r>
    </w:p>
    <w:p>
      <w:pPr>
        <w:keepNext/>
        <w:jc w:val="center"/>
      </w:pPr>
      <w:r>
        <w:drawing>
          <wp:inline xmlns:a="http://schemas.openxmlformats.org/drawingml/2006/main" xmlns:pic="http://schemas.openxmlformats.org/drawingml/2006/picture">
            <wp:extent cx="6048000" cy="1967690"/>
            <wp:docPr id="1" name="Picture 1"/>
            <wp:cNvGraphicFramePr>
              <a:graphicFrameLocks noChangeAspect="1"/>
            </wp:cNvGraphicFramePr>
            <a:graphic>
              <a:graphicData uri="http://schemas.openxmlformats.org/drawingml/2006/picture">
                <pic:pic>
                  <pic:nvPicPr>
                    <pic:cNvPr id="0" name="spatial_maps.png"/>
                    <pic:cNvPicPr/>
                  </pic:nvPicPr>
                  <pic:blipFill>
                    <a:blip r:embed="rId11"/>
                    <a:stretch>
                      <a:fillRect/>
                    </a:stretch>
                  </pic:blipFill>
                  <pic:spPr>
                    <a:xfrm>
                      <a:off x="0" y="0"/>
                      <a:ext cx="6048000" cy="1967690"/>
                    </a:xfrm>
                    <a:prstGeom prst="rect"/>
                  </pic:spPr>
                </pic:pic>
              </a:graphicData>
            </a:graphic>
          </wp:inline>
        </w:drawing>
      </w:r>
    </w:p>
    <w:p>
      <w:pPr>
        <w:keepNext w:val="0"/>
        <w:widowControl/>
        <w:spacing w:after="140" w:before="0" w:line="269" w:lineRule="auto"/>
        <w:jc w:val="center"/>
      </w:pPr>
      <w:r>
        <w:rPr>
          <w:rFonts w:ascii="Microsoft YaHei" w:hAnsi="Microsoft YaHei" w:eastAsia="Microsoft YaHei"/>
          <w:b w:val="0"/>
          <w:i/>
          <w:color w:val="667581"/>
          <w:sz w:val="16"/>
        </w:rPr>
        <w:t>现有 Figure 2。面板 (a)/(b) 的数据角色可追踪；面板 (c) 的视觉表面来自保存的 80% split 模型，却在图注中写成 all-141 full fit。</w:t>
      </w:r>
    </w:p>
    <w:p>
      <w:pPr>
        <w:pStyle w:val="ListBullet"/>
        <w:keepNext w:val="0"/>
        <w:widowControl/>
        <w:spacing w:after="60" w:before="0" w:line="283" w:lineRule="auto"/>
      </w:pPr>
      <w:r>
        <w:rPr>
          <w:rFonts w:ascii="Microsoft YaHei" w:hAnsi="Microsoft YaHei" w:eastAsia="Microsoft YaHei"/>
          <w:b w:val="0"/>
          <w:i w:val="0"/>
          <w:color w:val="1F2933"/>
          <w:sz w:val="18"/>
        </w:rPr>
        <w:t>颜色范围 0–1、三面板空间范围和 H3 支持前后对应；视觉上没有明显错位。</w:t>
      </w:r>
    </w:p>
    <w:p>
      <w:pPr>
        <w:pStyle w:val="ListBullet"/>
        <w:keepNext w:val="0"/>
        <w:widowControl/>
        <w:spacing w:after="60" w:before="0" w:line="283" w:lineRule="auto"/>
      </w:pPr>
      <w:r>
        <w:rPr>
          <w:rFonts w:ascii="Microsoft YaHei" w:hAnsi="Microsoft YaHei" w:eastAsia="Microsoft YaHei"/>
          <w:b w:val="0"/>
          <w:i w:val="0"/>
          <w:color w:val="1F2933"/>
          <w:sz w:val="18"/>
        </w:rPr>
        <w:t>真正问题是“漂亮且合理的图”掩盖了工件角色错误：视觉可信不能替代模型 provenance。</w:t>
      </w:r>
    </w:p>
    <w:p>
      <w:pPr>
        <w:pStyle w:val="ListBullet"/>
        <w:keepNext w:val="0"/>
        <w:widowControl/>
        <w:spacing w:after="60" w:before="0" w:line="283" w:lineRule="auto"/>
      </w:pPr>
      <w:r>
        <w:rPr>
          <w:rFonts w:ascii="Microsoft YaHei" w:hAnsi="Microsoft YaHei" w:eastAsia="Microsoft YaHei"/>
          <w:b w:val="0"/>
          <w:i w:val="0"/>
          <w:color w:val="1F2933"/>
          <w:sz w:val="18"/>
        </w:rPr>
        <w:t>修复后必须更新：图像、mean/median、与 OOF 的 Pearson r、adaptive selected cells、正文 4.1/4.4、caption。</w:t>
      </w:r>
    </w:p>
    <w:p>
      <w:pPr>
        <w:pStyle w:val="Heading2"/>
        <w:keepNext/>
      </w:pPr>
      <w:r>
        <w:t>8.3 Figure 4：可见裁切缺陷</w:t>
      </w:r>
    </w:p>
    <w:p>
      <w:pPr>
        <w:keepNext/>
        <w:jc w:val="center"/>
      </w:pPr>
      <w:r>
        <w:drawing>
          <wp:inline xmlns:a="http://schemas.openxmlformats.org/drawingml/2006/main" xmlns:pic="http://schemas.openxmlformats.org/drawingml/2006/picture">
            <wp:extent cx="5688000" cy="3264668"/>
            <wp:docPr id="2" name="Picture 2"/>
            <wp:cNvGraphicFramePr>
              <a:graphicFrameLocks noChangeAspect="1"/>
            </wp:cNvGraphicFramePr>
            <a:graphic>
              <a:graphicData uri="http://schemas.openxmlformats.org/drawingml/2006/picture">
                <pic:pic>
                  <pic:nvPicPr>
                    <pic:cNvPr id="0" name="spatial_cv_folds.png"/>
                    <pic:cNvPicPr/>
                  </pic:nvPicPr>
                  <pic:blipFill>
                    <a:blip r:embed="rId12"/>
                    <a:stretch>
                      <a:fillRect/>
                    </a:stretch>
                  </pic:blipFill>
                  <pic:spPr>
                    <a:xfrm>
                      <a:off x="0" y="0"/>
                      <a:ext cx="5688000" cy="3264668"/>
                    </a:xfrm>
                    <a:prstGeom prst="rect"/>
                  </pic:spPr>
                </pic:pic>
              </a:graphicData>
            </a:graphic>
          </wp:inline>
        </w:drawing>
      </w:r>
    </w:p>
    <w:p>
      <w:pPr>
        <w:keepNext w:val="0"/>
        <w:widowControl/>
        <w:spacing w:after="140" w:before="0" w:line="269" w:lineRule="auto"/>
        <w:jc w:val="center"/>
      </w:pPr>
      <w:r>
        <w:rPr>
          <w:rFonts w:ascii="Microsoft YaHei" w:hAnsi="Microsoft YaHei" w:eastAsia="Microsoft YaHei"/>
          <w:b w:val="0"/>
          <w:i/>
          <w:color w:val="667581"/>
          <w:sz w:val="16"/>
        </w:rPr>
        <w:t>现有 Figure 4。每折 n/正类占比注释在坐标轴下缘被裁切，并与全局图例/页面边界争抢空间。该缺陷在重新生成的审查副本中仍存在。</w:t>
      </w:r>
    </w:p>
    <w:p>
      <w:pPr>
        <w:pStyle w:val="ListBullet"/>
        <w:keepNext w:val="0"/>
        <w:widowControl/>
        <w:spacing w:after="60" w:before="0" w:line="283" w:lineRule="auto"/>
      </w:pPr>
      <w:r>
        <w:rPr>
          <w:rFonts w:ascii="Microsoft YaHei" w:hAnsi="Microsoft YaHei" w:eastAsia="Microsoft YaHei"/>
          <w:b w:val="0"/>
          <w:i w:val="0"/>
          <w:color w:val="1F2933"/>
          <w:sz w:val="18"/>
        </w:rPr>
        <w:t>修图建议：使用 constrained_layout=True 或 fig.subplots_adjust(bottom≥0.16)；把 n/prevalence 放入 axes transform 的左上角小框；保存前执行 bbox_inches='tight' 并做像素边界测试。</w:t>
      </w:r>
    </w:p>
    <w:p>
      <w:pPr>
        <w:pStyle w:val="ListBullet"/>
        <w:keepNext w:val="0"/>
        <w:widowControl/>
        <w:spacing w:after="60" w:before="0" w:line="283" w:lineRule="auto"/>
      </w:pPr>
      <w:r>
        <w:rPr>
          <w:rFonts w:ascii="Microsoft YaHei" w:hAnsi="Microsoft YaHei" w:eastAsia="Microsoft YaHei"/>
          <w:b w:val="0"/>
          <w:i w:val="0"/>
          <w:color w:val="1F2933"/>
          <w:sz w:val="18"/>
        </w:rPr>
        <w:t>新增视觉回归：PNG 四边非背景内容不得在 3–5 px 内触边；OCR/模板检查所有预期注释出现。</w:t>
      </w:r>
    </w:p>
    <w:p>
      <w:pPr>
        <w:pStyle w:val="Heading2"/>
        <w:keepNext/>
      </w:pPr>
      <w:r>
        <w:t>8.4 像素复现与数值复现</w:t>
      </w:r>
    </w:p>
    <w:p>
      <w:pPr>
        <w:keepNext w:val="0"/>
        <w:widowControl/>
        <w:spacing w:after="100" w:before="0" w:line="300" w:lineRule="auto"/>
      </w:pPr>
      <w:r>
        <w:rPr>
          <w:rFonts w:ascii="Microsoft YaHei" w:hAnsi="Microsoft YaHei" w:eastAsia="Microsoft YaHei"/>
          <w:b w:val="0"/>
          <w:i w:val="0"/>
          <w:color w:val="1F2933"/>
          <w:sz w:val="19"/>
        </w:rPr>
        <w:t>8 组图均从当前工作流生成了审查副本；其中 1 组尺寸完全相同，0 组 SHA-256 完全相同。其余图的宽高有 1–10 px 差异或字体栅格差异。用于图 6/S1 的 Jaccard CSV 数值匹配。</w:t>
      </w:r>
    </w:p>
    <w:p>
      <w:pPr>
        <w:pStyle w:val="ListBullet"/>
        <w:keepNext w:val="0"/>
        <w:widowControl/>
        <w:spacing w:after="60" w:before="0" w:line="283" w:lineRule="auto"/>
      </w:pPr>
      <w:r>
        <w:rPr>
          <w:rFonts w:ascii="Microsoft YaHei" w:hAnsi="Microsoft YaHei" w:eastAsia="Microsoft YaHei"/>
          <w:b w:val="0"/>
          <w:i w:val="0"/>
          <w:color w:val="1F2933"/>
          <w:sz w:val="18"/>
        </w:rPr>
        <w:t>可声称 numerical reproducibility，但不能声称 pixel-identical reproducibility。</w:t>
      </w:r>
    </w:p>
    <w:p>
      <w:pPr>
        <w:pStyle w:val="ListBullet"/>
        <w:keepNext w:val="0"/>
        <w:widowControl/>
        <w:spacing w:after="60" w:before="0" w:line="283" w:lineRule="auto"/>
      </w:pPr>
      <w:r>
        <w:rPr>
          <w:rFonts w:ascii="Microsoft YaHei" w:hAnsi="Microsoft YaHei" w:eastAsia="Microsoft YaHei"/>
          <w:b w:val="0"/>
          <w:i w:val="0"/>
          <w:color w:val="1F2933"/>
          <w:sz w:val="18"/>
        </w:rPr>
        <w:t>锁定 matplotlib、SciencePlots、字体文件、操作系统/渲染后端和 savefig 参数，才可能稳定像素哈希。</w:t>
      </w:r>
    </w:p>
    <w:p>
      <w:pPr>
        <w:spacing w:after="0" w:before="40"/>
      </w:pPr>
    </w:p>
    <w:p>
      <w:pPr>
        <w:pStyle w:val="Heading1"/>
        <w:keepNext/>
      </w:pPr>
      <w:r>
        <w:t>9. 论文与报告逐项审稿意见</w:t>
      </w:r>
    </w:p>
    <w:p>
      <w:pPr>
        <w:pStyle w:val="Heading2"/>
        <w:keepNext/>
      </w:pPr>
      <w:r>
        <w:t>9.1 论文结构与论述</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2324"/>
            <w:shd w:fill="17324D"/>
            <w:vAlign w:val="center"/>
            <w:tcMar>
              <w:top w:w="90" w:type="dxa"/>
              <w:start w:w="100" w:type="dxa"/>
              <w:bottom w:w="90" w:type="dxa"/>
              <w:end w:w="100" w:type="dxa"/>
            </w:tcMar>
          </w:tcPr>
          <w:p>
            <w:pPr>
              <w:keepNext w:val="0"/>
              <w:widowControl/>
              <w:spacing w:after="0" w:before="0" w:line="240" w:lineRule="auto"/>
              <w:jc w:val="center"/>
            </w:pPr>
            <w:r>
              <w:rPr>
                <w:rFonts w:ascii="Microsoft YaHei" w:hAnsi="Microsoft YaHei" w:eastAsia="Microsoft YaHei"/>
                <w:b/>
                <w:i w:val="0"/>
                <w:color w:val="FFFFFF"/>
                <w:sz w:val="16"/>
              </w:rPr>
              <w:t>位置</w:t>
            </w:r>
          </w:p>
        </w:tc>
        <w:tc>
          <w:tcPr>
            <w:tcW w:type="dxa" w:w="1134"/>
            <w:shd w:fill="17324D"/>
            <w:vAlign w:val="center"/>
            <w:tcMar>
              <w:top w:w="90" w:type="dxa"/>
              <w:start w:w="100" w:type="dxa"/>
              <w:bottom w:w="90" w:type="dxa"/>
              <w:end w:w="100" w:type="dxa"/>
            </w:tcMar>
          </w:tcPr>
          <w:p>
            <w:pPr>
              <w:keepNext w:val="0"/>
              <w:widowControl/>
              <w:spacing w:after="0" w:before="0" w:line="240" w:lineRule="auto"/>
              <w:jc w:val="center"/>
            </w:pPr>
            <w:r>
              <w:rPr>
                <w:rFonts w:ascii="Microsoft YaHei" w:hAnsi="Microsoft YaHei" w:eastAsia="Microsoft YaHei"/>
                <w:b/>
                <w:i w:val="0"/>
                <w:color w:val="FFFFFF"/>
                <w:sz w:val="16"/>
              </w:rPr>
              <w:t>级别</w:t>
            </w:r>
          </w:p>
        </w:tc>
        <w:tc>
          <w:tcPr>
            <w:tcW w:type="dxa" w:w="6180"/>
            <w:shd w:fill="17324D"/>
            <w:vAlign w:val="center"/>
            <w:tcMar>
              <w:top w:w="90" w:type="dxa"/>
              <w:start w:w="100" w:type="dxa"/>
              <w:bottom w:w="90" w:type="dxa"/>
              <w:end w:w="100" w:type="dxa"/>
            </w:tcMar>
          </w:tcPr>
          <w:p>
            <w:pPr>
              <w:keepNext w:val="0"/>
              <w:widowControl/>
              <w:spacing w:after="0" w:before="0" w:line="240" w:lineRule="auto"/>
              <w:jc w:val="center"/>
            </w:pPr>
            <w:r>
              <w:rPr>
                <w:rFonts w:ascii="Microsoft YaHei" w:hAnsi="Microsoft YaHei" w:eastAsia="Microsoft YaHei"/>
                <w:b/>
                <w:i w:val="0"/>
                <w:color w:val="FFFFFF"/>
                <w:sz w:val="16"/>
              </w:rPr>
              <w:t>意见</w:t>
            </w:r>
          </w:p>
        </w:tc>
      </w:tr>
      <w:tr>
        <w:trPr>
          <w:cantSplit/>
        </w:trPr>
        <w:tc>
          <w:tcPr>
            <w:tcW w:type="dxa" w:w="2324"/>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标题/摘要</w:t>
            </w:r>
          </w:p>
        </w:tc>
        <w:tc>
          <w:tcPr>
            <w:tcW w:type="dxa" w:w="1134"/>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高</w:t>
            </w:r>
          </w:p>
        </w:tc>
        <w:tc>
          <w:tcPr>
            <w:tcW w:type="dxa" w:w="6180"/>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risk/susceptibility 可能超过 evidence target 的含义；摘要应突出 open-evidence screening 和无外部验证。</w:t>
            </w:r>
          </w:p>
        </w:tc>
      </w:tr>
      <w:tr>
        <w:trPr>
          <w:cantSplit/>
        </w:trPr>
        <w:tc>
          <w:tcPr>
            <w:tcW w:type="dxa" w:w="2324"/>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2.1 Study area</w:t>
            </w:r>
          </w:p>
        </w:tc>
        <w:tc>
          <w:tcPr>
            <w:tcW w:type="dxa" w:w="1134"/>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严重</w:t>
            </w:r>
          </w:p>
        </w:tc>
        <w:tc>
          <w:tcPr>
            <w:tcW w:type="dxa" w:w="6180"/>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bbox 与 n=141 冲突；按 P0-01 二选一。</w:t>
            </w:r>
          </w:p>
        </w:tc>
      </w:tr>
      <w:tr>
        <w:trPr>
          <w:cantSplit/>
        </w:trPr>
        <w:tc>
          <w:tcPr>
            <w:tcW w:type="dxa" w:w="2324"/>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2.4 Target</w:t>
            </w:r>
          </w:p>
        </w:tc>
        <w:tc>
          <w:tcPr>
            <w:tcW w:type="dxa" w:w="1134"/>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高</w:t>
            </w:r>
          </w:p>
        </w:tc>
        <w:tc>
          <w:tcPr>
            <w:tcW w:type="dxa" w:w="6180"/>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解释 max 规则、点存在即 1、时间混合和非物理风险。</w:t>
            </w:r>
          </w:p>
        </w:tc>
      </w:tr>
      <w:tr>
        <w:trPr>
          <w:cantSplit/>
        </w:trPr>
        <w:tc>
          <w:tcPr>
            <w:tcW w:type="dxa" w:w="2324"/>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3.3 Modelling</w:t>
            </w:r>
          </w:p>
        </w:tc>
        <w:tc>
          <w:tcPr>
            <w:tcW w:type="dxa" w:w="1134"/>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严重</w:t>
            </w:r>
          </w:p>
        </w:tc>
        <w:tc>
          <w:tcPr>
            <w:tcW w:type="dxa" w:w="6180"/>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写清 CV model、random-split diagnostic、full deployment model 三者完全分离。</w:t>
            </w:r>
          </w:p>
        </w:tc>
      </w:tr>
      <w:tr>
        <w:trPr>
          <w:cantSplit/>
        </w:trPr>
        <w:tc>
          <w:tcPr>
            <w:tcW w:type="dxa" w:w="2324"/>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3.5 Scale</w:t>
            </w:r>
          </w:p>
        </w:tc>
        <w:tc>
          <w:tcPr>
            <w:tcW w:type="dxa" w:w="1134"/>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严重</w:t>
            </w:r>
          </w:p>
        </w:tc>
        <w:tc>
          <w:tcPr>
            <w:tcW w:type="dxa" w:w="6180"/>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删除 matched budget；增加 tie/area matching 方法。</w:t>
            </w:r>
          </w:p>
        </w:tc>
      </w:tr>
      <w:tr>
        <w:trPr>
          <w:cantSplit/>
        </w:trPr>
        <w:tc>
          <w:tcPr>
            <w:tcW w:type="dxa" w:w="2324"/>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3.6 Adaptive</w:t>
            </w:r>
          </w:p>
        </w:tc>
        <w:tc>
          <w:tcPr>
            <w:tcW w:type="dxa" w:w="1134"/>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严重</w:t>
            </w:r>
          </w:p>
        </w:tc>
        <w:tc>
          <w:tcPr>
            <w:tcW w:type="dxa" w:w="6180"/>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改用全量模型；仍只能称 representation-size experiment。</w:t>
            </w:r>
          </w:p>
        </w:tc>
      </w:tr>
      <w:tr>
        <w:trPr>
          <w:cantSplit/>
        </w:trPr>
        <w:tc>
          <w:tcPr>
            <w:tcW w:type="dxa" w:w="2324"/>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4.1 Fig.2</w:t>
            </w:r>
          </w:p>
        </w:tc>
        <w:tc>
          <w:tcPr>
            <w:tcW w:type="dxa" w:w="1134"/>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严重</w:t>
            </w:r>
          </w:p>
        </w:tc>
        <w:tc>
          <w:tcPr>
            <w:tcW w:type="dxa" w:w="6180"/>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修复 full-fit 后重写所有描述性统计。</w:t>
            </w:r>
          </w:p>
        </w:tc>
      </w:tr>
      <w:tr>
        <w:trPr>
          <w:cantSplit/>
        </w:trPr>
        <w:tc>
          <w:tcPr>
            <w:tcW w:type="dxa" w:w="2324"/>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4.5 Rainfall</w:t>
            </w:r>
          </w:p>
        </w:tc>
        <w:tc>
          <w:tcPr>
            <w:tcW w:type="dxa" w:w="1134"/>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高</w:t>
            </w:r>
          </w:p>
        </w:tc>
        <w:tc>
          <w:tcPr>
            <w:tcW w:type="dxa" w:w="6180"/>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明确为 invariant placeholder；不以 PFI_h(c,r) 作为已验证贡献。</w:t>
            </w:r>
          </w:p>
        </w:tc>
      </w:tr>
      <w:tr>
        <w:trPr>
          <w:cantSplit/>
        </w:trPr>
        <w:tc>
          <w:tcPr>
            <w:tcW w:type="dxa" w:w="2324"/>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4.8 Ablation</w:t>
            </w:r>
          </w:p>
        </w:tc>
        <w:tc>
          <w:tcPr>
            <w:tcW w:type="dxa" w:w="1134"/>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中</w:t>
            </w:r>
          </w:p>
        </w:tc>
        <w:tc>
          <w:tcPr>
            <w:tcW w:type="dxa" w:w="6180"/>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将‘proves not artifact’改为‘reduces concern’; 承认 reporting bias/confounding。</w:t>
            </w:r>
          </w:p>
        </w:tc>
      </w:tr>
      <w:tr>
        <w:trPr>
          <w:cantSplit/>
        </w:trPr>
        <w:tc>
          <w:tcPr>
            <w:tcW w:type="dxa" w:w="2324"/>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Table 8 caption</w:t>
            </w:r>
          </w:p>
        </w:tc>
        <w:tc>
          <w:tcPr>
            <w:tcW w:type="dxa" w:w="1134"/>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中</w:t>
            </w:r>
          </w:p>
        </w:tc>
        <w:tc>
          <w:tcPr>
            <w:tcW w:type="dxa" w:w="6180"/>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改为 up to five folds；R6/k=3 仅三折。</w:t>
            </w:r>
          </w:p>
        </w:tc>
      </w:tr>
      <w:tr>
        <w:trPr>
          <w:cantSplit/>
        </w:trPr>
        <w:tc>
          <w:tcPr>
            <w:tcW w:type="dxa" w:w="2324"/>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Conclusion</w:t>
            </w:r>
          </w:p>
        </w:tc>
        <w:tc>
          <w:tcPr>
            <w:tcW w:type="dxa" w:w="1134"/>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中</w:t>
            </w:r>
          </w:p>
        </w:tc>
        <w:tc>
          <w:tcPr>
            <w:tcW w:type="dxa" w:w="6180"/>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删除‘block-size sensitivity remains future’，因为 4.9 已完成。</w:t>
            </w:r>
          </w:p>
        </w:tc>
      </w:tr>
      <w:tr>
        <w:trPr>
          <w:cantSplit/>
        </w:trPr>
        <w:tc>
          <w:tcPr>
            <w:tcW w:type="dxa" w:w="2324"/>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Availability/AI/CRediT</w:t>
            </w:r>
          </w:p>
        </w:tc>
        <w:tc>
          <w:tcPr>
            <w:tcW w:type="dxa" w:w="1134"/>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严重</w:t>
            </w:r>
          </w:p>
        </w:tc>
        <w:tc>
          <w:tcPr>
            <w:tcW w:type="dxa" w:w="6180"/>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按真实归档、实际工具使用和实际作者信息填写。</w:t>
            </w:r>
          </w:p>
        </w:tc>
      </w:tr>
    </w:tbl>
    <w:p>
      <w:pPr>
        <w:spacing w:after="0"/>
      </w:pPr>
    </w:p>
    <w:p>
      <w:pPr>
        <w:pStyle w:val="Heading2"/>
        <w:keepNext/>
      </w:pPr>
      <w:r>
        <w:t>9.2 PDF 视觉与排版</w:t>
      </w:r>
    </w:p>
    <w:p>
      <w:pPr>
        <w:pStyle w:val="ListBullet"/>
        <w:keepNext w:val="0"/>
        <w:widowControl/>
        <w:spacing w:after="60" w:before="0" w:line="283" w:lineRule="auto"/>
      </w:pPr>
      <w:r>
        <w:rPr>
          <w:rFonts w:ascii="Microsoft YaHei" w:hAnsi="Microsoft YaHei" w:eastAsia="Microsoft YaHei"/>
          <w:b w:val="0"/>
          <w:i w:val="0"/>
          <w:color w:val="1F2933"/>
          <w:sz w:val="18"/>
        </w:rPr>
        <w:t>manuscript.pdf 23 页已逐页检查：第 9 页 Fig.2 独占上方且下部大面积空白；第 11 页 Fig.4 注释裁切；Table 7 跨第 16–17 页但无重复表头/continued；第 20 页 CRediT 占位符明显。</w:t>
      </w:r>
    </w:p>
    <w:p>
      <w:pPr>
        <w:pStyle w:val="ListBullet"/>
        <w:keepNext w:val="0"/>
        <w:widowControl/>
        <w:spacing w:after="60" w:before="0" w:line="283" w:lineRule="auto"/>
      </w:pPr>
      <w:r>
        <w:rPr>
          <w:rFonts w:ascii="Microsoft YaHei" w:hAnsi="Microsoft YaHei" w:eastAsia="Microsoft YaHei"/>
          <w:b w:val="0"/>
          <w:i w:val="0"/>
          <w:color w:val="1F2933"/>
          <w:sz w:val="18"/>
        </w:rPr>
        <w:t>report.pdf 29 页已逐页检查：第 6 页公式保留原始 \[ 标记并未渲染；第 10 页大面积留白；第 12 页 Fig.4 同样裁切；末页近乎空白。</w:t>
      </w:r>
    </w:p>
    <w:p>
      <w:pPr>
        <w:pStyle w:val="ListBullet"/>
        <w:keepNext w:val="0"/>
        <w:widowControl/>
        <w:spacing w:after="60" w:before="0" w:line="283" w:lineRule="auto"/>
      </w:pPr>
      <w:r>
        <w:rPr>
          <w:rFonts w:ascii="Microsoft YaHei" w:hAnsi="Microsoft YaHei" w:eastAsia="Microsoft YaHei"/>
          <w:b w:val="0"/>
          <w:i w:val="0"/>
          <w:color w:val="1F2933"/>
          <w:sz w:val="18"/>
        </w:rPr>
        <w:t>解决办法：不要靠手工 page-break 固定图；用浮动/保持段落联动，长表启用 repeat header，公式用 MathML/Word equation 或生成 SVG，最终逐页渲染 QA。</w:t>
      </w:r>
    </w:p>
    <w:p>
      <w:pPr>
        <w:pStyle w:val="Heading2"/>
        <w:keepNext/>
      </w:pPr>
      <w:r>
        <w:t>9.3 README、临时文件与提交包</w:t>
      </w:r>
    </w:p>
    <w:p>
      <w:pPr>
        <w:pStyle w:val="ListBullet"/>
        <w:keepNext w:val="0"/>
        <w:widowControl/>
        <w:spacing w:after="60" w:before="0" w:line="283" w:lineRule="auto"/>
      </w:pPr>
      <w:r>
        <w:rPr>
          <w:rFonts w:ascii="Microsoft YaHei" w:hAnsi="Microsoft YaHei" w:eastAsia="Microsoft YaHei"/>
          <w:b w:val="0"/>
          <w:i w:val="0"/>
          <w:color w:val="1F2933"/>
          <w:sz w:val="18"/>
        </w:rPr>
        <w:t>README 摘要保留旧指标（如 expanded accuracy 0.642、R² 0.525、ROC-AUC 0.70、adaptive 0.569），与当前论文 0.821/0.333/0.883/0.701 不符。</w:t>
      </w:r>
    </w:p>
    <w:p>
      <w:pPr>
        <w:pStyle w:val="ListBullet"/>
        <w:keepNext w:val="0"/>
        <w:widowControl/>
        <w:spacing w:after="60" w:before="0" w:line="283" w:lineRule="auto"/>
      </w:pPr>
      <w:r>
        <w:rPr>
          <w:rFonts w:ascii="Microsoft YaHei" w:hAnsi="Microsoft YaHei" w:eastAsia="Microsoft YaHei"/>
          <w:b w:val="0"/>
          <w:i w:val="0"/>
          <w:color w:val="1F2933"/>
          <w:sz w:val="18"/>
        </w:rPr>
        <w:t>docs/paper/audit.md 包含多轮旧结果，不能作为当前独立证据；应按版本归档而不是持续覆盖混写。</w:t>
      </w:r>
    </w:p>
    <w:p>
      <w:pPr>
        <w:pStyle w:val="ListBullet"/>
        <w:keepNext w:val="0"/>
        <w:widowControl/>
        <w:spacing w:after="60" w:before="0" w:line="283" w:lineRule="auto"/>
      </w:pPr>
      <w:r>
        <w:rPr>
          <w:rFonts w:ascii="Microsoft YaHei" w:hAnsi="Microsoft YaHei" w:eastAsia="Microsoft YaHei"/>
          <w:b w:val="0"/>
          <w:i w:val="0"/>
          <w:color w:val="1F2933"/>
          <w:sz w:val="18"/>
        </w:rPr>
        <w:t>scripts/_tmp_*.py、_redownload_dep.py 和无关 supplement ZIP 不应进入投稿包。先隔离，不要未经确认直接删除用户文件。</w:t>
      </w:r>
    </w:p>
    <w:p>
      <w:pPr>
        <w:spacing w:after="0" w:before="40"/>
      </w:pPr>
    </w:p>
    <w:p>
      <w:pPr>
        <w:pStyle w:val="Heading1"/>
        <w:keepNext/>
      </w:pPr>
      <w:r>
        <w:t>10. 具体修改路线与验收顺序</w:t>
      </w: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2381"/>
            <w:shd w:fill="17324D"/>
            <w:vAlign w:val="center"/>
            <w:tcMar>
              <w:top w:w="90" w:type="dxa"/>
              <w:start w:w="100" w:type="dxa"/>
              <w:bottom w:w="90" w:type="dxa"/>
              <w:end w:w="100" w:type="dxa"/>
            </w:tcMar>
          </w:tcPr>
          <w:p>
            <w:pPr>
              <w:keepNext w:val="0"/>
              <w:widowControl/>
              <w:spacing w:after="0" w:before="0" w:line="240" w:lineRule="auto"/>
              <w:jc w:val="center"/>
            </w:pPr>
            <w:r>
              <w:rPr>
                <w:rFonts w:ascii="Microsoft YaHei" w:hAnsi="Microsoft YaHei" w:eastAsia="Microsoft YaHei"/>
                <w:b/>
                <w:i w:val="0"/>
                <w:color w:val="FFFFFF"/>
                <w:sz w:val="16"/>
              </w:rPr>
              <w:t>阶段</w:t>
            </w:r>
          </w:p>
        </w:tc>
        <w:tc>
          <w:tcPr>
            <w:tcW w:type="dxa" w:w="7257"/>
            <w:shd w:fill="17324D"/>
            <w:vAlign w:val="center"/>
            <w:tcMar>
              <w:top w:w="90" w:type="dxa"/>
              <w:start w:w="100" w:type="dxa"/>
              <w:bottom w:w="90" w:type="dxa"/>
              <w:end w:w="100" w:type="dxa"/>
            </w:tcMar>
          </w:tcPr>
          <w:p>
            <w:pPr>
              <w:keepNext w:val="0"/>
              <w:widowControl/>
              <w:spacing w:after="0" w:before="0" w:line="240" w:lineRule="auto"/>
              <w:jc w:val="center"/>
            </w:pPr>
            <w:r>
              <w:rPr>
                <w:rFonts w:ascii="Microsoft YaHei" w:hAnsi="Microsoft YaHei" w:eastAsia="Microsoft YaHei"/>
                <w:b/>
                <w:i w:val="0"/>
                <w:color w:val="FFFFFF"/>
                <w:sz w:val="16"/>
              </w:rPr>
              <w:t>完成标准</w:t>
            </w:r>
          </w:p>
        </w:tc>
      </w:tr>
      <w:tr>
        <w:trPr>
          <w:cantSplit/>
        </w:trPr>
        <w:tc>
          <w:tcPr>
            <w:tcW w:type="dxa" w:w="2381"/>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7"/>
              </w:rPr>
              <w:t>阶段 1｜冻结证据</w:t>
            </w:r>
          </w:p>
        </w:tc>
        <w:tc>
          <w:tcPr>
            <w:tcW w:type="dxa" w:w="7257"/>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7"/>
              </w:rPr>
              <w:t>确定真实作者/机构；从官方入口重取或明确镜像；生成含 URL/许可/SHA 的 manifest；选择真实 bbox；创建干净分支和依赖锁。</w:t>
            </w:r>
          </w:p>
        </w:tc>
      </w:tr>
      <w:tr>
        <w:trPr>
          <w:cantSplit/>
        </w:trPr>
        <w:tc>
          <w:tcPr>
            <w:tcW w:type="dxa" w:w="2381"/>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7"/>
              </w:rPr>
              <w:t>阶段 2｜修复计算</w:t>
            </w:r>
          </w:p>
        </w:tc>
        <w:tc>
          <w:tcPr>
            <w:tcW w:type="dxa" w:w="7257"/>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7"/>
              </w:rPr>
              <w:t>生产 fail-closed；投影面积；分离 full model；修复 seed/metadata；实现 tie-aware、area-matched scale diagnostics。</w:t>
            </w:r>
          </w:p>
        </w:tc>
      </w:tr>
      <w:tr>
        <w:trPr>
          <w:cantSplit/>
        </w:trPr>
        <w:tc>
          <w:tcPr>
            <w:tcW w:type="dxa" w:w="2381"/>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7"/>
              </w:rPr>
              <w:t>阶段 3｜全链重跑</w:t>
            </w:r>
          </w:p>
        </w:tc>
        <w:tc>
          <w:tcPr>
            <w:tcW w:type="dxa" w:w="7257"/>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7"/>
              </w:rPr>
              <w:t>从只读 raw 快照重建 processed→CV→full model→scenario/adaptive/scale→tables→figures；保存命令和退出码。</w:t>
            </w:r>
          </w:p>
        </w:tc>
      </w:tr>
      <w:tr>
        <w:trPr>
          <w:cantSplit/>
        </w:trPr>
        <w:tc>
          <w:tcPr>
            <w:tcW w:type="dxa" w:w="2381"/>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7"/>
              </w:rPr>
              <w:t>阶段 4｜自动一致性</w:t>
            </w:r>
          </w:p>
        </w:tc>
        <w:tc>
          <w:tcPr>
            <w:tcW w:type="dxa" w:w="7257"/>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7"/>
              </w:rPr>
              <w:t>加 manuscript-number check、figure manifest、full-fit identity、raw checksum、no-synthetic、visual boundary tests。</w:t>
            </w:r>
          </w:p>
        </w:tc>
      </w:tr>
      <w:tr>
        <w:trPr>
          <w:cantSplit/>
        </w:trPr>
        <w:tc>
          <w:tcPr>
            <w:tcW w:type="dxa" w:w="2381"/>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7"/>
              </w:rPr>
              <w:t>阶段 5｜重写论文</w:t>
            </w:r>
          </w:p>
        </w:tc>
        <w:tc>
          <w:tcPr>
            <w:tcW w:type="dxa" w:w="7257"/>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7"/>
              </w:rPr>
              <w:t>先方法和数据，再结果，再摘要/结论/图注；所有数字只从单一 machine-readable results.json 注入。</w:t>
            </w:r>
          </w:p>
        </w:tc>
      </w:tr>
      <w:tr>
        <w:trPr>
          <w:cantSplit/>
        </w:trPr>
        <w:tc>
          <w:tcPr>
            <w:tcW w:type="dxa" w:w="2381"/>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7"/>
              </w:rPr>
              <w:t>阶段 6｜提交冻结</w:t>
            </w:r>
          </w:p>
        </w:tc>
        <w:tc>
          <w:tcPr>
            <w:tcW w:type="dxa" w:w="7257"/>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7"/>
              </w:rPr>
              <w:t>测试全过；工作树 clean；提交并打新 tag/DOI；再次从归档 clone 重跑 smoke+key metrics；最后逐页 PDF QA。</w:t>
            </w:r>
          </w:p>
        </w:tc>
      </w:tr>
    </w:tbl>
    <w:p>
      <w:pPr>
        <w:spacing w:after="0"/>
      </w:pPr>
    </w:p>
    <w:p>
      <w:pPr>
        <w:pStyle w:val="Heading2"/>
        <w:keepNext/>
      </w:pPr>
      <w:r>
        <w:t>10.1 建议新增的自动验收门</w:t>
      </w:r>
    </w:p>
    <w:tbl>
      <w:tblPr>
        <w:tblW w:type="auto" w:w="0"/>
        <w:jc w:val="center"/>
        <w:tblLayout w:type="fixed"/>
        <w:tblLook w:firstColumn="1" w:firstRow="1" w:lastColumn="0" w:lastRow="0" w:noHBand="0" w:noVBand="1" w:val="04A0"/>
      </w:tblPr>
      <w:tblGrid>
        <w:gridCol w:w="9752"/>
      </w:tblGrid>
      <w:tr>
        <w:tc>
          <w:tcPr>
            <w:tcW w:type="dxa" w:w="9639"/>
            <w:tcMar>
              <w:top w:w="120" w:type="dxa"/>
              <w:start w:w="150" w:type="dxa"/>
              <w:bottom w:w="120" w:type="dxa"/>
              <w:end w:w="150" w:type="dxa"/>
            </w:tcMar>
            <w:shd w:fill="F5F6F7"/>
          </w:tcPr>
          <w:p>
            <w:pPr>
              <w:keepNext w:val="0"/>
              <w:widowControl/>
              <w:spacing w:after="0" w:before="0" w:line="252" w:lineRule="auto"/>
            </w:pPr>
            <w:r>
              <w:rPr>
                <w:rFonts w:ascii="Consolas" w:hAnsi="Consolas" w:eastAsia="Consolas"/>
                <w:b w:val="0"/>
                <w:i w:val="0"/>
                <w:color w:val="28323A"/>
                <w:sz w:val="15"/>
              </w:rPr>
              <w:t>assert production_manifest.synthetic_value_count == 0</w:t>
            </w:r>
            <w:r>
              <w:br/>
            </w:r>
            <w:r>
              <w:rPr>
                <w:rFonts w:ascii="Consolas" w:hAnsi="Consolas" w:eastAsia="Consolas"/>
                <w:b w:val="0"/>
                <w:i w:val="0"/>
                <w:color w:val="28323A"/>
                <w:sz w:val="15"/>
              </w:rPr>
              <w:t>assert all(raw_layer.sha256 and raw_layer.exact_url and raw_layer.license)</w:t>
            </w:r>
            <w:r>
              <w:br/>
            </w:r>
            <w:r>
              <w:rPr>
                <w:rFonts w:ascii="Consolas" w:hAnsi="Consolas" w:eastAsia="Consolas"/>
                <w:b w:val="0"/>
                <w:i w:val="0"/>
                <w:color w:val="28323A"/>
                <w:sz w:val="15"/>
              </w:rPr>
              <w:t>assert deployment_model.fit_rows == processed_table.n_rows</w:t>
            </w:r>
            <w:r>
              <w:br/>
            </w:r>
            <w:r>
              <w:rPr>
                <w:rFonts w:ascii="Consolas" w:hAnsi="Consolas" w:eastAsia="Consolas"/>
                <w:b w:val="0"/>
                <w:i w:val="0"/>
                <w:color w:val="28323A"/>
                <w:sz w:val="15"/>
              </w:rPr>
              <w:t>assert deployment_model.training_h3_sha256 == sha256(sorted(h3_index))</w:t>
            </w:r>
            <w:r>
              <w:br/>
            </w:r>
            <w:r>
              <w:rPr>
                <w:rFonts w:ascii="Consolas" w:hAnsi="Consolas" w:eastAsia="Consolas"/>
                <w:b w:val="0"/>
                <w:i w:val="0"/>
                <w:color w:val="28323A"/>
                <w:sz w:val="15"/>
              </w:rPr>
              <w:t>assert manuscript_bbox_cell_count == processed_table.n_rows</w:t>
            </w:r>
            <w:r>
              <w:br/>
            </w:r>
            <w:r>
              <w:rPr>
                <w:rFonts w:ascii="Consolas" w:hAnsi="Consolas" w:eastAsia="Consolas"/>
                <w:b w:val="0"/>
                <w:i w:val="0"/>
                <w:color w:val="28323A"/>
                <w:sz w:val="15"/>
              </w:rPr>
              <w:t>assert oof.h3_set == processed.h3_set and oof.y_true == processed.flood_class</w:t>
            </w:r>
            <w:r>
              <w:br/>
            </w:r>
            <w:r>
              <w:rPr>
                <w:rFonts w:ascii="Consolas" w:hAnsi="Consolas" w:eastAsia="Consolas"/>
                <w:b w:val="0"/>
                <w:i w:val="0"/>
                <w:color w:val="28323A"/>
                <w:sz w:val="15"/>
              </w:rPr>
              <w:t>assert recomputed_metrics == paper_results_json within declared tolerance</w:t>
            </w:r>
            <w:r>
              <w:br/>
            </w:r>
            <w:r>
              <w:rPr>
                <w:rFonts w:ascii="Consolas" w:hAnsi="Consolas" w:eastAsia="Consolas"/>
                <w:b w:val="0"/>
                <w:i w:val="0"/>
                <w:color w:val="28323A"/>
                <w:sz w:val="15"/>
              </w:rPr>
              <w:t>assert hotspot_budget is area/support matched and tie sensitivity CI exists</w:t>
            </w:r>
            <w:r>
              <w:br/>
            </w:r>
            <w:r>
              <w:rPr>
                <w:rFonts w:ascii="Consolas" w:hAnsi="Consolas" w:eastAsia="Consolas"/>
                <w:b w:val="0"/>
                <w:i w:val="0"/>
                <w:color w:val="28323A"/>
                <w:sz w:val="15"/>
              </w:rPr>
              <w:t>assert figure edges pass clipping detector and every figure has manifest row</w:t>
            </w:r>
            <w:r>
              <w:br/>
            </w:r>
            <w:r>
              <w:rPr>
                <w:rFonts w:ascii="Consolas" w:hAnsi="Consolas" w:eastAsia="Consolas"/>
                <w:b w:val="0"/>
                <w:i w:val="0"/>
                <w:color w:val="28323A"/>
                <w:sz w:val="15"/>
              </w:rPr>
              <w:t>assert git_dirty is false and git_commit == archived_release_commit</w:t>
            </w:r>
          </w:p>
        </w:tc>
      </w:tr>
    </w:tbl>
    <w:p>
      <w:pPr>
        <w:spacing w:after="0"/>
      </w:pPr>
    </w:p>
    <w:p>
      <w:pPr>
        <w:pStyle w:val="Heading2"/>
        <w:keepNext/>
      </w:pPr>
      <w:r>
        <w:t>10.2 修复后最少需要重跑的产物</w:t>
      </w:r>
    </w:p>
    <w:p>
      <w:pPr>
        <w:pStyle w:val="ListBullet"/>
        <w:keepNext w:val="0"/>
        <w:widowControl/>
        <w:spacing w:after="60" w:before="0" w:line="283" w:lineRule="auto"/>
      </w:pPr>
      <w:r>
        <w:rPr>
          <w:rFonts w:ascii="Microsoft YaHei" w:hAnsi="Microsoft YaHei" w:eastAsia="Microsoft YaHei"/>
          <w:b w:val="0"/>
          <w:i w:val="0"/>
          <w:color w:val="1F2933"/>
          <w:sz w:val="18"/>
        </w:rPr>
        <w:t>data/processed/nyc_lower_manhattan_h3.*（或明确改名 smoke）与 nyc_expanded_h3.*</w:t>
      </w:r>
    </w:p>
    <w:p>
      <w:pPr>
        <w:pStyle w:val="ListBullet"/>
        <w:keepNext w:val="0"/>
        <w:widowControl/>
        <w:spacing w:after="60" w:before="0" w:line="283" w:lineRule="auto"/>
      </w:pPr>
      <w:r>
        <w:rPr>
          <w:rFonts w:ascii="Microsoft YaHei" w:hAnsi="Microsoft YaHei" w:eastAsia="Microsoft YaHei"/>
          <w:b w:val="0"/>
          <w:i w:val="0"/>
          <w:color w:val="1F2933"/>
          <w:sz w:val="18"/>
        </w:rPr>
        <w:t>models/*/evaluation OOF/folds + deployment full models + run_manifest</w:t>
      </w:r>
    </w:p>
    <w:p>
      <w:pPr>
        <w:pStyle w:val="ListBullet"/>
        <w:keepNext w:val="0"/>
        <w:widowControl/>
        <w:spacing w:after="60" w:before="0" w:line="283" w:lineRule="auto"/>
      </w:pPr>
      <w:r>
        <w:rPr>
          <w:rFonts w:ascii="Microsoft YaHei" w:hAnsi="Microsoft YaHei" w:eastAsia="Microsoft YaHei"/>
          <w:b w:val="0"/>
          <w:i w:val="0"/>
          <w:color w:val="1F2933"/>
          <w:sz w:val="18"/>
        </w:rPr>
        <w:t>outputs/pfi_h_scenarios、adaptive_vs_fixed_ablation、jaccard/resolution/hotspot sensitivity、block/source ablations</w:t>
      </w:r>
    </w:p>
    <w:p>
      <w:pPr>
        <w:pStyle w:val="ListBullet"/>
        <w:keepNext w:val="0"/>
        <w:widowControl/>
        <w:spacing w:after="60" w:before="0" w:line="283" w:lineRule="auto"/>
      </w:pPr>
      <w:r>
        <w:rPr>
          <w:rFonts w:ascii="Microsoft YaHei" w:hAnsi="Microsoft YaHei" w:eastAsia="Microsoft YaHei"/>
          <w:b w:val="0"/>
          <w:i w:val="0"/>
          <w:color w:val="1F2933"/>
          <w:sz w:val="18"/>
        </w:rPr>
        <w:t>Fig.2、Fig.4、Fig.6、Fig.S1、Fig.S2；依赖 full model 的所有描述性统计</w:t>
      </w:r>
    </w:p>
    <w:p>
      <w:pPr>
        <w:pStyle w:val="ListBullet"/>
        <w:keepNext w:val="0"/>
        <w:widowControl/>
        <w:spacing w:after="60" w:before="0" w:line="283" w:lineRule="auto"/>
      </w:pPr>
      <w:r>
        <w:rPr>
          <w:rFonts w:ascii="Microsoft YaHei" w:hAnsi="Microsoft YaHei" w:eastAsia="Microsoft YaHei"/>
          <w:b w:val="0"/>
          <w:i w:val="0"/>
          <w:color w:val="1F2933"/>
          <w:sz w:val="18"/>
        </w:rPr>
        <w:t>manuscript.md/html/pdf、report.md/html/pdf、README、Data/code availability、AI declaration、CRediT</w:t>
      </w:r>
    </w:p>
    <w:p>
      <w:pPr>
        <w:spacing w:after="0" w:before="40"/>
      </w:pPr>
    </w:p>
    <w:p>
      <w:pPr>
        <w:pStyle w:val="Heading1"/>
        <w:keepNext/>
      </w:pPr>
      <w:r>
        <w:t>11. 可直接替换的英文方法与声明文本</w:t>
      </w:r>
    </w:p>
    <w:tbl>
      <w:tblPr>
        <w:tblW w:type="auto" w:w="0"/>
        <w:jc w:val="center"/>
        <w:tblLayout w:type="fixed"/>
        <w:tblLook w:firstColumn="1" w:firstRow="1" w:lastColumn="0" w:lastRow="0" w:noHBand="0" w:noVBand="1" w:val="04A0"/>
      </w:tblPr>
      <w:tblGrid>
        <w:gridCol w:w="9751"/>
      </w:tblGrid>
      <w:tr>
        <w:tc>
          <w:tcPr>
            <w:tcW w:type="dxa" w:w="9752"/>
            <w:tcMar>
              <w:top w:w="130" w:type="dxa"/>
              <w:start w:w="180" w:type="dxa"/>
              <w:bottom w:w="130" w:type="dxa"/>
              <w:end w:w="180" w:type="dxa"/>
            </w:tcMar>
            <w:shd w:fill="FFF8D9"/>
            <w:vAlign w:val="center"/>
          </w:tcPr>
          <w:p>
            <w:pPr>
              <w:keepNext w:val="0"/>
              <w:widowControl/>
              <w:spacing w:after="40" w:before="0" w:line="276" w:lineRule="auto"/>
            </w:pPr>
            <w:r>
              <w:rPr>
                <w:rFonts w:ascii="Microsoft YaHei" w:hAnsi="Microsoft YaHei" w:eastAsia="Microsoft YaHei"/>
                <w:b/>
                <w:i w:val="0"/>
                <w:color w:val="B56212"/>
                <w:sz w:val="20"/>
              </w:rPr>
              <w:t>使用前提</w:t>
            </w:r>
          </w:p>
          <w:p>
            <w:pPr>
              <w:keepNext w:val="0"/>
              <w:widowControl/>
              <w:spacing w:after="0" w:before="0" w:line="293" w:lineRule="auto"/>
            </w:pPr>
            <w:r>
              <w:rPr>
                <w:rFonts w:ascii="Microsoft YaHei" w:hAnsi="Microsoft YaHei" w:eastAsia="Microsoft YaHei"/>
                <w:b w:val="0"/>
                <w:i w:val="0"/>
                <w:color w:val="1F2933"/>
                <w:sz w:val="18"/>
              </w:rPr>
              <w:t>以下文字按当前论文语气撰写，但包含条件分支。只有完成相应代码/数据修复后才可粘贴；不能用文字掩盖未修复的实现。</w:t>
            </w:r>
          </w:p>
        </w:tc>
      </w:tr>
    </w:tbl>
    <w:p>
      <w:pPr>
        <w:spacing w:after="0"/>
      </w:pPr>
    </w:p>
    <w:p>
      <w:pPr>
        <w:pStyle w:val="Heading2"/>
        <w:keepNext/>
      </w:pPr>
      <w:r>
        <w:t>11.1 Study area（若保留当前 141-cell 结果）</w:t>
      </w:r>
    </w:p>
    <w:tbl>
      <w:tblPr>
        <w:tblW w:type="auto" w:w="0"/>
        <w:jc w:val="center"/>
        <w:tblLayout w:type="fixed"/>
        <w:tblLook w:firstColumn="1" w:firstRow="1" w:lastColumn="0" w:lastRow="0" w:noHBand="0" w:noVBand="1" w:val="04A0"/>
      </w:tblPr>
      <w:tblGrid>
        <w:gridCol w:w="9752"/>
      </w:tblGrid>
      <w:tr>
        <w:tc>
          <w:tcPr>
            <w:tcW w:type="dxa" w:w="9639"/>
            <w:tcMar>
              <w:top w:w="120" w:type="dxa"/>
              <w:start w:w="150" w:type="dxa"/>
              <w:bottom w:w="120" w:type="dxa"/>
              <w:end w:w="150" w:type="dxa"/>
            </w:tcMar>
            <w:shd w:fill="F5F6F7"/>
          </w:tcPr>
          <w:p>
            <w:pPr>
              <w:keepNext w:val="0"/>
              <w:widowControl/>
              <w:spacing w:after="0" w:before="0" w:line="252" w:lineRule="auto"/>
            </w:pPr>
            <w:r>
              <w:rPr>
                <w:rFonts w:ascii="Consolas" w:hAnsi="Consolas" w:eastAsia="Consolas"/>
                <w:b w:val="0"/>
                <w:i w:val="0"/>
                <w:color w:val="28323A"/>
                <w:sz w:val="15"/>
              </w:rPr>
              <w:t>The smaller pilot used the configured smoke-test extent (74.02–73.98°W, 40.70–40.74°N), which yielded 141 H3 resolution-9 cells. The expanded Manhattan extent covered 74.03–73.94°W and 40.68–40.80°N and yielded 956 resolution-9 cells. The smaller extent is described as a computational pilot rather than as a complete representation of Lower Manhattan. All study-area coordinates and cell counts were generated from the same configuration files used by the analysis.</w:t>
            </w:r>
          </w:p>
        </w:tc>
      </w:tr>
    </w:tbl>
    <w:p>
      <w:pPr>
        <w:spacing w:after="0"/>
      </w:pPr>
    </w:p>
    <w:p>
      <w:pPr>
        <w:keepNext w:val="0"/>
        <w:widowControl/>
        <w:spacing w:after="100" w:before="0" w:line="300" w:lineRule="auto"/>
      </w:pPr>
      <w:r>
        <w:rPr>
          <w:rFonts w:ascii="Microsoft YaHei" w:hAnsi="Microsoft YaHei" w:eastAsia="Microsoft YaHei"/>
          <w:b w:val="0"/>
          <w:i w:val="0"/>
          <w:color w:val="A83232"/>
          <w:sz w:val="17"/>
        </w:rPr>
        <w:t>若坚持使用论文原 bbox，则不能使用这段，必须用 262-cell 重跑后填写新 n 和新结果。</w:t>
      </w:r>
    </w:p>
    <w:p>
      <w:pPr>
        <w:pStyle w:val="Heading2"/>
        <w:keepNext/>
      </w:pPr>
      <w:r>
        <w:t>11.2 Evidence target</w:t>
      </w:r>
    </w:p>
    <w:tbl>
      <w:tblPr>
        <w:tblW w:type="auto" w:w="0"/>
        <w:jc w:val="center"/>
        <w:tblLayout w:type="fixed"/>
        <w:tblLook w:firstColumn="1" w:firstRow="1" w:lastColumn="0" w:lastRow="0" w:noHBand="0" w:noVBand="1" w:val="04A0"/>
      </w:tblPr>
      <w:tblGrid>
        <w:gridCol w:w="9752"/>
      </w:tblGrid>
      <w:tr>
        <w:tc>
          <w:tcPr>
            <w:tcW w:type="dxa" w:w="9639"/>
            <w:tcMar>
              <w:top w:w="120" w:type="dxa"/>
              <w:start w:w="150" w:type="dxa"/>
              <w:bottom w:w="120" w:type="dxa"/>
              <w:end w:w="150" w:type="dxa"/>
            </w:tcMar>
            <w:shd w:fill="F5F6F7"/>
          </w:tcPr>
          <w:p>
            <w:pPr>
              <w:keepNext w:val="0"/>
              <w:widowControl/>
              <w:spacing w:after="0" w:before="0" w:line="252" w:lineRule="auto"/>
            </w:pPr>
            <w:r>
              <w:rPr>
                <w:rFonts w:ascii="Consolas" w:hAnsi="Consolas" w:eastAsia="Consolas"/>
                <w:b w:val="0"/>
                <w:i w:val="0"/>
                <w:color w:val="28323A"/>
                <w:sz w:val="15"/>
              </w:rPr>
              <w:t>For each H3 cell c, we computed the fraction of the cell intersecting the current-sea-level DEP stormwater-flood polygon (a_DEP,c) and binary indicators for the presence of at least one 311 street-flooding report (z_311,c) and at least one USGS Ida high-water mark (z_HWM,c). The composite evidence score was E_c = max(a_DEP,c, z_311,c, z_HWM,c), and the binary evidence class was Y_c = 1(E_c &gt; 0). E_c is an open-evidence screening target: it combines model-derived polygons and event/report presence from different periods and is not interpreted as inundation depth, physical severity, annual probability, or ground truth. Source-specific columns were retained to expose the contribution of each component.</w:t>
            </w:r>
          </w:p>
        </w:tc>
      </w:tr>
    </w:tbl>
    <w:p>
      <w:pPr>
        <w:spacing w:after="0"/>
      </w:pPr>
    </w:p>
    <w:p>
      <w:pPr>
        <w:pStyle w:val="Heading2"/>
        <w:keepNext/>
      </w:pPr>
      <w:r>
        <w:t>11.3 Spatial evaluation and final model（仅在代码修复后使用）</w:t>
      </w:r>
    </w:p>
    <w:tbl>
      <w:tblPr>
        <w:tblW w:type="auto" w:w="0"/>
        <w:jc w:val="center"/>
        <w:tblLayout w:type="fixed"/>
        <w:tblLook w:firstColumn="1" w:firstRow="1" w:lastColumn="0" w:lastRow="0" w:noHBand="0" w:noVBand="1" w:val="04A0"/>
      </w:tblPr>
      <w:tblGrid>
        <w:gridCol w:w="9752"/>
      </w:tblGrid>
      <w:tr>
        <w:tc>
          <w:tcPr>
            <w:tcW w:type="dxa" w:w="9639"/>
            <w:tcMar>
              <w:top w:w="120" w:type="dxa"/>
              <w:start w:w="150" w:type="dxa"/>
              <w:bottom w:w="120" w:type="dxa"/>
              <w:end w:w="150" w:type="dxa"/>
            </w:tcMar>
            <w:shd w:fill="F5F6F7"/>
          </w:tcPr>
          <w:p>
            <w:pPr>
              <w:keepNext w:val="0"/>
              <w:widowControl/>
              <w:spacing w:after="0" w:before="0" w:line="252" w:lineRule="auto"/>
            </w:pPr>
            <w:r>
              <w:rPr>
                <w:rFonts w:ascii="Consolas" w:hAnsi="Consolas" w:eastAsia="Consolas"/>
                <w:b w:val="0"/>
                <w:i w:val="0"/>
                <w:color w:val="28323A"/>
                <w:sz w:val="15"/>
              </w:rPr>
              <w:t>Predictive performance was estimated exclusively from out-of-fold predictions. Resolution-9 cells were grouped by their resolution-7 parents, and GroupKFold withheld complete parent blocks. All fitted transformations and estimators were trained within each training fold. ROC-AUC and average precision were computed from pooled out-of-fold scores; accuracy, F1, and evidence-score R² were summarized across folds. After evaluation was complete, separate deployment classifiers and regressors were refitted on all cells. These all-cell models were used only for descriptive maps and adaptive-grid screening and were never used to calculate held-out performance metrics. Model manifests record the model role, number and hash of training cells, configuration hash, software versions, and random seed.</w:t>
            </w:r>
          </w:p>
        </w:tc>
      </w:tr>
    </w:tbl>
    <w:p>
      <w:pPr>
        <w:spacing w:after="0"/>
      </w:pPr>
    </w:p>
    <w:p>
      <w:pPr>
        <w:pStyle w:val="Heading2"/>
        <w:keepNext/>
      </w:pPr>
      <w:r>
        <w:t>11.4 Provenance and fail-closed assembly（仅在 manifest/代码修复后使用）</w:t>
      </w:r>
    </w:p>
    <w:tbl>
      <w:tblPr>
        <w:tblW w:type="auto" w:w="0"/>
        <w:jc w:val="center"/>
        <w:tblLayout w:type="fixed"/>
        <w:tblLook w:firstColumn="1" w:firstRow="1" w:lastColumn="0" w:lastRow="0" w:noHBand="0" w:noVBand="1" w:val="04A0"/>
      </w:tblPr>
      <w:tblGrid>
        <w:gridCol w:w="9752"/>
      </w:tblGrid>
      <w:tr>
        <w:tc>
          <w:tcPr>
            <w:tcW w:type="dxa" w:w="9639"/>
            <w:tcMar>
              <w:top w:w="120" w:type="dxa"/>
              <w:start w:w="150" w:type="dxa"/>
              <w:bottom w:w="120" w:type="dxa"/>
              <w:end w:w="150" w:type="dxa"/>
            </w:tcMar>
            <w:shd w:fill="F5F6F7"/>
          </w:tcPr>
          <w:p>
            <w:pPr>
              <w:keepNext w:val="0"/>
              <w:widowControl/>
              <w:spacing w:after="0" w:before="0" w:line="252" w:lineRule="auto"/>
            </w:pPr>
            <w:r>
              <w:rPr>
                <w:rFonts w:ascii="Consolas" w:hAnsi="Consolas" w:eastAsia="Consolas"/>
                <w:b w:val="0"/>
                <w:i w:val="0"/>
                <w:color w:val="28323A"/>
                <w:sz w:val="15"/>
              </w:rPr>
              <w:t>Each raw snapshot was accompanied by a machine-readable provenance record containing the official landing page, exact endpoint and layer or download URL, query parameters, data vintage, UTC retrieval time, coordinate reference system, requested extent, feature count, file size, SHA-256 checksum, and license. Production assembly was fail-closed: missing files, missing columns, failed joins, and non-finite values stopped the run. Synthetic fallback was disabled for all reported analyses and was available only through an explicitly labeled demonstration mode. Per-column provenance and missing-value summaries were written with each processed table.</w:t>
            </w:r>
          </w:p>
        </w:tc>
      </w:tr>
    </w:tbl>
    <w:p>
      <w:pPr>
        <w:spacing w:after="0"/>
      </w:pPr>
    </w:p>
    <w:p>
      <w:pPr>
        <w:pStyle w:val="Heading2"/>
        <w:keepNext/>
      </w:pPr>
      <w:r>
        <w:t>11.5 Scale-loss analysis（仅在 tie/预算修复后使用）</w:t>
      </w:r>
    </w:p>
    <w:tbl>
      <w:tblPr>
        <w:tblW w:type="auto" w:w="0"/>
        <w:jc w:val="center"/>
        <w:tblLayout w:type="fixed"/>
        <w:tblLook w:firstColumn="1" w:firstRow="1" w:lastColumn="0" w:lastRow="0" w:noHBand="0" w:noVBand="1" w:val="04A0"/>
      </w:tblPr>
      <w:tblGrid>
        <w:gridCol w:w="9752"/>
      </w:tblGrid>
      <w:tr>
        <w:tc>
          <w:tcPr>
            <w:tcW w:type="dxa" w:w="9639"/>
            <w:tcMar>
              <w:top w:w="120" w:type="dxa"/>
              <w:start w:w="150" w:type="dxa"/>
              <w:bottom w:w="120" w:type="dxa"/>
              <w:end w:w="150" w:type="dxa"/>
            </w:tcMar>
            <w:shd w:fill="F5F6F7"/>
          </w:tcPr>
          <w:p>
            <w:pPr>
              <w:keepNext w:val="0"/>
              <w:widowControl/>
              <w:spacing w:after="0" w:before="0" w:line="252" w:lineRule="auto"/>
            </w:pPr>
            <w:r>
              <w:rPr>
                <w:rFonts w:ascii="Consolas" w:hAnsi="Consolas" w:eastAsia="Consolas"/>
                <w:b w:val="0"/>
                <w:i w:val="0"/>
                <w:color w:val="28323A"/>
                <w:sz w:val="15"/>
              </w:rPr>
              <w:t>Hotspot comparisons used matched physical support after projecting fine-resolution cells to each coarser resolution. Because the fine evidence surface contained ties at the hotspot threshold, we did not select cells by lexicographic H3 order. Tied cells were handled using [fractional membership / all-tie weighting / repeated random tie breaking], and overlap statistics are reported as [weighted estimates / bootstrap medians with 95% intervals]. We additionally report area-weighted overlap and rank-based agreement so that conclusions do not depend on a single arbitrary top-k realization.</w:t>
            </w:r>
          </w:p>
        </w:tc>
      </w:tr>
    </w:tbl>
    <w:p>
      <w:pPr>
        <w:spacing w:after="0"/>
      </w:pPr>
    </w:p>
    <w:p>
      <w:pPr>
        <w:pStyle w:val="Heading2"/>
        <w:keepNext/>
      </w:pPr>
      <w:r>
        <w:t>11.6 Rainfall limitation</w:t>
      </w:r>
    </w:p>
    <w:tbl>
      <w:tblPr>
        <w:tblW w:type="auto" w:w="0"/>
        <w:jc w:val="center"/>
        <w:tblLayout w:type="fixed"/>
        <w:tblLook w:firstColumn="1" w:firstRow="1" w:lastColumn="0" w:lastRow="0" w:noHBand="0" w:noVBand="1" w:val="04A0"/>
      </w:tblPr>
      <w:tblGrid>
        <w:gridCol w:w="9752"/>
      </w:tblGrid>
      <w:tr>
        <w:tc>
          <w:tcPr>
            <w:tcW w:type="dxa" w:w="9639"/>
            <w:tcMar>
              <w:top w:w="120" w:type="dxa"/>
              <w:start w:w="150" w:type="dxa"/>
              <w:bottom w:w="120" w:type="dxa"/>
              <w:end w:w="150" w:type="dxa"/>
            </w:tcMar>
            <w:shd w:fill="F5F6F7"/>
          </w:tcPr>
          <w:p>
            <w:pPr>
              <w:keepNext w:val="0"/>
              <w:widowControl/>
              <w:spacing w:after="0" w:before="0" w:line="252" w:lineRule="auto"/>
            </w:pPr>
            <w:r>
              <w:rPr>
                <w:rFonts w:ascii="Consolas" w:hAnsi="Consolas" w:eastAsia="Consolas"/>
                <w:b w:val="0"/>
                <w:i w:val="0"/>
                <w:color w:val="28323A"/>
                <w:sz w:val="15"/>
              </w:rPr>
              <w:t>Rainfall was represented by a spatially constant 75 mm h−1 placeholder in the present pilot. Consequently, rainfall variation was not identifiable during training, the fitted rainfall importance was zero, and predictions were invariant across the evaluated rainfall values. The scenario interface is therefore a software hook rather than an empirically validated rainfall-response model; no rainfall-conditioning claim is made until spatially and temporally varying observed rainfall is introduced.</w:t>
            </w:r>
          </w:p>
        </w:tc>
      </w:tr>
    </w:tbl>
    <w:p>
      <w:pPr>
        <w:spacing w:after="0"/>
      </w:pPr>
    </w:p>
    <w:p>
      <w:pPr>
        <w:pStyle w:val="Heading2"/>
        <w:keepNext/>
      </w:pPr>
      <w:r>
        <w:t>11.7 Corrected Figure 2 caption（修复 full model 后）</w:t>
      </w:r>
    </w:p>
    <w:tbl>
      <w:tblPr>
        <w:tblW w:type="auto" w:w="0"/>
        <w:jc w:val="center"/>
        <w:tblLayout w:type="fixed"/>
        <w:tblLook w:firstColumn="1" w:firstRow="1" w:lastColumn="0" w:lastRow="0" w:noHBand="0" w:noVBand="1" w:val="04A0"/>
      </w:tblPr>
      <w:tblGrid>
        <w:gridCol w:w="9752"/>
      </w:tblGrid>
      <w:tr>
        <w:tc>
          <w:tcPr>
            <w:tcW w:type="dxa" w:w="9639"/>
            <w:tcMar>
              <w:top w:w="120" w:type="dxa"/>
              <w:start w:w="150" w:type="dxa"/>
              <w:bottom w:w="120" w:type="dxa"/>
              <w:end w:w="150" w:type="dxa"/>
            </w:tcMar>
            <w:shd w:fill="F5F6F7"/>
          </w:tcPr>
          <w:p>
            <w:pPr>
              <w:keepNext w:val="0"/>
              <w:widowControl/>
              <w:spacing w:after="0" w:before="0" w:line="252" w:lineRule="auto"/>
            </w:pPr>
            <w:r>
              <w:rPr>
                <w:rFonts w:ascii="Consolas" w:hAnsi="Consolas" w:eastAsia="Consolas"/>
                <w:b w:val="0"/>
                <w:i w:val="0"/>
                <w:color w:val="28323A"/>
                <w:sz w:val="15"/>
              </w:rPr>
              <w:t>Figure 2. Spatial results for the [141-cell smoke pilot / corrected Lower Manhattan analysis]. (a) Composite open-evidence score; (b) pooled out-of-fold gradient-boosting score under H3-block spatial cross-validation; and (c) descriptive score from a separate model refitted on all analysis cells after evaluation. Panel (c) was not used to estimate predictive performance. The rainfall input is constant in the present pilot, so the mapped surface is invariant across the evaluated rainfall values.</w:t>
            </w:r>
          </w:p>
        </w:tc>
      </w:tr>
    </w:tbl>
    <w:p>
      <w:pPr>
        <w:spacing w:after="0"/>
      </w:pPr>
    </w:p>
    <w:p>
      <w:pPr>
        <w:pStyle w:val="Heading2"/>
        <w:keepNext/>
      </w:pPr>
      <w:r>
        <w:t>11.8 Corrected Table 8 caption</w:t>
      </w:r>
    </w:p>
    <w:tbl>
      <w:tblPr>
        <w:tblW w:type="auto" w:w="0"/>
        <w:jc w:val="center"/>
        <w:tblLayout w:type="fixed"/>
        <w:tblLook w:firstColumn="1" w:firstRow="1" w:lastColumn="0" w:lastRow="0" w:noHBand="0" w:noVBand="1" w:val="04A0"/>
      </w:tblPr>
      <w:tblGrid>
        <w:gridCol w:w="9752"/>
      </w:tblGrid>
      <w:tr>
        <w:tc>
          <w:tcPr>
            <w:tcW w:type="dxa" w:w="9639"/>
            <w:tcMar>
              <w:top w:w="120" w:type="dxa"/>
              <w:start w:w="150" w:type="dxa"/>
              <w:bottom w:w="120" w:type="dxa"/>
              <w:end w:w="150" w:type="dxa"/>
            </w:tcMar>
            <w:shd w:fill="F5F6F7"/>
          </w:tcPr>
          <w:p>
            <w:pPr>
              <w:keepNext w:val="0"/>
              <w:widowControl/>
              <w:spacing w:after="0" w:before="0" w:line="252" w:lineRule="auto"/>
            </w:pPr>
            <w:r>
              <w:rPr>
                <w:rFonts w:ascii="Consolas" w:hAnsi="Consolas" w:eastAsia="Consolas"/>
                <w:b w:val="0"/>
                <w:i w:val="0"/>
                <w:color w:val="28323A"/>
                <w:sz w:val="15"/>
              </w:rPr>
              <w:t>Table 8. Sensitivity to the H3 parent resolution used for spatial blocking. Grouped cross-validation used up to five folds, with the number of folds limited by the number of available parent groups; the R6 configuration with three groups therefore used three folds.</w:t>
            </w:r>
          </w:p>
        </w:tc>
      </w:tr>
    </w:tbl>
    <w:p>
      <w:pPr>
        <w:spacing w:after="0"/>
      </w:pPr>
    </w:p>
    <w:p>
      <w:pPr>
        <w:pStyle w:val="Heading2"/>
        <w:keepNext/>
      </w:pPr>
      <w:r>
        <w:t>11.9 Honest data/code availability（提交归档前的工作稿）</w:t>
      </w:r>
    </w:p>
    <w:tbl>
      <w:tblPr>
        <w:tblW w:type="auto" w:w="0"/>
        <w:jc w:val="center"/>
        <w:tblLayout w:type="fixed"/>
        <w:tblLook w:firstColumn="1" w:firstRow="1" w:lastColumn="0" w:lastRow="0" w:noHBand="0" w:noVBand="1" w:val="04A0"/>
      </w:tblPr>
      <w:tblGrid>
        <w:gridCol w:w="9752"/>
      </w:tblGrid>
      <w:tr>
        <w:tc>
          <w:tcPr>
            <w:tcW w:type="dxa" w:w="9639"/>
            <w:tcMar>
              <w:top w:w="120" w:type="dxa"/>
              <w:start w:w="150" w:type="dxa"/>
              <w:bottom w:w="120" w:type="dxa"/>
              <w:end w:w="150" w:type="dxa"/>
            </w:tcMar>
            <w:shd w:fill="F5F6F7"/>
          </w:tcPr>
          <w:p>
            <w:pPr>
              <w:keepNext w:val="0"/>
              <w:widowControl/>
              <w:spacing w:after="0" w:before="0" w:line="252" w:lineRule="auto"/>
            </w:pPr>
            <w:r>
              <w:rPr>
                <w:rFonts w:ascii="Consolas" w:hAnsi="Consolas" w:eastAsia="Consolas"/>
                <w:b w:val="0"/>
                <w:i w:val="0"/>
                <w:color w:val="28323A"/>
                <w:sz w:val="15"/>
              </w:rPr>
              <w:t>The analysis snapshot audited for this manuscript was a working tree and was not yet an immutable release. Before publication, the authors will deposit a clean, versioned archive containing the analysis code, configuration files, dependency lock, machine-readable provenance manifests, and checksums for all redistributable inputs and derived artifacts. Where licenses prevent redistribution, the archive will provide the official landing page, exact retrieval query, vintage, checksum, and reconstruction instructions. The final manuscript will cite the archived commit and DOI generated after the complete workflow has been rerun from the frozen inputs.</w:t>
            </w:r>
          </w:p>
        </w:tc>
      </w:tr>
    </w:tbl>
    <w:p>
      <w:pPr>
        <w:spacing w:after="0"/>
      </w:pPr>
    </w:p>
    <w:p>
      <w:pPr>
        <w:pStyle w:val="Heading2"/>
        <w:keepNext/>
      </w:pPr>
      <w:r>
        <w:t>11.10 Generative-AI declaration（必须按实际情况由作者确认）</w:t>
      </w:r>
    </w:p>
    <w:tbl>
      <w:tblPr>
        <w:tblW w:type="auto" w:w="0"/>
        <w:jc w:val="center"/>
        <w:tblLayout w:type="fixed"/>
        <w:tblLook w:firstColumn="1" w:firstRow="1" w:lastColumn="0" w:lastRow="0" w:noHBand="0" w:noVBand="1" w:val="04A0"/>
      </w:tblPr>
      <w:tblGrid>
        <w:gridCol w:w="9752"/>
      </w:tblGrid>
      <w:tr>
        <w:tc>
          <w:tcPr>
            <w:tcW w:type="dxa" w:w="9639"/>
            <w:tcMar>
              <w:top w:w="120" w:type="dxa"/>
              <w:start w:w="150" w:type="dxa"/>
              <w:bottom w:w="120" w:type="dxa"/>
              <w:end w:w="150" w:type="dxa"/>
            </w:tcMar>
            <w:shd w:fill="F5F6F7"/>
          </w:tcPr>
          <w:p>
            <w:pPr>
              <w:keepNext w:val="0"/>
              <w:widowControl/>
              <w:spacing w:after="0" w:before="0" w:line="252" w:lineRule="auto"/>
            </w:pPr>
            <w:r>
              <w:rPr>
                <w:rFonts w:ascii="Consolas" w:hAnsi="Consolas" w:eastAsia="Consolas"/>
                <w:b w:val="0"/>
                <w:i w:val="0"/>
                <w:color w:val="28323A"/>
                <w:sz w:val="15"/>
              </w:rPr>
              <w:t>During the preparation of this work, the authors used ChatGPT for language editing and, where applicable, code review and debugging, test design, figure–result consistency checks, and drafting audit suggestions. The tool was not treated as a source of scientific evidence and did not independently execute or validate the reported experiments. The authors executed the code, inspected the source data, verified the numerical outputs, revised all generated text, and take full responsibility for the content of the manuscript. [Revise this statement to match the journal policy and the authors’ complete, factual usage record.]</w:t>
            </w:r>
          </w:p>
        </w:tc>
      </w:tr>
    </w:tbl>
    <w:p>
      <w:pPr>
        <w:spacing w:after="0"/>
      </w:pPr>
    </w:p>
    <w:p>
      <w:pPr>
        <w:spacing w:after="0" w:before="40"/>
      </w:pPr>
    </w:p>
    <w:p>
      <w:pPr>
        <w:pStyle w:val="Heading1"/>
        <w:keepNext/>
      </w:pPr>
      <w:r>
        <w:t>12. 修复完成后的真实性验收清单</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793"/>
            <w:shd w:fill="17324D"/>
            <w:vAlign w:val="center"/>
            <w:tcMar>
              <w:top w:w="90" w:type="dxa"/>
              <w:start w:w="100" w:type="dxa"/>
              <w:bottom w:w="90" w:type="dxa"/>
              <w:end w:w="100" w:type="dxa"/>
            </w:tcMar>
          </w:tcPr>
          <w:p>
            <w:pPr>
              <w:keepNext w:val="0"/>
              <w:widowControl/>
              <w:spacing w:after="0" w:before="0" w:line="240" w:lineRule="auto"/>
              <w:jc w:val="center"/>
            </w:pPr>
            <w:r>
              <w:rPr>
                <w:rFonts w:ascii="Microsoft YaHei" w:hAnsi="Microsoft YaHei" w:eastAsia="Microsoft YaHei"/>
                <w:b/>
                <w:i w:val="0"/>
                <w:color w:val="FFFFFF"/>
                <w:sz w:val="16"/>
              </w:rPr>
              <w:t>完成</w:t>
            </w:r>
          </w:p>
        </w:tc>
        <w:tc>
          <w:tcPr>
            <w:tcW w:type="dxa" w:w="1474"/>
            <w:shd w:fill="17324D"/>
            <w:vAlign w:val="center"/>
            <w:tcMar>
              <w:top w:w="90" w:type="dxa"/>
              <w:start w:w="100" w:type="dxa"/>
              <w:bottom w:w="90" w:type="dxa"/>
              <w:end w:w="100" w:type="dxa"/>
            </w:tcMar>
          </w:tcPr>
          <w:p>
            <w:pPr>
              <w:keepNext w:val="0"/>
              <w:widowControl/>
              <w:spacing w:after="0" w:before="0" w:line="240" w:lineRule="auto"/>
              <w:jc w:val="center"/>
            </w:pPr>
            <w:r>
              <w:rPr>
                <w:rFonts w:ascii="Microsoft YaHei" w:hAnsi="Microsoft YaHei" w:eastAsia="Microsoft YaHei"/>
                <w:b/>
                <w:i w:val="0"/>
                <w:color w:val="FFFFFF"/>
                <w:sz w:val="16"/>
              </w:rPr>
              <w:t>维度</w:t>
            </w:r>
          </w:p>
        </w:tc>
        <w:tc>
          <w:tcPr>
            <w:tcW w:type="dxa" w:w="7371"/>
            <w:shd w:fill="17324D"/>
            <w:vAlign w:val="center"/>
            <w:tcMar>
              <w:top w:w="90" w:type="dxa"/>
              <w:start w:w="100" w:type="dxa"/>
              <w:bottom w:w="90" w:type="dxa"/>
              <w:end w:w="100" w:type="dxa"/>
            </w:tcMar>
          </w:tcPr>
          <w:p>
            <w:pPr>
              <w:keepNext w:val="0"/>
              <w:widowControl/>
              <w:spacing w:after="0" w:before="0" w:line="240" w:lineRule="auto"/>
              <w:jc w:val="center"/>
            </w:pPr>
            <w:r>
              <w:rPr>
                <w:rFonts w:ascii="Microsoft YaHei" w:hAnsi="Microsoft YaHei" w:eastAsia="Microsoft YaHei"/>
                <w:b/>
                <w:i w:val="0"/>
                <w:color w:val="FFFFFF"/>
                <w:sz w:val="16"/>
              </w:rPr>
              <w:t>验收标准</w:t>
            </w:r>
          </w:p>
        </w:tc>
      </w:tr>
      <w:tr>
        <w:trPr>
          <w:cantSplit/>
        </w:trPr>
        <w:tc>
          <w:tcPr>
            <w:tcW w:type="dxa" w:w="793"/>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w:t>
            </w:r>
          </w:p>
        </w:tc>
        <w:tc>
          <w:tcPr>
            <w:tcW w:type="dxa" w:w="1474"/>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来源</w:t>
            </w:r>
          </w:p>
        </w:tc>
        <w:tc>
          <w:tcPr>
            <w:tcW w:type="dxa" w:w="7371"/>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每层有官方 landing page、exact endpoint/query、owner/org、license、retrieved_utc、SHA-256；镜像明确标注。</w:t>
            </w:r>
          </w:p>
        </w:tc>
      </w:tr>
      <w:tr>
        <w:trPr>
          <w:cantSplit/>
        </w:trPr>
        <w:tc>
          <w:tcPr>
            <w:tcW w:type="dxa" w:w="793"/>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w:t>
            </w:r>
          </w:p>
        </w:tc>
        <w:tc>
          <w:tcPr>
            <w:tcW w:type="dxa" w:w="1474"/>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数据</w:t>
            </w:r>
          </w:p>
        </w:tc>
        <w:tc>
          <w:tcPr>
            <w:tcW w:type="dxa" w:w="7371"/>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raw 只读；processed 从 raw 重建；主键/行数/空值/单位/CRS 通过；synthetic_count=0。</w:t>
            </w:r>
          </w:p>
        </w:tc>
      </w:tr>
      <w:tr>
        <w:trPr>
          <w:cantSplit/>
        </w:trPr>
        <w:tc>
          <w:tcPr>
            <w:tcW w:type="dxa" w:w="793"/>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w:t>
            </w:r>
          </w:p>
        </w:tc>
        <w:tc>
          <w:tcPr>
            <w:tcW w:type="dxa" w:w="1474"/>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范围</w:t>
            </w:r>
          </w:p>
        </w:tc>
        <w:tc>
          <w:tcPr>
            <w:tcW w:type="dxa" w:w="7371"/>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配置 bbox、论文坐标、地图坐标和 H3 cell count 完全一致。</w:t>
            </w:r>
          </w:p>
        </w:tc>
      </w:tr>
      <w:tr>
        <w:trPr>
          <w:cantSplit/>
        </w:trPr>
        <w:tc>
          <w:tcPr>
            <w:tcW w:type="dxa" w:w="793"/>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w:t>
            </w:r>
          </w:p>
        </w:tc>
        <w:tc>
          <w:tcPr>
            <w:tcW w:type="dxa" w:w="1474"/>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标签</w:t>
            </w:r>
          </w:p>
        </w:tc>
        <w:tc>
          <w:tcPr>
            <w:tcW w:type="dxa" w:w="7371"/>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max/替代 target 规则逐行可复算；变量命名不夸大；时间/来源局限写清。</w:t>
            </w:r>
          </w:p>
        </w:tc>
      </w:tr>
      <w:tr>
        <w:trPr>
          <w:cantSplit/>
        </w:trPr>
        <w:tc>
          <w:tcPr>
            <w:tcW w:type="dxa" w:w="793"/>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w:t>
            </w:r>
          </w:p>
        </w:tc>
        <w:tc>
          <w:tcPr>
            <w:tcW w:type="dxa" w:w="1474"/>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模型</w:t>
            </w:r>
          </w:p>
        </w:tc>
        <w:tc>
          <w:tcPr>
            <w:tcW w:type="dxa" w:w="7371"/>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OOF 仅用于评价；deployment model 确认 fit_rows=n；两类工件不混用。</w:t>
            </w:r>
          </w:p>
        </w:tc>
      </w:tr>
      <w:tr>
        <w:trPr>
          <w:cantSplit/>
        </w:trPr>
        <w:tc>
          <w:tcPr>
            <w:tcW w:type="dxa" w:w="793"/>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w:t>
            </w:r>
          </w:p>
        </w:tc>
        <w:tc>
          <w:tcPr>
            <w:tcW w:type="dxa" w:w="1474"/>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尺度</w:t>
            </w:r>
          </w:p>
        </w:tc>
        <w:tc>
          <w:tcPr>
            <w:tcW w:type="dxa" w:w="7371"/>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处理阈值并列；预算按面积/投影支持匹配；提供敏感性区间。</w:t>
            </w:r>
          </w:p>
        </w:tc>
      </w:tr>
      <w:tr>
        <w:trPr>
          <w:cantSplit/>
        </w:trPr>
        <w:tc>
          <w:tcPr>
            <w:tcW w:type="dxa" w:w="793"/>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w:t>
            </w:r>
          </w:p>
        </w:tc>
        <w:tc>
          <w:tcPr>
            <w:tcW w:type="dxa" w:w="1474"/>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指标</w:t>
            </w:r>
          </w:p>
        </w:tc>
        <w:tc>
          <w:tcPr>
            <w:tcW w:type="dxa" w:w="7371"/>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所有论文数字由 results.json 自动注入，并由独立脚本复算。</w:t>
            </w:r>
          </w:p>
        </w:tc>
      </w:tr>
      <w:tr>
        <w:trPr>
          <w:cantSplit/>
        </w:trPr>
        <w:tc>
          <w:tcPr>
            <w:tcW w:type="dxa" w:w="793"/>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w:t>
            </w:r>
          </w:p>
        </w:tc>
        <w:tc>
          <w:tcPr>
            <w:tcW w:type="dxa" w:w="1474"/>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图</w:t>
            </w:r>
          </w:p>
        </w:tc>
        <w:tc>
          <w:tcPr>
            <w:tcW w:type="dxa" w:w="7371"/>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每图有 input/output hash；图注角色正确；无裁切、重叠、误导色标。</w:t>
            </w:r>
          </w:p>
        </w:tc>
      </w:tr>
      <w:tr>
        <w:trPr>
          <w:cantSplit/>
        </w:trPr>
        <w:tc>
          <w:tcPr>
            <w:tcW w:type="dxa" w:w="793"/>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w:t>
            </w:r>
          </w:p>
        </w:tc>
        <w:tc>
          <w:tcPr>
            <w:tcW w:type="dxa" w:w="1474"/>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版本</w:t>
            </w:r>
          </w:p>
        </w:tc>
        <w:tc>
          <w:tcPr>
            <w:tcW w:type="dxa" w:w="7371"/>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依赖锁定、Git clean、commit/tag/DOI 一致；从归档克隆可复跑关键结果。</w:t>
            </w:r>
          </w:p>
        </w:tc>
      </w:tr>
      <w:tr>
        <w:trPr>
          <w:cantSplit/>
        </w:trPr>
        <w:tc>
          <w:tcPr>
            <w:tcW w:type="dxa" w:w="793"/>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w:t>
            </w:r>
          </w:p>
        </w:tc>
        <w:tc>
          <w:tcPr>
            <w:tcW w:type="dxa" w:w="1474"/>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作者</w:t>
            </w:r>
          </w:p>
        </w:tc>
        <w:tc>
          <w:tcPr>
            <w:tcW w:type="dxa" w:w="7371"/>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真实 author/affiliation/ORCID/CRediT；无参考论文机构残留；AI 声明完整。</w:t>
            </w:r>
          </w:p>
        </w:tc>
      </w:tr>
      <w:tr>
        <w:trPr>
          <w:cantSplit/>
        </w:trPr>
        <w:tc>
          <w:tcPr>
            <w:tcW w:type="dxa" w:w="793"/>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w:t>
            </w:r>
          </w:p>
        </w:tc>
        <w:tc>
          <w:tcPr>
            <w:tcW w:type="dxa" w:w="1474"/>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投稿包</w:t>
            </w:r>
          </w:p>
        </w:tc>
        <w:tc>
          <w:tcPr>
            <w:tcW w:type="dxa" w:w="7371"/>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6"/>
              </w:rPr>
              <w:t>无临时脚本、旧指标 README、混杂 audit 历史或无关 supplement。</w:t>
            </w:r>
          </w:p>
        </w:tc>
      </w:tr>
      <w:tr>
        <w:trPr>
          <w:cantSplit/>
        </w:trPr>
        <w:tc>
          <w:tcPr>
            <w:tcW w:type="dxa" w:w="793"/>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w:t>
            </w:r>
          </w:p>
        </w:tc>
        <w:tc>
          <w:tcPr>
            <w:tcW w:type="dxa" w:w="1474"/>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人工签字</w:t>
            </w:r>
          </w:p>
        </w:tc>
        <w:tc>
          <w:tcPr>
            <w:tcW w:type="dxa" w:w="7371"/>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6"/>
              </w:rPr>
              <w:t>数据、代码、统计、图片、写作各责任人完成最终逐项核对。</w:t>
            </w:r>
          </w:p>
        </w:tc>
      </w:tr>
    </w:tbl>
    <w:p>
      <w:pPr>
        <w:spacing w:after="0"/>
      </w:pPr>
    </w:p>
    <w:tbl>
      <w:tblPr>
        <w:tblW w:type="auto" w:w="0"/>
        <w:jc w:val="center"/>
        <w:tblLayout w:type="fixed"/>
        <w:tblLook w:firstColumn="1" w:firstRow="1" w:lastColumn="0" w:lastRow="0" w:noHBand="0" w:noVBand="1" w:val="04A0"/>
      </w:tblPr>
      <w:tblGrid>
        <w:gridCol w:w="9751"/>
      </w:tblGrid>
      <w:tr>
        <w:tc>
          <w:tcPr>
            <w:tcW w:type="dxa" w:w="9752"/>
            <w:tcMar>
              <w:top w:w="130" w:type="dxa"/>
              <w:start w:w="180" w:type="dxa"/>
              <w:bottom w:w="130" w:type="dxa"/>
              <w:end w:w="180" w:type="dxa"/>
            </w:tcMar>
            <w:shd w:fill="FCE8E6"/>
            <w:vAlign w:val="center"/>
          </w:tcPr>
          <w:p>
            <w:pPr>
              <w:keepNext w:val="0"/>
              <w:widowControl/>
              <w:spacing w:after="40" w:before="0" w:line="276" w:lineRule="auto"/>
            </w:pPr>
            <w:r>
              <w:rPr>
                <w:rFonts w:ascii="Microsoft YaHei" w:hAnsi="Microsoft YaHei" w:eastAsia="Microsoft YaHei"/>
                <w:b/>
                <w:i w:val="0"/>
                <w:color w:val="A83232"/>
                <w:sz w:val="20"/>
              </w:rPr>
              <w:t>最终放行条件</w:t>
            </w:r>
          </w:p>
          <w:p>
            <w:pPr>
              <w:keepNext w:val="0"/>
              <w:widowControl/>
              <w:spacing w:after="0" w:before="0" w:line="293" w:lineRule="auto"/>
            </w:pPr>
            <w:r>
              <w:rPr>
                <w:rFonts w:ascii="Microsoft YaHei" w:hAnsi="Microsoft YaHei" w:eastAsia="Microsoft YaHei"/>
                <w:b w:val="0"/>
                <w:i w:val="0"/>
                <w:color w:val="1F2933"/>
                <w:sz w:val="18"/>
              </w:rPr>
              <w:t>全部 P0 关闭、所有自动门通过、工作树干净、从冻结快照重新生成的论文 PDF 逐页检查无缺陷后，才建议将审稿结论从“重大修改”改为“可投稿”。</w:t>
            </w:r>
          </w:p>
        </w:tc>
      </w:tr>
    </w:tbl>
    <w:p>
      <w:pPr>
        <w:spacing w:after="0"/>
      </w:pPr>
    </w:p>
    <w:p>
      <w:pPr>
        <w:spacing w:after="0" w:before="40"/>
      </w:pPr>
    </w:p>
    <w:p>
      <w:pPr>
        <w:pStyle w:val="Heading1"/>
        <w:keepNext/>
      </w:pPr>
      <w:r>
        <w:t>13. 审查证据索引</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3402"/>
            <w:shd w:fill="17324D"/>
            <w:vAlign w:val="center"/>
            <w:tcMar>
              <w:top w:w="90" w:type="dxa"/>
              <w:start w:w="100" w:type="dxa"/>
              <w:bottom w:w="90" w:type="dxa"/>
              <w:end w:w="100" w:type="dxa"/>
            </w:tcMar>
          </w:tcPr>
          <w:p>
            <w:pPr>
              <w:keepNext w:val="0"/>
              <w:widowControl/>
              <w:spacing w:after="0" w:before="0" w:line="240" w:lineRule="auto"/>
              <w:jc w:val="center"/>
            </w:pPr>
            <w:r>
              <w:rPr>
                <w:rFonts w:ascii="Microsoft YaHei" w:hAnsi="Microsoft YaHei" w:eastAsia="Microsoft YaHei"/>
                <w:b/>
                <w:i w:val="0"/>
                <w:color w:val="FFFFFF"/>
                <w:sz w:val="16"/>
              </w:rPr>
              <w:t>路径</w:t>
            </w:r>
          </w:p>
        </w:tc>
        <w:tc>
          <w:tcPr>
            <w:tcW w:type="dxa" w:w="1134"/>
            <w:shd w:fill="17324D"/>
            <w:vAlign w:val="center"/>
            <w:tcMar>
              <w:top w:w="90" w:type="dxa"/>
              <w:start w:w="100" w:type="dxa"/>
              <w:bottom w:w="90" w:type="dxa"/>
              <w:end w:w="100" w:type="dxa"/>
            </w:tcMar>
          </w:tcPr>
          <w:p>
            <w:pPr>
              <w:keepNext w:val="0"/>
              <w:widowControl/>
              <w:spacing w:after="0" w:before="0" w:line="240" w:lineRule="auto"/>
              <w:jc w:val="center"/>
            </w:pPr>
            <w:r>
              <w:rPr>
                <w:rFonts w:ascii="Microsoft YaHei" w:hAnsi="Microsoft YaHei" w:eastAsia="Microsoft YaHei"/>
                <w:b/>
                <w:i w:val="0"/>
                <w:color w:val="FFFFFF"/>
                <w:sz w:val="16"/>
              </w:rPr>
              <w:t>bytes</w:t>
            </w:r>
          </w:p>
        </w:tc>
        <w:tc>
          <w:tcPr>
            <w:tcW w:type="dxa" w:w="2494"/>
            <w:shd w:fill="17324D"/>
            <w:vAlign w:val="center"/>
            <w:tcMar>
              <w:top w:w="90" w:type="dxa"/>
              <w:start w:w="100" w:type="dxa"/>
              <w:bottom w:w="90" w:type="dxa"/>
              <w:end w:w="100" w:type="dxa"/>
            </w:tcMar>
          </w:tcPr>
          <w:p>
            <w:pPr>
              <w:keepNext w:val="0"/>
              <w:widowControl/>
              <w:spacing w:after="0" w:before="0" w:line="240" w:lineRule="auto"/>
              <w:jc w:val="center"/>
            </w:pPr>
            <w:r>
              <w:rPr>
                <w:rFonts w:ascii="Microsoft YaHei" w:hAnsi="Microsoft YaHei" w:eastAsia="Microsoft YaHei"/>
                <w:b/>
                <w:i w:val="0"/>
                <w:color w:val="FFFFFF"/>
                <w:sz w:val="16"/>
              </w:rPr>
              <w:t>SHA-256（前20位）</w:t>
            </w:r>
          </w:p>
        </w:tc>
        <w:tc>
          <w:tcPr>
            <w:tcW w:type="dxa" w:w="2608"/>
            <w:shd w:fill="17324D"/>
            <w:vAlign w:val="center"/>
            <w:tcMar>
              <w:top w:w="90" w:type="dxa"/>
              <w:start w:w="100" w:type="dxa"/>
              <w:bottom w:w="90" w:type="dxa"/>
              <w:end w:w="100" w:type="dxa"/>
            </w:tcMar>
          </w:tcPr>
          <w:p>
            <w:pPr>
              <w:keepNext w:val="0"/>
              <w:widowControl/>
              <w:spacing w:after="0" w:before="0" w:line="240" w:lineRule="auto"/>
              <w:jc w:val="center"/>
            </w:pPr>
            <w:r>
              <w:rPr>
                <w:rFonts w:ascii="Microsoft YaHei" w:hAnsi="Microsoft YaHei" w:eastAsia="Microsoft YaHei"/>
                <w:b/>
                <w:i w:val="0"/>
                <w:color w:val="FFFFFF"/>
                <w:sz w:val="16"/>
              </w:rPr>
              <w:t>用途</w:t>
            </w:r>
          </w:p>
        </w:tc>
      </w:tr>
      <w:tr>
        <w:trPr>
          <w:cantSplit/>
        </w:trPr>
        <w:tc>
          <w:tcPr>
            <w:tcW w:type="dxa" w:w="3402"/>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4"/>
              </w:rPr>
              <w:t>audit_evidence.json</w:t>
            </w:r>
          </w:p>
        </w:tc>
        <w:tc>
          <w:tcPr>
            <w:tcW w:type="dxa" w:w="1134"/>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4"/>
              </w:rPr>
              <w:t>62847</w:t>
            </w:r>
          </w:p>
        </w:tc>
        <w:tc>
          <w:tcPr>
            <w:tcW w:type="dxa" w:w="2494"/>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4"/>
              </w:rPr>
              <w:t>41f3375951cfa78781b2…</w:t>
            </w:r>
          </w:p>
        </w:tc>
        <w:tc>
          <w:tcPr>
            <w:tcW w:type="dxa" w:w="2608"/>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4"/>
              </w:rPr>
              <w:t>Git/metadata/processed/OOF/model identity/rainfall/scale/originality综合证据</w:t>
            </w:r>
          </w:p>
        </w:tc>
      </w:tr>
      <w:tr>
        <w:trPr>
          <w:cantSplit/>
        </w:trPr>
        <w:tc>
          <w:tcPr>
            <w:tcW w:type="dxa" w:w="3402"/>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4"/>
              </w:rPr>
              <w:t>raw_rebuild_evidence.json</w:t>
            </w:r>
          </w:p>
        </w:tc>
        <w:tc>
          <w:tcPr>
            <w:tcW w:type="dxa" w:w="1134"/>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4"/>
              </w:rPr>
              <w:t>6702</w:t>
            </w:r>
          </w:p>
        </w:tc>
        <w:tc>
          <w:tcPr>
            <w:tcW w:type="dxa" w:w="2494"/>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4"/>
              </w:rPr>
              <w:t>f3e699cb94b5bfc94da4…</w:t>
            </w:r>
          </w:p>
        </w:tc>
        <w:tc>
          <w:tcPr>
            <w:tcW w:type="dxa" w:w="2608"/>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4"/>
              </w:rPr>
              <w:t>关闭 synthetic fallback 的 raw→processed 重建对照</w:t>
            </w:r>
          </w:p>
        </w:tc>
      </w:tr>
      <w:tr>
        <w:trPr>
          <w:cantSplit/>
        </w:trPr>
        <w:tc>
          <w:tcPr>
            <w:tcW w:type="dxa" w:w="3402"/>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4"/>
              </w:rPr>
              <w:t>source_endpoint_audit.json</w:t>
            </w:r>
          </w:p>
        </w:tc>
        <w:tc>
          <w:tcPr>
            <w:tcW w:type="dxa" w:w="1134"/>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4"/>
              </w:rPr>
              <w:t>11595</w:t>
            </w:r>
          </w:p>
        </w:tc>
        <w:tc>
          <w:tcPr>
            <w:tcW w:type="dxa" w:w="2494"/>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4"/>
              </w:rPr>
              <w:t>c246918f35d63a828fe7…</w:t>
            </w:r>
          </w:p>
        </w:tc>
        <w:tc>
          <w:tcPr>
            <w:tcW w:type="dxa" w:w="2608"/>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4"/>
              </w:rPr>
              <w:t>ArcGIS item owner/org/license 与 raw 向量快照</w:t>
            </w:r>
          </w:p>
        </w:tc>
      </w:tr>
      <w:tr>
        <w:trPr>
          <w:cantSplit/>
        </w:trPr>
        <w:tc>
          <w:tcPr>
            <w:tcW w:type="dxa" w:w="3402"/>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4"/>
              </w:rPr>
              <w:t>file_sha256_inventory.csv</w:t>
            </w:r>
          </w:p>
        </w:tc>
        <w:tc>
          <w:tcPr>
            <w:tcW w:type="dxa" w:w="1134"/>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4"/>
              </w:rPr>
              <w:t>19235</w:t>
            </w:r>
          </w:p>
        </w:tc>
        <w:tc>
          <w:tcPr>
            <w:tcW w:type="dxa" w:w="2494"/>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4"/>
              </w:rPr>
              <w:t>70e394802fe3be570099…</w:t>
            </w:r>
          </w:p>
        </w:tc>
        <w:tc>
          <w:tcPr>
            <w:tcW w:type="dxa" w:w="2608"/>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4"/>
              </w:rPr>
              <w:t>项目文件 SHA-256 清单</w:t>
            </w:r>
          </w:p>
        </w:tc>
      </w:tr>
      <w:tr>
        <w:trPr>
          <w:cantSplit/>
        </w:trPr>
        <w:tc>
          <w:tcPr>
            <w:tcW w:type="dxa" w:w="3402"/>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4"/>
              </w:rPr>
              <w:t>figure_reproduction_evidence.json</w:t>
            </w:r>
          </w:p>
        </w:tc>
        <w:tc>
          <w:tcPr>
            <w:tcW w:type="dxa" w:w="1134"/>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4"/>
              </w:rPr>
              <w:t>5490</w:t>
            </w:r>
          </w:p>
        </w:tc>
        <w:tc>
          <w:tcPr>
            <w:tcW w:type="dxa" w:w="2494"/>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4"/>
              </w:rPr>
              <w:t>d9037057a264b3892a0e…</w:t>
            </w:r>
          </w:p>
        </w:tc>
        <w:tc>
          <w:tcPr>
            <w:tcW w:type="dxa" w:w="2608"/>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4"/>
              </w:rPr>
              <w:t>8 组图片重生成与哈希/尺寸对照</w:t>
            </w:r>
          </w:p>
        </w:tc>
      </w:tr>
      <w:tr>
        <w:trPr>
          <w:cantSplit/>
        </w:trPr>
        <w:tc>
          <w:tcPr>
            <w:tcW w:type="dxa" w:w="3402"/>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4"/>
              </w:rPr>
              <w:t>audit_evidence.py</w:t>
            </w:r>
          </w:p>
        </w:tc>
        <w:tc>
          <w:tcPr>
            <w:tcW w:type="dxa" w:w="1134"/>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4"/>
              </w:rPr>
              <w:t>20704</w:t>
            </w:r>
          </w:p>
        </w:tc>
        <w:tc>
          <w:tcPr>
            <w:tcW w:type="dxa" w:w="2494"/>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4"/>
              </w:rPr>
              <w:t>f977ca30c7fde0d6e07f…</w:t>
            </w:r>
          </w:p>
        </w:tc>
        <w:tc>
          <w:tcPr>
            <w:tcW w:type="dxa" w:w="2608"/>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4"/>
              </w:rPr>
              <w:t>综合审查脚本</w:t>
            </w:r>
          </w:p>
        </w:tc>
      </w:tr>
      <w:tr>
        <w:trPr>
          <w:cantSplit/>
        </w:trPr>
        <w:tc>
          <w:tcPr>
            <w:tcW w:type="dxa" w:w="3402"/>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4"/>
              </w:rPr>
              <w:t>rebuild_from_raw.py</w:t>
            </w:r>
          </w:p>
        </w:tc>
        <w:tc>
          <w:tcPr>
            <w:tcW w:type="dxa" w:w="1134"/>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4"/>
              </w:rPr>
              <w:t>5528</w:t>
            </w:r>
          </w:p>
        </w:tc>
        <w:tc>
          <w:tcPr>
            <w:tcW w:type="dxa" w:w="2494"/>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4"/>
              </w:rPr>
              <w:t>dc7c02a437852b24def7…</w:t>
            </w:r>
          </w:p>
        </w:tc>
        <w:tc>
          <w:tcPr>
            <w:tcW w:type="dxa" w:w="2608"/>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4"/>
              </w:rPr>
              <w:t>raw 重建脚本</w:t>
            </w:r>
          </w:p>
        </w:tc>
      </w:tr>
      <w:tr>
        <w:trPr>
          <w:cantSplit/>
        </w:trPr>
        <w:tc>
          <w:tcPr>
            <w:tcW w:type="dxa" w:w="3402"/>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4"/>
              </w:rPr>
              <w:t>profile_sources.py</w:t>
            </w:r>
          </w:p>
        </w:tc>
        <w:tc>
          <w:tcPr>
            <w:tcW w:type="dxa" w:w="1134"/>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4"/>
              </w:rPr>
              <w:t>5003</w:t>
            </w:r>
          </w:p>
        </w:tc>
        <w:tc>
          <w:tcPr>
            <w:tcW w:type="dxa" w:w="2494"/>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4"/>
              </w:rPr>
              <w:t>c50f18b1e767c055e829…</w:t>
            </w:r>
          </w:p>
        </w:tc>
        <w:tc>
          <w:tcPr>
            <w:tcW w:type="dxa" w:w="2608"/>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4"/>
              </w:rPr>
              <w:t>端点与 raw 快照审查脚本</w:t>
            </w:r>
          </w:p>
        </w:tc>
      </w:tr>
      <w:tr>
        <w:trPr>
          <w:cantSplit/>
        </w:trPr>
        <w:tc>
          <w:tcPr>
            <w:tcW w:type="dxa" w:w="3402"/>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4"/>
              </w:rPr>
              <w:t>reproduce_figures.py</w:t>
            </w:r>
          </w:p>
        </w:tc>
        <w:tc>
          <w:tcPr>
            <w:tcW w:type="dxa" w:w="1134"/>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4"/>
              </w:rPr>
              <w:t>5345</w:t>
            </w:r>
          </w:p>
        </w:tc>
        <w:tc>
          <w:tcPr>
            <w:tcW w:type="dxa" w:w="2494"/>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4"/>
              </w:rPr>
              <w:t>b5c70beab5557097fece…</w:t>
            </w:r>
          </w:p>
        </w:tc>
        <w:tc>
          <w:tcPr>
            <w:tcW w:type="dxa" w:w="2608"/>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4"/>
              </w:rPr>
              <w:t>图表重生成脚本</w:t>
            </w:r>
          </w:p>
        </w:tc>
      </w:tr>
    </w:tbl>
    <w:p>
      <w:pPr>
        <w:spacing w:after="0"/>
      </w:pPr>
    </w:p>
    <w:p>
      <w:pPr>
        <w:pStyle w:val="Heading2"/>
        <w:keepNext/>
      </w:pPr>
      <w:r>
        <w:t>13.1 关键外部落地页（供修复 provenance 使用）</w:t>
      </w: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3402"/>
            <w:shd w:fill="17324D"/>
            <w:vAlign w:val="center"/>
            <w:tcMar>
              <w:top w:w="90" w:type="dxa"/>
              <w:start w:w="100" w:type="dxa"/>
              <w:bottom w:w="90" w:type="dxa"/>
              <w:end w:w="100" w:type="dxa"/>
            </w:tcMar>
          </w:tcPr>
          <w:p>
            <w:pPr>
              <w:keepNext w:val="0"/>
              <w:widowControl/>
              <w:spacing w:after="0" w:before="0" w:line="240" w:lineRule="auto"/>
              <w:jc w:val="center"/>
            </w:pPr>
            <w:r>
              <w:rPr>
                <w:rFonts w:ascii="Microsoft YaHei" w:hAnsi="Microsoft YaHei" w:eastAsia="Microsoft YaHei"/>
                <w:b/>
                <w:i w:val="0"/>
                <w:color w:val="FFFFFF"/>
                <w:sz w:val="16"/>
              </w:rPr>
              <w:t>资源</w:t>
            </w:r>
          </w:p>
        </w:tc>
        <w:tc>
          <w:tcPr>
            <w:tcW w:type="dxa" w:w="6237"/>
            <w:shd w:fill="17324D"/>
            <w:vAlign w:val="center"/>
            <w:tcMar>
              <w:top w:w="90" w:type="dxa"/>
              <w:start w:w="100" w:type="dxa"/>
              <w:bottom w:w="90" w:type="dxa"/>
              <w:end w:w="100" w:type="dxa"/>
            </w:tcMar>
          </w:tcPr>
          <w:p>
            <w:pPr>
              <w:keepNext w:val="0"/>
              <w:widowControl/>
              <w:spacing w:after="0" w:before="0" w:line="240" w:lineRule="auto"/>
              <w:jc w:val="center"/>
            </w:pPr>
            <w:r>
              <w:rPr>
                <w:rFonts w:ascii="Microsoft YaHei" w:hAnsi="Microsoft YaHei" w:eastAsia="Microsoft YaHei"/>
                <w:b/>
                <w:i w:val="0"/>
                <w:color w:val="FFFFFF"/>
                <w:sz w:val="16"/>
              </w:rPr>
              <w:t>URL</w:t>
            </w:r>
          </w:p>
        </w:tc>
      </w:tr>
      <w:tr>
        <w:trPr>
          <w:cantSplit/>
        </w:trPr>
        <w:tc>
          <w:tcPr>
            <w:tcW w:type="dxa" w:w="3402"/>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5"/>
              </w:rPr>
              <w:t>NYC AdaptNYC / official stormwater maps</w:t>
            </w:r>
          </w:p>
        </w:tc>
        <w:tc>
          <w:tcPr>
            <w:tcW w:type="dxa" w:w="6237"/>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5"/>
              </w:rPr>
              <w:t>https://www.nyc.gov/content/climate/pages/initiatives/adaptnyc</w:t>
            </w:r>
          </w:p>
        </w:tc>
      </w:tr>
      <w:tr>
        <w:trPr>
          <w:cantSplit/>
        </w:trPr>
        <w:tc>
          <w:tcPr>
            <w:tcW w:type="dxa" w:w="3402"/>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5"/>
              </w:rPr>
              <w:t>USGS Ida high-water marks data release</w:t>
            </w:r>
          </w:p>
        </w:tc>
        <w:tc>
          <w:tcPr>
            <w:tcW w:type="dxa" w:w="6237"/>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5"/>
              </w:rPr>
              <w:t>https://www.usgs.gov/data/high-water-marks-five-boroughs-new-york-city-flash-flooding-caused-remnants-hurricane-ida</w:t>
            </w:r>
          </w:p>
        </w:tc>
      </w:tr>
      <w:tr>
        <w:trPr>
          <w:cantSplit/>
        </w:trPr>
        <w:tc>
          <w:tcPr>
            <w:tcW w:type="dxa" w:w="3402"/>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5"/>
              </w:rPr>
              <w:t>NYC Open Data Building Footprints</w:t>
            </w:r>
          </w:p>
        </w:tc>
        <w:tc>
          <w:tcPr>
            <w:tcW w:type="dxa" w:w="6237"/>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5"/>
              </w:rPr>
              <w:t>https://data.cityofnewyork.us/City-Government/Building-Footprints/3g6p-4u5s</w:t>
            </w:r>
          </w:p>
        </w:tc>
      </w:tr>
      <w:tr>
        <w:trPr>
          <w:cantSplit/>
        </w:trPr>
        <w:tc>
          <w:tcPr>
            <w:tcW w:type="dxa" w:w="3402"/>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5"/>
              </w:rPr>
              <w:t>NYC Building Footprints metadata</w:t>
            </w:r>
          </w:p>
        </w:tc>
        <w:tc>
          <w:tcPr>
            <w:tcW w:type="dxa" w:w="6237"/>
            <w:vAlign w:val="top"/>
            <w:tcMar>
              <w:top w:w="90" w:type="dxa"/>
              <w:start w:w="100" w:type="dxa"/>
              <w:bottom w:w="90" w:type="dxa"/>
              <w:end w:w="100" w:type="dxa"/>
            </w:tcMar>
            <w:shd w:fill="F7F9FA"/>
          </w:tcPr>
          <w:p>
            <w:pPr>
              <w:keepNext w:val="0"/>
              <w:widowControl/>
              <w:spacing w:after="0" w:before="0" w:line="269" w:lineRule="auto"/>
            </w:pPr>
            <w:r>
              <w:rPr>
                <w:rFonts w:ascii="Microsoft YaHei" w:hAnsi="Microsoft YaHei" w:eastAsia="Microsoft YaHei"/>
                <w:b w:val="0"/>
                <w:i w:val="0"/>
                <w:color w:val="1F2933"/>
                <w:sz w:val="15"/>
              </w:rPr>
              <w:t>https://github.com/CityOfNewYork/nyc-geo-metadata/blob/main/Metadata/Metadata_BuildingFootprints.md</w:t>
            </w:r>
          </w:p>
        </w:tc>
      </w:tr>
      <w:tr>
        <w:trPr>
          <w:cantSplit/>
        </w:trPr>
        <w:tc>
          <w:tcPr>
            <w:tcW w:type="dxa" w:w="3402"/>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5"/>
              </w:rPr>
              <w:t>Supplied reference paper landing page</w:t>
            </w:r>
          </w:p>
        </w:tc>
        <w:tc>
          <w:tcPr>
            <w:tcW w:type="dxa" w:w="6237"/>
            <w:vAlign w:val="top"/>
            <w:tcMar>
              <w:top w:w="90" w:type="dxa"/>
              <w:start w:w="100" w:type="dxa"/>
              <w:bottom w:w="90" w:type="dxa"/>
              <w:end w:w="100" w:type="dxa"/>
            </w:tcMar>
          </w:tcPr>
          <w:p>
            <w:pPr>
              <w:keepNext w:val="0"/>
              <w:widowControl/>
              <w:spacing w:after="0" w:before="0" w:line="269" w:lineRule="auto"/>
            </w:pPr>
            <w:r>
              <w:rPr>
                <w:rFonts w:ascii="Microsoft YaHei" w:hAnsi="Microsoft YaHei" w:eastAsia="Microsoft YaHei"/>
                <w:b w:val="0"/>
                <w:i w:val="0"/>
                <w:color w:val="1F2933"/>
                <w:sz w:val="15"/>
              </w:rPr>
              <w:t>https://papers.ssrn.com/sol3/papers.cfm?abstract_id=5875380</w:t>
            </w:r>
          </w:p>
        </w:tc>
      </w:tr>
    </w:tbl>
    <w:p>
      <w:pPr>
        <w:spacing w:after="0"/>
      </w:pPr>
    </w:p>
    <w:p>
      <w:pPr>
        <w:pStyle w:val="Heading2"/>
        <w:keepNext/>
      </w:pPr>
      <w:r>
        <w:t>13.2 结论的适用边界</w:t>
      </w:r>
    </w:p>
    <w:p>
      <w:pPr>
        <w:pStyle w:val="ListBullet"/>
        <w:keepNext w:val="0"/>
        <w:widowControl/>
        <w:spacing w:after="60" w:before="0" w:line="283" w:lineRule="auto"/>
      </w:pPr>
      <w:r>
        <w:rPr>
          <w:rFonts w:ascii="Microsoft YaHei" w:hAnsi="Microsoft YaHei" w:eastAsia="Microsoft YaHei"/>
          <w:b w:val="0"/>
          <w:i w:val="0"/>
          <w:color w:val="1F2933"/>
          <w:sz w:val="18"/>
        </w:rPr>
        <w:t>本报告证明的是当前本地快照可在现有环境中重建/复算，不代表上游数据本身没有测量偏差、模型误差或许可问题。</w:t>
      </w:r>
    </w:p>
    <w:p>
      <w:pPr>
        <w:pStyle w:val="ListBullet"/>
        <w:keepNext w:val="0"/>
        <w:widowControl/>
        <w:spacing w:after="60" w:before="0" w:line="283" w:lineRule="auto"/>
      </w:pPr>
      <w:r>
        <w:rPr>
          <w:rFonts w:ascii="Microsoft YaHei" w:hAnsi="Microsoft YaHei" w:eastAsia="Microsoft YaHei"/>
          <w:b w:val="0"/>
          <w:i w:val="0"/>
          <w:color w:val="1F2933"/>
          <w:sz w:val="18"/>
        </w:rPr>
        <w:t>未发现参考论文数据/文本的实质直接复用，不等于对所有外部来源完成法证级查重。</w:t>
      </w:r>
    </w:p>
    <w:p>
      <w:pPr>
        <w:pStyle w:val="ListBullet"/>
        <w:keepNext w:val="0"/>
        <w:widowControl/>
        <w:spacing w:after="60" w:before="0" w:line="283" w:lineRule="auto"/>
      </w:pPr>
      <w:r>
        <w:rPr>
          <w:rFonts w:ascii="Microsoft YaHei" w:hAnsi="Microsoft YaHei" w:eastAsia="Microsoft YaHei"/>
          <w:b w:val="0"/>
          <w:i w:val="0"/>
          <w:color w:val="1F2933"/>
          <w:sz w:val="18"/>
        </w:rPr>
        <w:t>作者身份、真实贡献、数据获取授权与 AI 使用记录必须由作者提供并签字确认，代码审查不能替代这一责任；修复任何 P0 计算逻辑后，旧图、旧表和本报告中的数值都不能直接沿用，必须由新冻结快照重新生成。</w:t>
      </w:r>
    </w:p>
    <w:p>
      <w:pPr>
        <w:spacing w:before="280" w:after="0"/>
        <w:jc w:val="center"/>
      </w:pPr>
      <w:r>
        <w:rPr>
          <w:rFonts w:ascii="Arial" w:hAnsi="Arial" w:eastAsia="Arial"/>
          <w:b/>
          <w:i w:val="0"/>
          <w:color w:val="1D6F78"/>
          <w:sz w:val="16"/>
        </w:rPr>
        <w:t>— END OF AUDIT —</w:t>
      </w:r>
    </w:p>
    <w:sectPr w:rsidR="00FC693F" w:rsidRPr="0006063C" w:rsidSect="00034616">
      <w:headerReference w:type="default" r:id="rId9"/>
      <w:footerReference w:type="default" r:id="rId10"/>
      <w:pgSz w:w="11906" w:h="16838"/>
      <w:pgMar w:top="935" w:right="1077" w:bottom="879" w:left="1077" w:header="454"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YaHei" w:hAnsi="Microsoft YaHei" w:eastAsia="Microsoft YaHei"/>
        <w:b w:val="0"/>
        <w:i w:val="0"/>
        <w:color w:val="667581"/>
        <w:sz w:val="16"/>
      </w:rPr>
      <w:t xml:space="preserve">审查文档  |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4" w:color="1D6F78"/>
      </w:pBdr>
    </w:pPr>
    <w:r>
      <w:rPr>
        <w:rFonts w:ascii="Arial" w:hAnsi="Arial" w:eastAsia="Arial"/>
        <w:b/>
        <w:i w:val="0"/>
        <w:color w:val="1D6F78"/>
        <w:sz w:val="15"/>
      </w:rPr>
      <w:t>PLUVIAL FLOOD RISK · INDEPENDENT TECHNICAL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93" w:lineRule="auto"/>
    </w:pPr>
    <w:rPr>
      <w:rFonts w:ascii="Microsoft YaHei" w:hAnsi="Microsoft YaHei" w:eastAsia="Microsoft YaHei"/>
      <w:color w:val="1F29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Microsoft YaHei" w:hAnsi="Microsoft YaHei" w:eastAsia="Microsoft YaHei"/>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Microsoft YaHei" w:hAnsi="Microsoft YaHei" w:eastAsia="Microsoft YaHei"/>
      <w:b/>
      <w:bCs/>
      <w:color w:val="1D6F78"/>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Microsoft YaHei" w:hAnsi="Microsoft YaHei" w:eastAsia="Microsoft YaHei"/>
      <w:b/>
      <w:bCs/>
      <w:color w:val="2A5D8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sz w:val="18"/>
    </w:rPr>
  </w:style>
  <w:style w:type="paragraph" w:styleId="ListBullet2">
    <w:name w:val="List Bullet 2"/>
    <w:basedOn w:val="Normal"/>
    <w:uiPriority w:val="99"/>
    <w:unhideWhenUsed/>
    <w:rsid w:val="00326F90"/>
    <w:pPr>
      <w:numPr>
        <w:numId w:val="2"/>
      </w:numPr>
      <w:contextualSpacing/>
    </w:pPr>
    <w:rPr>
      <w:rFonts w:ascii="Microsoft YaHei" w:hAnsi="Microsoft YaHei" w:eastAsia="Microsoft YaHei"/>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icrosoft YaHei" w:hAnsi="Microsoft YaHei" w:eastAsia="Microsoft YaHei"/>
      <w:sz w:val="18"/>
    </w:rPr>
  </w:style>
  <w:style w:type="paragraph" w:styleId="ListNumber2">
    <w:name w:val="List Number 2"/>
    <w:basedOn w:val="Normal"/>
    <w:uiPriority w:val="99"/>
    <w:unhideWhenUsed/>
    <w:rsid w:val="0029639D"/>
    <w:pPr>
      <w:numPr>
        <w:numId w:val="6"/>
      </w:numPr>
      <w:contextualSpacing/>
    </w:pPr>
    <w:rPr>
      <w:rFonts w:ascii="Microsoft YaHei" w:hAnsi="Microsoft YaHei" w:eastAsia="Microsoft YaHei"/>
      <w:sz w:val="18"/>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严格审稿与真实性证据报告</dc:title>
  <dc:subject>Pluvial flood risk DGGS-H3 code/data/paper audit</dc:subject>
  <dc:creator>Independent technical audit generated in Codex; author verification required</dc:creator>
  <cp:keywords>audit, reproducibility, provenance, H3, flood evidence</cp:keywords>
  <dc:description>generated by python-docx</dc:description>
  <cp:lastModifiedBy/>
  <cp:revision>1</cp:revision>
  <dcterms:created xsi:type="dcterms:W3CDTF">2013-12-23T23:15:00Z</dcterms:created>
  <dcterms:modified xsi:type="dcterms:W3CDTF">2013-12-23T23:15:00Z</dcterms:modified>
  <cp:category/>
</cp:coreProperties>
</file>