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3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ENLA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32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pPr>
        <w:jc w:val="center"/>
      </w:pPr>
      <w:r>
        <w:rPr>
          <w:rFonts w:ascii="Calibri" w:hAnsi="Calibri"/>
          <w:b/>
          <w:i w:val="0"/>
          <w:color w:val="E85D04"/>
          <w:sz w:val="26"/>
        </w:rPr>
        <w:t>OFFRE TECHNIQUE</w:t>
      </w:r>
    </w:p>
    <w:p>
      <w:pPr>
        <w:jc w:val="center"/>
      </w:pPr>
      <w:r>
        <w:rPr>
          <w:rFonts w:ascii="Calibri" w:hAnsi="Calibri"/>
          <w:b/>
          <w:i w:val="0"/>
          <w:color w:val="0F2A44"/>
          <w:sz w:val="52"/>
        </w:rPr>
        <w:t>Canevas de redaction - NexusRH CI</w:t>
      </w:r>
    </w:p>
    <w:p>
      <w:pPr>
        <w:jc w:val="center"/>
      </w:pPr>
      <w:r>
        <w:rPr>
          <w:rFonts w:ascii="Calibri" w:hAnsi="Calibri"/>
          <w:b w:val="0"/>
          <w:i/>
          <w:color w:val="E85D04"/>
          <w:sz w:val="24"/>
        </w:rPr>
        <w:t>Trame conforme au DAO, a la Clean Architecture et aux recommandations OWASP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/>
                <w:i w:val="0"/>
                <w:color w:val="0F2A44"/>
                <w:sz w:val="20"/>
              </w:rPr>
              <w:t>Reference</w:t>
            </w:r>
          </w:p>
        </w:tc>
        <w:tc>
          <w:tcPr>
            <w:tcW w:type="dxa" w:w="65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555B66"/>
                <w:sz w:val="20"/>
              </w:rPr>
              <w:t>DAO DRH/SIRH/29042026 - Projet TRANSFORMATION RH</w:t>
            </w:r>
          </w:p>
        </w:tc>
      </w:tr>
      <w:tr>
        <w:tc>
          <w:tcPr>
            <w:tcW w:type="dxa" w:w="283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/>
                <w:i w:val="0"/>
                <w:color w:val="0F2A44"/>
                <w:sz w:val="20"/>
              </w:rPr>
              <w:t>Autorite contractante</w:t>
            </w:r>
          </w:p>
        </w:tc>
        <w:tc>
          <w:tcPr>
            <w:tcW w:type="dxa" w:w="65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555B66"/>
                <w:sz w:val="20"/>
              </w:rPr>
              <w:t>VERSUS BANK (Cote d'Ivoire)</w:t>
            </w:r>
          </w:p>
        </w:tc>
      </w:tr>
      <w:tr>
        <w:tc>
          <w:tcPr>
            <w:tcW w:type="dxa" w:w="283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/>
                <w:i w:val="0"/>
                <w:color w:val="0F2A44"/>
                <w:sz w:val="20"/>
              </w:rPr>
              <w:t>Soumissionnaire</w:t>
            </w:r>
          </w:p>
        </w:tc>
        <w:tc>
          <w:tcPr>
            <w:tcW w:type="dxa" w:w="65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555B66"/>
                <w:sz w:val="20"/>
              </w:rPr>
              <w:t>OpenLab Consulting - solution NexusRH CI</w:t>
            </w:r>
          </w:p>
        </w:tc>
      </w:tr>
      <w:tr>
        <w:tc>
          <w:tcPr>
            <w:tcW w:type="dxa" w:w="283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/>
                <w:i w:val="0"/>
                <w:color w:val="0F2A44"/>
                <w:sz w:val="20"/>
              </w:rPr>
              <w:t>Objet</w:t>
            </w:r>
          </w:p>
        </w:tc>
        <w:tc>
          <w:tcPr>
            <w:tcW w:type="dxa" w:w="65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555B66"/>
                <w:sz w:val="20"/>
              </w:rPr>
              <w:t>Structure type de l'offre technique a remettre (notation /100)</w:t>
            </w:r>
          </w:p>
        </w:tc>
      </w:tr>
      <w:tr>
        <w:tc>
          <w:tcPr>
            <w:tcW w:type="dxa" w:w="283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/>
                <w:i w:val="0"/>
                <w:color w:val="0F2A44"/>
                <w:sz w:val="20"/>
              </w:rPr>
              <w:t>Cadre</w:t>
            </w:r>
          </w:p>
        </w:tc>
        <w:tc>
          <w:tcPr>
            <w:tcW w:type="dxa" w:w="65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555B66"/>
                <w:sz w:val="20"/>
              </w:rPr>
              <w:t>Langue : francais  -  Monnaie : FCFA (XOF)  -  Delai : 9 mois</w:t>
            </w:r>
          </w:p>
        </w:tc>
      </w:tr>
    </w:tbl>
    <w:p>
      <w:r>
        <w:br w:type="page"/>
      </w:r>
    </w:p>
    <w:p>
      <w:pPr>
        <w:spacing w:before="320"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0F2A44"/>
            <w:tcMar>
              <w:top w:w="80" w:type="dxa"/>
              <w:bottom w:w="80" w:type="dxa"/>
              <w:start w:w="14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8"/>
              </w:rPr>
              <w:t>Mode d'emploi de ce canevas</w:t>
            </w:r>
          </w:p>
        </w:tc>
      </w:tr>
    </w:tbl>
    <w:p>
      <w:pPr>
        <w:spacing w:after="40"/>
      </w:pP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A1A1A"/>
          <w:sz w:val="21"/>
        </w:rPr>
        <w:t>Ce document est une trame de redaction. Chaque chapitre correspond a un critere de notation du DAO ou a une question posee aux soumissionnaires. Les sections [A RENSEIGNER] doivent etre completees par l'equipe OpenLab (chiffres, CV, plannings, prix). La structure suit l'ordre de la grille d'evaluation technique afin que la COJO retrouve facilement chaque point note.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5953"/>
            <w:shd w:val="clear" w:color="auto" w:fill="0F2A4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Chapitre du dossier technique</w:t>
            </w:r>
          </w:p>
        </w:tc>
        <w:tc>
          <w:tcPr>
            <w:tcW w:type="dxa" w:w="2268"/>
            <w:shd w:val="clear" w:color="auto" w:fill="0F2A4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Critere DAO</w:t>
            </w:r>
          </w:p>
        </w:tc>
        <w:tc>
          <w:tcPr>
            <w:tcW w:type="dxa" w:w="1134"/>
            <w:shd w:val="clear" w:color="auto" w:fill="0F2A4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Points</w:t>
            </w:r>
          </w:p>
        </w:tc>
      </w:tr>
      <w:tr>
        <w:tc>
          <w:tcPr>
            <w:tcW w:type="dxa" w:w="595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Ch. 1 - Comprehension du besoin et perimetre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Contexte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-</w:t>
            </w:r>
          </w:p>
        </w:tc>
      </w:tr>
      <w:tr>
        <w:tc>
          <w:tcPr>
            <w:tcW w:type="dxa" w:w="5953"/>
            <w:shd w:val="clear" w:color="auto" w:fill="FAFBF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Ch. 2 - Couverture fonctionnelle (modules 1 a 9)</w:t>
            </w:r>
          </w:p>
        </w:tc>
        <w:tc>
          <w:tcPr>
            <w:tcW w:type="dxa" w:w="2268"/>
            <w:shd w:val="clear" w:color="auto" w:fill="FAFBF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Critere 1</w:t>
            </w:r>
          </w:p>
        </w:tc>
        <w:tc>
          <w:tcPr>
            <w:tcW w:type="dxa" w:w="1134"/>
            <w:shd w:val="clear" w:color="auto" w:fill="FAFBF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35</w:t>
            </w:r>
          </w:p>
        </w:tc>
      </w:tr>
      <w:tr>
        <w:tc>
          <w:tcPr>
            <w:tcW w:type="dxa" w:w="595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Ch. 3 - Architecture, securite et conformite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Critere 2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20</w:t>
            </w:r>
          </w:p>
        </w:tc>
      </w:tr>
      <w:tr>
        <w:tc>
          <w:tcPr>
            <w:tcW w:type="dxa" w:w="5953"/>
            <w:shd w:val="clear" w:color="auto" w:fill="FAFBF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Ch. 4 - Interoperabilite et migration</w:t>
            </w:r>
          </w:p>
        </w:tc>
        <w:tc>
          <w:tcPr>
            <w:tcW w:type="dxa" w:w="2268"/>
            <w:shd w:val="clear" w:color="auto" w:fill="FAFBF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Critere 3</w:t>
            </w:r>
          </w:p>
        </w:tc>
        <w:tc>
          <w:tcPr>
            <w:tcW w:type="dxa" w:w="1134"/>
            <w:shd w:val="clear" w:color="auto" w:fill="FAFBF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15</w:t>
            </w:r>
          </w:p>
        </w:tc>
      </w:tr>
      <w:tr>
        <w:tc>
          <w:tcPr>
            <w:tcW w:type="dxa" w:w="595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Ch. 5 - Methodologie et planning (9 mois)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Critere 4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10</w:t>
            </w:r>
          </w:p>
        </w:tc>
      </w:tr>
      <w:tr>
        <w:tc>
          <w:tcPr>
            <w:tcW w:type="dxa" w:w="5953"/>
            <w:shd w:val="clear" w:color="auto" w:fill="FAFBF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Ch. 6 - Conduite du changement, formation, support</w:t>
            </w:r>
          </w:p>
        </w:tc>
        <w:tc>
          <w:tcPr>
            <w:tcW w:type="dxa" w:w="2268"/>
            <w:shd w:val="clear" w:color="auto" w:fill="FAFBF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Critere 5</w:t>
            </w:r>
          </w:p>
        </w:tc>
        <w:tc>
          <w:tcPr>
            <w:tcW w:type="dxa" w:w="1134"/>
            <w:shd w:val="clear" w:color="auto" w:fill="FAFBF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10</w:t>
            </w:r>
          </w:p>
        </w:tc>
      </w:tr>
      <w:tr>
        <w:tc>
          <w:tcPr>
            <w:tcW w:type="dxa" w:w="595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Ch. 7 - Equipe dediee et references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Critere 6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10</w:t>
            </w:r>
          </w:p>
        </w:tc>
      </w:tr>
      <w:tr>
        <w:tc>
          <w:tcPr>
            <w:tcW w:type="dxa" w:w="5953"/>
            <w:shd w:val="clear" w:color="auto" w:fill="FAFBF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Ch. 8 - Reponses aux questions du DAO (1 a 10)</w:t>
            </w:r>
          </w:p>
        </w:tc>
        <w:tc>
          <w:tcPr>
            <w:tcW w:type="dxa" w:w="2268"/>
            <w:shd w:val="clear" w:color="auto" w:fill="FAFBF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Annexe</w:t>
            </w:r>
          </w:p>
        </w:tc>
        <w:tc>
          <w:tcPr>
            <w:tcW w:type="dxa" w:w="1134"/>
            <w:shd w:val="clear" w:color="auto" w:fill="FAFBF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-</w:t>
            </w:r>
          </w:p>
        </w:tc>
      </w:tr>
      <w:tr>
        <w:tc>
          <w:tcPr>
            <w:tcW w:type="dxa" w:w="595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Ch. 9 - Reversibilite, propriete des donnees, livrables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CCAP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-</w:t>
            </w:r>
          </w:p>
        </w:tc>
      </w:tr>
      <w:tr>
        <w:tc>
          <w:tcPr>
            <w:tcW w:type="dxa" w:w="5953"/>
            <w:shd w:val="clear" w:color="auto" w:fill="FAFBF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Annexe - Matrice de conformite fonctionnelle</w:t>
            </w:r>
          </w:p>
        </w:tc>
        <w:tc>
          <w:tcPr>
            <w:tcW w:type="dxa" w:w="2268"/>
            <w:shd w:val="clear" w:color="auto" w:fill="FAFBF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Annexe 2</w:t>
            </w:r>
          </w:p>
        </w:tc>
        <w:tc>
          <w:tcPr>
            <w:tcW w:type="dxa" w:w="1134"/>
            <w:shd w:val="clear" w:color="auto" w:fill="FAFBF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-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20"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0F2A44"/>
            <w:tcMar>
              <w:top w:w="80" w:type="dxa"/>
              <w:bottom w:w="80" w:type="dxa"/>
              <w:start w:w="14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8"/>
              </w:rPr>
              <w:t>Chapitre 1 - Comprehension du besoin et perimetre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rFonts w:ascii="Calibri" w:hAnsi="Calibri"/>
          <w:b/>
          <w:i w:val="0"/>
          <w:color w:val="E85D04"/>
          <w:sz w:val="22"/>
        </w:rPr>
        <w:t>1.1  Rappel du contexte VERSUS BANK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A1A1A"/>
          <w:sz w:val="21"/>
        </w:rPr>
        <w:t>Reformuler le contexte (modernisation, centralisation, securisation des RH ; suppression des traitements manuels Excel/papier ; environnement bancaire reglemente BCEAO ; tracabilite et conformite). Demontrer la comprehension du cycle de vie du collaborateur de bout en bout.</w:t>
      </w:r>
    </w:p>
    <w:p>
      <w:pPr>
        <w:spacing w:before="160" w:after="40"/>
      </w:pPr>
      <w:r>
        <w:rPr>
          <w:rFonts w:ascii="Calibri" w:hAnsi="Calibri"/>
          <w:b/>
          <w:i w:val="0"/>
          <w:color w:val="E85D04"/>
          <w:sz w:val="22"/>
        </w:rPr>
        <w:t>1.2  Perimetre couvert et engagement de resultat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A1A1A"/>
          <w:sz w:val="21"/>
        </w:rPr>
        <w:t>Lister les 13 domaines du perimetre (recrutement/integration, administration, paie, organigrammes, temps/absences, evaluations/objectifs, formation, carrieres/talents, mobilites, successions, climat social, reporting, interfaces). Rappeler les KPI cibles : 90% des dossiers numerises, 90% des demandes RH digitalisees, -50% de temps administratif a 6 mois, 90% d'utilisateurs actifs a 3 mois, -90% d'erreurs de saisie a 4 mois.</w:t>
      </w:r>
    </w:p>
    <w:p>
      <w:pPr>
        <w:spacing w:before="160" w:after="40"/>
      </w:pPr>
      <w:r>
        <w:rPr>
          <w:rFonts w:ascii="Calibri" w:hAnsi="Calibri"/>
          <w:b/>
          <w:i w:val="0"/>
          <w:color w:val="E85D04"/>
          <w:sz w:val="22"/>
        </w:rPr>
        <w:t>1.3  Strategie de reponse : lot unique, deploiement par lots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A1A1A"/>
          <w:sz w:val="21"/>
        </w:rPr>
        <w:t>Justifier le lot unique (tiers de confiance unique, coherence d'architecture, absence de rupture de flux) tout en proposant un deploiement par lots sur 9 mois (voir Ch. 5).</w:t>
      </w:r>
    </w:p>
    <w:p>
      <w:r>
        <w:br w:type="page"/>
      </w:r>
    </w:p>
    <w:p>
      <w:pPr>
        <w:spacing w:before="320"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0F2A44"/>
            <w:tcMar>
              <w:top w:w="80" w:type="dxa"/>
              <w:bottom w:w="80" w:type="dxa"/>
              <w:start w:w="14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8"/>
              </w:rPr>
              <w:t>Chapitre 2 - Couverture fonctionnelle (35 points)</w:t>
            </w:r>
          </w:p>
        </w:tc>
      </w:tr>
    </w:tbl>
    <w:p>
      <w:pPr>
        <w:spacing w:after="40"/>
      </w:pP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A1A1A"/>
          <w:sz w:val="21"/>
        </w:rPr>
        <w:t>Pour chaque module, repondre selon le format DAO : (i) Oui/Non standard, (ii) description et limites, (iii) prerequis, (iv) elements de preuve (captures, doc), (v) impacts cout/delai/risque. Distinguer clairement le parametrage (standard) du developpement specifique (livre par lot).</w:t>
      </w:r>
    </w:p>
    <w:p>
      <w:pPr>
        <w:spacing w:before="160" w:after="40"/>
      </w:pPr>
      <w:r>
        <w:rPr>
          <w:rFonts w:ascii="Calibri" w:hAnsi="Calibri"/>
          <w:b/>
          <w:i w:val="0"/>
          <w:color w:val="E85D04"/>
          <w:sz w:val="22"/>
        </w:rPr>
        <w:t>2.1  Recrutement, Onboarding et Offboarding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A1A1A"/>
          <w:sz w:val="21"/>
        </w:rPr>
        <w:t>Standard : ATS avec scoring IA, vivier, pipeline, page publique, pre-onboarding/checklists. Livre : module offboarding complet (motifs de depart, checklist de restitution, solde de tout compte conforme au Code du travail CI). Specifique (lot) : workflow de validation des besoins (Manager &gt; DRH/Finance &gt; DG), bibliotheque video et videos journalieres, bilan de fin d'integration.</w:t>
      </w:r>
    </w:p>
    <w:p>
      <w:pPr>
        <w:spacing w:before="160" w:after="40"/>
      </w:pPr>
      <w:r>
        <w:rPr>
          <w:rFonts w:ascii="Calibri" w:hAnsi="Calibri"/>
          <w:b/>
          <w:i w:val="0"/>
          <w:color w:val="E85D04"/>
          <w:sz w:val="22"/>
        </w:rPr>
        <w:t>2.2  Administration et dossier salarie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A1A1A"/>
          <w:sz w:val="21"/>
        </w:rPr>
        <w:t>Standard : dossier complet (etat civil, CNPS/NNI, contrats OHADA), historique des mouvements. Livre : signature electronique integree (circuit de signataires sequentiel/parallele + piste d'audit), gestion disciplinaire (sanctions niveau 4, acces restreint). Specifique : generateur multi-modeles de documents, suivi des visites medicales/aptitudes, coffre documentaire.</w:t>
      </w:r>
    </w:p>
    <w:p>
      <w:pPr>
        <w:spacing w:before="160" w:after="40"/>
      </w:pPr>
      <w:r>
        <w:rPr>
          <w:rFonts w:ascii="Calibri" w:hAnsi="Calibri"/>
          <w:b/>
          <w:i w:val="0"/>
          <w:color w:val="E85D04"/>
          <w:sz w:val="22"/>
        </w:rPr>
        <w:t>2.3  Temps, absences et conges (point fort)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A1A1A"/>
          <w:sz w:val="21"/>
        </w:rPr>
        <w:t>Standard : self-service web/mobile, typologie parametrable, calcul des soldes Code du travail CI (jours ouvrables, feries 2024), workflow N+1 puis RH, planning d'equipe.</w:t>
      </w:r>
    </w:p>
    <w:p>
      <w:pPr>
        <w:spacing w:before="160" w:after="40"/>
      </w:pPr>
      <w:r>
        <w:rPr>
          <w:rFonts w:ascii="Calibri" w:hAnsi="Calibri"/>
          <w:b/>
          <w:i w:val="0"/>
          <w:color w:val="E85D04"/>
          <w:sz w:val="22"/>
        </w:rPr>
        <w:t>2.4  Paie (deux options au choix de VERSUS BANK)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A1A1A"/>
          <w:sz w:val="21"/>
        </w:rPr>
        <w:t>NexusRH CI embarque un moteur de paie CI complet : laisser la paie a SAGE est OPTIONNEL. Option A - Paie native NexusRH : le moteur integre calcule la paie (CNPS double plafond, ITS/DGI, bulletins, declarations CNPS + DISA) ; SAGE devient facultatif. Option B - Interface SAGE (amont-paie) : SAGE garde le calcul, le SIRH collecte/controle/valide les variables et archive les bulletins. Livre (si Option B) : module SAGE - export amont SIRH-&gt;SAGE des employes, elements variables et resultats de paie au format delimite parametrable (separateur, en-tete, matricule), UTF-8 BOM, neutralisation des injections CSV. Specifique restant : sens retour SAGE-&gt;SIRH (bulletins) + coffre-fort. Presenter les deux scenarios avec leurs impacts cout/delai/risque.</w:t>
      </w:r>
    </w:p>
    <w:p>
      <w:pPr>
        <w:spacing w:before="160" w:after="40"/>
      </w:pPr>
      <w:r>
        <w:rPr>
          <w:rFonts w:ascii="Calibri" w:hAnsi="Calibri"/>
          <w:b/>
          <w:i w:val="0"/>
          <w:color w:val="E85D04"/>
          <w:sz w:val="22"/>
        </w:rPr>
        <w:t>2.5  Talents, carrieres et competences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A1A1A"/>
          <w:sz w:val="21"/>
        </w:rPr>
        <w:t>Standard : matrice 9-box. Livre : referentiel postes/competences sur la taxonomie de Bloom (1-6) + comparateur de postes, calibrage (sessions 9-box avant/apres + recommandations), mobilites (passerelles + gap analysis + decision DRH), successions (postes cles, viviers, readiness). Specifique restant : campagnes d'evaluation + objectifs + validation N+2.</w:t>
      </w:r>
    </w:p>
    <w:p>
      <w:pPr>
        <w:spacing w:before="160" w:after="40"/>
      </w:pPr>
      <w:r>
        <w:rPr>
          <w:rFonts w:ascii="Calibri" w:hAnsi="Calibri"/>
          <w:b/>
          <w:i w:val="0"/>
          <w:color w:val="E85D04"/>
          <w:sz w:val="22"/>
        </w:rPr>
        <w:t>2.6  Formation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A1A1A"/>
          <w:sz w:val="21"/>
        </w:rPr>
        <w:t>Standard : catalogue, sessions, inscriptions, eligibilite FDFP. Specifique : plan de formation + workflow RH-DG + budget, evaluation a chaud/a froid, gestion des presences, interface e-learning (SSO).</w:t>
      </w:r>
    </w:p>
    <w:p>
      <w:pPr>
        <w:spacing w:before="160" w:after="40"/>
      </w:pPr>
      <w:r>
        <w:rPr>
          <w:rFonts w:ascii="Calibri" w:hAnsi="Calibri"/>
          <w:b/>
          <w:i w:val="0"/>
          <w:color w:val="E85D04"/>
          <w:sz w:val="22"/>
        </w:rPr>
        <w:t>2.7  Organigrammes, reporting et portail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A1A1A"/>
          <w:sz w:val="21"/>
        </w:rPr>
        <w:t>Standard : reporting/dashboards (effectifs, turnover, absenteisme, masse salariale en FCFA), portail self-service mobile/PWA. Livre : organigramme dynamique pyramidal (couleurs par niveau) + export PDF/SVG, enquetes climat social (resultats anonymises). Specifique restant : export generique Excel/CSV.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2F4F7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jc w:val="both"/>
            </w:pPr>
            <w:r>
              <w:rPr>
                <w:rFonts w:ascii="Calibri" w:hAnsi="Calibri"/>
                <w:b w:val="0"/>
                <w:i/>
                <w:color w:val="0F2A44"/>
                <w:sz w:val="20"/>
              </w:rPr>
              <w:t>Joindre en annexe la Matrice de conformite fonctionnelle (Annexe 2 du DAO) entierement renseignee, coherente avec les engagements de lot ci-dessus.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20"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0F2A44"/>
            <w:tcMar>
              <w:top w:w="80" w:type="dxa"/>
              <w:bottom w:w="80" w:type="dxa"/>
              <w:start w:w="14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8"/>
              </w:rPr>
              <w:t>Chapitre 3 - Architecture, securite et conformite (20 points)</w:t>
            </w:r>
          </w:p>
        </w:tc>
      </w:tr>
    </w:tbl>
    <w:p>
      <w:pPr>
        <w:spacing w:after="40"/>
      </w:pPr>
    </w:p>
    <w:p>
      <w:pPr>
        <w:spacing w:before="220" w:after="80"/>
      </w:pPr>
      <w:r>
        <w:rPr>
          <w:rFonts w:ascii="Calibri" w:hAnsi="Calibri"/>
          <w:b/>
          <w:i w:val="0"/>
          <w:color w:val="0F2A44"/>
          <w:sz w:val="25"/>
        </w:rPr>
        <w:t>3.1  Architecture applicative - principes Clean Architecture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A1A1A"/>
          <w:sz w:val="21"/>
        </w:rPr>
        <w:t>Presenter une architecture en couches respectant la separation des responsabilites et la regle de dependance (les couches externes dependent des couches internes, jamais l'inverse) 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928"/>
            <w:shd w:val="clear" w:color="auto" w:fill="0F2A4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Couche</w:t>
            </w:r>
          </w:p>
        </w:tc>
        <w:tc>
          <w:tcPr>
            <w:tcW w:type="dxa" w:w="2835"/>
            <w:shd w:val="clear" w:color="auto" w:fill="0F2A4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Responsabilite</w:t>
            </w:r>
          </w:p>
        </w:tc>
        <w:tc>
          <w:tcPr>
            <w:tcW w:type="dxa" w:w="4592"/>
            <w:shd w:val="clear" w:color="auto" w:fill="0F2A4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Mise en oeuvre NexusRH CI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Domain (entites)</w:t>
            </w:r>
          </w:p>
        </w:tc>
        <w:tc>
          <w:tcPr>
            <w:tcW w:type="dxa" w:w="283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Regles metier RH pures, independantes du framework</w:t>
            </w:r>
          </w:p>
        </w:tc>
        <w:tc>
          <w:tcPr>
            <w:tcW w:type="dxa" w:w="459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Types et regles de paie CI (CNPS, ITS), conges, contrats OHADA - sans dependance Fastify/DB</w:t>
            </w:r>
          </w:p>
        </w:tc>
      </w:tr>
      <w:tr>
        <w:tc>
          <w:tcPr>
            <w:tcW w:type="dxa" w:w="1928"/>
            <w:shd w:val="clear" w:color="auto" w:fill="FAFBF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Use cases (services)</w:t>
            </w:r>
          </w:p>
        </w:tc>
        <w:tc>
          <w:tcPr>
            <w:tcW w:type="dxa" w:w="2835"/>
            <w:shd w:val="clear" w:color="auto" w:fill="FAFBF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Orchestration applicative, transactions</w:t>
            </w:r>
          </w:p>
        </w:tc>
        <w:tc>
          <w:tcPr>
            <w:tcW w:type="dxa" w:w="4592"/>
            <w:shd w:val="clear" w:color="auto" w:fill="FAFBF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Services : payroll-engine-ci, cnps, security-policy, recruitment-ai (logique isolee)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Interface adapters</w:t>
            </w:r>
          </w:p>
        </w:tc>
        <w:tc>
          <w:tcPr>
            <w:tcW w:type="dxa" w:w="283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Controleurs, presenters, repositories</w:t>
            </w:r>
          </w:p>
        </w:tc>
        <w:tc>
          <w:tcPr>
            <w:tcW w:type="dxa" w:w="459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Routes Fastify (modules/*), validateurs Zod, repositories Drizzle</w:t>
            </w:r>
          </w:p>
        </w:tc>
      </w:tr>
      <w:tr>
        <w:tc>
          <w:tcPr>
            <w:tcW w:type="dxa" w:w="1928"/>
            <w:shd w:val="clear" w:color="auto" w:fill="FAFBF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Frameworks &amp; drivers</w:t>
            </w:r>
          </w:p>
        </w:tc>
        <w:tc>
          <w:tcPr>
            <w:tcW w:type="dxa" w:w="2835"/>
            <w:shd w:val="clear" w:color="auto" w:fill="FAFBF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DB, web, IA, stockage, externes</w:t>
            </w:r>
          </w:p>
        </w:tc>
        <w:tc>
          <w:tcPr>
            <w:tcW w:type="dxa" w:w="4592"/>
            <w:shd w:val="clear" w:color="auto" w:fill="FAFBF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PostgreSQL/Drizzle, Redis, Anthropic SDK, S3/MinIO, Meilisearch, Mobile Money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0F2A44"/>
          <w:sz w:val="21"/>
        </w:rPr>
        <w:t xml:space="preserve">Isolation multi-tenant : </w:t>
      </w:r>
      <w:r>
        <w:rPr>
          <w:rFonts w:ascii="Calibri" w:hAnsi="Calibri"/>
          <w:b w:val="0"/>
          <w:i w:val="0"/>
          <w:color w:val="1A1A1A"/>
          <w:sz w:val="21"/>
        </w:rPr>
        <w:t>schema-per-tenant PostgreSQL, search_path par requete, nom de schema valide par liste blanche (anti-injection) ;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0F2A44"/>
          <w:sz w:val="21"/>
        </w:rPr>
        <w:t xml:space="preserve">Testabilite : </w:t>
      </w:r>
      <w:r>
        <w:rPr>
          <w:rFonts w:ascii="Calibri" w:hAnsi="Calibri"/>
          <w:b w:val="0"/>
          <w:i w:val="0"/>
          <w:color w:val="1A1A1A"/>
          <w:sz w:val="21"/>
        </w:rPr>
        <w:t>la logique metier (moteur de paie, regles) est testee unitairement sans infrastructure ; golden tests UI&lt;-&gt;API ;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0F2A44"/>
          <w:sz w:val="21"/>
        </w:rPr>
        <w:t xml:space="preserve">Frontiere claire : </w:t>
      </w:r>
      <w:r>
        <w:rPr>
          <w:rFonts w:ascii="Calibri" w:hAnsi="Calibri"/>
          <w:b w:val="0"/>
          <w:i w:val="0"/>
          <w:color w:val="1A1A1A"/>
          <w:sz w:val="21"/>
        </w:rPr>
        <w:t>la couche domaine ne connait ni Fastify ni Drizzle - elle est reutilisable (worker BullMQ, simulations) ;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0F2A44"/>
          <w:sz w:val="21"/>
        </w:rPr>
        <w:t xml:space="preserve">Modularite : </w:t>
      </w:r>
      <w:r>
        <w:rPr>
          <w:rFonts w:ascii="Calibri" w:hAnsi="Calibri"/>
          <w:b w:val="0"/>
          <w:i w:val="0"/>
          <w:color w:val="1A1A1A"/>
          <w:sz w:val="21"/>
        </w:rPr>
        <w:t>chaque module (employees, payroll, absences...) expose une API stable, modules activables par tenant (feature flags).</w:t>
      </w:r>
    </w:p>
    <w:p>
      <w:pPr>
        <w:spacing w:before="220" w:after="80"/>
      </w:pPr>
      <w:r>
        <w:rPr>
          <w:rFonts w:ascii="Calibri" w:hAnsi="Calibri"/>
          <w:b/>
          <w:i w:val="0"/>
          <w:color w:val="0F2A44"/>
          <w:sz w:val="25"/>
        </w:rPr>
        <w:t>3.2  Securite - conformite OWASP Top 10 (2021)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A1A1A"/>
          <w:sz w:val="21"/>
        </w:rPr>
        <w:t>Demontrer, controle par controle, la couverture du Top 10 OWASP - exigence implicite d'un SI bancaire 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381"/>
            <w:shd w:val="clear" w:color="auto" w:fill="0F2A4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Risque OWASP</w:t>
            </w:r>
          </w:p>
        </w:tc>
        <w:tc>
          <w:tcPr>
            <w:tcW w:type="dxa" w:w="4706"/>
            <w:shd w:val="clear" w:color="auto" w:fill="0F2A4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Mesure NexusRH CI</w:t>
            </w:r>
          </w:p>
        </w:tc>
        <w:tc>
          <w:tcPr>
            <w:tcW w:type="dxa" w:w="2268"/>
            <w:shd w:val="clear" w:color="auto" w:fill="0F2A4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Statut</w:t>
            </w:r>
          </w:p>
        </w:tc>
      </w:tr>
      <w:tr>
        <w:tc>
          <w:tcPr>
            <w:tcW w:type="dxa" w:w="238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A01 Broken Access Control</w:t>
            </w:r>
          </w:p>
        </w:tc>
        <w:tc>
          <w:tcPr>
            <w:tcW w:type="dxa" w:w="470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RBAC par role + perimetre manager fail-closed, isolation tenant, guards UI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En place / a renforcer (role Admin Systeme)</w:t>
            </w:r>
          </w:p>
        </w:tc>
      </w:tr>
      <w:tr>
        <w:tc>
          <w:tcPr>
            <w:tcW w:type="dxa" w:w="2381"/>
            <w:shd w:val="clear" w:color="auto" w:fill="FAFBF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A02 Cryptographic Failures</w:t>
            </w:r>
          </w:p>
        </w:tc>
        <w:tc>
          <w:tcPr>
            <w:tcW w:type="dxa" w:w="4706"/>
            <w:shd w:val="clear" w:color="auto" w:fill="FAFBF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AES-256-GCM au repos (NNI/IBAN), TLS en transit, bcrypt 12 rounds</w:t>
            </w:r>
          </w:p>
        </w:tc>
        <w:tc>
          <w:tcPr>
            <w:tcW w:type="dxa" w:w="2268"/>
            <w:shd w:val="clear" w:color="auto" w:fill="FAFBF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En place</w:t>
            </w:r>
          </w:p>
        </w:tc>
      </w:tr>
      <w:tr>
        <w:tc>
          <w:tcPr>
            <w:tcW w:type="dxa" w:w="238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A03 Injection</w:t>
            </w:r>
          </w:p>
        </w:tc>
        <w:tc>
          <w:tcPr>
            <w:tcW w:type="dxa" w:w="470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Validation Zod stricte, requetes parametrees, liste blanche schema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En place</w:t>
            </w:r>
          </w:p>
        </w:tc>
      </w:tr>
      <w:tr>
        <w:tc>
          <w:tcPr>
            <w:tcW w:type="dxa" w:w="2381"/>
            <w:shd w:val="clear" w:color="auto" w:fill="FAFBF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A04 Insecure Design</w:t>
            </w:r>
          </w:p>
        </w:tc>
        <w:tc>
          <w:tcPr>
            <w:tcW w:type="dxa" w:w="4706"/>
            <w:shd w:val="clear" w:color="auto" w:fill="FAFBF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Clean architecture, separation des taches (SoD) paie, revue de conception</w:t>
            </w:r>
          </w:p>
        </w:tc>
        <w:tc>
          <w:tcPr>
            <w:tcW w:type="dxa" w:w="2268"/>
            <w:shd w:val="clear" w:color="auto" w:fill="FAFBF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En place</w:t>
            </w:r>
          </w:p>
        </w:tc>
      </w:tr>
      <w:tr>
        <w:tc>
          <w:tcPr>
            <w:tcW w:type="dxa" w:w="238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A05 Security Misconfiguration</w:t>
            </w:r>
          </w:p>
        </w:tc>
        <w:tc>
          <w:tcPr>
            <w:tcW w:type="dxa" w:w="470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Secrets en variables d'env, durcissement headers, CORS controle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En place</w:t>
            </w:r>
          </w:p>
        </w:tc>
      </w:tr>
      <w:tr>
        <w:tc>
          <w:tcPr>
            <w:tcW w:type="dxa" w:w="2381"/>
            <w:shd w:val="clear" w:color="auto" w:fill="FAFBF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A06 Vulnerable Components</w:t>
            </w:r>
          </w:p>
        </w:tc>
        <w:tc>
          <w:tcPr>
            <w:tcW w:type="dxa" w:w="4706"/>
            <w:shd w:val="clear" w:color="auto" w:fill="FAFBF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Audit dependances, mises a jour, SBOM a fournir</w:t>
            </w:r>
          </w:p>
        </w:tc>
        <w:tc>
          <w:tcPr>
            <w:tcW w:type="dxa" w:w="2268"/>
            <w:shd w:val="clear" w:color="auto" w:fill="FAFBF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 documenter</w:t>
            </w:r>
          </w:p>
        </w:tc>
      </w:tr>
      <w:tr>
        <w:tc>
          <w:tcPr>
            <w:tcW w:type="dxa" w:w="238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A07 Auth Failures</w:t>
            </w:r>
          </w:p>
        </w:tc>
        <w:tc>
          <w:tcPr>
            <w:tcW w:type="dxa" w:w="470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MFA TOTP + anti-rejeu, politique mdp, lockout, verif HIBP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En place</w:t>
            </w:r>
          </w:p>
        </w:tc>
      </w:tr>
      <w:tr>
        <w:tc>
          <w:tcPr>
            <w:tcW w:type="dxa" w:w="2381"/>
            <w:shd w:val="clear" w:color="auto" w:fill="FAFBF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A08 Integrity Failures</w:t>
            </w:r>
          </w:p>
        </w:tc>
        <w:tc>
          <w:tcPr>
            <w:tcW w:type="dxa" w:w="4706"/>
            <w:shd w:val="clear" w:color="auto" w:fill="FAFBF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Piste d'audit non alterable, signature des livrables CI/CD</w:t>
            </w:r>
          </w:p>
        </w:tc>
        <w:tc>
          <w:tcPr>
            <w:tcW w:type="dxa" w:w="2268"/>
            <w:shd w:val="clear" w:color="auto" w:fill="FAFBF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En place / a etendre</w:t>
            </w:r>
          </w:p>
        </w:tc>
      </w:tr>
      <w:tr>
        <w:tc>
          <w:tcPr>
            <w:tcW w:type="dxa" w:w="238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A09 Logging &amp; Monitoring</w:t>
            </w:r>
          </w:p>
        </w:tc>
        <w:tc>
          <w:tcPr>
            <w:tcW w:type="dxa" w:w="470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audit_log (qui/quoi/quand, avant/apres, IP) + export SIEM livre (webhook HMAC, JSON/CEF)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En place</w:t>
            </w:r>
          </w:p>
        </w:tc>
      </w:tr>
      <w:tr>
        <w:tc>
          <w:tcPr>
            <w:tcW w:type="dxa" w:w="2381"/>
            <w:shd w:val="clear" w:color="auto" w:fill="FAFBF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A10 SSRF</w:t>
            </w:r>
          </w:p>
        </w:tc>
        <w:tc>
          <w:tcPr>
            <w:tcW w:type="dxa" w:w="4706"/>
            <w:shd w:val="clear" w:color="auto" w:fill="FAFBF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Garde SSRF sur connecteurs sortants (module integrations)</w:t>
            </w:r>
          </w:p>
        </w:tc>
        <w:tc>
          <w:tcPr>
            <w:tcW w:type="dxa" w:w="2268"/>
            <w:shd w:val="clear" w:color="auto" w:fill="FAFBF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En place</w:t>
            </w:r>
          </w:p>
        </w:tc>
      </w:tr>
    </w:tbl>
    <w:p>
      <w:pPr>
        <w:spacing w:after="40"/>
      </w:pPr>
    </w:p>
    <w:p>
      <w:pPr>
        <w:spacing w:before="220" w:after="80"/>
      </w:pPr>
      <w:r>
        <w:rPr>
          <w:rFonts w:ascii="Calibri" w:hAnsi="Calibri"/>
          <w:b/>
          <w:i w:val="0"/>
          <w:color w:val="0F2A44"/>
          <w:sz w:val="25"/>
        </w:rPr>
        <w:t>3.3  Habilitations - 6 profils RBAC et classification a 4 niveaux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A1A1A"/>
          <w:sz w:val="21"/>
        </w:rPr>
        <w:t>Decrire le modele de droits : RBAC (roles) + perimetre (entite/agence) + relation manageriale (N+1/N+2) + regles exceptionnelles (interim, delegation). La classification native a 4 niveaux (Public / Interne / Confidentiel / Restreint) est LIVREE : regles d'acces, d'export, de chiffrement et d'audit configurables par niveau, 16 categories de donnees RH pre-classees (identite, remuneration, sanctions, sante...), endpoint de verification audite. Reste a finaliser le role Administrateur Systeme (acces technique avec masquage des salaires) pour completer les 6 profils du DAO.</w:t>
      </w:r>
    </w:p>
    <w:p>
      <w:pPr>
        <w:spacing w:before="220" w:after="80"/>
      </w:pPr>
      <w:r>
        <w:rPr>
          <w:rFonts w:ascii="Calibri" w:hAnsi="Calibri"/>
          <w:b/>
          <w:i w:val="0"/>
          <w:color w:val="0F2A44"/>
          <w:sz w:val="25"/>
        </w:rPr>
        <w:t>3.4  Authentification, chiffrement, journalisation, PRA/PCA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0F2A44"/>
          <w:sz w:val="21"/>
        </w:rPr>
        <w:t xml:space="preserve">Authentification : </w:t>
      </w:r>
      <w:r>
        <w:rPr>
          <w:rFonts w:ascii="Calibri" w:hAnsi="Calibri"/>
          <w:b w:val="0"/>
          <w:i w:val="0"/>
          <w:color w:val="1A1A1A"/>
          <w:sz w:val="21"/>
        </w:rPr>
        <w:t>SSO SAML/OIDC + Active Directory/LDAP configurables par tenant (livre : domaines geres, mapping groupes-&gt;role, JIT, test de decouverte OIDC ; login federe a brancher), MFA, politique mdp, verrouillage, comptes inactifs ;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0F2A44"/>
          <w:sz w:val="21"/>
        </w:rPr>
        <w:t xml:space="preserve">Chiffrement : </w:t>
      </w:r>
      <w:r>
        <w:rPr>
          <w:rFonts w:ascii="Calibri" w:hAnsi="Calibri"/>
          <w:b w:val="0"/>
          <w:i w:val="0"/>
          <w:color w:val="1A1A1A"/>
          <w:sz w:val="21"/>
        </w:rPr>
        <w:t>TLS en transit ; AES-256-GCM au repos (NNI/IBAN, secrets SSO/SIEM) ; gestion et rotation des cles (KMS) a formaliser ; sauvegardes chiffrees ;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0F2A44"/>
          <w:sz w:val="21"/>
        </w:rPr>
        <w:t xml:space="preserve">Journalisation et SIEM : </w:t>
      </w:r>
      <w:r>
        <w:rPr>
          <w:rFonts w:ascii="Calibri" w:hAnsi="Calibri"/>
          <w:b w:val="0"/>
          <w:i w:val="0"/>
          <w:color w:val="1A1A1A"/>
          <w:sz w:val="21"/>
        </w:rPr>
        <w:t>contenu minimal des logs, protection et duree de conservation ; export SIEM livre (webhook signe HMAC-SHA256, format JSON ou CEF/ArcSight, filtrage par categorie) ;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0F2A44"/>
          <w:sz w:val="21"/>
        </w:rPr>
        <w:t xml:space="preserve">PRA/PCA : </w:t>
      </w:r>
      <w:r>
        <w:rPr>
          <w:rFonts w:ascii="Calibri" w:hAnsi="Calibri"/>
          <w:b w:val="0"/>
          <w:i w:val="0"/>
          <w:color w:val="1A1A1A"/>
          <w:sz w:val="21"/>
        </w:rPr>
        <w:t>RPO/RTO cibles, sauvegardes, tests de restauration, redondance, bascule (document a produire) ; dispo 99,5%, temps de reponse &lt; 3 s.</w:t>
      </w:r>
    </w:p>
    <w:p>
      <w:r>
        <w:br w:type="page"/>
      </w:r>
    </w:p>
    <w:p>
      <w:pPr>
        <w:spacing w:before="320"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0F2A44"/>
            <w:tcMar>
              <w:top w:w="80" w:type="dxa"/>
              <w:bottom w:w="80" w:type="dxa"/>
              <w:start w:w="14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8"/>
              </w:rPr>
              <w:t>Chapitre 4 - Interoperabilite et migration (15 points)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rFonts w:ascii="Calibri" w:hAnsi="Calibri"/>
          <w:b/>
          <w:i w:val="0"/>
          <w:color w:val="E85D04"/>
          <w:sz w:val="22"/>
        </w:rPr>
        <w:t>4.1  Interface SAGE (cible — uniquement si Option B retenue)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A1A1A"/>
          <w:sz w:val="21"/>
        </w:rPr>
        <w:t>Rappel : l'interface SAGE n'est requise que si VERSUS BANK choisit de conserver SAGE comme moteur de paie (Option B, cf. ch. 2.4). En Option A (paie native NexusRH), ce chapitre est sans objet. Si Option B : le flux SIRH-&gt;SAGE est LIVRE - export des employes, elements variables (par periode) et resultats de paie au format delimite parametrable (separateur ; / , / tab / |, ligne d'en-tete, source du matricule), encodage UTF-8 BOM pour ouverture directe dans SAGE/Excel, neutralisation des injections de formules CSV, montants FCFA entiers, chaque export audite. Reste a parametrer selon l'instance SAGE de la banque : le flux retour SAGE-&gt;SIRH (bulletins PDF, journaux, statut), le mode d'echange (fichiers/SFTP ou API), la frequence, la gestion des rejets et la separation des taches (SoD).</w:t>
      </w:r>
    </w:p>
    <w:p>
      <w:pPr>
        <w:spacing w:before="160" w:after="40"/>
      </w:pPr>
      <w:r>
        <w:rPr>
          <w:rFonts w:ascii="Calibri" w:hAnsi="Calibri"/>
          <w:b/>
          <w:i w:val="0"/>
          <w:color w:val="E85D04"/>
          <w:sz w:val="22"/>
        </w:rPr>
        <w:t>4.2  Annuaire / IAM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A1A1A"/>
          <w:sz w:val="21"/>
        </w:rPr>
        <w:t>Integration AD/Azure AD/LDAP : la configuration SSO par tenant est livree (OIDC/SAML/LDAP, domaines e-mail geres, mapping des groupes IdP vers les roles NexusRH, provisionnement a la volee JIT, test de decouverte OpenID Connect). Reste a brancher le flux de login federe sur le pipeline d'authentification et la synchronisation/cycle de vie des comptes.</w:t>
      </w:r>
    </w:p>
    <w:p>
      <w:pPr>
        <w:spacing w:before="160" w:after="40"/>
      </w:pPr>
      <w:r>
        <w:rPr>
          <w:rFonts w:ascii="Calibri" w:hAnsi="Calibri"/>
          <w:b/>
          <w:i w:val="0"/>
          <w:color w:val="E85D04"/>
          <w:sz w:val="22"/>
        </w:rPr>
        <w:t>4.3  Autres integrations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A1A1A"/>
          <w:sz w:val="21"/>
        </w:rPr>
        <w:t>E-learning (inscriptions, completions, attestations) ; comptabilite/finance (masse salariale, couts RH, provisions) ; systeme bancaire (referentiel agences, controle interne). API documentees (Swagger), supervision, tracabilite des flux, environnements de test.</w:t>
      </w:r>
    </w:p>
    <w:p>
      <w:pPr>
        <w:spacing w:before="160" w:after="40"/>
      </w:pPr>
      <w:r>
        <w:rPr>
          <w:rFonts w:ascii="Calibri" w:hAnsi="Calibri"/>
          <w:b/>
          <w:i w:val="0"/>
          <w:color w:val="E85D04"/>
          <w:sz w:val="22"/>
        </w:rPr>
        <w:t>4.4  Strategie de migration des donnees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A1A1A"/>
          <w:sz w:val="21"/>
        </w:rPr>
        <w:t>Cartographie des sources (Excel, SAGE, papier numerise) ; regles de nettoyage, dedoublonnage, validation ; volumetrie et historique a reprendre par domaine ; protocole de recette des donnees migrees ; strategie de bascule et de rollback.</w:t>
      </w:r>
    </w:p>
    <w:p>
      <w:r>
        <w:br w:type="page"/>
      </w:r>
    </w:p>
    <w:p>
      <w:pPr>
        <w:spacing w:before="320"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0F2A44"/>
            <w:tcMar>
              <w:top w:w="80" w:type="dxa"/>
              <w:bottom w:w="80" w:type="dxa"/>
              <w:start w:w="14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8"/>
              </w:rPr>
              <w:t>Chapitre 5 - Methodologie et planning (10 points)</w:t>
            </w:r>
          </w:p>
        </w:tc>
      </w:tr>
    </w:tbl>
    <w:p>
      <w:pPr>
        <w:spacing w:after="40"/>
      </w:pP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A1A1A"/>
          <w:sz w:val="21"/>
        </w:rPr>
        <w:t>Proposer un planning realiste sur 9 mois avec jalons et livrables, aligne sur les modalites de paiement du CCAP (20% cadrage, 40% VABF, 30% reception provisoire, 10% reception definitive).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608"/>
            <w:shd w:val="clear" w:color="auto" w:fill="0F2A4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Phase / Lot</w:t>
            </w:r>
          </w:p>
        </w:tc>
        <w:tc>
          <w:tcPr>
            <w:tcW w:type="dxa" w:w="1247"/>
            <w:shd w:val="clear" w:color="auto" w:fill="0F2A4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Periode</w:t>
            </w:r>
          </w:p>
        </w:tc>
        <w:tc>
          <w:tcPr>
            <w:tcW w:type="dxa" w:w="4139"/>
            <w:shd w:val="clear" w:color="auto" w:fill="0F2A4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Livrables</w:t>
            </w:r>
          </w:p>
        </w:tc>
        <w:tc>
          <w:tcPr>
            <w:tcW w:type="dxa" w:w="1361"/>
            <w:shd w:val="clear" w:color="auto" w:fill="0F2A4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Jalon paiement</w:t>
            </w:r>
          </w:p>
        </w:tc>
      </w:tr>
      <w:tr>
        <w:tc>
          <w:tcPr>
            <w:tcW w:type="dxa" w:w="260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Cadrage et conception</w:t>
            </w:r>
          </w:p>
        </w:tc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M1</w:t>
            </w:r>
          </w:p>
        </w:tc>
        <w:tc>
          <w:tcPr>
            <w:tcW w:type="dxa" w:w="41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SFD, DAT, dossier de parametrage</w:t>
            </w:r>
          </w:p>
        </w:tc>
        <w:tc>
          <w:tcPr>
            <w:tcW w:type="dxa" w:w="136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20% (caution)</w:t>
            </w:r>
          </w:p>
        </w:tc>
      </w:tr>
      <w:tr>
        <w:tc>
          <w:tcPr>
            <w:tcW w:type="dxa" w:w="2608"/>
            <w:shd w:val="clear" w:color="auto" w:fill="FAFBF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Lot 1 - Socle + paie/SAGE + securite</w:t>
            </w:r>
          </w:p>
        </w:tc>
        <w:tc>
          <w:tcPr>
            <w:tcW w:type="dxa" w:w="1247"/>
            <w:shd w:val="clear" w:color="auto" w:fill="FAFBF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M1-M4</w:t>
            </w:r>
          </w:p>
        </w:tc>
        <w:tc>
          <w:tcPr>
            <w:tcW w:type="dxa" w:w="4139"/>
            <w:shd w:val="clear" w:color="auto" w:fill="FAFBF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Admin, dossier, absences, interface SAGE, classification/SSO/SIEM, organigramme, self-service</w:t>
            </w:r>
          </w:p>
        </w:tc>
        <w:tc>
          <w:tcPr>
            <w:tcW w:type="dxa" w:w="1361"/>
            <w:shd w:val="clear" w:color="auto" w:fill="FAFBF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</w:r>
          </w:p>
        </w:tc>
      </w:tr>
      <w:tr>
        <w:tc>
          <w:tcPr>
            <w:tcW w:type="dxa" w:w="260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Recette fonctionnelle Lot 1 (VABF)</w:t>
            </w:r>
          </w:p>
        </w:tc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M4</w:t>
            </w:r>
          </w:p>
        </w:tc>
        <w:tc>
          <w:tcPr>
            <w:tcW w:type="dxa" w:w="41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PV VABF, integration SAGE validee</w:t>
            </w:r>
          </w:p>
        </w:tc>
        <w:tc>
          <w:tcPr>
            <w:tcW w:type="dxa" w:w="136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40%</w:t>
            </w:r>
          </w:p>
        </w:tc>
      </w:tr>
      <w:tr>
        <w:tc>
          <w:tcPr>
            <w:tcW w:type="dxa" w:w="2608"/>
            <w:shd w:val="clear" w:color="auto" w:fill="FAFBF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Lot 2 - Recrutement/talents/formation</w:t>
            </w:r>
          </w:p>
        </w:tc>
        <w:tc>
          <w:tcPr>
            <w:tcW w:type="dxa" w:w="1247"/>
            <w:shd w:val="clear" w:color="auto" w:fill="FAFBF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M4-M7</w:t>
            </w:r>
          </w:p>
        </w:tc>
        <w:tc>
          <w:tcPr>
            <w:tcW w:type="dxa" w:w="4139"/>
            <w:shd w:val="clear" w:color="auto" w:fill="FAFBF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Onboarding/offboarding, disciplinaire, talents, formation, signature</w:t>
            </w:r>
          </w:p>
        </w:tc>
        <w:tc>
          <w:tcPr>
            <w:tcW w:type="dxa" w:w="1361"/>
            <w:shd w:val="clear" w:color="auto" w:fill="FAFBF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</w:r>
          </w:p>
        </w:tc>
      </w:tr>
      <w:tr>
        <w:tc>
          <w:tcPr>
            <w:tcW w:type="dxa" w:w="260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Lot 3 - Avance + climat + reporting</w:t>
            </w:r>
          </w:p>
        </w:tc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M7-M9</w:t>
            </w:r>
          </w:p>
        </w:tc>
        <w:tc>
          <w:tcPr>
            <w:tcW w:type="dxa" w:w="41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Successions/mobilites/calibrage, climat social, reporting avance</w:t>
            </w:r>
          </w:p>
        </w:tc>
        <w:tc>
          <w:tcPr>
            <w:tcW w:type="dxa" w:w="136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</w:r>
          </w:p>
        </w:tc>
      </w:tr>
      <w:tr>
        <w:tc>
          <w:tcPr>
            <w:tcW w:type="dxa" w:w="2608"/>
            <w:shd w:val="clear" w:color="auto" w:fill="FAFBF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Formation + Go-Live (reception provisoire)</w:t>
            </w:r>
          </w:p>
        </w:tc>
        <w:tc>
          <w:tcPr>
            <w:tcW w:type="dxa" w:w="1247"/>
            <w:shd w:val="clear" w:color="auto" w:fill="FAFBF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M9</w:t>
            </w:r>
          </w:p>
        </w:tc>
        <w:tc>
          <w:tcPr>
            <w:tcW w:type="dxa" w:w="4139"/>
            <w:shd w:val="clear" w:color="auto" w:fill="FAFBF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Guides utilisateurs, mise en production</w:t>
            </w:r>
          </w:p>
        </w:tc>
        <w:tc>
          <w:tcPr>
            <w:tcW w:type="dxa" w:w="1361"/>
            <w:shd w:val="clear" w:color="auto" w:fill="FAFBF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30%</w:t>
            </w:r>
          </w:p>
        </w:tc>
      </w:tr>
      <w:tr>
        <w:tc>
          <w:tcPr>
            <w:tcW w:type="dxa" w:w="260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Garantie / VSR (reception definitive)</w:t>
            </w:r>
          </w:p>
        </w:tc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M9+12</w:t>
            </w:r>
          </w:p>
        </w:tc>
        <w:tc>
          <w:tcPr>
            <w:tcW w:type="dxa" w:w="41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Levee des reserves</w:t>
            </w:r>
          </w:p>
        </w:tc>
        <w:tc>
          <w:tcPr>
            <w:tcW w:type="dxa" w:w="136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10%</w:t>
            </w:r>
          </w:p>
        </w:tc>
      </w:tr>
    </w:tbl>
    <w:p>
      <w:pPr>
        <w:spacing w:after="40"/>
      </w:pP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A1A1A"/>
          <w:sz w:val="21"/>
        </w:rPr>
        <w:t>Approche : ateliers de cadrage, conception fonctionnelle/technique, parametrage/developpement specifique, migration, tests (unitaires, integration, recette), formation, mise en production, support au demarrage. Gouvernance : comites de pilotage/projet, MOA = DRH, MOE = OpenLab en coordination avec la DSI.</w:t>
      </w:r>
    </w:p>
    <w:p>
      <w:pPr>
        <w:spacing w:before="320"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0F2A44"/>
            <w:tcMar>
              <w:top w:w="80" w:type="dxa"/>
              <w:bottom w:w="80" w:type="dxa"/>
              <w:start w:w="14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8"/>
              </w:rPr>
              <w:t>Chapitre 6 - Conduite du changement, formation et support (10 points)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0F2A44"/>
          <w:sz w:val="21"/>
        </w:rPr>
        <w:t xml:space="preserve">Conduite du changement : </w:t>
      </w:r>
      <w:r>
        <w:rPr>
          <w:rFonts w:ascii="Calibri" w:hAnsi="Calibri"/>
          <w:b w:val="0"/>
          <w:i w:val="0"/>
          <w:color w:val="1A1A1A"/>
          <w:sz w:val="21"/>
        </w:rPr>
        <w:t>cartographie des processus, identification des irritants, co-construction avec les utilisateurs, communication (tutoriels, videos, FAQ), ambassadeurs internes ;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0F2A44"/>
          <w:sz w:val="21"/>
        </w:rPr>
        <w:t xml:space="preserve">Formation : </w:t>
      </w:r>
      <w:r>
        <w:rPr>
          <w:rFonts w:ascii="Calibri" w:hAnsi="Calibri"/>
          <w:b w:val="0"/>
          <w:i w:val="0"/>
          <w:color w:val="1A1A1A"/>
          <w:sz w:val="21"/>
        </w:rPr>
        <w:t>plan par profil (RH, managers, collaborateurs, administrateurs), transfert de competences, guides utilisateurs et d'exploitation ;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0F2A44"/>
          <w:sz w:val="21"/>
        </w:rPr>
        <w:t xml:space="preserve">Support et SLA : </w:t>
      </w:r>
      <w:r>
        <w:rPr>
          <w:rFonts w:ascii="Calibri" w:hAnsi="Calibri"/>
          <w:b w:val="0"/>
          <w:i w:val="0"/>
          <w:color w:val="1A1A1A"/>
          <w:sz w:val="21"/>
        </w:rPr>
        <w:t>niveaux N1/N2/N3, prise en charge P1 &lt; 2h et resolution &lt; 8h ouvrees (exigence CCAP), canal mail/telephone/portail, support local WhatsApp OpenLab Abidjan ;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0F2A44"/>
          <w:sz w:val="21"/>
        </w:rPr>
        <w:t xml:space="preserve">Maintenance : </w:t>
      </w:r>
      <w:r>
        <w:rPr>
          <w:rFonts w:ascii="Calibri" w:hAnsi="Calibri"/>
          <w:b w:val="0"/>
          <w:i w:val="0"/>
          <w:color w:val="1A1A1A"/>
          <w:sz w:val="21"/>
        </w:rPr>
        <w:t>corrective, evolutive ; calendrier de releases, gestion des regressions, environnements de test.</w:t>
      </w:r>
    </w:p>
    <w:p>
      <w:pPr>
        <w:spacing w:before="320"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0F2A44"/>
            <w:tcMar>
              <w:top w:w="80" w:type="dxa"/>
              <w:bottom w:w="80" w:type="dxa"/>
              <w:start w:w="14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8"/>
              </w:rPr>
              <w:t>Chapitre 7 - Equipe dediee et references (10 points)</w:t>
            </w:r>
          </w:p>
        </w:tc>
      </w:tr>
    </w:tbl>
    <w:p>
      <w:pPr>
        <w:spacing w:after="40"/>
      </w:pP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A1A1A"/>
          <w:sz w:val="21"/>
        </w:rPr>
        <w:t>[A RENSEIGNER] Fournir l'organigramme projet et les CV : chef de projet, expert fonctionnel RH/paie CI, architecte/lead technique, expert securite, responsable conduite du changement, support. Joindre au moins 3 references de SIRH integres (RH+Paie+Talents) des 5 dernieres annees, dont au moins une dans le secteur bancaire/financier. Demontrer l'assise financiere (CA 3 ans) et la perennite de l'editeur OpenLab Consulting.</w:t>
      </w:r>
    </w:p>
    <w:p>
      <w:r>
        <w:br w:type="page"/>
      </w:r>
    </w:p>
    <w:p>
      <w:pPr>
        <w:spacing w:before="320"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0F2A44"/>
            <w:tcMar>
              <w:top w:w="80" w:type="dxa"/>
              <w:bottom w:w="80" w:type="dxa"/>
              <w:start w:w="14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8"/>
              </w:rPr>
              <w:t>Chapitre 8 - Reponses aux questions du DAO (1 a 10)</w:t>
            </w:r>
          </w:p>
        </w:tc>
      </w:tr>
    </w:tbl>
    <w:p>
      <w:pPr>
        <w:spacing w:after="40"/>
      </w:pP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A1A1A"/>
          <w:sz w:val="21"/>
        </w:rPr>
        <w:t>Le DAO pose 10 series de questions. Repondre point par point selon le format : (i) Oui/Non standard, (ii) description et limites, (iii) prerequis, (iv) elements de preuve, (v) impacts cout/delai/risque.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087"/>
            <w:shd w:val="clear" w:color="auto" w:fill="0F2A4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Bloc de questions DAO</w:t>
            </w:r>
          </w:p>
        </w:tc>
        <w:tc>
          <w:tcPr>
            <w:tcW w:type="dxa" w:w="2268"/>
            <w:shd w:val="clear" w:color="auto" w:fill="0F2A4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Renvoi dans l'offre</w:t>
            </w:r>
          </w:p>
        </w:tc>
      </w:tr>
      <w:tr>
        <w:tc>
          <w:tcPr>
            <w:tcW w:type="dxa" w:w="708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1. Perimetre et strategie de deploiement (big bang vs lots, roadmap 9 mois)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Ch. 1.3 + Ch. 5</w:t>
            </w:r>
          </w:p>
        </w:tc>
      </w:tr>
      <w:tr>
        <w:tc>
          <w:tcPr>
            <w:tcW w:type="dxa" w:w="7087"/>
            <w:shd w:val="clear" w:color="auto" w:fill="FAFBF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2. Paie (SAGE) et gestion des variables (flux, modes d'echange, SoD)</w:t>
            </w:r>
          </w:p>
        </w:tc>
        <w:tc>
          <w:tcPr>
            <w:tcW w:type="dxa" w:w="2268"/>
            <w:shd w:val="clear" w:color="auto" w:fill="FAFBF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Ch. 2.4 + Ch. 4.1</w:t>
            </w:r>
          </w:p>
        </w:tc>
      </w:tr>
      <w:tr>
        <w:tc>
          <w:tcPr>
            <w:tcW w:type="dxa" w:w="708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3. Habilitations, confidentialite, classification 4 niveaux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Ch. 3.3</w:t>
            </w:r>
          </w:p>
        </w:tc>
      </w:tr>
      <w:tr>
        <w:tc>
          <w:tcPr>
            <w:tcW w:type="dxa" w:w="7087"/>
            <w:shd w:val="clear" w:color="auto" w:fill="FAFBF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4. Securite technique, audit et conformite (SSO, chiffrement, SIEM, PRA)</w:t>
            </w:r>
          </w:p>
        </w:tc>
        <w:tc>
          <w:tcPr>
            <w:tcW w:type="dxa" w:w="2268"/>
            <w:shd w:val="clear" w:color="auto" w:fill="FAFBF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Ch. 3.2 + 3.4</w:t>
            </w:r>
          </w:p>
        </w:tc>
      </w:tr>
      <w:tr>
        <w:tc>
          <w:tcPr>
            <w:tcW w:type="dxa" w:w="708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5. Donnees, migration et qualite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Ch. 4.4</w:t>
            </w:r>
          </w:p>
        </w:tc>
      </w:tr>
      <w:tr>
        <w:tc>
          <w:tcPr>
            <w:tcW w:type="dxa" w:w="7087"/>
            <w:shd w:val="clear" w:color="auto" w:fill="FAFBF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6. Integrations SI (AD/SSO, e-learning, finance, systeme bancaire)</w:t>
            </w:r>
          </w:p>
        </w:tc>
        <w:tc>
          <w:tcPr>
            <w:tcW w:type="dxa" w:w="2268"/>
            <w:shd w:val="clear" w:color="auto" w:fill="FAFBF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Ch. 4.2 + 4.3</w:t>
            </w:r>
          </w:p>
        </w:tc>
      </w:tr>
      <w:tr>
        <w:tc>
          <w:tcPr>
            <w:tcW w:type="dxa" w:w="708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7. Points fonctionnels (onboarding videos, disciplinaire, signature, organigramme, Bloom)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Ch. 2</w:t>
            </w:r>
          </w:p>
        </w:tc>
      </w:tr>
      <w:tr>
        <w:tc>
          <w:tcPr>
            <w:tcW w:type="dxa" w:w="7087"/>
            <w:shd w:val="clear" w:color="auto" w:fill="FAFBF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8. KPI, reporting et pilotage (definition, droits, adoption)</w:t>
            </w:r>
          </w:p>
        </w:tc>
        <w:tc>
          <w:tcPr>
            <w:tcW w:type="dxa" w:w="2268"/>
            <w:shd w:val="clear" w:color="auto" w:fill="FAFBF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Ch. 1.2 + 2.7</w:t>
            </w:r>
          </w:p>
        </w:tc>
      </w:tr>
      <w:tr>
        <w:tc>
          <w:tcPr>
            <w:tcW w:type="dxa" w:w="708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9. Exploitation, support et SLA (N1/N2/N3, P1/P2/P3, supervision)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Ch. 6</w:t>
            </w:r>
          </w:p>
        </w:tc>
      </w:tr>
      <w:tr>
        <w:tc>
          <w:tcPr>
            <w:tcW w:type="dxa" w:w="7087"/>
            <w:shd w:val="clear" w:color="auto" w:fill="FAFBF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10. Reversibilite, propriete des donnees et livrables</w:t>
            </w:r>
          </w:p>
        </w:tc>
        <w:tc>
          <w:tcPr>
            <w:tcW w:type="dxa" w:w="2268"/>
            <w:shd w:val="clear" w:color="auto" w:fill="FAFBF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Ch. 9</w:t>
            </w:r>
          </w:p>
        </w:tc>
      </w:tr>
    </w:tbl>
    <w:p>
      <w:pPr>
        <w:spacing w:after="40"/>
      </w:pPr>
    </w:p>
    <w:p>
      <w:pPr>
        <w:spacing w:before="320"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0F2A44"/>
            <w:tcMar>
              <w:top w:w="80" w:type="dxa"/>
              <w:bottom w:w="80" w:type="dxa"/>
              <w:start w:w="14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8"/>
              </w:rPr>
              <w:t>Chapitre 9 - Reversibilite, propriete des donnees et livrables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0F2A44"/>
          <w:sz w:val="21"/>
        </w:rPr>
        <w:t xml:space="preserve">Propriete : </w:t>
      </w:r>
      <w:r>
        <w:rPr>
          <w:rFonts w:ascii="Calibri" w:hAnsi="Calibri"/>
          <w:b w:val="0"/>
          <w:i w:val="0"/>
          <w:color w:val="1A1A1A"/>
          <w:sz w:val="21"/>
        </w:rPr>
        <w:t>VERSUS BANK reste proprietaire exclusif des donnees ; OpenLab accorde un droit d'utilisation (licence/abonnement) sur le logiciel ;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0F2A44"/>
          <w:sz w:val="21"/>
        </w:rPr>
        <w:t xml:space="preserve">Reversibilite (CCAP) : </w:t>
      </w:r>
      <w:r>
        <w:rPr>
          <w:rFonts w:ascii="Calibri" w:hAnsi="Calibri"/>
          <w:b w:val="0"/>
          <w:i w:val="0"/>
          <w:color w:val="1A1A1A"/>
          <w:sz w:val="21"/>
        </w:rPr>
        <w:t>a la fin du marche, restitution sous 30 jours dans un format structure lisible (fichiers plats, SQL, PDF) + effacement securise des environnements, sans surcout de licence ;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0F2A44"/>
          <w:sz w:val="21"/>
        </w:rPr>
        <w:t xml:space="preserve">Livrables : </w:t>
      </w:r>
      <w:r>
        <w:rPr>
          <w:rFonts w:ascii="Calibri" w:hAnsi="Calibri"/>
          <w:b w:val="0"/>
          <w:i w:val="0"/>
          <w:color w:val="1A1A1A"/>
          <w:sz w:val="21"/>
        </w:rPr>
        <w:t>SFD, DAT, dossier de parametrage, plans et rapports de tests, guides utilisateurs (RH/managers/collaborateurs), dossier d'exploitation, contrat de maintenance et SLA ;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0F2A44"/>
          <w:sz w:val="21"/>
        </w:rPr>
        <w:t xml:space="preserve">Transfert de competences : </w:t>
      </w:r>
      <w:r>
        <w:rPr>
          <w:rFonts w:ascii="Calibri" w:hAnsi="Calibri"/>
          <w:b w:val="0"/>
          <w:i w:val="0"/>
          <w:color w:val="1A1A1A"/>
          <w:sz w:val="21"/>
        </w:rPr>
        <w:t>formation des administrateurs SIRH (fonctionnel + technique), capacite a faire evoluer les workflows en interne.</w:t>
      </w:r>
    </w:p>
    <w:p/>
    <w:p>
      <w:r>
        <w:rPr>
          <w:rFonts w:ascii="Calibri" w:hAnsi="Calibri"/>
          <w:b w:val="0"/>
          <w:i/>
          <w:color w:val="555B66"/>
          <w:sz w:val="17"/>
        </w:rPr>
        <w:t>Canevas genere pour OpenLab Consulting - trame de redaction de l'offre technique en reponse au DAO DRH/SIRH/29042026. Les sections [A RENSEIGNER] doivent etre completees avant soumission.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5B66"/>
        <w:sz w:val="16"/>
      </w:rPr>
      <w:t>DAO DRH/SIRH/29042026  -  VERSUS BANK  -  Confidentiel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i w:val="0"/>
        <w:color w:val="0F2A44"/>
        <w:sz w:val="17"/>
      </w:rPr>
      <w:t>OpenLab Consulting  -  NexusRH CI</w:t>
    </w:r>
    <w:r>
      <w:rPr>
        <w:sz w:val="16"/>
      </w:rPr>
      <w:tab/>
      <w:tab/>
      <w:t>Canevas de l'offre technique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