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85D04"/>
          <w:sz w:val="40"/>
        </w:rPr>
        <w:t>NexusRH CI — Documentation à l'usage de l'équipe de test</w:t>
      </w:r>
    </w:p>
    <w:p>
      <w:r/>
      <w:r>
        <w:rPr>
          <w:b/>
        </w:rPr>
        <w:t>OpenLab Consulting · Version 1.0 · Mai 2026</w:t>
      </w:r>
      <w:r/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1. Présentation générale</w:t>
      </w:r>
    </w:p>
    <w:p>
      <w:r/>
      <w:r>
        <w:rPr>
          <w:b/>
        </w:rPr>
        <w:t>NexusRH CI</w:t>
      </w:r>
      <w:r>
        <w:t xml:space="preserve"> est un SIRH (Système d'Information des Ressources Humaines) SaaS multi-tenant conçu spécifiquement pour les entreprises ivoiriennes. Il est développé et édité par </w:t>
      </w:r>
      <w:r>
        <w:rPr>
          <w:b/>
        </w:rPr>
        <w:t>OpenLab Consulting</w:t>
      </w:r>
      <w:r>
        <w:t xml:space="preserve"> (Cocody, Rivièra Faya Lauriers 8, Abidjan).</w:t>
      </w:r>
    </w:p>
    <w:p>
      <w:pPr>
        <w:pStyle w:val="Heading2"/>
      </w:pPr>
      <w:r>
        <w:rPr>
          <w:color w:val="1F2937"/>
          <w:sz w:val="24"/>
        </w:rPr>
        <w:t>Ce qui le distingue</w:t>
      </w:r>
    </w:p>
    <w:p>
      <w:pPr>
        <w:pStyle w:val="ListBullet"/>
      </w:pPr>
      <w:r/>
      <w:r>
        <w:rPr>
          <w:b/>
        </w:rPr>
        <w:t>Conformité native</w:t>
      </w:r>
      <w:r>
        <w:t xml:space="preserve"> : moteur de paie CI (CNPS 2024 + ITS/DGI), Code du Travail CI, OHADA</w:t>
      </w:r>
    </w:p>
    <w:p>
      <w:pPr>
        <w:pStyle w:val="ListBullet"/>
      </w:pPr>
      <w:r/>
      <w:r>
        <w:rPr>
          <w:b/>
        </w:rPr>
        <w:t>Multi-tenant</w:t>
      </w:r>
      <w:r>
        <w:t xml:space="preserve"> : chaque entreprise cliente dispose de son propre espace isolé (schéma PostgreSQL dédié)</w:t>
      </w:r>
    </w:p>
    <w:p>
      <w:pPr>
        <w:pStyle w:val="ListBullet"/>
      </w:pPr>
      <w:r/>
      <w:r>
        <w:rPr>
          <w:b/>
        </w:rPr>
        <w:t>Devise exclusive</w:t>
      </w:r>
      <w:r>
        <w:t xml:space="preserve"> : FCFA (XOF), jamais de décimales dans les montants</w:t>
      </w:r>
    </w:p>
    <w:p>
      <w:pPr>
        <w:pStyle w:val="ListBullet"/>
      </w:pPr>
      <w:r/>
      <w:r>
        <w:rPr>
          <w:b/>
        </w:rPr>
        <w:t>Mobile Money intégré</w:t>
      </w:r>
      <w:r>
        <w:t xml:space="preserve"> : paiement des salaires via Wave, MTN MoMo, Orange Money</w:t>
      </w:r>
    </w:p>
    <w:p>
      <w:pPr>
        <w:pStyle w:val="ListBullet"/>
      </w:pPr>
      <w:r/>
      <w:r>
        <w:rPr>
          <w:b/>
        </w:rPr>
        <w:t>IA Anthropic</w:t>
      </w:r>
      <w:r>
        <w:t xml:space="preserve"> : assistant RH calibré droit ivoirien, génération de documents OHADA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2. Architecture globale (notions clés pour les tests)</w:t>
      </w:r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 xml:space="preserve">                    ┌──────────────────────────────────┐</w:t>
        <w:br/>
        <w:t xml:space="preserve">                    │         Navigateur client         │</w:t>
        <w:br/>
        <w:t xml:space="preserve">                    │   React 18 + Vite · Port 3000    │</w:t>
        <w:br/>
        <w:t xml:space="preserve">                    └──────────────┬───────────────────┘</w:t>
        <w:br/>
        <w:t xml:space="preserve">                                   │ /api/*  (nginx proxy)</w:t>
        <w:br/>
        <w:t xml:space="preserve">                    ┌──────────────▼───────────────────┐</w:t>
        <w:br/>
        <w:t xml:space="preserve">                    │         API Fastify 4             │</w:t>
        <w:br/>
        <w:t xml:space="preserve">                    │   Node.js 20 · Port 4001         │</w:t>
        <w:br/>
        <w:t xml:space="preserve">                    └──────┬──────────────┬────────────┘</w:t>
        <w:br/>
        <w:t xml:space="preserve">                           │              │</w:t>
        <w:br/>
        <w:t xml:space="preserve">              ┌────────────▼──┐    ┌──────▼──────┐</w:t>
        <w:br/>
        <w:t xml:space="preserve">              │  PostgreSQL 16 │    │   Redis 7   │</w:t>
        <w:br/>
        <w:t xml:space="preserve">              │  Multi-schéma  │    │  Sessions   │</w:t>
        <w:br/>
        <w:t xml:space="preserve">              └───────────────┘    └─────────────┘</w:t>
      </w:r>
    </w:p>
    <w:p>
      <w:pPr>
        <w:pStyle w:val="Heading2"/>
      </w:pPr>
      <w:r>
        <w:rPr>
          <w:color w:val="1F2937"/>
          <w:sz w:val="24"/>
        </w:rPr>
        <w:t>Isolation multi-tenant</w:t>
      </w:r>
    </w:p>
    <w:p>
      <w:r>
        <w:t xml:space="preserve">Chaque entreprise cliente possède son propre </w:t>
      </w:r>
      <w:r>
        <w:rPr>
          <w:b/>
        </w:rPr>
        <w:t>schéma PostgreSQL</w:t>
      </w:r>
      <w:r>
        <w:t xml:space="preserve"> :</w:t>
      </w:r>
    </w:p>
    <w:p>
      <w:pPr>
        <w:pStyle w:val="ListBullet"/>
      </w:pPr>
      <w:r/>
      <w:r>
        <w:rPr>
          <w:rFonts w:ascii="Courier New" w:hAnsi="Courier New"/>
          <w:sz w:val="18"/>
        </w:rPr>
        <w:t>platform</w:t>
      </w:r>
      <w:r>
        <w:t xml:space="preserve"> → tables globales (tenants, super admin)</w:t>
      </w:r>
    </w:p>
    <w:p>
      <w:pPr>
        <w:pStyle w:val="ListBullet"/>
      </w:pPr>
      <w:r/>
      <w:r>
        <w:rPr>
          <w:rFonts w:ascii="Courier New" w:hAnsi="Courier New"/>
          <w:sz w:val="18"/>
        </w:rPr>
        <w:t>tenant_sotra</w:t>
      </w:r>
      <w:r>
        <w:t xml:space="preserve"> → données exclusives de SOTRA</w:t>
      </w:r>
    </w:p>
    <w:p>
      <w:pPr>
        <w:pStyle w:val="ListBullet"/>
      </w:pPr>
      <w:r/>
      <w:r>
        <w:rPr>
          <w:rFonts w:ascii="Courier New" w:hAnsi="Courier New"/>
          <w:sz w:val="18"/>
        </w:rPr>
        <w:t>tenant_cabinet_expertise_ci</w:t>
      </w:r>
      <w:r>
        <w:t xml:space="preserve"> → données du Cabinet Expertise CI</w:t>
      </w:r>
    </w:p>
    <w:p>
      <w:pPr>
        <w:pStyle w:val="ListBullet"/>
      </w:pPr>
      <w:r/>
      <w:r>
        <w:rPr>
          <w:rFonts w:ascii="Courier New" w:hAnsi="Courier New"/>
          <w:sz w:val="18"/>
        </w:rPr>
        <w:t>tenant_openlab_consulting</w:t>
      </w:r>
      <w:r>
        <w:t xml:space="preserve"> → données d'OpenLab Consulting</w:t>
      </w:r>
    </w:p>
    <w:p>
      <w:pPr>
        <w:ind w:left="454"/>
      </w:pPr>
      <w:r>
        <w:rPr>
          <w:i/>
          <w:color w:val="6B7280"/>
        </w:rPr>
        <w:t>**Point critique pour les tests** : un token JWT d'un tenant ne doit **jamais** permettre d'accéder aux données d'un autre tenant. Ce point doit être systématiquement vérifié.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3. Environnement de test</w:t>
      </w:r>
    </w:p>
    <w:p>
      <w:pPr>
        <w:pStyle w:val="Heading2"/>
      </w:pPr>
      <w:r>
        <w:rPr>
          <w:color w:val="1F2937"/>
          <w:sz w:val="24"/>
        </w:rPr>
        <w:t>URL de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844"/>
          </w:tcPr>
          <w:p>
            <w:r>
              <w:t>Application web</w:t>
            </w:r>
          </w:p>
        </w:tc>
        <w:tc>
          <w:tcPr>
            <w:tcW w:type="dxa" w:w="4844"/>
          </w:tcPr>
          <w:p>
            <w:r>
              <w:t>https://nexusrh.openlabconsulting.com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API Swagger</w:t>
            </w:r>
          </w:p>
        </w:tc>
        <w:tc>
          <w:tcPr>
            <w:tcW w:type="dxa" w:w="4844"/>
            <w:shd w:val="clear" w:color="auto" w:fill="FFF7ED"/>
          </w:tcPr>
          <w:p>
            <w:r>
              <w:t>https://nexusrh.openlabconsulting.com/api/docs</w:t>
            </w:r>
          </w:p>
        </w:tc>
      </w:tr>
    </w:tbl>
    <w:p/>
    <w:p>
      <w:pPr>
        <w:pStyle w:val="Heading2"/>
      </w:pPr>
      <w:r>
        <w:rPr>
          <w:color w:val="1F2937"/>
          <w:sz w:val="24"/>
        </w:rPr>
        <w:t>Note importante sur la navigation</w:t>
      </w:r>
    </w:p>
    <w:p>
      <w:pPr>
        <w:pStyle w:val="ListBullet"/>
      </w:pPr>
      <w:r>
        <w:t xml:space="preserve">L'application utilise </w:t>
      </w:r>
      <w:r>
        <w:rPr>
          <w:b/>
        </w:rPr>
        <w:t>React Router</w:t>
      </w:r>
      <w:r>
        <w:t xml:space="preserve"> (SPA). Toujours utiliser la navigation interne, pas le bouton retour du navigateur pour les tests de workflow.</w:t>
      </w:r>
    </w:p>
    <w:p>
      <w:pPr>
        <w:pStyle w:val="ListBullet"/>
      </w:pPr>
      <w:r>
        <w:t xml:space="preserve">Tester en </w:t>
      </w:r>
      <w:r>
        <w:rPr>
          <w:b/>
        </w:rPr>
        <w:t>navigation privée / incognito</w:t>
      </w:r>
      <w:r>
        <w:t xml:space="preserve"> pour éviter les interférences des extensions navigateur (Google Translate notamment provoque des erreurs </w:t>
      </w:r>
      <w:r>
        <w:rPr>
          <w:rFonts w:ascii="Courier New" w:hAnsi="Courier New"/>
          <w:sz w:val="18"/>
        </w:rPr>
        <w:t>insertBefore</w:t>
      </w:r>
      <w:r>
        <w:t xml:space="preserve"> dans la console — ce n'est pas un bug applicatif).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4. Comptes de test disponibles</w:t>
      </w:r>
    </w:p>
    <w:p>
      <w:pPr>
        <w:pStyle w:val="Heading2"/>
      </w:pPr>
      <w:r>
        <w:rPr>
          <w:color w:val="1F2937"/>
          <w:sz w:val="24"/>
        </w:rPr>
        <w:t>Super Administrateur Plateforme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844"/>
          </w:tcPr>
          <w:p>
            <w:r>
              <w:t>Email</w:t>
            </w:r>
          </w:p>
        </w:tc>
        <w:tc>
          <w:tcPr>
            <w:tcW w:type="dxa" w:w="4844"/>
          </w:tcPr>
          <w:p>
            <w:r>
              <w:t>superadmin@nexusrh-ci.com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Mot de passe</w:t>
            </w:r>
          </w:p>
        </w:tc>
        <w:tc>
          <w:tcPr>
            <w:tcW w:type="dxa" w:w="4844"/>
            <w:shd w:val="clear" w:color="auto" w:fill="FFF7ED"/>
          </w:tcPr>
          <w:p>
            <w:r>
              <w:t>SuperAdmin1234!</w:t>
            </w:r>
          </w:p>
        </w:tc>
      </w:tr>
      <w:tr>
        <w:tc>
          <w:tcPr>
            <w:tcW w:type="dxa" w:w="4844"/>
          </w:tcPr>
          <w:p>
            <w:r>
              <w:t>Accès</w:t>
            </w:r>
          </w:p>
        </w:tc>
        <w:tc>
          <w:tcPr>
            <w:tcW w:type="dxa" w:w="4844"/>
          </w:tcPr>
          <w:p>
            <w:r>
              <w:t>/platform/dashboard uniquement — ZÉRO accès aux données RH des tenants</w:t>
            </w:r>
          </w:p>
        </w:tc>
      </w:tr>
    </w:tbl>
    <w:p/>
    <w:p>
      <w:pPr>
        <w:pStyle w:val="Heading2"/>
      </w:pPr>
      <w:r>
        <w:rPr>
          <w:color w:val="1F2937"/>
          <w:sz w:val="24"/>
        </w:rPr>
        <w:t>Tenant SOTRA — Transports Abidjanais (thème orange `#E85D04`)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Mot de passe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Redirection</w:t>
            </w:r>
          </w:p>
        </w:tc>
      </w:tr>
      <w:tr>
        <w:tc>
          <w:tcPr>
            <w:tcW w:type="dxa" w:w="2422"/>
          </w:tcPr>
          <w:p>
            <w:r>
              <w:t>admin@sotra.ci</w:t>
            </w:r>
          </w:p>
        </w:tc>
        <w:tc>
          <w:tcPr>
            <w:tcW w:type="dxa" w:w="2422"/>
          </w:tcPr>
          <w:p>
            <w:r>
              <w:t>Admin1234!</w:t>
            </w:r>
          </w:p>
        </w:tc>
        <w:tc>
          <w:tcPr>
            <w:tcW w:type="dxa" w:w="2422"/>
          </w:tcPr>
          <w:p>
            <w:r>
              <w:t>admin</w:t>
            </w:r>
          </w:p>
        </w:tc>
        <w:tc>
          <w:tcPr>
            <w:tcW w:type="dxa" w:w="2422"/>
          </w:tcPr>
          <w:p>
            <w:r>
              <w:t>/dashboard</w:t>
            </w:r>
          </w:p>
        </w:tc>
      </w:tr>
      <w:tr>
        <w:tc>
          <w:tcPr>
            <w:tcW w:type="dxa" w:w="2422"/>
            <w:shd w:val="clear" w:color="auto" w:fill="FFF7ED"/>
          </w:tcPr>
          <w:p>
            <w:r>
              <w:t>rh@sotra.ci</w:t>
            </w:r>
          </w:p>
        </w:tc>
        <w:tc>
          <w:tcPr>
            <w:tcW w:type="dxa" w:w="2422"/>
            <w:shd w:val="clear" w:color="auto" w:fill="FFF7ED"/>
          </w:tcPr>
          <w:p>
            <w:r>
              <w:t>Admin1234!</w:t>
            </w:r>
          </w:p>
        </w:tc>
        <w:tc>
          <w:tcPr>
            <w:tcW w:type="dxa" w:w="2422"/>
            <w:shd w:val="clear" w:color="auto" w:fill="FFF7ED"/>
          </w:tcPr>
          <w:p>
            <w:r>
              <w:t>hr_manager</w:t>
            </w:r>
          </w:p>
        </w:tc>
        <w:tc>
          <w:tcPr>
            <w:tcW w:type="dxa" w:w="2422"/>
            <w:shd w:val="clear" w:color="auto" w:fill="FFF7ED"/>
          </w:tcPr>
          <w:p>
            <w:r>
              <w:t>/dashboard</w:t>
            </w:r>
          </w:p>
        </w:tc>
      </w:tr>
      <w:tr>
        <w:tc>
          <w:tcPr>
            <w:tcW w:type="dxa" w:w="2422"/>
          </w:tcPr>
          <w:p>
            <w:r>
              <w:t>manager@sotra.ci</w:t>
            </w:r>
          </w:p>
        </w:tc>
        <w:tc>
          <w:tcPr>
            <w:tcW w:type="dxa" w:w="2422"/>
          </w:tcPr>
          <w:p>
            <w:r>
              <w:t>Admin1234!</w:t>
            </w:r>
          </w:p>
        </w:tc>
        <w:tc>
          <w:tcPr>
            <w:tcW w:type="dxa" w:w="2422"/>
          </w:tcPr>
          <w:p>
            <w:r>
              <w:t>manager</w:t>
            </w:r>
          </w:p>
        </w:tc>
        <w:tc>
          <w:tcPr>
            <w:tcW w:type="dxa" w:w="2422"/>
          </w:tcPr>
          <w:p>
            <w:r>
              <w:t>/dashboard (équipe seulement)</w:t>
            </w:r>
          </w:p>
        </w:tc>
      </w:tr>
      <w:tr>
        <w:tc>
          <w:tcPr>
            <w:tcW w:type="dxa" w:w="2422"/>
            <w:shd w:val="clear" w:color="auto" w:fill="FFF7ED"/>
          </w:tcPr>
          <w:p>
            <w:r>
              <w:t>employe@sotra.ci</w:t>
            </w:r>
          </w:p>
        </w:tc>
        <w:tc>
          <w:tcPr>
            <w:tcW w:type="dxa" w:w="2422"/>
            <w:shd w:val="clear" w:color="auto" w:fill="FFF7ED"/>
          </w:tcPr>
          <w:p>
            <w:r>
              <w:t>Admin1234!</w:t>
            </w:r>
          </w:p>
        </w:tc>
        <w:tc>
          <w:tcPr>
            <w:tcW w:type="dxa" w:w="2422"/>
            <w:shd w:val="clear" w:color="auto" w:fill="FFF7ED"/>
          </w:tcPr>
          <w:p>
            <w:r>
              <w:t>employee</w:t>
            </w:r>
          </w:p>
        </w:tc>
        <w:tc>
          <w:tcPr>
            <w:tcW w:type="dxa" w:w="2422"/>
            <w:shd w:val="clear" w:color="auto" w:fill="FFF7ED"/>
          </w:tcPr>
          <w:p>
            <w:r>
              <w:t>/mon-espace</w:t>
            </w:r>
          </w:p>
        </w:tc>
      </w:tr>
    </w:tbl>
    <w:p/>
    <w:p>
      <w:pPr>
        <w:ind w:left="454"/>
      </w:pPr>
      <w:r>
        <w:rPr>
          <w:i/>
          <w:color w:val="6B7280"/>
        </w:rPr>
        <w:t>SOTRA dispose de **80 employés**, 6 mois de bulletins clôturés (jan–juin 2025), absences, formations, frais et recrutement seedés.</w:t>
      </w:r>
    </w:p>
    <w:p>
      <w:pPr>
        <w:pStyle w:val="Heading2"/>
      </w:pPr>
      <w:r>
        <w:rPr>
          <w:color w:val="1F2937"/>
          <w:sz w:val="24"/>
        </w:rPr>
        <w:t>Tenant Cabinet Expertise CI (thème bleu `#1D4ED8`)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Mot de passe</w:t>
            </w:r>
          </w:p>
        </w:tc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230"/>
          </w:tcPr>
          <w:p>
            <w:r>
              <w:t>admin@cabinet-expertise.ci</w:t>
            </w:r>
          </w:p>
        </w:tc>
        <w:tc>
          <w:tcPr>
            <w:tcW w:type="dxa" w:w="3230"/>
          </w:tcPr>
          <w:p>
            <w:r>
              <w:t>Admin1234!</w:t>
            </w:r>
          </w:p>
        </w:tc>
        <w:tc>
          <w:tcPr>
            <w:tcW w:type="dxa" w:w="3230"/>
          </w:tcPr>
          <w:p>
            <w:r>
              <w:t>admin</w:t>
            </w:r>
          </w:p>
        </w:tc>
      </w:tr>
      <w:tr>
        <w:tc>
          <w:tcPr>
            <w:tcW w:type="dxa" w:w="3230"/>
            <w:shd w:val="clear" w:color="auto" w:fill="FFF7ED"/>
          </w:tcPr>
          <w:p>
            <w:r>
              <w:t>employe2@cabinet-expertise.ci</w:t>
            </w:r>
          </w:p>
        </w:tc>
        <w:tc>
          <w:tcPr>
            <w:tcW w:type="dxa" w:w="3230"/>
            <w:shd w:val="clear" w:color="auto" w:fill="FFF7ED"/>
          </w:tcPr>
          <w:p>
            <w:r>
              <w:t>Admin1234!</w:t>
            </w:r>
          </w:p>
        </w:tc>
        <w:tc>
          <w:tcPr>
            <w:tcW w:type="dxa" w:w="3230"/>
            <w:shd w:val="clear" w:color="auto" w:fill="FFF7ED"/>
          </w:tcPr>
          <w:p>
            <w:r>
              <w:t>employee</w:t>
            </w:r>
          </w:p>
        </w:tc>
      </w:tr>
    </w:tbl>
    <w:p/>
    <w:p>
      <w:pPr>
        <w:ind w:left="454"/>
      </w:pPr>
      <w:r>
        <w:rPr>
          <w:i/>
          <w:color w:val="6B7280"/>
        </w:rPr>
        <w:t>25 employés, 3 mois de bulletins.</w:t>
      </w:r>
    </w:p>
    <w:p>
      <w:pPr>
        <w:pStyle w:val="Heading2"/>
      </w:pPr>
      <w:r>
        <w:rPr>
          <w:color w:val="1F2937"/>
          <w:sz w:val="24"/>
        </w:rPr>
        <w:t>Tenant OpenLab Consulting (thème violet `#7C3AED`)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Mot de passe</w:t>
            </w:r>
          </w:p>
        </w:tc>
        <w:tc>
          <w:tcPr>
            <w:tcW w:type="dxa" w:w="3230"/>
            <w:shd w:val="clear" w:color="auto" w:fill="E85D04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230"/>
          </w:tcPr>
          <w:p>
            <w:r>
              <w:t>coulwao@gmail.com</w:t>
            </w:r>
          </w:p>
        </w:tc>
        <w:tc>
          <w:tcPr>
            <w:tcW w:type="dxa" w:w="3230"/>
          </w:tcPr>
          <w:p>
            <w:r>
              <w:t>Openlab2025!</w:t>
            </w:r>
          </w:p>
        </w:tc>
        <w:tc>
          <w:tcPr>
            <w:tcW w:type="dxa" w:w="3230"/>
          </w:tcPr>
          <w:p>
            <w:r>
              <w:t>admin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5. Modules fonctionnels et périmètre de test</w:t>
      </w:r>
    </w:p>
    <w:p>
      <w:pPr>
        <w:pStyle w:val="Heading2"/>
      </w:pPr>
      <w:r>
        <w:rPr>
          <w:color w:val="1F2937"/>
          <w:sz w:val="24"/>
        </w:rPr>
        <w:t>5.1 Authentification (`/login`)</w:t>
      </w:r>
    </w:p>
    <w:p>
      <w:r/>
      <w:r>
        <w:rPr>
          <w:b/>
        </w:rPr>
        <w:t>Ce qui est testé :</w:t>
      </w:r>
      <w:r/>
    </w:p>
    <w:p>
      <w:pPr>
        <w:pStyle w:val="ListBullet"/>
      </w:pPr>
      <w:r>
        <w:t>Login unifié : le même formulaire gère super admin + tous les tenants</w:t>
      </w:r>
    </w:p>
    <w:p>
      <w:pPr>
        <w:pStyle w:val="ListBullet"/>
      </w:pPr>
      <w:r>
        <w:t>Redirection automatique selon le rôle après connexion</w:t>
      </w:r>
    </w:p>
    <w:p>
      <w:pPr>
        <w:pStyle w:val="ListBullet"/>
      </w:pPr>
      <w:r>
        <w:t>Message d'erreur visible en cas de mauvais mot de passe (401)</w:t>
      </w:r>
    </w:p>
    <w:p>
      <w:pPr>
        <w:pStyle w:val="ListBullet"/>
      </w:pPr>
      <w:r>
        <w:t>Token JWT stocké dans le store Zustand (persisté en localStorage)</w:t>
      </w:r>
    </w:p>
    <w:p>
      <w:pPr>
        <w:pStyle w:val="ListBullet"/>
      </w:pPr>
      <w:r>
        <w:t>Refresh automatique du token JWT si expiré</w:t>
      </w:r>
    </w:p>
    <w:p>
      <w:pPr>
        <w:pStyle w:val="ListBullet"/>
      </w:pPr>
      <w:r>
        <w:t xml:space="preserve">Déconnexion propre (store vidé + redirection </w:t>
      </w:r>
      <w:r>
        <w:rPr>
          <w:rFonts w:ascii="Courier New" w:hAnsi="Courier New"/>
          <w:sz w:val="18"/>
        </w:rPr>
        <w:t>/login</w:t>
      </w:r>
      <w:r>
        <w:t>)</w:t>
      </w:r>
    </w:p>
    <w:p>
      <w:r/>
      <w:r>
        <w:rPr>
          <w:b/>
        </w:rPr>
        <w:t>Points d'attention :</w:t>
      </w:r>
      <w:r/>
    </w:p>
    <w:p>
      <w:pPr>
        <w:pStyle w:val="ListBullet"/>
      </w:pPr>
      <w:r>
        <w:t xml:space="preserve">Le </w:t>
      </w:r>
      <w:r>
        <w:rPr>
          <w:rFonts w:ascii="Courier New" w:hAnsi="Courier New"/>
          <w:sz w:val="18"/>
        </w:rPr>
        <w:t>must_change_password</w:t>
      </w:r>
      <w:r>
        <w:t xml:space="preserve"> est </w:t>
      </w:r>
      <w:r>
        <w:rPr>
          <w:rFonts w:ascii="Courier New" w:hAnsi="Courier New"/>
          <w:sz w:val="18"/>
        </w:rPr>
        <w:t>false</w:t>
      </w:r>
      <w:r>
        <w:t xml:space="preserve"> pour tous les comptes seedés (last_login_at initialisé)</w:t>
      </w:r>
    </w:p>
    <w:p>
      <w:pPr>
        <w:pStyle w:val="ListBullet"/>
      </w:pPr>
      <w:r>
        <w:t>La MFA (TOTP) peut être activée par l'utilisateur dans son profil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5.2 Portail Super Admin (`/platform/*`)</w:t>
      </w:r>
    </w:p>
    <w:p>
      <w:r/>
      <w:r>
        <w:rPr>
          <w:b/>
        </w:rPr>
        <w:t>Accessible uniquement avec</w:t>
      </w:r>
      <w:r>
        <w:t xml:space="preserve"> </w:t>
      </w:r>
      <w:r>
        <w:rPr>
          <w:rFonts w:ascii="Courier New" w:hAnsi="Courier New"/>
          <w:sz w:val="18"/>
        </w:rPr>
        <w:t>superadmin@nexusrh-ci.com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Fonctionnalité</w:t>
            </w:r>
          </w:p>
        </w:tc>
      </w:tr>
      <w:tr>
        <w:tc>
          <w:tcPr>
            <w:tcW w:type="dxa" w:w="4844"/>
          </w:tcPr>
          <w:p>
            <w:r>
              <w:t>/platform/dashboard</w:t>
            </w:r>
          </w:p>
        </w:tc>
        <w:tc>
          <w:tcPr>
            <w:tcW w:type="dxa" w:w="4844"/>
          </w:tcPr>
          <w:p>
            <w:r>
              <w:t>KPIs (tenants actifs, trials, MRR en FCFA), graphique croissance, alertes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/platform/tenants</w:t>
            </w:r>
          </w:p>
        </w:tc>
        <w:tc>
          <w:tcPr>
            <w:tcW w:type="dxa" w:w="4844"/>
            <w:shd w:val="clear" w:color="auto" w:fill="FFF7ED"/>
          </w:tcPr>
          <w:p>
            <w:r>
              <w:t>Liste paginée de tous les tenants</w:t>
            </w:r>
          </w:p>
        </w:tc>
      </w:tr>
      <w:tr>
        <w:tc>
          <w:tcPr>
            <w:tcW w:type="dxa" w:w="4844"/>
          </w:tcPr>
          <w:p>
            <w:r>
              <w:t>/platform/tenants/new</w:t>
            </w:r>
          </w:p>
        </w:tc>
        <w:tc>
          <w:tcPr>
            <w:tcW w:type="dxa" w:w="4844"/>
          </w:tcPr>
          <w:p>
            <w:r>
              <w:t>Wizard 3 étapes de création d'un tenant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/platform/tenants/:id</w:t>
            </w:r>
          </w:p>
        </w:tc>
        <w:tc>
          <w:tcPr>
            <w:tcW w:type="dxa" w:w="4844"/>
            <w:shd w:val="clear" w:color="auto" w:fill="FFF7ED"/>
          </w:tcPr>
          <w:p>
            <w:r>
              <w:t>4 onglets : Apparence, Plan, Modules, Données</w:t>
            </w:r>
          </w:p>
        </w:tc>
      </w:tr>
      <w:tr>
        <w:tc>
          <w:tcPr>
            <w:tcW w:type="dxa" w:w="4844"/>
          </w:tcPr>
          <w:p>
            <w:r>
              <w:t>/platform/logs</w:t>
            </w:r>
          </w:p>
        </w:tc>
        <w:tc>
          <w:tcPr>
            <w:tcW w:type="dxa" w:w="4844"/>
          </w:tcPr>
          <w:p>
            <w:r>
              <w:t>Logs d'activité cross-tenant</w:t>
            </w:r>
          </w:p>
        </w:tc>
      </w:tr>
    </w:tbl>
    <w:p/>
    <w:p>
      <w:r/>
      <w:r>
        <w:rPr>
          <w:b/>
        </w:rPr>
        <w:t>Workflow création tenant :</w:t>
      </w:r>
      <w:r/>
    </w:p>
    <w:p>
      <w:pPr>
        <w:pStyle w:val="ListNumber"/>
      </w:pPr>
      <w:r>
        <w:t>Étape 1 : Nom, slug (auto-généré), plan, secteur, ville CI, N° CNPS, DGI</w:t>
      </w:r>
    </w:p>
    <w:p>
      <w:pPr>
        <w:pStyle w:val="ListNumber"/>
      </w:pPr>
      <w:r>
        <w:t>Étape 2 : Email/prénom/nom de l'administrateur principal</w:t>
      </w:r>
    </w:p>
    <w:p>
      <w:pPr>
        <w:pStyle w:val="ListNumber"/>
      </w:pPr>
      <w:r>
        <w:t>Étape 3 : Couleurs primaire/secondaire (preview live)</w:t>
      </w:r>
    </w:p>
    <w:p>
      <w:pPr>
        <w:pStyle w:val="ListNumber"/>
      </w:pPr>
      <w:r>
        <w:t>Option avancée : cocher "Injecter données de démonstration" → 8 employés + 3 mois bulletins créés automatiquement</w:t>
      </w:r>
    </w:p>
    <w:p>
      <w:r/>
      <w:r>
        <w:rPr>
          <w:b/>
        </w:rPr>
        <w:t>Ce qui se passe en base lors de la création 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INSERT INTO platform.tenants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CREATE SCHEMA tenant_{slug}</w:t>
      </w:r>
      <w:r/>
    </w:p>
    <w:p>
      <w:pPr>
        <w:pStyle w:val="ListBullet"/>
      </w:pPr>
      <w:r>
        <w:t>Migration des tables RH dans le nouveau schéma</w:t>
      </w:r>
    </w:p>
    <w:p>
      <w:pPr>
        <w:pStyle w:val="ListBullet"/>
      </w:pPr>
      <w:r>
        <w:t>Création du compte admin avec mot de passe temporaire</w:t>
      </w:r>
    </w:p>
    <w:p>
      <w:pPr>
        <w:pStyle w:val="ListBullet"/>
      </w:pPr>
      <w:r>
        <w:t>Envoi email d'invitation (le mot de passe est aussi retourné à l'écran)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5.3 Dashboard (adaptatif selon le rôle)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Contenu du dashboard</w:t>
            </w:r>
          </w:p>
        </w:tc>
      </w:tr>
      <w:tr>
        <w:tc>
          <w:tcPr>
            <w:tcW w:type="dxa" w:w="4844"/>
          </w:tcPr>
          <w:p>
            <w:r>
              <w:t>admin / hr_manager / hr_officer</w:t>
            </w:r>
          </w:p>
        </w:tc>
        <w:tc>
          <w:tcPr>
            <w:tcW w:type="dxa" w:w="4844"/>
          </w:tcPr>
          <w:p>
            <w:r>
              <w:t>KPIs effectifs + masse salariale FCFA + cotisations CNPS + postes ouverts, graphiques, insights IA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manager</w:t>
            </w:r>
          </w:p>
        </w:tc>
        <w:tc>
          <w:tcPr>
            <w:tcW w:type="dxa" w:w="4844"/>
            <w:shd w:val="clear" w:color="auto" w:fill="FFF7ED"/>
          </w:tcPr>
          <w:p>
            <w:r>
              <w:t>Équipe directe, demandes d'absence à valider, notes de frais en attente</w:t>
            </w:r>
          </w:p>
        </w:tc>
      </w:tr>
      <w:tr>
        <w:tc>
          <w:tcPr>
            <w:tcW w:type="dxa" w:w="4844"/>
          </w:tcPr>
          <w:p>
            <w:r>
              <w:t>employee</w:t>
            </w:r>
          </w:p>
        </w:tc>
        <w:tc>
          <w:tcPr>
            <w:tcW w:type="dxa" w:w="4844"/>
          </w:tcPr>
          <w:p>
            <w:r>
              <w:t>Soldes congés, dernier bulletin, absences récentes, formations recommandées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5.4 Gestion des employés (`/employees`)</w:t>
      </w:r>
    </w:p>
    <w:p>
      <w:r/>
      <w:r>
        <w:rPr>
          <w:b/>
        </w:rPr>
        <w:t>Champs clés à valider :</w:t>
      </w:r>
      <w:r/>
    </w:p>
    <w:p>
      <w:pPr>
        <w:pStyle w:val="ListBullet"/>
      </w:pPr>
      <w:r>
        <w:t xml:space="preserve">NNI (Numéro National d'Identification) : format </w:t>
      </w:r>
      <w:r>
        <w:rPr>
          <w:rFonts w:ascii="Courier New" w:hAnsi="Courier New"/>
          <w:sz w:val="18"/>
        </w:rPr>
        <w:t>CI</w:t>
      </w:r>
      <w:r>
        <w:t xml:space="preserve"> + 9 chiffres</w:t>
      </w:r>
    </w:p>
    <w:p>
      <w:pPr>
        <w:pStyle w:val="ListBullet"/>
      </w:pPr>
      <w:r>
        <w:t xml:space="preserve">N° CNPS employeur : format </w:t>
      </w:r>
      <w:r>
        <w:rPr>
          <w:rFonts w:ascii="Courier New" w:hAnsi="Courier New"/>
          <w:sz w:val="18"/>
        </w:rPr>
        <w:t>CI</w:t>
      </w:r>
      <w:r>
        <w:t xml:space="preserve"> + 8 chiffres + lettre</w:t>
      </w:r>
    </w:p>
    <w:p>
      <w:pPr>
        <w:pStyle w:val="ListBullet"/>
      </w:pPr>
      <w:r>
        <w:t xml:space="preserve">Téléphone Mobile Money : format </w:t>
      </w:r>
      <w:r>
        <w:rPr>
          <w:rFonts w:ascii="Courier New" w:hAnsi="Courier New"/>
          <w:sz w:val="18"/>
        </w:rPr>
        <w:t>+225 07XXXXXXXX</w:t>
      </w:r>
      <w:r>
        <w:t xml:space="preserve"> (Wave/Orange) ou </w:t>
      </w:r>
      <w:r>
        <w:rPr>
          <w:rFonts w:ascii="Courier New" w:hAnsi="Courier New"/>
          <w:sz w:val="18"/>
        </w:rPr>
        <w:t>+225 05XXXXXXXX</w:t>
      </w:r>
      <w:r>
        <w:t xml:space="preserve"> (MTN)</w:t>
      </w:r>
    </w:p>
    <w:p>
      <w:pPr>
        <w:pStyle w:val="ListBullet"/>
      </w:pPr>
      <w:r>
        <w:t>Salaire : entier FCFA, jamais de décimales</w:t>
      </w:r>
    </w:p>
    <w:p>
      <w:r/>
      <w:r>
        <w:rPr>
          <w:b/>
        </w:rPr>
        <w:t>Restrictions par rôle 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manager</w:t>
      </w:r>
      <w:r>
        <w:t xml:space="preserve"> → voit uniquement les employés de son département</w:t>
      </w:r>
    </w:p>
    <w:p>
      <w:pPr>
        <w:pStyle w:val="ListBullet"/>
      </w:pPr>
      <w:r/>
      <w:r>
        <w:rPr>
          <w:rFonts w:ascii="Courier New" w:hAnsi="Courier New"/>
          <w:sz w:val="18"/>
        </w:rPr>
        <w:t>employee</w:t>
      </w:r>
      <w:r>
        <w:t xml:space="preserve"> → aucun accès à </w:t>
      </w:r>
      <w:r>
        <w:rPr>
          <w:rFonts w:ascii="Courier New" w:hAnsi="Courier New"/>
          <w:sz w:val="18"/>
        </w:rPr>
        <w:t>/employees</w:t>
      </w:r>
      <w:r>
        <w:t xml:space="preserve"> (redirigé vers </w:t>
      </w:r>
      <w:r>
        <w:rPr>
          <w:rFonts w:ascii="Courier New" w:hAnsi="Courier New"/>
          <w:sz w:val="18"/>
        </w:rPr>
        <w:t>/mon-espace</w:t>
      </w:r>
      <w:r>
        <w:t>)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5.5 Moteur de paie CI (`/payroll`)</w:t>
      </w:r>
    </w:p>
    <w:p>
      <w:pPr>
        <w:ind w:left="454"/>
      </w:pPr>
      <w:r>
        <w:rPr>
          <w:i/>
          <w:color w:val="6B7280"/>
        </w:rPr>
        <w:t>C'est le cœur du système. Les calculs doivent être rigoureusement vérifiés.</w:t>
      </w:r>
    </w:p>
    <w:p>
      <w:pPr>
        <w:pStyle w:val="Heading3"/>
      </w:pPr>
      <w:r>
        <w:rPr>
          <w:color w:val="6B7280"/>
          <w:sz w:val="22"/>
        </w:rPr>
        <w:t>Formules CNPS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Branche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Part salariale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Part patronale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Plafond mensuel</w:t>
            </w:r>
          </w:p>
        </w:tc>
      </w:tr>
      <w:tr>
        <w:tc>
          <w:tcPr>
            <w:tcW w:type="dxa" w:w="2422"/>
          </w:tcPr>
          <w:p>
            <w:r>
              <w:t>Retraite</w:t>
            </w:r>
          </w:p>
        </w:tc>
        <w:tc>
          <w:tcPr>
            <w:tcW w:type="dxa" w:w="2422"/>
          </w:tcPr>
          <w:p>
            <w:r>
              <w:t>6,3 %</w:t>
            </w:r>
          </w:p>
        </w:tc>
        <w:tc>
          <w:tcPr>
            <w:tcW w:type="dxa" w:w="2422"/>
          </w:tcPr>
          <w:p>
            <w:r>
              <w:t>7,7 %</w:t>
            </w:r>
          </w:p>
        </w:tc>
        <w:tc>
          <w:tcPr>
            <w:tcW w:type="dxa" w:w="2422"/>
          </w:tcPr>
          <w:p>
            <w:r>
              <w:t>1 647 315 FCFA</w:t>
            </w:r>
          </w:p>
        </w:tc>
      </w:tr>
      <w:tr>
        <w:tc>
          <w:tcPr>
            <w:tcW w:type="dxa" w:w="2422"/>
            <w:shd w:val="clear" w:color="auto" w:fill="FFF7ED"/>
          </w:tcPr>
          <w:p>
            <w:r>
              <w:t>Prestations familiales</w:t>
            </w:r>
          </w:p>
        </w:tc>
        <w:tc>
          <w:tcPr>
            <w:tcW w:type="dxa" w:w="2422"/>
            <w:shd w:val="clear" w:color="auto" w:fill="FFF7ED"/>
          </w:tcPr>
          <w:p>
            <w:r>
              <w:t>0 %</w:t>
            </w:r>
          </w:p>
        </w:tc>
        <w:tc>
          <w:tcPr>
            <w:tcW w:type="dxa" w:w="2422"/>
            <w:shd w:val="clear" w:color="auto" w:fill="FFF7ED"/>
          </w:tcPr>
          <w:p>
            <w:r>
              <w:t>5,0 %</w:t>
            </w:r>
          </w:p>
        </w:tc>
        <w:tc>
          <w:tcPr>
            <w:tcW w:type="dxa" w:w="2422"/>
            <w:shd w:val="clear" w:color="auto" w:fill="FFF7ED"/>
          </w:tcPr>
          <w:p>
            <w:r>
              <w:t>70 000 FCFA</w:t>
            </w:r>
          </w:p>
        </w:tc>
      </w:tr>
      <w:tr>
        <w:tc>
          <w:tcPr>
            <w:tcW w:type="dxa" w:w="2422"/>
          </w:tcPr>
          <w:p>
            <w:r>
              <w:t>Assurance maternité</w:t>
            </w:r>
          </w:p>
        </w:tc>
        <w:tc>
          <w:tcPr>
            <w:tcW w:type="dxa" w:w="2422"/>
          </w:tcPr>
          <w:p>
            <w:r>
              <w:t>0 %</w:t>
            </w:r>
          </w:p>
        </w:tc>
        <w:tc>
          <w:tcPr>
            <w:tcW w:type="dxa" w:w="2422"/>
          </w:tcPr>
          <w:p>
            <w:r>
              <w:t>0,75 %</w:t>
            </w:r>
          </w:p>
        </w:tc>
        <w:tc>
          <w:tcPr>
            <w:tcW w:type="dxa" w:w="2422"/>
          </w:tcPr>
          <w:p>
            <w:r>
              <w:t>70 000 FCFA</w:t>
            </w:r>
          </w:p>
        </w:tc>
      </w:tr>
      <w:tr>
        <w:tc>
          <w:tcPr>
            <w:tcW w:type="dxa" w:w="2422"/>
            <w:shd w:val="clear" w:color="auto" w:fill="FFF7ED"/>
          </w:tcPr>
          <w:p>
            <w:r>
              <w:t>Accidents du travail</w:t>
            </w:r>
          </w:p>
        </w:tc>
        <w:tc>
          <w:tcPr>
            <w:tcW w:type="dxa" w:w="2422"/>
            <w:shd w:val="clear" w:color="auto" w:fill="FFF7ED"/>
          </w:tcPr>
          <w:p>
            <w:r>
              <w:t>0 %</w:t>
            </w:r>
          </w:p>
        </w:tc>
        <w:tc>
          <w:tcPr>
            <w:tcW w:type="dxa" w:w="2422"/>
            <w:shd w:val="clear" w:color="auto" w:fill="FFF7ED"/>
          </w:tcPr>
          <w:p>
            <w:r>
              <w:t>2 à 5 % selon secteur</w:t>
            </w:r>
          </w:p>
        </w:tc>
        <w:tc>
          <w:tcPr>
            <w:tcW w:type="dxa" w:w="2422"/>
            <w:shd w:val="clear" w:color="auto" w:fill="FFF7ED"/>
          </w:tcPr>
          <w:p>
            <w:r>
              <w:t>70 000 FCFA</w:t>
            </w:r>
          </w:p>
        </w:tc>
      </w:tr>
    </w:tbl>
    <w:p/>
    <w:p>
      <w:r/>
      <w:r>
        <w:rPr>
          <w:b/>
        </w:rPr>
        <w:t>Taux AT par secteur :</w:t>
      </w:r>
      <w:r/>
    </w:p>
    <w:p>
      <w:pPr>
        <w:pStyle w:val="ListBullet"/>
      </w:pPr>
      <w:r>
        <w:t>Commerce, services : 2 %</w:t>
      </w:r>
    </w:p>
    <w:p>
      <w:pPr>
        <w:pStyle w:val="ListBullet"/>
      </w:pPr>
      <w:r>
        <w:t>BTP, transport : 3 %</w:t>
      </w:r>
    </w:p>
    <w:p>
      <w:pPr>
        <w:pStyle w:val="ListBullet"/>
      </w:pPr>
      <w:r>
        <w:t>Industrie : 4 %</w:t>
      </w:r>
    </w:p>
    <w:p>
      <w:pPr>
        <w:pStyle w:val="ListBullet"/>
      </w:pPr>
      <w:r>
        <w:t>Extraction, mines : 5 %</w:t>
      </w:r>
    </w:p>
    <w:p>
      <w:pPr>
        <w:pStyle w:val="Heading3"/>
      </w:pPr>
      <w:r>
        <w:rPr>
          <w:color w:val="6B7280"/>
          <w:sz w:val="22"/>
        </w:rPr>
        <w:t>Formule ITS (Impôt sur les Traitements et Salaires)</w:t>
      </w:r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>1. Abattement forfaitaire : Salaire net imposable = BRUT × 0,85</w:t>
        <w:br/>
        <w:t>2. Déduire cotisations CNPS salariales</w:t>
        <w:br/>
        <w:t>3. Appliquer le barème progressif :</w:t>
        <w:br/>
        <w:t xml:space="preserve">   0 – 75 000 FCFA       → 0 %</w:t>
        <w:br/>
        <w:t xml:space="preserve">   75 001 – 240 000 FCFA → 1,5 %</w:t>
        <w:br/>
        <w:t xml:space="preserve">   240 001 – 800 000     → 5 %</w:t>
        <w:br/>
        <w:t xml:space="preserve">   800 001 – 2 000 000   → 10 %</w:t>
        <w:br/>
        <w:t xml:space="preserve">   &gt; 2 000 000           → 15 %</w:t>
        <w:br/>
        <w:t>4. Déduire le crédit d'impôt famille :</w:t>
        <w:br/>
        <w:t xml:space="preserve">   Marié sans enfant  : -5 500 FCFA/mois</w:t>
        <w:br/>
        <w:t xml:space="preserve">   + 1 enfant         : -3 000 FCFA supplémentaires</w:t>
        <w:br/>
        <w:t xml:space="preserve">   + 2 enfants        : -6 000 FCFA supplémentaires</w:t>
        <w:br/>
        <w:t xml:space="preserve">   + 3 enfants et +   : -9 000 FCFA supplémentaires</w:t>
      </w:r>
    </w:p>
    <w:p>
      <w:r/>
      <w:r>
        <w:rPr>
          <w:b/>
        </w:rPr>
        <w:t>Règle absolue</w:t>
      </w:r>
      <w:r>
        <w:t xml:space="preserve"> : Net à payer ≥ SMIG = </w:t>
      </w:r>
      <w:r>
        <w:rPr>
          <w:b/>
        </w:rPr>
        <w:t>60 000 FCFA</w:t>
      </w:r>
      <w:r/>
    </w:p>
    <w:p>
      <w:pPr>
        <w:pStyle w:val="Heading3"/>
      </w:pPr>
      <w:r>
        <w:rPr>
          <w:color w:val="6B7280"/>
          <w:sz w:val="22"/>
        </w:rPr>
        <w:t>Workflow de paie</w:t>
      </w:r>
    </w:p>
    <w:p>
      <w:pPr>
        <w:pStyle w:val="ListNumber"/>
      </w:pPr>
      <w:r>
        <w:t xml:space="preserve">Créer une période → statut </w:t>
      </w:r>
      <w:r>
        <w:rPr>
          <w:rFonts w:ascii="Courier New" w:hAnsi="Courier New"/>
          <w:sz w:val="18"/>
        </w:rPr>
        <w:t>open</w:t>
      </w:r>
      <w:r/>
    </w:p>
    <w:p>
      <w:pPr>
        <w:pStyle w:val="ListNumber"/>
      </w:pPr>
      <w:r>
        <w:t>Générer les bulletins pour tous les employés actifs</w:t>
      </w:r>
    </w:p>
    <w:p>
      <w:pPr>
        <w:pStyle w:val="ListNumber"/>
      </w:pPr>
      <w:r>
        <w:t>Vérifier les calculs CNPS + ITS</w:t>
      </w:r>
    </w:p>
    <w:p>
      <w:pPr>
        <w:pStyle w:val="ListNumber"/>
      </w:pPr>
      <w:r>
        <w:t xml:space="preserve">Clôturer la période → statut </w:t>
      </w:r>
      <w:r>
        <w:rPr>
          <w:rFonts w:ascii="Courier New" w:hAnsi="Courier New"/>
          <w:sz w:val="18"/>
        </w:rPr>
        <w:t>closed</w:t>
      </w:r>
      <w:r>
        <w:t xml:space="preserve"> (immuable)</w:t>
      </w:r>
    </w:p>
    <w:p>
      <w:pPr>
        <w:pStyle w:val="ListNumber"/>
      </w:pPr>
      <w:r>
        <w:t>Télécharger les bulletins PDF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5.6 Gestion des absences (`/absences` + `/mon-espace/absences`)</w:t>
      </w:r>
    </w:p>
    <w:p>
      <w:r/>
      <w:r>
        <w:rPr>
          <w:b/>
        </w:rPr>
        <w:t>Règles légales CI :</w:t>
      </w:r>
      <w:r/>
    </w:p>
    <w:p>
      <w:pPr>
        <w:pStyle w:val="ListBullet"/>
      </w:pPr>
      <w:r>
        <w:t xml:space="preserve">Congés payés : </w:t>
      </w:r>
      <w:r>
        <w:rPr>
          <w:b/>
        </w:rPr>
        <w:t>2,5 jours ouvrables</w:t>
      </w:r>
      <w:r>
        <w:t xml:space="preserve"> par mois travaillé (Code du Travail CI)</w:t>
      </w:r>
    </w:p>
    <w:p>
      <w:pPr>
        <w:pStyle w:val="ListBullet"/>
      </w:pPr>
      <w:r>
        <w:t xml:space="preserve">Les jours sont en </w:t>
      </w:r>
      <w:r>
        <w:rPr>
          <w:b/>
        </w:rPr>
        <w:t>jours ouvrables</w:t>
      </w:r>
      <w:r>
        <w:t xml:space="preserve"> (lundi→samedi), pas calendaires</w:t>
      </w:r>
    </w:p>
    <w:p>
      <w:pPr>
        <w:pStyle w:val="ListBullet"/>
      </w:pPr>
      <w:r>
        <w:t>Les jours fériés CI sont exclus du décompte</w:t>
      </w:r>
    </w:p>
    <w:p>
      <w:r/>
      <w:r>
        <w:rPr>
          <w:b/>
        </w:rPr>
        <w:t>Workflow d'approbation (2 niveaux pour SOTRA) :</w:t>
      </w:r>
      <w:r/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>Employé soumet → Manager approuve (niveau 1) → Admin/RH valide (niveau 2) → Solde décompté</w:t>
        <w:br/>
        <w:t xml:space="preserve">                                              → Refus → Notification employé</w:t>
      </w:r>
    </w:p>
    <w:p>
      <w:r/>
      <w:r>
        <w:rPr>
          <w:b/>
        </w:rPr>
        <w:t>Types d'absence disponibles :</w:t>
      </w:r>
      <w:r>
        <w:t xml:space="preserve"> CP, Congé maladie, Maternité, Paternité, Deuil familial, Sans solde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5.7 CNPS &amp; Déclarations (`/cnps`)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Fonctionnalité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844"/>
          </w:tcPr>
          <w:p>
            <w:r>
              <w:t>Déclaration mensuelle</w:t>
            </w:r>
          </w:p>
        </w:tc>
        <w:tc>
          <w:tcPr>
            <w:tcW w:type="dxa" w:w="4844"/>
          </w:tcPr>
          <w:p>
            <w:r>
              <w:t>Générer + exporter en CSV (format e-CNPS) avant le 15 du mois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DISA</w:t>
            </w:r>
          </w:p>
        </w:tc>
        <w:tc>
          <w:tcPr>
            <w:tcW w:type="dxa" w:w="4844"/>
            <w:shd w:val="clear" w:color="auto" w:fill="FFF7ED"/>
          </w:tcPr>
          <w:p>
            <w:r>
              <w:t>Déclaration Individuelle Salaires Annuels — agrège 12 mois, générée en janvier</w:t>
            </w:r>
          </w:p>
        </w:tc>
      </w:tr>
      <w:tr>
        <w:tc>
          <w:tcPr>
            <w:tcW w:type="dxa" w:w="4844"/>
          </w:tcPr>
          <w:p>
            <w:r>
              <w:t>RNS PDF</w:t>
            </w:r>
          </w:p>
        </w:tc>
        <w:tc>
          <w:tcPr>
            <w:tcW w:type="dxa" w:w="4844"/>
          </w:tcPr>
          <w:p>
            <w:r>
              <w:t>Relevé Nominatif des Salaires — formulaire officiel CNPS EN-GDAV-06 v03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Attestation</w:t>
            </w:r>
          </w:p>
        </w:tc>
        <w:tc>
          <w:tcPr>
            <w:tcW w:type="dxa" w:w="4844"/>
            <w:shd w:val="clear" w:color="auto" w:fill="FFF7ED"/>
          </w:tcPr>
          <w:p>
            <w:r>
              <w:t>Certificat de conformité CNPS employeur</w:t>
            </w:r>
          </w:p>
        </w:tc>
      </w:tr>
    </w:tbl>
    <w:p/>
    <w:p>
      <w:pPr>
        <w:ind w:left="454"/>
      </w:pPr>
      <w:r>
        <w:rPr>
          <w:i/>
          <w:color w:val="6B7280"/>
        </w:rPr>
        <w:t>**Bug corrigé** : Le PDF RNS retournait une erreur 500 car le template (`rns-template.pdf`) n'était pas embarqué dans l'image Docker. Correctif déployé le 06/05/2026.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5.8 Mobile Money (`/payroll/mobile-money`)</w:t>
      </w:r>
    </w:p>
    <w:p>
      <w:r/>
      <w:r>
        <w:rPr>
          <w:b/>
        </w:rPr>
        <w:t>Opérateurs supportés :</w:t>
      </w:r>
      <w:r>
        <w:t xml:space="preserve"> Wave · MTN MoMo · Orange Money</w:t>
      </w:r>
    </w:p>
    <w:p>
      <w:r/>
      <w:r>
        <w:rPr>
          <w:b/>
        </w:rPr>
        <w:t>Workflow de virement salaires :</w:t>
      </w:r>
      <w:r/>
    </w:p>
    <w:p>
      <w:pPr>
        <w:pStyle w:val="ListNumber"/>
      </w:pPr>
      <w:r>
        <w:t>Clôturer la période de paie</w:t>
      </w:r>
    </w:p>
    <w:p>
      <w:pPr>
        <w:pStyle w:val="ListNumber"/>
      </w:pPr>
      <w:r>
        <w:t>Créer une campagne de virement</w:t>
      </w:r>
    </w:p>
    <w:p>
      <w:pPr>
        <w:pStyle w:val="ListNumber"/>
      </w:pPr>
      <w:r>
        <w:t>Exécuter (déclenche les appels API Mobile Money)</w:t>
      </w:r>
    </w:p>
    <w:p>
      <w:pPr>
        <w:pStyle w:val="ListNumber"/>
      </w:pPr>
      <w:r>
        <w:t>Callback webhook → mise à jour statut (</w:t>
      </w:r>
      <w:r>
        <w:rPr>
          <w:rFonts w:ascii="Courier New" w:hAnsi="Courier New"/>
          <w:sz w:val="18"/>
        </w:rPr>
        <w:t>pending</w:t>
      </w:r>
      <w:r>
        <w:t xml:space="preserve"> → </w:t>
      </w:r>
      <w:r>
        <w:rPr>
          <w:rFonts w:ascii="Courier New" w:hAnsi="Courier New"/>
          <w:sz w:val="18"/>
        </w:rPr>
        <w:t>success</w:t>
      </w:r>
      <w:r>
        <w:t xml:space="preserve"> / </w:t>
      </w:r>
      <w:r>
        <w:rPr>
          <w:rFonts w:ascii="Courier New" w:hAnsi="Courier New"/>
          <w:sz w:val="18"/>
        </w:rPr>
        <w:t>failed</w:t>
      </w:r>
      <w:r>
        <w:t>)</w:t>
      </w:r>
    </w:p>
    <w:p>
      <w:pPr>
        <w:pStyle w:val="ListNumber"/>
      </w:pPr>
      <w:r>
        <w:t>Bulletin marqué "payé" avec référence de transaction</w:t>
      </w:r>
    </w:p>
    <w:p>
      <w:r/>
      <w:r>
        <w:rPr>
          <w:b/>
        </w:rPr>
        <w:t>Validation numéros CI :</w:t>
      </w:r>
      <w:r/>
    </w:p>
    <w:p>
      <w:pPr>
        <w:pStyle w:val="ListBullet"/>
      </w:pPr>
      <w:r>
        <w:t xml:space="preserve">Wave / Orange : </w:t>
      </w:r>
      <w:r>
        <w:rPr>
          <w:rFonts w:ascii="Courier New" w:hAnsi="Courier New"/>
          <w:sz w:val="18"/>
        </w:rPr>
        <w:t>+225 07XXXXXXXX</w:t>
      </w:r>
      <w:r/>
    </w:p>
    <w:p>
      <w:pPr>
        <w:pStyle w:val="ListBullet"/>
      </w:pPr>
      <w:r>
        <w:t xml:space="preserve">MTN : </w:t>
      </w:r>
      <w:r>
        <w:rPr>
          <w:rFonts w:ascii="Courier New" w:hAnsi="Courier New"/>
          <w:sz w:val="18"/>
        </w:rPr>
        <w:t>+225 05XXXXXXXX</w:t>
      </w:r>
      <w:r/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5.9 Recrutement (`/recruitment`)</w:t>
      </w:r>
    </w:p>
    <w:p>
      <w:pPr>
        <w:pStyle w:val="ListBullet"/>
      </w:pPr>
      <w:r>
        <w:t xml:space="preserve">Pipeline Kanban : </w:t>
      </w:r>
      <w:r>
        <w:rPr>
          <w:rFonts w:ascii="Courier New" w:hAnsi="Courier New"/>
          <w:sz w:val="18"/>
        </w:rPr>
        <w:t>new</w:t>
      </w:r>
      <w:r>
        <w:t xml:space="preserve"> → </w:t>
      </w:r>
      <w:r>
        <w:rPr>
          <w:rFonts w:ascii="Courier New" w:hAnsi="Courier New"/>
          <w:sz w:val="18"/>
        </w:rPr>
        <w:t>screening</w:t>
      </w:r>
      <w:r>
        <w:t xml:space="preserve"> → </w:t>
      </w:r>
      <w:r>
        <w:rPr>
          <w:rFonts w:ascii="Courier New" w:hAnsi="Courier New"/>
          <w:sz w:val="18"/>
        </w:rPr>
        <w:t>interview</w:t>
      </w:r>
      <w:r>
        <w:t xml:space="preserve"> → </w:t>
      </w:r>
      <w:r>
        <w:rPr>
          <w:rFonts w:ascii="Courier New" w:hAnsi="Courier New"/>
          <w:sz w:val="18"/>
        </w:rPr>
        <w:t>offer</w:t>
      </w:r>
      <w:r>
        <w:t xml:space="preserve"> → </w:t>
      </w:r>
      <w:r>
        <w:rPr>
          <w:rFonts w:ascii="Courier New" w:hAnsi="Courier New"/>
          <w:sz w:val="18"/>
        </w:rPr>
        <w:t>hired</w:t>
      </w:r>
      <w:r/>
    </w:p>
    <w:p>
      <w:pPr>
        <w:pStyle w:val="ListBullet"/>
      </w:pPr>
      <w:r>
        <w:t>Scoring IA des candidatures (nécessite ANTHROPIC_API_KEY configuré)</w:t>
      </w:r>
    </w:p>
    <w:p>
      <w:pPr>
        <w:pStyle w:val="ListBullet"/>
      </w:pPr>
      <w:r>
        <w:t xml:space="preserve">Génération contrat OHADA à l'étape </w:t>
      </w:r>
      <w:r>
        <w:rPr>
          <w:rFonts w:ascii="Courier New" w:hAnsi="Courier New"/>
          <w:sz w:val="18"/>
        </w:rPr>
        <w:t>hired</w:t>
      </w:r>
      <w:r/>
    </w:p>
    <w:p>
      <w:pPr>
        <w:pStyle w:val="ListBullet"/>
      </w:pPr>
      <w:r>
        <w:t>Fourchettes salariales en FCFA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5.10 Formation &amp; FDFP (`/training`)</w:t>
      </w:r>
    </w:p>
    <w:p>
      <w:pPr>
        <w:pStyle w:val="ListBullet"/>
      </w:pPr>
      <w:r>
        <w:t>Catalogue avec formats : présentiel / e-learning</w:t>
      </w:r>
    </w:p>
    <w:p>
      <w:pPr>
        <w:pStyle w:val="ListBullet"/>
      </w:pPr>
      <w:r>
        <w:t>Sessions avec places limitées (inscription self-service par l'employé)</w:t>
      </w:r>
    </w:p>
    <w:p>
      <w:pPr>
        <w:pStyle w:val="ListBullet"/>
      </w:pPr>
      <w:r>
        <w:t>Formations agréées FDFP (Fonds de Développement de la Formation Professionnelle CI)</w:t>
      </w:r>
    </w:p>
    <w:p>
      <w:pPr>
        <w:pStyle w:val="ListBullet"/>
      </w:pPr>
      <w:r>
        <w:t>Contribution FDFP : 0,4 % de la masse salariale (entreprises &gt; 10 salariés)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5.11 Notes de frais (`/expenses` + `/mon-espace/notes-de-frais`)</w:t>
      </w:r>
    </w:p>
    <w:p>
      <w:r/>
      <w:r>
        <w:rPr>
          <w:b/>
        </w:rPr>
        <w:t>Workflow :</w:t>
      </w:r>
      <w:r/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>Brouillon → Soumis → Approuvé (manager) → Remboursé (Mobile Money) / Refusé</w:t>
      </w:r>
    </w:p>
    <w:p>
      <w:r/>
      <w:r>
        <w:rPr>
          <w:b/>
        </w:rPr>
        <w:t>Catégories</w:t>
      </w:r>
      <w:r>
        <w:t xml:space="preserve"> : transport, repas, hébergement, autre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5.12 Espace employé (`/mon-espace`)</w:t>
      </w:r>
    </w:p>
    <w:p>
      <w:pPr>
        <w:ind w:left="454"/>
      </w:pPr>
      <w:r>
        <w:rPr>
          <w:i/>
          <w:color w:val="6B7280"/>
        </w:rPr>
        <w:t>Accessible uniquement aux utilisateurs de rôle `employee`.</w:t>
      </w:r>
    </w:p>
    <w:p>
      <w:r/>
      <w:r>
        <w:rPr>
          <w:b/>
        </w:rPr>
        <w:t>5 sections :</w:t>
      </w:r>
      <w:r/>
    </w:p>
    <w:p>
      <w:pPr>
        <w:pStyle w:val="ListNumber"/>
      </w:pPr>
      <w:r/>
      <w:r>
        <w:rPr>
          <w:b/>
        </w:rPr>
        <w:t>Dashboard</w:t>
      </w:r>
      <w:r>
        <w:t xml:space="preserve"> : soldes congés, dernier bulletin, absences récentes, frais récents, formations</w:t>
      </w:r>
    </w:p>
    <w:p>
      <w:pPr>
        <w:pStyle w:val="ListNumber"/>
      </w:pPr>
      <w:r/>
      <w:r>
        <w:rPr>
          <w:b/>
        </w:rPr>
        <w:t>Mes absences</w:t>
      </w:r>
      <w:r>
        <w:t xml:space="preserve"> : soldes + calendrier + formulaire de demande + historique</w:t>
      </w:r>
    </w:p>
    <w:p>
      <w:pPr>
        <w:pStyle w:val="ListNumber"/>
      </w:pPr>
      <w:r/>
      <w:r>
        <w:rPr>
          <w:b/>
        </w:rPr>
        <w:t>Mes bulletins</w:t>
      </w:r>
      <w:r>
        <w:t xml:space="preserve"> : liste des 24 derniers + téléchargement PDF + badge "Nouveau"</w:t>
      </w:r>
    </w:p>
    <w:p>
      <w:pPr>
        <w:pStyle w:val="ListNumber"/>
      </w:pPr>
      <w:r/>
      <w:r>
        <w:rPr>
          <w:b/>
        </w:rPr>
        <w:t>Mes notes de frais</w:t>
      </w:r>
      <w:r>
        <w:t xml:space="preserve"> : création + suivi workflow</w:t>
      </w:r>
    </w:p>
    <w:p>
      <w:pPr>
        <w:pStyle w:val="ListNumber"/>
      </w:pPr>
      <w:r/>
      <w:r>
        <w:rPr>
          <w:b/>
        </w:rPr>
        <w:t>Ma formation</w:t>
      </w:r>
      <w:r>
        <w:t xml:space="preserve"> : catalogue + mes inscriptions</w:t>
      </w:r>
    </w:p>
    <w:p>
      <w:pPr>
        <w:pStyle w:val="ListNumber"/>
      </w:pPr>
      <w:r/>
      <w:r>
        <w:rPr>
          <w:b/>
        </w:rPr>
        <w:t>Mon profil</w:t>
      </w:r>
      <w:r>
        <w:t xml:space="preserve"> : données personnelles + Mobile Money + MFA + changement mdp</w:t>
      </w:r>
    </w:p>
    <w:p>
      <w:r/>
      <w:r>
        <w:rPr>
          <w:b/>
        </w:rPr>
        <w:t>Restriction RBAC critique</w:t>
      </w:r>
      <w:r>
        <w:t xml:space="preserve"> : tout accès à une route hors </w:t>
      </w:r>
      <w:r>
        <w:rPr>
          <w:rFonts w:ascii="Courier New" w:hAnsi="Courier New"/>
          <w:sz w:val="18"/>
        </w:rPr>
        <w:t>/mon-espace/*</w:t>
      </w:r>
      <w:r>
        <w:t xml:space="preserve"> redirige automatiquement vers </w:t>
      </w:r>
      <w:r>
        <w:rPr>
          <w:rFonts w:ascii="Courier New" w:hAnsi="Courier New"/>
          <w:sz w:val="18"/>
        </w:rPr>
        <w:t>/mon-espace</w:t>
      </w:r>
      <w:r>
        <w:t>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5.13 Assistant IA (`/ai`)</w:t>
      </w:r>
    </w:p>
    <w:p>
      <w:pPr>
        <w:pStyle w:val="ListBullet"/>
      </w:pPr>
      <w:r>
        <w:t>Chat en streaming (SSE) — réponses progressives</w:t>
      </w:r>
    </w:p>
    <w:p>
      <w:pPr>
        <w:pStyle w:val="ListBullet"/>
      </w:pPr>
      <w:r>
        <w:t>Calibré droit ivoirien : Code du Travail CI, CNPS, DGI, OHADA</w:t>
      </w:r>
    </w:p>
    <w:p>
      <w:pPr>
        <w:pStyle w:val="ListBullet"/>
      </w:pPr>
      <w:r>
        <w:t>Génération de documents : CDI CI, CDD CI, certificat de travail, lettre d'embauche…</w:t>
      </w:r>
    </w:p>
    <w:p>
      <w:pPr>
        <w:pStyle w:val="ListBullet"/>
      </w:pPr>
      <w:r>
        <w:t>Analyse rétention : score + facteurs + recommandations</w:t>
      </w:r>
    </w:p>
    <w:p>
      <w:pPr>
        <w:pStyle w:val="ListBullet"/>
      </w:pPr>
      <w:r/>
      <w:r>
        <w:rPr>
          <w:b/>
        </w:rPr>
        <w:t>Langue</w:t>
      </w:r>
      <w:r>
        <w:t xml:space="preserve"> : toujours en français, avec références légales CI citées</w:t>
      </w:r>
    </w:p>
    <w:p>
      <w:r/>
      <w:r>
        <w:rPr>
          <w:b/>
        </w:rPr>
        <w:t>Accès par rôle 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admin</w:t>
      </w:r>
      <w:r>
        <w:t xml:space="preserve"> / </w:t>
      </w:r>
      <w:r>
        <w:rPr>
          <w:rFonts w:ascii="Courier New" w:hAnsi="Courier New"/>
          <w:sz w:val="18"/>
        </w:rPr>
        <w:t>hr_manager</w:t>
      </w:r>
      <w:r>
        <w:t xml:space="preserve"> / </w:t>
      </w:r>
      <w:r>
        <w:rPr>
          <w:rFonts w:ascii="Courier New" w:hAnsi="Courier New"/>
          <w:sz w:val="18"/>
        </w:rPr>
        <w:t>hr_officer</w:t>
      </w:r>
      <w:r>
        <w:t xml:space="preserve"> / </w:t>
      </w:r>
      <w:r>
        <w:rPr>
          <w:rFonts w:ascii="Courier New" w:hAnsi="Courier New"/>
          <w:sz w:val="18"/>
        </w:rPr>
        <w:t>manager</w:t>
      </w:r>
      <w:r>
        <w:t xml:space="preserve"> → accès complet</w:t>
      </w:r>
    </w:p>
    <w:p>
      <w:pPr>
        <w:pStyle w:val="ListBullet"/>
      </w:pPr>
      <w:r/>
      <w:r>
        <w:rPr>
          <w:rFonts w:ascii="Courier New" w:hAnsi="Courier New"/>
          <w:sz w:val="18"/>
        </w:rPr>
        <w:t>employee</w:t>
      </w:r>
      <w:r>
        <w:t xml:space="preserve"> → accès limité (questions simples, pas de génération de documents)</w:t>
      </w:r>
    </w:p>
    <w:p>
      <w:pPr>
        <w:pStyle w:val="ListBullet"/>
      </w:pPr>
      <w:r/>
      <w:r>
        <w:rPr>
          <w:rFonts w:ascii="Courier New" w:hAnsi="Courier New"/>
          <w:sz w:val="18"/>
        </w:rPr>
        <w:t>readonly</w:t>
      </w:r>
      <w:r>
        <w:t xml:space="preserve"> → aucun accès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5.14 Reporting (`/reporting`)</w:t>
      </w:r>
    </w:p>
    <w:p>
      <w:pPr>
        <w:pStyle w:val="ListBullet"/>
      </w:pPr>
      <w:r>
        <w:t>KPIs : effectifs, masse salariale FCFA, cotisations CNPS, taux absentéisme</w:t>
      </w:r>
    </w:p>
    <w:p>
      <w:pPr>
        <w:pStyle w:val="ListBullet"/>
      </w:pPr>
      <w:r>
        <w:t>Graphiques : évolution effectifs (12 mois), répartition départements</w:t>
      </w:r>
    </w:p>
    <w:p>
      <w:pPr>
        <w:pStyle w:val="ListBullet"/>
      </w:pPr>
      <w:r>
        <w:t>Export CSV/Excel de la masse salariale</w:t>
      </w:r>
    </w:p>
    <w:p>
      <w:pPr>
        <w:pStyle w:val="ListBullet"/>
      </w:pPr>
      <w:r>
        <w:t>Insights IA : max 3 alertes (rétention, absentéisme, essais expirants)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6. Matrice des droits d'accès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super_admin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hr_manager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hr_officer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211"/>
            <w:shd w:val="clear" w:color="auto" w:fill="E85D04"/>
          </w:tcPr>
          <w:p>
            <w:r>
              <w:rPr>
                <w:b/>
                <w:color w:val="FFFFFF"/>
              </w:rPr>
              <w:t>readonly</w:t>
            </w:r>
          </w:p>
        </w:tc>
      </w:tr>
      <w:tr>
        <w:tc>
          <w:tcPr>
            <w:tcW w:type="dxa" w:w="1211"/>
          </w:tcPr>
          <w:p>
            <w:r>
              <w:t>Portail plateforme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</w:tr>
      <w:tr>
        <w:tc>
          <w:tcPr>
            <w:tcW w:type="dxa" w:w="1211"/>
            <w:shd w:val="clear" w:color="auto" w:fill="FFF7ED"/>
          </w:tcPr>
          <w:p>
            <w:r>
              <w:t>Données RH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équipe</w:t>
            </w:r>
          </w:p>
        </w:tc>
        <w:tc>
          <w:tcPr>
            <w:tcW w:type="dxa" w:w="1211"/>
            <w:shd w:val="clear" w:color="auto" w:fill="FFF7ED"/>
          </w:tcPr>
          <w:p>
            <w:r>
              <w:t>soi</w:t>
            </w:r>
          </w:p>
        </w:tc>
        <w:tc>
          <w:tcPr>
            <w:tcW w:type="dxa" w:w="1211"/>
            <w:shd w:val="clear" w:color="auto" w:fill="FFF7ED"/>
          </w:tcPr>
          <w:p>
            <w:r>
              <w:t>lecture</w:t>
            </w:r>
          </w:p>
        </w:tc>
      </w:tr>
      <w:tr>
        <w:tc>
          <w:tcPr>
            <w:tcW w:type="dxa" w:w="1211"/>
          </w:tcPr>
          <w:p>
            <w:r>
              <w:t>Clôture paie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</w:tr>
      <w:tr>
        <w:tc>
          <w:tcPr>
            <w:tcW w:type="dxa" w:w="1211"/>
            <w:shd w:val="clear" w:color="auto" w:fill="FFF7ED"/>
          </w:tcPr>
          <w:p>
            <w:r>
              <w:t>Mon bulletin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</w:tr>
      <w:tr>
        <w:tc>
          <w:tcPr>
            <w:tcW w:type="dxa" w:w="1211"/>
          </w:tcPr>
          <w:p>
            <w:r>
              <w:t>Approbation absences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équipe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</w:tr>
      <w:tr>
        <w:tc>
          <w:tcPr>
            <w:tcW w:type="dxa" w:w="1211"/>
            <w:shd w:val="clear" w:color="auto" w:fill="FFF7ED"/>
          </w:tcPr>
          <w:p>
            <w:r>
              <w:t>Recrutement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lecture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lecture</w:t>
            </w:r>
          </w:p>
        </w:tc>
      </w:tr>
      <w:tr>
        <w:tc>
          <w:tcPr>
            <w:tcW w:type="dxa" w:w="1211"/>
          </w:tcPr>
          <w:p>
            <w:r>
              <w:t>CNPS/DISA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lecture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lecture</w:t>
            </w:r>
          </w:p>
        </w:tc>
      </w:tr>
      <w:tr>
        <w:tc>
          <w:tcPr>
            <w:tcW w:type="dxa" w:w="1211"/>
            <w:shd w:val="clear" w:color="auto" w:fill="FFF7ED"/>
          </w:tcPr>
          <w:p>
            <w:r>
              <w:t>Mobile Money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lecture</w:t>
            </w:r>
          </w:p>
        </w:tc>
      </w:tr>
      <w:tr>
        <w:tc>
          <w:tcPr>
            <w:tcW w:type="dxa" w:w="1211"/>
          </w:tcPr>
          <w:p>
            <w:r>
              <w:t>IA complète</w:t>
            </w:r>
          </w:p>
        </w:tc>
        <w:tc>
          <w:tcPr>
            <w:tcW w:type="dxa" w:w="1211"/>
          </w:tcPr>
          <w:p>
            <w:r>
              <w:t>❌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✅</w:t>
            </w:r>
          </w:p>
        </w:tc>
        <w:tc>
          <w:tcPr>
            <w:tcW w:type="dxa" w:w="1211"/>
          </w:tcPr>
          <w:p>
            <w:r>
              <w:t>limité</w:t>
            </w:r>
          </w:p>
        </w:tc>
        <w:tc>
          <w:tcPr>
            <w:tcW w:type="dxa" w:w="1211"/>
          </w:tcPr>
          <w:p>
            <w:r>
              <w:t>❌</w:t>
            </w:r>
          </w:p>
        </w:tc>
      </w:tr>
      <w:tr>
        <w:tc>
          <w:tcPr>
            <w:tcW w:type="dxa" w:w="1211"/>
            <w:shd w:val="clear" w:color="auto" w:fill="FFF7ED"/>
          </w:tcPr>
          <w:p>
            <w:r>
              <w:t>Paramètres tenant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✅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  <w:tc>
          <w:tcPr>
            <w:tcW w:type="dxa" w:w="1211"/>
            <w:shd w:val="clear" w:color="auto" w:fill="FFF7ED"/>
          </w:tcPr>
          <w:p>
            <w:r>
              <w:t>❌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7. Points critiques à tester en priorité P1</w:t>
      </w:r>
    </w:p>
    <w:p>
      <w:r>
        <w:t>Ces points représentent les risques les plus élevés et doivent être validés en premier :</w:t>
      </w:r>
    </w:p>
    <w:p>
      <w:pPr>
        <w:pStyle w:val="ListNumber"/>
      </w:pPr>
      <w:r/>
      <w:r>
        <w:rPr>
          <w:b/>
        </w:rPr>
        <w:t>Isolation multi-tenant</w:t>
      </w:r>
      <w:r>
        <w:t xml:space="preserve"> : le token JWT de SOTRA ne doit jamais retourner des données du Cabinet Expertise CI, et vice versa.</w:t>
      </w:r>
    </w:p>
    <w:p>
      <w:pPr>
        <w:pStyle w:val="ListNumber"/>
      </w:pPr>
      <w:r/>
      <w:r>
        <w:rPr>
          <w:b/>
        </w:rPr>
        <w:t>Calculs CNPS + ITS</w:t>
      </w:r>
      <w:r>
        <w:t xml:space="preserve"> : vérifier sur au moins 3 salaires types (bas, moyen, élevé) que les montants sont corrects et en FCFA entiers.</w:t>
      </w:r>
    </w:p>
    <w:p>
      <w:pPr>
        <w:pStyle w:val="ListNumber"/>
      </w:pPr>
      <w:r/>
      <w:r>
        <w:rPr>
          <w:b/>
        </w:rPr>
        <w:t>SMIG</w:t>
      </w:r>
      <w:r>
        <w:t xml:space="preserve"> : le net payable ne doit jamais être inférieur à 60 000 FCFA.</w:t>
      </w:r>
    </w:p>
    <w:p>
      <w:pPr>
        <w:pStyle w:val="ListNumber"/>
      </w:pPr>
      <w:r/>
      <w:r>
        <w:rPr>
          <w:b/>
        </w:rPr>
        <w:t>Workflow absences</w:t>
      </w:r>
      <w:r>
        <w:t xml:space="preserve"> : l'employé ne peut pas s'auto-approuver.</w:t>
      </w:r>
    </w:p>
    <w:p>
      <w:pPr>
        <w:pStyle w:val="ListNumber"/>
      </w:pPr>
      <w:r/>
      <w:r>
        <w:rPr>
          <w:b/>
        </w:rPr>
        <w:t>RBAC</w:t>
      </w:r>
      <w:r>
        <w:t xml:space="preserve"> : l'employé ne doit jamais accéder à </w:t>
      </w:r>
      <w:r>
        <w:rPr>
          <w:rFonts w:ascii="Courier New" w:hAnsi="Courier New"/>
          <w:sz w:val="18"/>
        </w:rPr>
        <w:t>/employees</w:t>
      </w:r>
      <w:r>
        <w:t xml:space="preserve">, </w:t>
      </w:r>
      <w:r>
        <w:rPr>
          <w:rFonts w:ascii="Courier New" w:hAnsi="Courier New"/>
          <w:sz w:val="18"/>
        </w:rPr>
        <w:t>/payroll</w:t>
      </w:r>
      <w:r>
        <w:t xml:space="preserve"> global, </w:t>
      </w:r>
      <w:r>
        <w:rPr>
          <w:rFonts w:ascii="Courier New" w:hAnsi="Courier New"/>
          <w:sz w:val="18"/>
        </w:rPr>
        <w:t>/recruitment</w:t>
      </w:r>
      <w:r>
        <w:t>.</w:t>
      </w:r>
    </w:p>
    <w:p>
      <w:pPr>
        <w:pStyle w:val="ListNumber"/>
      </w:pPr>
      <w:r/>
      <w:r>
        <w:rPr>
          <w:b/>
        </w:rPr>
        <w:t>Authentification</w:t>
      </w:r>
      <w:r>
        <w:t xml:space="preserve"> : un mauvais mot de passe doit afficher le message d'erreur dans le formulaire (plus de rechargement silencieux).</w:t>
      </w:r>
    </w:p>
    <w:p>
      <w:pPr>
        <w:pStyle w:val="ListNumber"/>
      </w:pPr>
      <w:r/>
      <w:r>
        <w:rPr>
          <w:b/>
        </w:rPr>
        <w:t>RNS PDF</w:t>
      </w:r>
      <w:r>
        <w:t xml:space="preserve"> : </w:t>
      </w:r>
      <w:r>
        <w:rPr>
          <w:rFonts w:ascii="Courier New" w:hAnsi="Courier New"/>
          <w:sz w:val="18"/>
        </w:rPr>
        <w:t>GET /api/cnps/rns/2026/pdf</w:t>
      </w:r>
      <w:r>
        <w:t xml:space="preserve"> doit retourner un PDF (bug 500 corrigé le 06/05/2026).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8. Défauts connus et corrections déployées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Réf.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22"/>
            <w:shd w:val="clear" w:color="auto" w:fill="E85D04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2422"/>
          </w:tcPr>
          <w:p>
            <w:r>
              <w:t>06/05/2026</w:t>
            </w:r>
          </w:p>
        </w:tc>
        <w:tc>
          <w:tcPr>
            <w:tcW w:type="dxa" w:w="2422"/>
          </w:tcPr>
          <w:p>
            <w:r>
              <w:t>NRH-001</w:t>
            </w:r>
          </w:p>
        </w:tc>
        <w:tc>
          <w:tcPr>
            <w:tcW w:type="dxa" w:w="2422"/>
          </w:tcPr>
          <w:p>
            <w:r>
              <w:t>RNS PDF retournait 500 — template non copié dans l'image Docker</w:t>
            </w:r>
          </w:p>
        </w:tc>
        <w:tc>
          <w:tcPr>
            <w:tcW w:type="dxa" w:w="2422"/>
          </w:tcPr>
          <w:p>
            <w:r>
              <w:t>✅ Corrigé</w:t>
            </w:r>
          </w:p>
        </w:tc>
      </w:tr>
      <w:tr>
        <w:tc>
          <w:tcPr>
            <w:tcW w:type="dxa" w:w="2422"/>
            <w:shd w:val="clear" w:color="auto" w:fill="FFF7ED"/>
          </w:tcPr>
          <w:p>
            <w:r>
              <w:t>06/05/2026</w:t>
            </w:r>
          </w:p>
        </w:tc>
        <w:tc>
          <w:tcPr>
            <w:tcW w:type="dxa" w:w="2422"/>
            <w:shd w:val="clear" w:color="auto" w:fill="FFF7ED"/>
          </w:tcPr>
          <w:p>
            <w:r>
              <w:t>NRH-002</w:t>
            </w:r>
          </w:p>
        </w:tc>
        <w:tc>
          <w:tcPr>
            <w:tcW w:type="dxa" w:w="2422"/>
            <w:shd w:val="clear" w:color="auto" w:fill="FFF7ED"/>
          </w:tcPr>
          <w:p>
            <w:r>
              <w:t>Login silencieux sans message d'erreur 401 — intercepteur Axios agressif</w:t>
            </w:r>
          </w:p>
        </w:tc>
        <w:tc>
          <w:tcPr>
            <w:tcW w:type="dxa" w:w="2422"/>
            <w:shd w:val="clear" w:color="auto" w:fill="FFF7ED"/>
          </w:tcPr>
          <w:p>
            <w:r>
              <w:t>✅ Corrigé</w:t>
            </w:r>
          </w:p>
        </w:tc>
      </w:tr>
      <w:tr>
        <w:tc>
          <w:tcPr>
            <w:tcW w:type="dxa" w:w="2422"/>
          </w:tcPr>
          <w:p>
            <w:r>
              <w:t>06/05/2026</w:t>
            </w:r>
          </w:p>
        </w:tc>
        <w:tc>
          <w:tcPr>
            <w:tcW w:type="dxa" w:w="2422"/>
          </w:tcPr>
          <w:p>
            <w:r>
              <w:t>NRH-003</w:t>
            </w:r>
          </w:p>
        </w:tc>
        <w:tc>
          <w:tcPr>
            <w:tcW w:type="dxa" w:w="2422"/>
          </w:tcPr>
          <w:p>
            <w:r>
              <w:t>must_change_password déclenché sur comptes seedés — last_login_at NULL</w:t>
            </w:r>
          </w:p>
        </w:tc>
        <w:tc>
          <w:tcPr>
            <w:tcW w:type="dxa" w:w="2422"/>
          </w:tcPr>
          <w:p>
            <w:r>
              <w:t>✅ Corrigé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9. Environnement technique pour les testeurs</w:t>
      </w:r>
    </w:p>
    <w:p>
      <w:pPr>
        <w:pStyle w:val="Heading2"/>
      </w:pPr>
      <w:r>
        <w:rPr>
          <w:color w:val="1F2937"/>
          <w:sz w:val="24"/>
        </w:rPr>
        <w:t>Outils recommandés</w:t>
      </w:r>
    </w:p>
    <w:p>
      <w:pPr>
        <w:pStyle w:val="ListBullet"/>
      </w:pPr>
      <w:r/>
      <w:r>
        <w:rPr>
          <w:b/>
        </w:rPr>
        <w:t>Navigateur</w:t>
      </w:r>
      <w:r>
        <w:t xml:space="preserve"> : Chrome ou Firefox, en </w:t>
      </w:r>
      <w:r>
        <w:rPr>
          <w:b/>
        </w:rPr>
        <w:t>mode incognito</w:t>
      </w:r>
      <w:r>
        <w:t xml:space="preserve"> (désactiver Google Translate)</w:t>
      </w:r>
    </w:p>
    <w:p>
      <w:pPr>
        <w:pStyle w:val="ListBullet"/>
      </w:pPr>
      <w:r/>
      <w:r>
        <w:rPr>
          <w:b/>
        </w:rPr>
        <w:t>Inspection réseau</w:t>
      </w:r>
      <w:r>
        <w:t xml:space="preserve"> : DevTools → onglet Network pour vérifier les appels API</w:t>
      </w:r>
    </w:p>
    <w:p>
      <w:pPr>
        <w:pStyle w:val="ListBullet"/>
      </w:pPr>
      <w:r/>
      <w:r>
        <w:rPr>
          <w:b/>
        </w:rPr>
        <w:t>API directe</w:t>
      </w:r>
      <w:r>
        <w:t xml:space="preserve"> : Swagger sur </w:t>
      </w:r>
      <w:r>
        <w:rPr>
          <w:rFonts w:ascii="Courier New" w:hAnsi="Courier New"/>
          <w:sz w:val="18"/>
        </w:rPr>
        <w:t>/api/docs</w:t>
      </w:r>
      <w:r>
        <w:t xml:space="preserve"> pour tester les endpoints sans l'UI</w:t>
      </w:r>
    </w:p>
    <w:p>
      <w:pPr>
        <w:pStyle w:val="ListBullet"/>
      </w:pPr>
      <w:r/>
      <w:r>
        <w:rPr>
          <w:b/>
        </w:rPr>
        <w:t>Outil REST</w:t>
      </w:r>
      <w:r>
        <w:t xml:space="preserve"> : Postman ou Insomnia pour les tests d'isolation multi-tenant</w:t>
      </w:r>
    </w:p>
    <w:p>
      <w:pPr>
        <w:pStyle w:val="Heading2"/>
      </w:pPr>
      <w:r>
        <w:rPr>
          <w:color w:val="1F2937"/>
          <w:sz w:val="24"/>
        </w:rPr>
        <w:t>Comment tester un endpoint API directement</w:t>
      </w:r>
    </w:p>
    <w:p>
      <w:pPr>
        <w:pStyle w:val="ListNumber"/>
      </w:pPr>
      <w:r>
        <w:t xml:space="preserve">Se connecter dans l'app → récupérer le token JWT dans DevTools → Application → localStorage → </w:t>
      </w:r>
      <w:r>
        <w:rPr>
          <w:rFonts w:ascii="Courier New" w:hAnsi="Courier New"/>
          <w:sz w:val="18"/>
        </w:rPr>
        <w:t>auth-store</w:t>
      </w:r>
      <w:r>
        <w:t xml:space="preserve"> → </w:t>
      </w:r>
      <w:r>
        <w:rPr>
          <w:rFonts w:ascii="Courier New" w:hAnsi="Courier New"/>
          <w:sz w:val="18"/>
        </w:rPr>
        <w:t>token</w:t>
      </w:r>
      <w:r/>
    </w:p>
    <w:p>
      <w:pPr>
        <w:pStyle w:val="ListNumber"/>
      </w:pPr>
      <w:r>
        <w:t>Dans Swagger (</w:t>
      </w:r>
      <w:r>
        <w:rPr>
          <w:rFonts w:ascii="Courier New" w:hAnsi="Courier New"/>
          <w:sz w:val="18"/>
        </w:rPr>
        <w:t>/api/docs</w:t>
      </w:r>
      <w:r>
        <w:t xml:space="preserve">) → bouton "Authorize" → saisir </w:t>
      </w:r>
      <w:r>
        <w:rPr>
          <w:rFonts w:ascii="Courier New" w:hAnsi="Courier New"/>
          <w:sz w:val="18"/>
        </w:rPr>
        <w:t>Bearer &lt;token&gt;</w:t>
      </w:r>
      <w:r/>
    </w:p>
    <w:p>
      <w:pPr>
        <w:pStyle w:val="ListNumber"/>
      </w:pPr>
      <w:r>
        <w:t>Tester l'endpoint souhaité</w:t>
      </w:r>
    </w:p>
    <w:p>
      <w:pPr>
        <w:pStyle w:val="Heading2"/>
      </w:pPr>
      <w:r>
        <w:rPr>
          <w:color w:val="1F2937"/>
          <w:sz w:val="24"/>
        </w:rPr>
        <w:t>Données disponibles pour les tests (SOTRA)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Donnée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Quantité</w:t>
            </w:r>
          </w:p>
        </w:tc>
      </w:tr>
      <w:tr>
        <w:tc>
          <w:tcPr>
            <w:tcW w:type="dxa" w:w="4844"/>
          </w:tcPr>
          <w:p>
            <w:r>
              <w:t>Employés actifs</w:t>
            </w:r>
          </w:p>
        </w:tc>
        <w:tc>
          <w:tcPr>
            <w:tcW w:type="dxa" w:w="4844"/>
          </w:tcPr>
          <w:p>
            <w:r>
              <w:t>80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Mois de bulletins clôturés</w:t>
            </w:r>
          </w:p>
        </w:tc>
        <w:tc>
          <w:tcPr>
            <w:tcW w:type="dxa" w:w="4844"/>
            <w:shd w:val="clear" w:color="auto" w:fill="FFF7ED"/>
          </w:tcPr>
          <w:p>
            <w:r>
              <w:t>6 (janv–juin 2025)</w:t>
            </w:r>
          </w:p>
        </w:tc>
      </w:tr>
      <w:tr>
        <w:tc>
          <w:tcPr>
            <w:tcW w:type="dxa" w:w="4844"/>
          </w:tcPr>
          <w:p>
            <w:r>
              <w:t>Bulletins générés</w:t>
            </w:r>
          </w:p>
        </w:tc>
        <w:tc>
          <w:tcPr>
            <w:tcW w:type="dxa" w:w="4844"/>
          </w:tcPr>
          <w:p>
            <w:r>
              <w:t>480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Absences</w:t>
            </w:r>
          </w:p>
        </w:tc>
        <w:tc>
          <w:tcPr>
            <w:tcW w:type="dxa" w:w="4844"/>
            <w:shd w:val="clear" w:color="auto" w:fill="FFF7ED"/>
          </w:tcPr>
          <w:p>
            <w:r>
              <w:t>3 pour employe@sotra.ci (2 approuvées, 1 en attente)</w:t>
            </w:r>
          </w:p>
        </w:tc>
      </w:tr>
      <w:tr>
        <w:tc>
          <w:tcPr>
            <w:tcW w:type="dxa" w:w="4844"/>
          </w:tcPr>
          <w:p>
            <w:r>
              <w:t>Notes de frais</w:t>
            </w:r>
          </w:p>
        </w:tc>
        <w:tc>
          <w:tcPr>
            <w:tcW w:type="dxa" w:w="4844"/>
          </w:tcPr>
          <w:p>
            <w:r>
              <w:t>3 pour employe@sotra.ci (1 approuvée, 1 soumise, 1 brouillon)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Offres de recrutement</w:t>
            </w:r>
          </w:p>
        </w:tc>
        <w:tc>
          <w:tcPr>
            <w:tcW w:type="dxa" w:w="4844"/>
            <w:shd w:val="clear" w:color="auto" w:fill="FFF7ED"/>
          </w:tcPr>
          <w:p>
            <w:r>
              <w:t>3 (ouvertes)</w:t>
            </w:r>
          </w:p>
        </w:tc>
      </w:tr>
      <w:tr>
        <w:tc>
          <w:tcPr>
            <w:tcW w:type="dxa" w:w="4844"/>
          </w:tcPr>
          <w:p>
            <w:r>
              <w:t>Formations catalogue</w:t>
            </w:r>
          </w:p>
        </w:tc>
        <w:tc>
          <w:tcPr>
            <w:tcW w:type="dxa" w:w="4844"/>
          </w:tcPr>
          <w:p>
            <w:r>
              <w:t>5 (dont 3 agréées FDFP)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10. Contact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Coordonnées</w:t>
            </w:r>
          </w:p>
        </w:tc>
      </w:tr>
      <w:tr>
        <w:tc>
          <w:tcPr>
            <w:tcW w:type="dxa" w:w="4844"/>
          </w:tcPr>
          <w:p>
            <w:r>
              <w:t>WhatsApp</w:t>
            </w:r>
          </w:p>
        </w:tc>
        <w:tc>
          <w:tcPr>
            <w:tcW w:type="dxa" w:w="4844"/>
          </w:tcPr>
          <w:p>
            <w:r>
              <w:t>+225 07 09 32 05 94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Email</w:t>
            </w:r>
          </w:p>
        </w:tc>
        <w:tc>
          <w:tcPr>
            <w:tcW w:type="dxa" w:w="4844"/>
            <w:shd w:val="clear" w:color="auto" w:fill="FFF7ED"/>
          </w:tcPr>
          <w:p>
            <w:r>
              <w:t>infos@openlabconsulting.com</w:t>
            </w:r>
          </w:p>
        </w:tc>
      </w:tr>
      <w:tr>
        <w:tc>
          <w:tcPr>
            <w:tcW w:type="dxa" w:w="4844"/>
          </w:tcPr>
          <w:p>
            <w:r>
              <w:t>Horaires</w:t>
            </w:r>
          </w:p>
        </w:tc>
        <w:tc>
          <w:tcPr>
            <w:tcW w:type="dxa" w:w="4844"/>
          </w:tcPr>
          <w:p>
            <w:r>
              <w:t>Lun–Ven 7h30–18h00 (GMT+0, Abidjan)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11. Glossaire des termes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Terme</w:t>
            </w:r>
          </w:p>
        </w:tc>
        <w:tc>
          <w:tcPr>
            <w:tcW w:type="dxa" w:w="4844"/>
            <w:shd w:val="clear" w:color="auto" w:fill="E85D04"/>
          </w:tcPr>
          <w:p>
            <w:r>
              <w:rPr>
                <w:b/>
                <w:color w:val="FFFFFF"/>
              </w:rPr>
              <w:t>Définition</w:t>
            </w:r>
          </w:p>
        </w:tc>
      </w:tr>
      <w:tr>
        <w:tc>
          <w:tcPr>
            <w:tcW w:type="dxa" w:w="4844"/>
          </w:tcPr>
          <w:p>
            <w:r>
              <w:t>SIRH</w:t>
            </w:r>
          </w:p>
        </w:tc>
        <w:tc>
          <w:tcPr>
            <w:tcW w:type="dxa" w:w="4844"/>
          </w:tcPr>
          <w:p>
            <w:r>
              <w:t>Système d'Information des Ressources Humaines — logiciel qui centralise toute la gestion RH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Multi-tenant</w:t>
            </w:r>
          </w:p>
        </w:tc>
        <w:tc>
          <w:tcPr>
            <w:tcW w:type="dxa" w:w="4844"/>
            <w:shd w:val="clear" w:color="auto" w:fill="FFF7ED"/>
          </w:tcPr>
          <w:p>
            <w:r>
              <w:t>Plusieurs entreprises (« tenants ») utilisent le même logiciel, avec des données totalement séparées</w:t>
            </w:r>
          </w:p>
        </w:tc>
      </w:tr>
      <w:tr>
        <w:tc>
          <w:tcPr>
            <w:tcW w:type="dxa" w:w="4844"/>
          </w:tcPr>
          <w:p>
            <w:r>
              <w:t>Super Admin</w:t>
            </w:r>
          </w:p>
        </w:tc>
        <w:tc>
          <w:tcPr>
            <w:tcW w:type="dxa" w:w="4844"/>
          </w:tcPr>
          <w:p>
            <w:r>
              <w:t>Administrateur de la plateforme NexusRH CI (OpenLab) — gère les entreprises clientes, n'accède pas aux données RH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Admin tenant</w:t>
            </w:r>
          </w:p>
        </w:tc>
        <w:tc>
          <w:tcPr>
            <w:tcW w:type="dxa" w:w="4844"/>
            <w:shd w:val="clear" w:color="auto" w:fill="FFF7ED"/>
          </w:tcPr>
          <w:p>
            <w:r>
              <w:t>Responsable informatique ou DRH d'une entreprise cliente — accès complet à son espace RH</w:t>
            </w:r>
          </w:p>
        </w:tc>
      </w:tr>
      <w:tr>
        <w:tc>
          <w:tcPr>
            <w:tcW w:type="dxa" w:w="4844"/>
          </w:tcPr>
          <w:p>
            <w:r>
              <w:t>CNPS</w:t>
            </w:r>
          </w:p>
        </w:tc>
        <w:tc>
          <w:tcPr>
            <w:tcW w:type="dxa" w:w="4844"/>
          </w:tcPr>
          <w:p>
            <w:r>
              <w:t>Caisse Nationale de Prévoyance Sociale — organisme ivoirien de sécurité sociale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ITS</w:t>
            </w:r>
          </w:p>
        </w:tc>
        <w:tc>
          <w:tcPr>
            <w:tcW w:type="dxa" w:w="4844"/>
            <w:shd w:val="clear" w:color="auto" w:fill="FFF7ED"/>
          </w:tcPr>
          <w:p>
            <w:r>
              <w:t>Impôt sur les Traitements et Salaires — impôt retenu à la source sur les salaires (géré par la DGI)</w:t>
            </w:r>
          </w:p>
        </w:tc>
      </w:tr>
      <w:tr>
        <w:tc>
          <w:tcPr>
            <w:tcW w:type="dxa" w:w="4844"/>
          </w:tcPr>
          <w:p>
            <w:r>
              <w:t>DISA</w:t>
            </w:r>
          </w:p>
        </w:tc>
        <w:tc>
          <w:tcPr>
            <w:tcW w:type="dxa" w:w="4844"/>
          </w:tcPr>
          <w:p>
            <w:r>
              <w:t>Déclaration Individuelle des Salaires Annuels — bilan annuel obligatoire remis à la CNPS et à la DGI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OHADA</w:t>
            </w:r>
          </w:p>
        </w:tc>
        <w:tc>
          <w:tcPr>
            <w:tcW w:type="dxa" w:w="4844"/>
            <w:shd w:val="clear" w:color="auto" w:fill="FFF7ED"/>
          </w:tcPr>
          <w:p>
            <w:r>
              <w:t>Organisation pour l'Harmonisation en Afrique du Droit des Affaires — droit commun des contrats en CI</w:t>
            </w:r>
          </w:p>
        </w:tc>
      </w:tr>
      <w:tr>
        <w:tc>
          <w:tcPr>
            <w:tcW w:type="dxa" w:w="4844"/>
          </w:tcPr>
          <w:p>
            <w:r>
              <w:t>SMIG</w:t>
            </w:r>
          </w:p>
        </w:tc>
        <w:tc>
          <w:tcPr>
            <w:tcW w:type="dxa" w:w="4844"/>
          </w:tcPr>
          <w:p>
            <w:r>
              <w:t>Salaire Minimum Interprofessionnel Garanti — 60 000 FCFA/mois en CI (2024)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FCFA</w:t>
            </w:r>
          </w:p>
        </w:tc>
        <w:tc>
          <w:tcPr>
            <w:tcW w:type="dxa" w:w="4844"/>
            <w:shd w:val="clear" w:color="auto" w:fill="FFF7ED"/>
          </w:tcPr>
          <w:p>
            <w:r>
              <w:t>Franc CFA (XOF) — devise utilisée, toujours en nombres entiers dans NexusRH CI</w:t>
            </w:r>
          </w:p>
        </w:tc>
      </w:tr>
      <w:tr>
        <w:tc>
          <w:tcPr>
            <w:tcW w:type="dxa" w:w="4844"/>
          </w:tcPr>
          <w:p>
            <w:r>
              <w:t>FDFP</w:t>
            </w:r>
          </w:p>
        </w:tc>
        <w:tc>
          <w:tcPr>
            <w:tcW w:type="dxa" w:w="4844"/>
          </w:tcPr>
          <w:p>
            <w:r>
              <w:t>Fonds de Développement de la Formation Professionnelle — organisme CI qui rembourse certaines formations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Mobile Money</w:t>
            </w:r>
          </w:p>
        </w:tc>
        <w:tc>
          <w:tcPr>
            <w:tcW w:type="dxa" w:w="4844"/>
            <w:shd w:val="clear" w:color="auto" w:fill="FFF7ED"/>
          </w:tcPr>
          <w:p>
            <w:r>
              <w:t>Paiement via téléphone mobile (Wave, MTN MoMo, Orange Money) — utilisé pour virer les salaires</w:t>
            </w:r>
          </w:p>
        </w:tc>
      </w:tr>
      <w:tr>
        <w:tc>
          <w:tcPr>
            <w:tcW w:type="dxa" w:w="4844"/>
          </w:tcPr>
          <w:p>
            <w:r>
              <w:t>JWT</w:t>
            </w:r>
          </w:p>
        </w:tc>
        <w:tc>
          <w:tcPr>
            <w:tcW w:type="dxa" w:w="4844"/>
          </w:tcPr>
          <w:p>
            <w:r>
              <w:t>Jeton d'authentification sécurisé — généré à la connexion, identifie le tenant et le rôle de l'utilisateur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e-CNPS</w:t>
            </w:r>
          </w:p>
        </w:tc>
        <w:tc>
          <w:tcPr>
            <w:tcW w:type="dxa" w:w="4844"/>
            <w:shd w:val="clear" w:color="auto" w:fill="FFF7ED"/>
          </w:tcPr>
          <w:p>
            <w:r>
              <w:t>Plateforme en ligne de la CNPS pour déposer les déclarations mensuelles</w:t>
            </w:r>
          </w:p>
        </w:tc>
      </w:tr>
      <w:tr>
        <w:tc>
          <w:tcPr>
            <w:tcW w:type="dxa" w:w="4844"/>
          </w:tcPr>
          <w:p>
            <w:r>
              <w:t>RNS</w:t>
            </w:r>
          </w:p>
        </w:tc>
        <w:tc>
          <w:tcPr>
            <w:tcW w:type="dxa" w:w="4844"/>
          </w:tcPr>
          <w:p>
            <w:r>
              <w:t>Relevé Nominatif des Salaires — formulaire officiel CNPS EN-GDAV-06 v03</w:t>
            </w:r>
          </w:p>
        </w:tc>
      </w:tr>
      <w:tr>
        <w:tc>
          <w:tcPr>
            <w:tcW w:type="dxa" w:w="4844"/>
            <w:shd w:val="clear" w:color="auto" w:fill="FFF7ED"/>
          </w:tcPr>
          <w:p>
            <w:r>
              <w:t>SSE</w:t>
            </w:r>
          </w:p>
        </w:tc>
        <w:tc>
          <w:tcPr>
            <w:tcW w:type="dxa" w:w="4844"/>
            <w:shd w:val="clear" w:color="auto" w:fill="FFF7ED"/>
          </w:tcPr>
          <w:p>
            <w:r>
              <w:t>Server-Sent Events — technologie utilisée pour l'assistant IA (réponse en streaming progressif)</w:t>
            </w:r>
          </w:p>
        </w:tc>
      </w:tr>
      <w:tr>
        <w:tc>
          <w:tcPr>
            <w:tcW w:type="dxa" w:w="4844"/>
          </w:tcPr>
          <w:p>
            <w:r>
              <w:t>Seed</w:t>
            </w:r>
          </w:p>
        </w:tc>
        <w:tc>
          <w:tcPr>
            <w:tcW w:type="dxa" w:w="4844"/>
          </w:tcPr>
          <w:p>
            <w:r>
              <w:t>Données de démonstration pré-installées en base pour que l'application soit opérationnelle dès le premier lancement</w:t>
            </w:r>
          </w:p>
        </w:tc>
      </w:tr>
    </w:tbl>
    <w:p/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12. Guide de prise en main par profil</w:t>
      </w:r>
    </w:p>
    <w:p>
      <w:pPr>
        <w:pStyle w:val="Heading2"/>
      </w:pPr>
      <w:r>
        <w:rPr>
          <w:color w:val="1F2937"/>
          <w:sz w:val="24"/>
        </w:rPr>
        <w:t>12.1 Vous êtes DRH ou Admin (admin / hr_manager)</w:t>
      </w:r>
    </w:p>
    <w:p>
      <w:r/>
      <w:r>
        <w:rPr>
          <w:b/>
        </w:rPr>
        <w:t>Première connexion :</w:t>
      </w:r>
      <w:r/>
    </w:p>
    <w:p>
      <w:pPr>
        <w:pStyle w:val="ListNumber"/>
      </w:pPr>
      <w:r>
        <w:t xml:space="preserve">Aller sur l'URL de l'application → saisir votre email et mot de passe → cliquer </w:t>
      </w:r>
      <w:r>
        <w:rPr>
          <w:b/>
        </w:rPr>
        <w:t>Se connecter</w:t>
      </w:r>
      <w:r/>
    </w:p>
    <w:p>
      <w:pPr>
        <w:pStyle w:val="ListNumber"/>
      </w:pPr>
      <w:r>
        <w:t xml:space="preserve">Vous arrivez sur votre </w:t>
      </w:r>
      <w:r>
        <w:rPr>
          <w:b/>
        </w:rPr>
        <w:t>tableau de bord</w:t>
      </w:r>
      <w:r>
        <w:t xml:space="preserve"> : KPIs en haut (effectifs, masse salariale FCFA, cotisations CNPS)</w:t>
      </w:r>
    </w:p>
    <w:p>
      <w:pPr>
        <w:pStyle w:val="ListNumber"/>
      </w:pPr>
      <w:r>
        <w:t>La barre latérale gauche donne accès à tous les modules</w:t>
      </w:r>
    </w:p>
    <w:p>
      <w:r/>
      <w:r>
        <w:rPr>
          <w:b/>
        </w:rPr>
        <w:t>Tâche courante — Préparer la paie du mois :</w:t>
      </w:r>
      <w:r/>
    </w:p>
    <w:p>
      <w:pPr>
        <w:pStyle w:val="ListNumber"/>
      </w:pPr>
      <w:r>
        <w:t xml:space="preserve">Menu </w:t>
      </w:r>
      <w:r>
        <w:rPr>
          <w:b/>
        </w:rPr>
        <w:t>Paie</w:t>
      </w:r>
      <w:r>
        <w:t xml:space="preserve"> → </w:t>
      </w:r>
      <w:r>
        <w:rPr>
          <w:b/>
        </w:rPr>
        <w:t>Périodes</w:t>
      </w:r>
      <w:r>
        <w:t xml:space="preserve"> → bouton </w:t>
      </w:r>
      <w:r>
        <w:rPr>
          <w:b/>
        </w:rPr>
        <w:t>+ Nouvelle période</w:t>
      </w:r>
      <w:r/>
    </w:p>
    <w:p>
      <w:pPr>
        <w:pStyle w:val="ListNumber"/>
      </w:pPr>
      <w:r>
        <w:t xml:space="preserve">Saisir le mois, cliquer </w:t>
      </w:r>
      <w:r>
        <w:rPr>
          <w:b/>
        </w:rPr>
        <w:t>Générer les bulletins</w:t>
      </w:r>
      <w:r/>
    </w:p>
    <w:p>
      <w:pPr>
        <w:pStyle w:val="ListNumber"/>
      </w:pPr>
      <w:r>
        <w:t>Vérifier les calculs CNPS et ITS dans la liste des bulletins</w:t>
      </w:r>
    </w:p>
    <w:p>
      <w:pPr>
        <w:pStyle w:val="ListNumber"/>
      </w:pPr>
      <w:r>
        <w:t xml:space="preserve">Bouton </w:t>
      </w:r>
      <w:r>
        <w:rPr>
          <w:b/>
        </w:rPr>
        <w:t>Clôturer la période</w:t>
      </w:r>
      <w:r>
        <w:t xml:space="preserve"> (action irréversible)</w:t>
      </w:r>
    </w:p>
    <w:p>
      <w:pPr>
        <w:pStyle w:val="ListNumber"/>
      </w:pPr>
      <w:r>
        <w:t xml:space="preserve">Menu </w:t>
      </w:r>
      <w:r>
        <w:rPr>
          <w:b/>
        </w:rPr>
        <w:t>Paie</w:t>
      </w:r>
      <w:r>
        <w:t xml:space="preserve"> → </w:t>
      </w:r>
      <w:r>
        <w:rPr>
          <w:b/>
        </w:rPr>
        <w:t>Mobile Money</w:t>
      </w:r>
      <w:r>
        <w:t xml:space="preserve"> → </w:t>
      </w:r>
      <w:r>
        <w:rPr>
          <w:b/>
        </w:rPr>
        <w:t>Créer une campagne</w:t>
      </w:r>
      <w:r>
        <w:t xml:space="preserve"> pour virer les salaires</w:t>
      </w:r>
    </w:p>
    <w:p>
      <w:r/>
      <w:r>
        <w:rPr>
          <w:b/>
        </w:rPr>
        <w:t>Tâche courante — Déclarer à la CNPS :</w:t>
      </w:r>
      <w:r/>
    </w:p>
    <w:p>
      <w:pPr>
        <w:pStyle w:val="ListNumber"/>
      </w:pPr>
      <w:r>
        <w:t xml:space="preserve">Menu </w:t>
      </w:r>
      <w:r>
        <w:rPr>
          <w:b/>
        </w:rPr>
        <w:t>CNPS</w:t>
      </w:r>
      <w:r>
        <w:t xml:space="preserve"> → </w:t>
      </w:r>
      <w:r>
        <w:rPr>
          <w:b/>
        </w:rPr>
        <w:t>Déclarations</w:t>
      </w:r>
      <w:r>
        <w:t xml:space="preserve"> → bouton </w:t>
      </w:r>
      <w:r>
        <w:rPr>
          <w:b/>
        </w:rPr>
        <w:t>Générer</w:t>
      </w:r>
      <w:r>
        <w:t xml:space="preserve"> pour le mois concerné</w:t>
      </w:r>
    </w:p>
    <w:p>
      <w:pPr>
        <w:pStyle w:val="ListNumber"/>
      </w:pPr>
      <w:r>
        <w:t xml:space="preserve">Bouton </w:t>
      </w:r>
      <w:r>
        <w:rPr>
          <w:b/>
        </w:rPr>
        <w:t>Exporter CSV</w:t>
      </w:r>
      <w:r>
        <w:t xml:space="preserve"> → déposer le fichier sur la plateforme e-CNPS avant le </w:t>
      </w:r>
      <w:r>
        <w:rPr>
          <w:b/>
        </w:rPr>
        <w:t>15 du mois</w:t>
      </w:r>
      <w:r/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12.2 Vous êtes Manager (manager)</w:t>
      </w:r>
    </w:p>
    <w:p>
      <w:r/>
      <w:r>
        <w:rPr>
          <w:b/>
        </w:rPr>
        <w:t>Ce que vous voyez :</w:t>
      </w:r>
      <w:r/>
    </w:p>
    <w:p>
      <w:pPr>
        <w:pStyle w:val="ListBullet"/>
      </w:pPr>
      <w:r>
        <w:t>Votre équipe directe uniquement (pas les autres départements)</w:t>
      </w:r>
    </w:p>
    <w:p>
      <w:pPr>
        <w:pStyle w:val="ListBullet"/>
      </w:pPr>
      <w:r>
        <w:t>Les demandes d'absence en attente de votre validation (badge rouge si en attente)</w:t>
      </w:r>
    </w:p>
    <w:p>
      <w:pPr>
        <w:pStyle w:val="ListBullet"/>
      </w:pPr>
      <w:r>
        <w:t>Les notes de frais de votre équipe à approuver</w:t>
      </w:r>
    </w:p>
    <w:p>
      <w:r/>
      <w:r>
        <w:rPr>
          <w:b/>
        </w:rPr>
        <w:t>Approuver une absence :</w:t>
      </w:r>
      <w:r/>
    </w:p>
    <w:p>
      <w:pPr>
        <w:pStyle w:val="ListNumber"/>
      </w:pPr>
      <w:r>
        <w:t xml:space="preserve">Menu </w:t>
      </w:r>
      <w:r>
        <w:rPr>
          <w:b/>
        </w:rPr>
        <w:t>Absences</w:t>
      </w:r>
      <w:r>
        <w:t xml:space="preserve"> (ou badge sur le dashboard) → cliquer sur la demande</w:t>
      </w:r>
    </w:p>
    <w:p>
      <w:pPr>
        <w:pStyle w:val="ListNumber"/>
      </w:pPr>
      <w:r>
        <w:t xml:space="preserve">Vérifier les dates → bouton </w:t>
      </w:r>
      <w:r>
        <w:rPr>
          <w:b/>
        </w:rPr>
        <w:t>Approuver</w:t>
      </w:r>
      <w:r>
        <w:t xml:space="preserve"> ou </w:t>
      </w:r>
      <w:r>
        <w:rPr>
          <w:b/>
        </w:rPr>
        <w:t>Refuser</w:t>
      </w:r>
      <w:r/>
    </w:p>
    <w:p>
      <w:pPr>
        <w:pStyle w:val="ListNumber"/>
      </w:pPr>
      <w:r>
        <w:t>L'employé reçoit une notification automatique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12.3 Vous êtes Employé (employee)</w:t>
      </w:r>
    </w:p>
    <w:p>
      <w:r/>
      <w:r>
        <w:rPr>
          <w:b/>
        </w:rPr>
        <w:t>Votre espace est `/mon-espace`</w:t>
      </w:r>
      <w:r>
        <w:t xml:space="preserve"> — vous n'avez accès à rien d'autre.</w:t>
      </w:r>
    </w:p>
    <w:p>
      <w:r/>
      <w:r>
        <w:rPr>
          <w:b/>
        </w:rPr>
        <w:t>Demander un congé :</w:t>
      </w:r>
      <w:r/>
    </w:p>
    <w:p>
      <w:pPr>
        <w:pStyle w:val="ListNumber"/>
      </w:pPr>
      <w:r>
        <w:t xml:space="preserve">Menu </w:t>
      </w:r>
      <w:r>
        <w:rPr>
          <w:b/>
        </w:rPr>
        <w:t>Mes absences</w:t>
      </w:r>
      <w:r>
        <w:t xml:space="preserve"> → bouton </w:t>
      </w:r>
      <w:r>
        <w:rPr>
          <w:b/>
        </w:rPr>
        <w:t>+ Demander une absence</w:t>
      </w:r>
      <w:r/>
    </w:p>
    <w:p>
      <w:pPr>
        <w:pStyle w:val="ListNumber"/>
      </w:pPr>
      <w:r>
        <w:t xml:space="preserve">Choisir le type (CP, maladie…), les dates, ajouter un motif → </w:t>
      </w:r>
      <w:r>
        <w:rPr>
          <w:b/>
        </w:rPr>
        <w:t>Envoyer</w:t>
      </w:r>
      <w:r/>
    </w:p>
    <w:p>
      <w:pPr>
        <w:pStyle w:val="ListNumber"/>
      </w:pPr>
      <w:r>
        <w:t xml:space="preserve">Statut : </w:t>
      </w:r>
      <w:r>
        <w:rPr>
          <w:rFonts w:ascii="Courier New" w:hAnsi="Courier New"/>
          <w:sz w:val="18"/>
        </w:rPr>
        <w:t>En attente</w:t>
      </w:r>
      <w:r>
        <w:t xml:space="preserve"> (orange) → </w:t>
      </w:r>
      <w:r>
        <w:rPr>
          <w:rFonts w:ascii="Courier New" w:hAnsi="Courier New"/>
          <w:sz w:val="18"/>
        </w:rPr>
        <w:t>Approuvé</w:t>
      </w:r>
      <w:r>
        <w:t xml:space="preserve"> (vert) ou </w:t>
      </w:r>
      <w:r>
        <w:rPr>
          <w:rFonts w:ascii="Courier New" w:hAnsi="Courier New"/>
          <w:sz w:val="18"/>
        </w:rPr>
        <w:t>Refusé</w:t>
      </w:r>
      <w:r>
        <w:t xml:space="preserve"> (rouge) après validation du manager</w:t>
      </w:r>
    </w:p>
    <w:p>
      <w:r/>
      <w:r>
        <w:rPr>
          <w:b/>
        </w:rPr>
        <w:t>Consulter son bulletin de paie :</w:t>
      </w:r>
      <w:r/>
    </w:p>
    <w:p>
      <w:pPr>
        <w:pStyle w:val="ListNumber"/>
      </w:pPr>
      <w:r>
        <w:t xml:space="preserve">Menu </w:t>
      </w:r>
      <w:r>
        <w:rPr>
          <w:b/>
        </w:rPr>
        <w:t>Mes bulletins</w:t>
      </w:r>
      <w:r>
        <w:t xml:space="preserve"> → cliquer sur le mois souhaité</w:t>
      </w:r>
    </w:p>
    <w:p>
      <w:pPr>
        <w:pStyle w:val="ListNumber"/>
      </w:pPr>
      <w:r>
        <w:t xml:space="preserve">Bouton </w:t>
      </w:r>
      <w:r>
        <w:rPr>
          <w:b/>
        </w:rPr>
        <w:t>Télécharger PDF</w:t>
      </w:r>
      <w:r>
        <w:t xml:space="preserve"> pour sauvegarder</w:t>
      </w:r>
    </w:p>
    <w:p>
      <w:r/>
      <w:r>
        <w:rPr>
          <w:b/>
        </w:rPr>
        <w:t>Soumettre une note de frais :</w:t>
      </w:r>
      <w:r/>
    </w:p>
    <w:p>
      <w:pPr>
        <w:pStyle w:val="ListNumber"/>
      </w:pPr>
      <w:r>
        <w:t xml:space="preserve">Menu </w:t>
      </w:r>
      <w:r>
        <w:rPr>
          <w:b/>
        </w:rPr>
        <w:t>Mes notes de frais</w:t>
      </w:r>
      <w:r>
        <w:t xml:space="preserve"> → </w:t>
      </w:r>
      <w:r>
        <w:rPr>
          <w:b/>
        </w:rPr>
        <w:t>+ Nouvelle note</w:t>
      </w:r>
      <w:r/>
    </w:p>
    <w:p>
      <w:pPr>
        <w:pStyle w:val="ListNumber"/>
      </w:pPr>
      <w:r>
        <w:t>Renseigner titre, date, catégorie, montant en FCFA, joindre le justificatif</w:t>
      </w:r>
    </w:p>
    <w:p>
      <w:pPr>
        <w:pStyle w:val="ListNumber"/>
      </w:pPr>
      <w:r>
        <w:t xml:space="preserve">Bouton </w:t>
      </w:r>
      <w:r>
        <w:rPr>
          <w:b/>
        </w:rPr>
        <w:t>Soumettre</w:t>
      </w:r>
      <w:r>
        <w:t xml:space="preserve"> (ou </w:t>
      </w:r>
      <w:r>
        <w:rPr>
          <w:b/>
        </w:rPr>
        <w:t>Sauvegarder brouillon</w:t>
      </w:r>
      <w:r>
        <w:t xml:space="preserve"> pour finir plus tard)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2937"/>
          <w:sz w:val="24"/>
        </w:rPr>
        <w:t>12.4 Vous êtes Super Admin OpenLab (super_admin)</w:t>
      </w:r>
    </w:p>
    <w:p>
      <w:r/>
      <w:r>
        <w:rPr>
          <w:b/>
        </w:rPr>
        <w:t>Votre portail est `/platform/dashboard`</w:t>
      </w:r>
      <w:r>
        <w:t xml:space="preserve"> — vous ne voyez aucune donnée RH des clients.</w:t>
      </w:r>
    </w:p>
    <w:p>
      <w:r/>
      <w:r>
        <w:rPr>
          <w:b/>
        </w:rPr>
        <w:t>Créer un nouveau client :</w:t>
      </w:r>
      <w:r/>
    </w:p>
    <w:p>
      <w:pPr>
        <w:pStyle w:val="ListNumber"/>
      </w:pPr>
      <w:r>
        <w:t xml:space="preserve">Menu </w:t>
      </w:r>
      <w:r>
        <w:rPr>
          <w:b/>
        </w:rPr>
        <w:t>Tenants</w:t>
      </w:r>
      <w:r>
        <w:t xml:space="preserve"> → bouton </w:t>
      </w:r>
      <w:r>
        <w:rPr>
          <w:b/>
        </w:rPr>
        <w:t>+ Créer un tenant</w:t>
      </w:r>
      <w:r/>
    </w:p>
    <w:p>
      <w:pPr>
        <w:pStyle w:val="ListNumber"/>
      </w:pPr>
      <w:r>
        <w:t>Étape 1 : nom de l'entreprise, secteur, ville CI, N° CNPS employeur</w:t>
      </w:r>
    </w:p>
    <w:p>
      <w:pPr>
        <w:pStyle w:val="ListNumber"/>
      </w:pPr>
      <w:r>
        <w:t>Étape 2 : email et nom du DRH/admin principal</w:t>
      </w:r>
    </w:p>
    <w:p>
      <w:pPr>
        <w:pStyle w:val="ListNumber"/>
      </w:pPr>
      <w:r>
        <w:t xml:space="preserve">Étape 3 : choisir les couleurs de la charte graphique → </w:t>
      </w:r>
      <w:r>
        <w:rPr>
          <w:b/>
        </w:rPr>
        <w:t>Créer</w:t>
      </w:r>
      <w:r/>
    </w:p>
    <w:p>
      <w:pPr>
        <w:pStyle w:val="ListNumber"/>
      </w:pPr>
      <w:r>
        <w:t>Un email d'invitation est envoyé au DRH avec son mot de passe temporaire (aussi affiché à l'écran)</w:t>
      </w:r>
    </w:p>
    <w:p>
      <w:r/>
      <w:r>
        <w:rPr>
          <w:b/>
        </w:rPr>
        <w:t>Suspendre un client :</w:t>
      </w:r>
      <w:r/>
    </w:p>
    <w:p>
      <w:pPr>
        <w:pStyle w:val="ListNumber"/>
      </w:pPr>
      <w:r>
        <w:t xml:space="preserve">Menu </w:t>
      </w:r>
      <w:r>
        <w:rPr>
          <w:b/>
        </w:rPr>
        <w:t>Tenants</w:t>
      </w:r>
      <w:r>
        <w:t xml:space="preserve"> → cliquer sur l'entreprise → onglet </w:t>
      </w:r>
      <w:r>
        <w:rPr>
          <w:b/>
        </w:rPr>
        <w:t>Plan</w:t>
      </w:r>
      <w:r/>
    </w:p>
    <w:p>
      <w:pPr>
        <w:pStyle w:val="ListNumber"/>
      </w:pPr>
      <w:r>
        <w:t xml:space="preserve">Bouton </w:t>
      </w:r>
      <w:r>
        <w:rPr>
          <w:b/>
        </w:rPr>
        <w:t>Suspendre</w:t>
      </w:r>
      <w:r>
        <w:t xml:space="preserve"> → confirmer → les utilisateurs de ce tenant voient un message de suspension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E85D04"/>
          <w:sz w:val="28"/>
        </w:rPr>
        <w:t>13. Cas d'usage types pour valider les calculs de paie</w:t>
      </w:r>
    </w:p>
    <w:p>
      <w:pPr>
        <w:pStyle w:val="Heading2"/>
      </w:pPr>
      <w:r>
        <w:rPr>
          <w:color w:val="1F2937"/>
          <w:sz w:val="24"/>
        </w:rPr>
        <w:t>Cas 1 — Chauffeur SOTRA (salaire bas)</w:t>
      </w:r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>Brut mensuel : 150 000 FCFA | Secteur : Transport | AT : 3 %</w:t>
        <w:br/>
        <w:t>Situation : Marié, 2 enfants</w:t>
        <w:br/>
        <w:br/>
        <w:t>Calcul attendu :</w:t>
        <w:br/>
        <w:t xml:space="preserve">  Base retraite     = min(150 000, 1 647 315) = 150 000</w:t>
        <w:br/>
        <w:t xml:space="preserve">  Base AT/PF        = min(150 000, 70 000)    = 70 000</w:t>
        <w:br/>
        <w:t xml:space="preserve">  CNPS sal.         = 150 000 × 6,3 %         = 9 450 FCFA</w:t>
        <w:br/>
        <w:t xml:space="preserve">  CNPS pat.         = 70 000 × (7,7+5+0,75+3)% + (150 000-70 000) × 7,7% = 16 350 FCFA</w:t>
        <w:br/>
        <w:t xml:space="preserve">  Abattement ITS    = 150 000 × 85 %          = 127 500</w:t>
        <w:br/>
        <w:t xml:space="preserve">  Base ITS          = 127 500 - 9 450          = 118 050</w:t>
        <w:br/>
        <w:t xml:space="preserve">  ITS brut (barème) = 75 000×0 + 43 050×1,5 % = 645 FCFA</w:t>
        <w:br/>
        <w:t xml:space="preserve">  Crédit famille    = 5 500 + 6 000            = 11 500 FCFA</w:t>
        <w:br/>
        <w:t xml:space="preserve">  ITS net           = max(0, 645 - 11 500)     = 0 FCFA</w:t>
        <w:br/>
        <w:t xml:space="preserve">  Net à payer       = 150 000 - 9 450 - 0      = 140 550 FCFA ✅ (&gt; SMIG 60 000)</w:t>
      </w:r>
    </w:p>
    <w:p>
      <w:pPr>
        <w:pStyle w:val="Heading2"/>
      </w:pPr>
      <w:r>
        <w:rPr>
          <w:color w:val="1F2937"/>
          <w:sz w:val="24"/>
        </w:rPr>
        <w:t>Cas 2 — Cadre supérieur (salaire élevé, vérification plafonds)</w:t>
      </w:r>
    </w:p>
    <w:p>
      <w:pPr>
        <w:shd w:val="clear" w:color="auto" w:fill="F3F4F6"/>
        <w:spacing w:before="40" w:after="40"/>
      </w:pPr>
      <w:r>
        <w:rPr>
          <w:rFonts w:ascii="Courier New" w:hAnsi="Courier New"/>
          <w:color w:val="1F2937"/>
          <w:sz w:val="16"/>
        </w:rPr>
        <w:t>Brut mensuel : 2 000 000 FCFA | Secteur : Services | AT : 2 %</w:t>
        <w:br/>
        <w:t>Situation : Célibataire, 0 enfant</w:t>
        <w:br/>
        <w:br/>
        <w:t>Base retraite = min(2 000 000, 1 647 315) = 1 647 315 (plafond atteint)</w:t>
        <w:br/>
        <w:t>Base AT/PF    = min(2 000 000, 70 000)    = 70 000 (plafond atteint)</w:t>
        <w:br/>
        <w:t>CNPS sal.     = 1 647 315 × 6,3 %        = 103 781 FCFA</w:t>
        <w:br/>
        <w:t>Abattement    = 2 000 000 × 85 %         = 1 700 000</w:t>
        <w:br/>
        <w:t>Base ITS      = 1 700 000 - 103 781      = 1 596 219</w:t>
        <w:br/>
        <w:t>ITS (barème)  = 75 000×0 + 165 000×1,5%+560 000×5%+796 219×10% = 109 097 FCFA</w:t>
        <w:br/>
        <w:t>Crédit        = 0 FCFA</w:t>
        <w:br/>
        <w:t>Net à payer   = 2 000 000 - 103 781 - 109 097 = 1 787 122 FCFA</w:t>
      </w:r>
    </w:p>
    <w:p>
      <w:pPr>
        <w:ind w:left="454"/>
      </w:pPr>
      <w:r>
        <w:rPr>
          <w:i/>
          <w:color w:val="6B7280"/>
        </w:rPr>
        <w:t>Ces cas doivent être reproduits dans l'interface et les résultats comparés.</w:t>
      </w:r>
    </w:p>
    <w:p>
      <w:r>
        <w:rPr>
          <w:color w:val="6B72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*NexusRH CI — SIRH SaaS Multi-Tenant · Propulsé par Claude AI (Anthropic)*</w:t>
      </w:r>
    </w:p>
    <w:p>
      <w:r>
        <w:t>*Conforme Code du Travail ivoirien &amp; CNPS 2024 · Développé par OpenLab Consulting · Abidjan*</w:t>
      </w:r>
    </w:p>
    <w:p>
      <w:r>
        <w:br w:type="page"/>
      </w:r>
    </w:p>
    <w:p>
      <w:pPr>
        <w:jc w:val="left"/>
      </w:pPr>
      <w:r>
        <w:rPr>
          <w:b/>
          <w:color w:val="1E3A5F"/>
          <w:sz w:val="40"/>
        </w:rPr>
        <w:t>Annexe — Release Notes v1.1 — 15 mai 2026</w:t>
      </w:r>
    </w:p>
    <w:p>
      <w:r>
        <w:rPr>
          <w:i/>
          <w:color w:val="64748B"/>
          <w:sz w:val="18"/>
        </w:rPr>
        <w:t>Mise à jour de la documentation tests · 15/05/2026</w:t>
      </w:r>
    </w:p>
    <w:p/>
    <w:p>
      <w:r>
        <w:rPr>
          <w:b/>
          <w:color w:val="E85D04"/>
          <w:sz w:val="30"/>
        </w:rPr>
        <w:t>Nouveaux modules de test</w:t>
      </w:r>
    </w:p>
    <w:p>
      <w:r>
        <w:rPr>
          <w:b w:val="0"/>
          <w:sz w:val="22"/>
        </w:rPr>
        <w:t>Le cahier de recettes NEXUSRH_CI_Test_Plan.xlsx passe à 19 modules · 226 scénarios (auparavant 16 modules). Les nouveautés :</w:t>
      </w:r>
    </w:p>
    <w:p>
      <w:pPr>
        <w:pStyle w:val="ListBullet"/>
      </w:pPr>
      <w:r>
        <w:rPr>
          <w:sz w:val="22"/>
        </w:rPr>
        <w:t>SOURCING_IA (SRC) — 9 cas : endpoints /jobs/:id/source et /source/compare, rate-limit, cache, devise auto, score richesse</w:t>
      </w:r>
    </w:p>
    <w:p>
      <w:pPr>
        <w:pStyle w:val="ListBullet"/>
      </w:pPr>
      <w:r>
        <w:rPr>
          <w:sz w:val="22"/>
        </w:rPr>
        <w:t>MULTI_PAYS_FILIALES (MPF) — 11 cas : activation des 11 packs, toggle has_subsidiaries, création de filiale multi-pays, rattachement employé, badge filiale, suppression bloquée si employés actifs</w:t>
      </w:r>
    </w:p>
    <w:p>
      <w:pPr>
        <w:pStyle w:val="ListBullet"/>
      </w:pPr>
      <w:r>
        <w:rPr>
          <w:sz w:val="22"/>
        </w:rPr>
        <w:t>RECRUTEMENT — 9 nouveaux cas (sourcing IA, transfert profils, drag-and-drop Kanban, comparaison Claude/Mistral, contact email, fix modal débordement)</w:t>
      </w:r>
    </w:p>
    <w:p>
      <w:pPr>
        <w:pStyle w:val="ListBullet"/>
      </w:pPr>
      <w:r>
        <w:rPr>
          <w:sz w:val="22"/>
        </w:rPr>
        <w:t>AUTH — 3 cas non-régression : seed DO UPDATE, script reset-admin-passwords.sql, script standalone admin:reset-passwords</w:t>
      </w:r>
    </w:p>
    <w:p/>
    <w:p>
      <w:r>
        <w:rPr>
          <w:b/>
          <w:color w:val="E85D04"/>
          <w:sz w:val="30"/>
        </w:rPr>
        <w:t>Régressions documentées et résolues</w:t>
      </w:r>
    </w:p>
    <w:p>
      <w:r>
        <w:rPr>
          <w:b/>
          <w:color w:val="1E3A5F"/>
          <w:sz w:val="24"/>
        </w:rPr>
        <w:t>1. Login 401 sur tous les comptes démo (résolu 2026-05-15)</w:t>
      </w:r>
    </w:p>
    <w:p>
      <w:r>
        <w:rPr>
          <w:b w:val="0"/>
          <w:sz w:val="22"/>
        </w:rPr>
        <w:t>Cause racine : le seed utilisait ON CONFLICT (email) DO NOTHING sur les INSERT users SOTRA et Cabinet Expertise CI. Quand la DB était re-seedée, les password_hash ne se rafraîchissaient pas. Conséquence : bcrypt.compare retournait false → 401 Unauthorized.</w:t>
      </w:r>
    </w:p>
    <w:p>
      <w:r>
        <w:rPr>
          <w:b/>
          <w:sz w:val="22"/>
        </w:rPr>
        <w:t>Correctif livré :</w:t>
      </w:r>
    </w:p>
    <w:p>
      <w:pPr>
        <w:pStyle w:val="ListBullet"/>
      </w:pPr>
      <w:r>
        <w:rPr>
          <w:sz w:val="22"/>
        </w:rPr>
        <w:t>seed.ts : passage à ON CONFLICT (email) DO UPDATE SET password_hash = EXCLUDED.password_hash</w:t>
      </w:r>
    </w:p>
    <w:p>
      <w:pPr>
        <w:pStyle w:val="ListBullet"/>
      </w:pPr>
      <w:r>
        <w:rPr>
          <w:sz w:val="22"/>
        </w:rPr>
        <w:t>Script standalone reset-admin-passwords.ts (pnpm run admin:reset-passwords)</w:t>
      </w:r>
    </w:p>
    <w:p>
      <w:pPr>
        <w:pStyle w:val="ListBullet"/>
      </w:pPr>
      <w:r>
        <w:rPr>
          <w:sz w:val="22"/>
        </w:rPr>
        <w:t>Script SQL prêt-à-exécuter scripts/reset-admin-passwords.sql (8 UPDATE bcrypt 12 rounds)</w:t>
      </w:r>
    </w:p>
    <w:p>
      <w:pPr>
        <w:pStyle w:val="ListBullet"/>
      </w:pPr>
      <w:r>
        <w:rPr>
          <w:sz w:val="22"/>
        </w:rPr>
        <w:t>Job K8s reset-admin-passwords-job.yaml (recovery prod sans rebuild)</w:t>
      </w:r>
    </w:p>
    <w:p>
      <w:r>
        <w:rPr>
          <w:b/>
          <w:color w:val="1E3A5F"/>
          <w:sz w:val="24"/>
        </w:rPr>
        <w:t>2. Multi-législation : seul CI affiché actif (résolu 2026-05-15)</w:t>
      </w:r>
    </w:p>
    <w:p>
      <w:r>
        <w:rPr>
          <w:b w:val="0"/>
          <w:sz w:val="22"/>
        </w:rPr>
        <w:t>Cause racine : la table platform.country_configs n'avait que 5 pays seedés (CI, SN, BF, ML, TG) dont un seul avec is_active=true (CI). L'ON CONFLICT DO NOTHING empêchait l'activation rétroactive.</w:t>
      </w:r>
    </w:p>
    <w:p>
      <w:r>
        <w:rPr>
          <w:b/>
          <w:sz w:val="22"/>
        </w:rPr>
        <w:t>Correctif livré :</w:t>
      </w:r>
    </w:p>
    <w:p>
      <w:pPr>
        <w:pStyle w:val="ListBullet"/>
      </w:pPr>
      <w:r>
        <w:rPr>
          <w:sz w:val="22"/>
        </w:rPr>
        <w:t>country_configs étendue à 11 pays : UEMOA 7 + CEMAC 2 + ECOWAS 2 (NG, GH)</w:t>
      </w:r>
    </w:p>
    <w:p>
      <w:pPr>
        <w:pStyle w:val="ListBullet"/>
      </w:pPr>
      <w:r>
        <w:rPr>
          <w:sz w:val="22"/>
        </w:rPr>
        <w:t>Tous is_active=true par défaut</w:t>
      </w:r>
    </w:p>
    <w:p>
      <w:pPr>
        <w:pStyle w:val="ListBullet"/>
      </w:pPr>
      <w:r>
        <w:rPr>
          <w:sz w:val="22"/>
        </w:rPr>
        <w:t>ON CONFLICT DO UPDATE pour refresh rétroactif</w:t>
      </w:r>
    </w:p>
    <w:p>
      <w:pPr>
        <w:pStyle w:val="ListBullet"/>
      </w:pPr>
      <w:r>
        <w:rPr>
          <w:sz w:val="22"/>
        </w:rPr>
        <w:t>UI : drapeaux, badges zone (UEMOA/CEMAC/ECOWAS), compteurs régionaux</w:t>
      </w:r>
    </w:p>
    <w:p>
      <w:r>
        <w:rPr>
          <w:b/>
          <w:color w:val="1E3A5F"/>
          <w:sz w:val="24"/>
        </w:rPr>
        <w:t>3. Modal 'Nouvelle offre' déborde (résolu 2026-05-15)</w:t>
      </w:r>
    </w:p>
    <w:p>
      <w:r>
        <w:rPr>
          <w:b w:val="0"/>
          <w:sz w:val="22"/>
        </w:rPr>
        <w:t>Refonte en flex-column : header sticky + body scrollable + footer sticky. Boutons Annuler/Créer toujours visibles, plus de débordement vertical.</w:t>
      </w:r>
    </w:p>
    <w:p/>
    <w:p>
      <w:r>
        <w:rPr>
          <w:b/>
          <w:color w:val="E85D04"/>
          <w:sz w:val="30"/>
        </w:rPr>
        <w:t>Conformité OWASP 2025 — Top 10</w:t>
      </w:r>
    </w:p>
    <w:p>
      <w:r>
        <w:rPr>
          <w:b w:val="0"/>
          <w:sz w:val="22"/>
        </w:rPr>
        <w:t>Audit complet documenté dans nexusrh_ci/docs/OWASP-2025-AUDIT.md. Tous les correctifs livrés respectent :</w:t>
      </w:r>
    </w:p>
    <w:p>
      <w:pPr>
        <w:pStyle w:val="ListBullet"/>
      </w:pPr>
      <w:r>
        <w:rPr>
          <w:sz w:val="22"/>
        </w:rPr>
        <w:t>A01 Broken Access Control — RBAC API + frontend (guards + sidebar)</w:t>
      </w:r>
    </w:p>
    <w:p>
      <w:pPr>
        <w:pStyle w:val="ListBullet"/>
      </w:pPr>
      <w:r>
        <w:rPr>
          <w:sz w:val="22"/>
        </w:rPr>
        <w:t>A02 Cryptographic Failures — bcrypt 12 rounds, JWT secret 32+ chars</w:t>
      </w:r>
    </w:p>
    <w:p>
      <w:pPr>
        <w:pStyle w:val="ListBullet"/>
      </w:pPr>
      <w:r>
        <w:rPr>
          <w:sz w:val="22"/>
        </w:rPr>
        <w:t>A03 Injection — paramètres SQL liés ($1, $2…) sur 100% des handlers</w:t>
      </w:r>
    </w:p>
    <w:p>
      <w:pPr>
        <w:pStyle w:val="ListBullet"/>
      </w:pPr>
      <w:r>
        <w:rPr>
          <w:sz w:val="22"/>
        </w:rPr>
        <w:t>A04 Insecure Design — findTenantAndUser itère tous les candidats avec bcrypt.compare</w:t>
      </w:r>
    </w:p>
    <w:p>
      <w:pPr>
        <w:pStyle w:val="ListBullet"/>
      </w:pPr>
      <w:r>
        <w:rPr>
          <w:sz w:val="22"/>
        </w:rPr>
        <w:t>A05 Security Misconfiguration — rate-limit /auth/login (10/5min), /jobs/:id/source (6/min)</w:t>
      </w:r>
    </w:p>
    <w:p>
      <w:pPr>
        <w:pStyle w:val="ListBullet"/>
      </w:pPr>
      <w:r>
        <w:rPr>
          <w:sz w:val="22"/>
        </w:rPr>
        <w:t>A09 Security Logging — audit_log pour recruitment.analyze_cv, source_profiles, sourced_transfer</w:t>
      </w:r>
    </w:p>
    <w:p>
      <w:pPr>
        <w:pStyle w:val="ListBullet"/>
      </w:pPr>
      <w:r>
        <w:rPr>
          <w:sz w:val="22"/>
        </w:rPr>
        <w:t>A10 SSRF — pattern isUserActionable pour ne pas leaker les erreurs internes</w:t>
      </w:r>
    </w:p>
    <w:p/>
    <w:p>
      <w:r>
        <w:rPr>
          <w:b/>
          <w:color w:val="E85D04"/>
          <w:sz w:val="30"/>
        </w:rPr>
        <w:t>Plan de test post-déploiement</w:t>
      </w:r>
    </w:p>
    <w:p>
      <w:pPr>
        <w:pStyle w:val="ListBullet"/>
      </w:pPr>
      <w:r>
        <w:rPr>
          <w:sz w:val="22"/>
        </w:rPr>
        <w:t>Login admin@sotra.ci / Admin1234! → /dashboard (test régression auth)</w:t>
      </w:r>
    </w:p>
    <w:p>
      <w:pPr>
        <w:pStyle w:val="ListBullet"/>
      </w:pPr>
      <w:r>
        <w:rPr>
          <w:sz w:val="22"/>
        </w:rPr>
        <w:t>Recrutement → Sourcing IA → sélectionner 'Chauffeur Bus Senior' → 8 profils visibles</w:t>
      </w:r>
    </w:p>
    <w:p>
      <w:pPr>
        <w:pStyle w:val="ListBullet"/>
      </w:pPr>
      <w:r>
        <w:rPr>
          <w:sz w:val="22"/>
        </w:rPr>
        <w:t>Carte profil → 'Transférer' → onglet Pipeline → vérifier drag-and-drop fonctionnel</w:t>
      </w:r>
    </w:p>
    <w:p>
      <w:pPr>
        <w:pStyle w:val="ListBullet"/>
      </w:pPr>
      <w:r>
        <w:rPr>
          <w:sz w:val="22"/>
        </w:rPr>
        <w:t>Bouton 'Tout transférer (N)' → tous les profils dans le Kanban</w:t>
      </w:r>
    </w:p>
    <w:p>
      <w:pPr>
        <w:pStyle w:val="ListBullet"/>
      </w:pPr>
      <w:r>
        <w:rPr>
          <w:sz w:val="22"/>
        </w:rPr>
        <w:t>Super Admin → Multi-législatif → 11 pays affichés, tous Actif</w:t>
      </w:r>
    </w:p>
    <w:p>
      <w:pPr>
        <w:pStyle w:val="ListBullet"/>
      </w:pPr>
      <w:r>
        <w:rPr>
          <w:sz w:val="22"/>
        </w:rPr>
        <w:t>Settings → Entités juridiques → créer filiale 'SOTRA Dakar' avec pays SEN, pack sn_2024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