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2232000" cy="1488000"/>
            <wp:docPr id="1" name="Picture 1"/>
            <wp:cNvGraphicFramePr>
              <a:graphicFrameLocks noChangeAspect="1"/>
            </wp:cNvGraphicFramePr>
            <a:graphic>
              <a:graphicData uri="http://schemas.openxmlformats.org/drawingml/2006/picture">
                <pic:pic>
                  <pic:nvPicPr>
                    <pic:cNvPr id="0" name="OPENLAB.png"/>
                    <pic:cNvPicPr/>
                  </pic:nvPicPr>
                  <pic:blipFill>
                    <a:blip r:embed="rId9"/>
                    <a:stretch>
                      <a:fillRect/>
                    </a:stretch>
                  </pic:blipFill>
                  <pic:spPr>
                    <a:xfrm>
                      <a:off x="0" y="0"/>
                      <a:ext cx="2232000" cy="148800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9518"/>
      </w:tblGrid>
      <w:tr>
        <w:tc>
          <w:tcPr>
            <w:tcW w:type="dxa" w:w="9071"/>
            <w:shd w:val="clear" w:color="auto" w:fill="6F4E37"/>
          </w:tcPr>
          <w:p>
            <w:pPr>
              <w:jc w:val="center"/>
            </w:pPr>
            <w:r>
              <w:rPr>
                <w:b/>
                <w:color w:val="FFFFFF"/>
                <w:sz w:val="60"/>
              </w:rPr>
              <w:t>OpenCacao-8B</w:t>
            </w:r>
          </w:p>
          <w:p>
            <w:pPr>
              <w:jc w:val="center"/>
            </w:pPr>
            <w:r>
              <w:rPr>
                <w:color w:val="F0E8DF"/>
                <w:sz w:val="23"/>
              </w:rPr>
              <w:t>Assistant de conseil agronomique souverain pour la filière cacao ivoirienne</w:t>
            </w:r>
          </w:p>
          <w:p>
            <w:pPr>
              <w:spacing w:after="40"/>
            </w:pPr>
          </w:p>
        </w:tc>
      </w:tr>
    </w:tbl>
    <w:p>
      <w:pPr>
        <w:spacing w:after="320"/>
      </w:pPr>
    </w:p>
    <w:p>
      <w:pPr>
        <w:jc w:val="center"/>
      </w:pPr>
      <w:r>
        <w:rPr>
          <w:b/>
          <w:color w:val="2E7D32"/>
          <w:sz w:val="30"/>
        </w:rPr>
        <w:t>Dossier de référence — du corpus à l'entraînement</w:t>
      </w:r>
    </w:p>
    <w:p>
      <w:pPr>
        <w:jc w:val="center"/>
      </w:pPr>
      <w:r>
        <w:rPr>
          <w:color w:val="707070"/>
          <w:sz w:val="21"/>
        </w:rPr>
        <w:t>OpenLab Consulting   ·   Waopron Coulibaly</w:t>
        <w:br/>
        <w:t>Démonstration technique du livre blanc « IA souveraine pour la Côte d'Ivoire »</w:t>
        <w:br/>
        <w:t>Version 1.0   ·   16 juin 2026</w:t>
      </w:r>
    </w:p>
    <w:p>
      <w:r>
        <w:br w:type="page"/>
      </w:r>
    </w:p>
    <w:p>
      <w:pPr>
        <w:pStyle w:val="Heading1"/>
      </w:pPr>
      <w:r>
        <w:rPr>
          <w:color w:val="6F4E37"/>
        </w:rPr>
        <w:t>Sommaire</w:t>
      </w:r>
    </w:p>
    <w:p>
      <w:r>
        <w:fldChar w:fldCharType="begin"/>
        <w:instrText xml:space="preserve">TOC \o "1-3" \h \z \u</w:instrText>
        <w:fldChar w:fldCharType="separate"/>
        <w:t>Table des matières — Ctrl+clic ici puis « Mettre à jour les champs » (F9).</w:t>
        <w:fldChar w:fldCharType="end"/>
      </w:r>
    </w:p>
    <w:p>
      <w:r>
        <w:br w:type="page"/>
      </w:r>
    </w:p>
    <w:p>
      <w:pPr>
        <w:pStyle w:val="Heading1"/>
      </w:pPr>
      <w:r>
        <w:rPr>
          <w:rFonts w:ascii="Segoe UI Semibold" w:hAnsi="Segoe UI Semibold"/>
          <w:color w:val="6F4E37"/>
        </w:rPr>
        <w:t>1.  Présentation du projet</w:t>
      </w:r>
    </w:p>
    <w:p>
      <w:pPr>
        <w:pStyle w:val="Heading2"/>
      </w:pPr>
      <w:r>
        <w:rPr>
          <w:rFonts w:ascii="Segoe UI Semibold" w:hAnsi="Segoe UI Semibold"/>
          <w:color w:val="2E7D32"/>
        </w:rPr>
        <w:t>1.1  Qu'est-ce qu'OpenCacao-8B ?</w:t>
      </w:r>
    </w:p>
    <w:p>
      <w:pPr>
        <w:spacing w:after="120"/>
      </w:pPr>
      <w:r>
        <w:rPr>
          <w:i w:val="0"/>
          <w:color w:val="33373B"/>
          <w:sz w:val="21"/>
        </w:rPr>
        <w:t>OpenCacao-8B est un assistant de conseil agronomique destiné aux producteurs de cacao de Côte d'Ivoire. Il s'appuie sur un grand modèle de langue open-source (Ministral 3 8B Instruct) affiné par fine-tuning LoRA sur un corpus issu des documents officiels de la filière cacao ivoirienne, et servi via une API. Il répond en français à des questions de terrain (maladies, récolte, post-récolte, entretien des plantations, pépinière, fertilisation) en citant ses sources et en orientant systématiquement vers l'encadrement officiel quand c'est nécessaire.</w:t>
      </w:r>
    </w:p>
    <w:p>
      <w:pPr>
        <w:spacing w:after="120"/>
      </w:pPr>
      <w:r>
        <w:rPr>
          <w:i w:val="0"/>
          <w:color w:val="33373B"/>
          <w:sz w:val="21"/>
        </w:rPr>
        <w:t>Le projet est une démonstration technique — et non un produit commercial. Il matérialise la thèse d'une équipe ivoirienne capable de produire, avec des moyens modestes, une intelligence artificielle souveraine et utile.</w:t>
      </w:r>
    </w:p>
    <w:p>
      <w:pPr>
        <w:pStyle w:val="Heading2"/>
      </w:pPr>
      <w:r>
        <w:rPr>
          <w:rFonts w:ascii="Segoe UI Semibold" w:hAnsi="Segoe UI Semibold"/>
          <w:color w:val="2E7D32"/>
        </w:rPr>
        <w:t>1.2  Le contexte : un livre blanc, une démonstration</w:t>
      </w:r>
    </w:p>
    <w:p>
      <w:pPr>
        <w:spacing w:after="120"/>
      </w:pPr>
      <w:r>
        <w:rPr>
          <w:i w:val="0"/>
          <w:color w:val="33373B"/>
          <w:sz w:val="21"/>
        </w:rPr>
        <w:t>OpenCacao accompagne le livre blanc « IA souveraine pour la Côte d'Ivoire » (Waopron Coulibaly, OpenLab Consulting, 2026) en tant que démonstrateur du chantier « Le conseil agronomique pour tous les producteurs ». Le public visé pour la démonstration : Ministère de la Transition Numérique, Conseil du Café-Cacao, ANADER, CNRA et acteurs de la filière.</w:t>
      </w:r>
    </w:p>
    <w:p>
      <w:pPr>
        <w:pStyle w:val="Heading2"/>
      </w:pPr>
      <w:r>
        <w:rPr>
          <w:rFonts w:ascii="Segoe UI Semibold" w:hAnsi="Segoe UI Semibold"/>
          <w:color w:val="2E7D32"/>
        </w:rPr>
        <w:t>1.3  Les cinq principes non négociables</w:t>
      </w:r>
    </w:p>
    <w:p>
      <w:pPr>
        <w:pStyle w:val="ListBullet"/>
      </w:pPr>
      <w:r>
        <w:rPr>
          <w:b/>
          <w:color w:val="33373B"/>
          <w:sz w:val="21"/>
        </w:rPr>
        <w:t xml:space="preserve">Souveraineté — </w:t>
      </w:r>
      <w:r>
        <w:rPr>
          <w:color w:val="33373B"/>
          <w:sz w:val="21"/>
        </w:rPr>
        <w:t>pipeline entièrement local, aucune dépendance à un service propriétaire externe en production.</w:t>
      </w:r>
    </w:p>
    <w:p>
      <w:pPr>
        <w:pStyle w:val="ListBullet"/>
      </w:pPr>
      <w:r>
        <w:rPr>
          <w:b/>
          <w:color w:val="33373B"/>
          <w:sz w:val="21"/>
        </w:rPr>
        <w:t xml:space="preserve">Vérité — </w:t>
      </w:r>
      <w:r>
        <w:rPr>
          <w:color w:val="33373B"/>
          <w:sz w:val="21"/>
        </w:rPr>
        <w:t>pas de chiffres d'impact non validés ; sources citées systématiquement.</w:t>
      </w:r>
    </w:p>
    <w:p>
      <w:pPr>
        <w:pStyle w:val="ListBullet"/>
      </w:pPr>
      <w:r>
        <w:rPr>
          <w:b/>
          <w:color w:val="33373B"/>
          <w:sz w:val="21"/>
        </w:rPr>
        <w:t xml:space="preserve">Reproductibilité — </w:t>
      </w:r>
      <w:r>
        <w:rPr>
          <w:color w:val="33373B"/>
          <w:sz w:val="21"/>
        </w:rPr>
        <w:t>conteneurisation, versions épinglées, documentation exhaustive.</w:t>
      </w:r>
    </w:p>
    <w:p>
      <w:pPr>
        <w:pStyle w:val="ListBullet"/>
      </w:pPr>
      <w:r>
        <w:rPr>
          <w:b/>
          <w:color w:val="33373B"/>
          <w:sz w:val="21"/>
        </w:rPr>
        <w:t xml:space="preserve">Modestie — </w:t>
      </w:r>
      <w:r>
        <w:rPr>
          <w:color w:val="33373B"/>
          <w:sz w:val="21"/>
        </w:rPr>
        <w:t>les limites d'un 8B affiné sur petit corpus sont assumées.</w:t>
      </w:r>
    </w:p>
    <w:p>
      <w:pPr>
        <w:pStyle w:val="ListBullet"/>
      </w:pPr>
      <w:r>
        <w:rPr>
          <w:b/>
          <w:color w:val="33373B"/>
          <w:sz w:val="21"/>
        </w:rPr>
        <w:t xml:space="preserve">Garde-fous métier — </w:t>
      </w:r>
      <w:r>
        <w:rPr>
          <w:color w:val="33373B"/>
          <w:sz w:val="21"/>
        </w:rPr>
        <w:t>refus systématique des dosages phytosanitaires, redirection vers l'ANADER.</w:t>
      </w:r>
    </w:p>
    <w:p>
      <w:pPr>
        <w:shd w:val="clear" w:color="auto" w:fill="F3EFE9"/>
        <w:pBdr>
          <w:left w:val="single" w:sz="18" w:space="10" w:color="6F4E37"/>
        </w:pBdr>
        <w:spacing w:before="120" w:after="160"/>
        <w:ind w:left="120" w:right="120"/>
      </w:pPr>
      <w:r>
        <w:rPr>
          <w:b/>
          <w:color w:val="33373B"/>
          <w:sz w:val="21"/>
        </w:rPr>
        <w:t xml:space="preserve">Disclaimer impératif.  </w:t>
      </w:r>
      <w:r>
        <w:rPr>
          <w:color w:val="33373B"/>
          <w:sz w:val="21"/>
        </w:rPr>
        <w:t>OpenCacao est un outil d'aide à la décision. Il ne remplace ni l'agronome, ni l'encadrement de terrain de l'ANADER, ni les recommandations officielles du Conseil du Café-Cacao. Cette mention figure dans chaque réponse du modèle.</w:t>
      </w:r>
    </w:p>
    <w:p>
      <w:pPr>
        <w:pStyle w:val="Heading2"/>
      </w:pPr>
      <w:r>
        <w:rPr>
          <w:rFonts w:ascii="Segoe UI Semibold" w:hAnsi="Segoe UI Semibold"/>
          <w:color w:val="2E7D32"/>
        </w:rPr>
        <w:t>1.4  Du « 7B » au « 8B » : la migration vers Ministral 3</w:t>
      </w:r>
    </w:p>
    <w:p>
      <w:pPr>
        <w:spacing w:after="120"/>
      </w:pPr>
      <w:r>
        <w:rPr>
          <w:i w:val="0"/>
          <w:color w:val="33373B"/>
          <w:sz w:val="21"/>
        </w:rPr>
        <w:t>Le projet a d'abord été conçu autour de Mistral 7B Instruct v0.3, d'où le nom initial « OpenCacao-7B ». Il a depuis migré vers Ministral 3 8B Instruct (mistralai/Ministral-3-8B-Instruct-2512, décembre 2025), le modèle ouvert souverain le plus récent de Mistral — d'où le nom actuel OpenCacao-8B. Cette migration a imposé un stack logiciel récent et quelques adaptations détaillées plus loin (modèle multimodal, format FP8/BF16).</w:t>
      </w:r>
    </w:p>
    <w:p>
      <w:pPr>
        <w:pStyle w:val="Heading1"/>
      </w:pPr>
      <w:r>
        <w:rPr>
          <w:rFonts w:ascii="Segoe UI Semibold" w:hAnsi="Segoe UI Semibold"/>
          <w:color w:val="6F4E37"/>
        </w:rPr>
        <w:t>2.  Architecture et stack technique</w:t>
      </w:r>
    </w:p>
    <w:p>
      <w:pPr>
        <w:pStyle w:val="Heading2"/>
      </w:pPr>
      <w:r>
        <w:rPr>
          <w:rFonts w:ascii="Segoe UI Semibold" w:hAnsi="Segoe UI Semibold"/>
          <w:color w:val="2E7D32"/>
        </w:rPr>
        <w:t>2.1  Vue d'ensemble</w:t>
      </w:r>
    </w:p>
    <w:p>
      <w:pPr>
        <w:spacing w:after="120"/>
      </w:pPr>
      <w:r>
        <w:rPr>
          <w:i w:val="0"/>
          <w:color w:val="33373B"/>
          <w:sz w:val="21"/>
        </w:rPr>
        <w:t>Le service repose sur trois conteneurs principaux plus un cache Redis, en couches strictes :</w:t>
      </w:r>
    </w:p>
    <w:p>
      <w:pPr>
        <w:pStyle w:val="ListBullet"/>
      </w:pPr>
      <w:r>
        <w:rPr>
          <w:b/>
          <w:color w:val="33373B"/>
          <w:sz w:val="21"/>
        </w:rPr>
        <w:t xml:space="preserve">api/ — </w:t>
      </w:r>
      <w:r>
        <w:rPr>
          <w:color w:val="33373B"/>
          <w:sz w:val="21"/>
        </w:rPr>
        <w:t>API FastAPI publique (architecture hexagonale). Aucune logique métier dans les routers : garde-fous, cache, post-traitement passent par des services dédiés.</w:t>
      </w:r>
    </w:p>
    <w:p>
      <w:pPr>
        <w:pStyle w:val="ListBullet"/>
      </w:pPr>
      <w:r>
        <w:rPr>
          <w:b/>
          <w:color w:val="33373B"/>
          <w:sz w:val="21"/>
        </w:rPr>
        <w:t xml:space="preserve">inference/ — </w:t>
      </w:r>
      <w:r>
        <w:rPr>
          <w:color w:val="33373B"/>
          <w:sz w:val="21"/>
        </w:rPr>
        <w:t>serveur d'inférence vLLM (GPU) ou llama-cpp (CPU). Jamais exposé publiquement : l'API le consomme en interne pour appliquer garde-fous et journalisation.</w:t>
      </w:r>
    </w:p>
    <w:p>
      <w:pPr>
        <w:pStyle w:val="ListBullet"/>
      </w:pPr>
      <w:r>
        <w:rPr>
          <w:b/>
          <w:color w:val="33373B"/>
          <w:sz w:val="21"/>
        </w:rPr>
        <w:t xml:space="preserve">training/ — </w:t>
      </w:r>
      <w:r>
        <w:rPr>
          <w:color w:val="33373B"/>
          <w:sz w:val="21"/>
        </w:rPr>
        <w:t>pipeline ponctuel sur GPU loué : corpus → LoRA → fusion → export GGUF.</w:t>
      </w:r>
    </w:p>
    <w:p>
      <w:pPr>
        <w:pStyle w:val="ListBullet"/>
      </w:pPr>
      <w:r>
        <w:rPr>
          <w:b/>
          <w:color w:val="33373B"/>
          <w:sz w:val="21"/>
        </w:rPr>
        <w:t xml:space="preserve">redis — </w:t>
      </w:r>
      <w:r>
        <w:rPr>
          <w:color w:val="33373B"/>
          <w:sz w:val="21"/>
        </w:rPr>
        <w:t>cache des réponses et limitation de débit (20 req/min/IP par défaut).</w:t>
      </w:r>
    </w:p>
    <w:p>
      <w:pPr>
        <w:shd w:val="clear" w:color="auto" w:fill="EAF3EA"/>
        <w:pBdr>
          <w:left w:val="single" w:sz="18" w:space="10" w:color="2E7D32"/>
        </w:pBdr>
        <w:spacing w:before="120" w:after="160"/>
        <w:ind w:left="120" w:right="120"/>
      </w:pPr>
      <w:r>
        <w:rPr>
          <w:b/>
          <w:color w:val="33373B"/>
          <w:sz w:val="21"/>
        </w:rPr>
        <w:t xml:space="preserve">Flux d'une requête.  </w:t>
      </w:r>
      <w:r>
        <w:rPr>
          <w:color w:val="33373B"/>
          <w:sz w:val="21"/>
        </w:rPr>
        <w:t>client → api (garde-fous, cache) → inférence interne → réponse enrichie de ses sources et du disclaimer ANADER.</w:t>
      </w:r>
    </w:p>
    <w:p>
      <w:pPr>
        <w:pStyle w:val="Heading2"/>
      </w:pPr>
      <w:r>
        <w:rPr>
          <w:rFonts w:ascii="Segoe UI Semibold" w:hAnsi="Segoe UI Semibold"/>
          <w:color w:val="2E7D32"/>
        </w:rPr>
        <w:t>2.2  Stack épinglé</w:t>
      </w:r>
    </w:p>
    <w:tbl>
      <w:tblPr>
        <w:tblStyle w:val="TableGrid"/>
        <w:tblW w:type="auto" w:w="0"/>
        <w:jc w:val="center"/>
        <w:tblLook w:firstColumn="1" w:firstRow="1" w:lastColumn="0" w:lastRow="0" w:noHBand="0" w:noVBand="1" w:val="04A0"/>
      </w:tblPr>
      <w:tblGrid>
        <w:gridCol w:w="3173"/>
        <w:gridCol w:w="3173"/>
        <w:gridCol w:w="3173"/>
      </w:tblGrid>
      <w:tr>
        <w:tc>
          <w:tcPr>
            <w:tcW w:type="dxa" w:w="2551"/>
            <w:shd w:val="clear" w:color="auto" w:fill="6F4E37"/>
          </w:tcPr>
          <w:p>
            <w:pPr>
              <w:jc w:val="left"/>
            </w:pPr>
            <w:r>
              <w:rPr>
                <w:b/>
                <w:color w:val="FFFFFF"/>
                <w:sz w:val="20"/>
              </w:rPr>
              <w:t>Composant</w:t>
            </w:r>
          </w:p>
        </w:tc>
        <w:tc>
          <w:tcPr>
            <w:tcW w:type="dxa" w:w="1984"/>
            <w:shd w:val="clear" w:color="auto" w:fill="6F4E37"/>
          </w:tcPr>
          <w:p>
            <w:pPr>
              <w:jc w:val="left"/>
            </w:pPr>
            <w:r>
              <w:rPr>
                <w:b/>
                <w:color w:val="FFFFFF"/>
                <w:sz w:val="20"/>
              </w:rPr>
              <w:t>Version</w:t>
            </w:r>
          </w:p>
        </w:tc>
        <w:tc>
          <w:tcPr>
            <w:tcW w:type="dxa" w:w="4535"/>
            <w:shd w:val="clear" w:color="auto" w:fill="6F4E37"/>
          </w:tcPr>
          <w:p>
            <w:pPr>
              <w:jc w:val="left"/>
            </w:pPr>
            <w:r>
              <w:rPr>
                <w:b/>
                <w:color w:val="FFFFFF"/>
                <w:sz w:val="20"/>
              </w:rPr>
              <w:t>Rôle</w:t>
            </w:r>
          </w:p>
        </w:tc>
      </w:tr>
      <w:tr>
        <w:tc>
          <w:tcPr>
            <w:tcW w:type="dxa" w:w="2551"/>
          </w:tcPr>
          <w:p>
            <w:r>
              <w:rPr>
                <w:color w:val="33373B"/>
                <w:sz w:val="19"/>
              </w:rPr>
              <w:t>Python</w:t>
            </w:r>
          </w:p>
        </w:tc>
        <w:tc>
          <w:tcPr>
            <w:tcW w:type="dxa" w:w="1984"/>
          </w:tcPr>
          <w:p>
            <w:r>
              <w:rPr>
                <w:color w:val="33373B"/>
                <w:sz w:val="19"/>
              </w:rPr>
              <w:t>3.11+</w:t>
            </w:r>
          </w:p>
        </w:tc>
        <w:tc>
          <w:tcPr>
            <w:tcW w:type="dxa" w:w="4535"/>
          </w:tcPr>
          <w:p>
            <w:r>
              <w:rPr>
                <w:color w:val="33373B"/>
                <w:sz w:val="19"/>
              </w:rPr>
              <w:t>Runtime</w:t>
            </w:r>
          </w:p>
        </w:tc>
      </w:tr>
      <w:tr>
        <w:tc>
          <w:tcPr>
            <w:tcW w:type="dxa" w:w="2551"/>
          </w:tcPr>
          <w:p>
            <w:r>
              <w:rPr>
                <w:color w:val="33373B"/>
                <w:sz w:val="19"/>
              </w:rPr>
              <w:t>PyTorch</w:t>
            </w:r>
          </w:p>
        </w:tc>
        <w:tc>
          <w:tcPr>
            <w:tcW w:type="dxa" w:w="1984"/>
          </w:tcPr>
          <w:p>
            <w:r>
              <w:rPr>
                <w:color w:val="33373B"/>
                <w:sz w:val="19"/>
              </w:rPr>
              <w:t>≥ 2.5</w:t>
            </w:r>
          </w:p>
        </w:tc>
        <w:tc>
          <w:tcPr>
            <w:tcW w:type="dxa" w:w="4535"/>
          </w:tcPr>
          <w:p>
            <w:r>
              <w:rPr>
                <w:color w:val="33373B"/>
                <w:sz w:val="19"/>
              </w:rPr>
              <w:t>Tenseurs et entraînement</w:t>
            </w:r>
          </w:p>
        </w:tc>
      </w:tr>
      <w:tr>
        <w:tc>
          <w:tcPr>
            <w:tcW w:type="dxa" w:w="2551"/>
          </w:tcPr>
          <w:p>
            <w:r>
              <w:rPr>
                <w:color w:val="33373B"/>
                <w:sz w:val="19"/>
              </w:rPr>
              <w:t>Transformers</w:t>
            </w:r>
          </w:p>
        </w:tc>
        <w:tc>
          <w:tcPr>
            <w:tcW w:type="dxa" w:w="1984"/>
          </w:tcPr>
          <w:p>
            <w:r>
              <w:rPr>
                <w:color w:val="33373B"/>
                <w:sz w:val="19"/>
              </w:rPr>
              <w:t>≥ 5.12</w:t>
            </w:r>
          </w:p>
        </w:tc>
        <w:tc>
          <w:tcPr>
            <w:tcW w:type="dxa" w:w="4535"/>
          </w:tcPr>
          <w:p>
            <w:r>
              <w:rPr>
                <w:color w:val="33373B"/>
                <w:sz w:val="19"/>
              </w:rPr>
              <w:t>Chargement du modèle (support mistral3)</w:t>
            </w:r>
          </w:p>
        </w:tc>
      </w:tr>
      <w:tr>
        <w:tc>
          <w:tcPr>
            <w:tcW w:type="dxa" w:w="2551"/>
          </w:tcPr>
          <w:p>
            <w:r>
              <w:rPr>
                <w:color w:val="33373B"/>
                <w:sz w:val="19"/>
              </w:rPr>
              <w:t>PEFT</w:t>
            </w:r>
          </w:p>
        </w:tc>
        <w:tc>
          <w:tcPr>
            <w:tcW w:type="dxa" w:w="1984"/>
          </w:tcPr>
          <w:p>
            <w:r>
              <w:rPr>
                <w:color w:val="33373B"/>
                <w:sz w:val="19"/>
              </w:rPr>
              <w:t>≥ 0.13</w:t>
            </w:r>
          </w:p>
        </w:tc>
        <w:tc>
          <w:tcPr>
            <w:tcW w:type="dxa" w:w="4535"/>
          </w:tcPr>
          <w:p>
            <w:r>
              <w:rPr>
                <w:color w:val="33373B"/>
                <w:sz w:val="19"/>
              </w:rPr>
              <w:t>LoRA</w:t>
            </w:r>
          </w:p>
        </w:tc>
      </w:tr>
      <w:tr>
        <w:tc>
          <w:tcPr>
            <w:tcW w:type="dxa" w:w="2551"/>
          </w:tcPr>
          <w:p>
            <w:r>
              <w:rPr>
                <w:color w:val="33373B"/>
                <w:sz w:val="19"/>
              </w:rPr>
              <w:t>bitsandbytes</w:t>
            </w:r>
          </w:p>
        </w:tc>
        <w:tc>
          <w:tcPr>
            <w:tcW w:type="dxa" w:w="1984"/>
          </w:tcPr>
          <w:p>
            <w:r>
              <w:rPr>
                <w:color w:val="33373B"/>
                <w:sz w:val="19"/>
              </w:rPr>
              <w:t>≥ 0.44</w:t>
            </w:r>
          </w:p>
        </w:tc>
        <w:tc>
          <w:tcPr>
            <w:tcW w:type="dxa" w:w="4535"/>
          </w:tcPr>
          <w:p>
            <w:r>
              <w:rPr>
                <w:color w:val="33373B"/>
                <w:sz w:val="19"/>
              </w:rPr>
              <w:t>Quantification 4-bit (QLoRA)</w:t>
            </w:r>
          </w:p>
        </w:tc>
      </w:tr>
      <w:tr>
        <w:tc>
          <w:tcPr>
            <w:tcW w:type="dxa" w:w="2551"/>
          </w:tcPr>
          <w:p>
            <w:r>
              <w:rPr>
                <w:color w:val="33373B"/>
                <w:sz w:val="19"/>
              </w:rPr>
              <w:t>TRL</w:t>
            </w:r>
          </w:p>
        </w:tc>
        <w:tc>
          <w:tcPr>
            <w:tcW w:type="dxa" w:w="1984"/>
          </w:tcPr>
          <w:p>
            <w:r>
              <w:rPr>
                <w:color w:val="33373B"/>
                <w:sz w:val="19"/>
              </w:rPr>
              <w:t>≥ 0.12 (1.x)</w:t>
            </w:r>
          </w:p>
        </w:tc>
        <w:tc>
          <w:tcPr>
            <w:tcW w:type="dxa" w:w="4535"/>
          </w:tcPr>
          <w:p>
            <w:r>
              <w:rPr>
                <w:color w:val="33373B"/>
                <w:sz w:val="19"/>
              </w:rPr>
              <w:t>SFTTrainer / SFTConfig</w:t>
            </w:r>
          </w:p>
        </w:tc>
      </w:tr>
      <w:tr>
        <w:tc>
          <w:tcPr>
            <w:tcW w:type="dxa" w:w="2551"/>
          </w:tcPr>
          <w:p>
            <w:r>
              <w:rPr>
                <w:color w:val="33373B"/>
                <w:sz w:val="19"/>
              </w:rPr>
              <w:t>vLLM</w:t>
            </w:r>
          </w:p>
        </w:tc>
        <w:tc>
          <w:tcPr>
            <w:tcW w:type="dxa" w:w="1984"/>
          </w:tcPr>
          <w:p>
            <w:r>
              <w:rPr>
                <w:color w:val="33373B"/>
                <w:sz w:val="19"/>
              </w:rPr>
              <w:t>≥ 0.12</w:t>
            </w:r>
          </w:p>
        </w:tc>
        <w:tc>
          <w:tcPr>
            <w:tcW w:type="dxa" w:w="4535"/>
          </w:tcPr>
          <w:p>
            <w:r>
              <w:rPr>
                <w:color w:val="33373B"/>
                <w:sz w:val="19"/>
              </w:rPr>
              <w:t>Inférence GPU</w:t>
            </w:r>
          </w:p>
        </w:tc>
      </w:tr>
      <w:tr>
        <w:tc>
          <w:tcPr>
            <w:tcW w:type="dxa" w:w="2551"/>
          </w:tcPr>
          <w:p>
            <w:r>
              <w:rPr>
                <w:color w:val="33373B"/>
                <w:sz w:val="19"/>
              </w:rPr>
              <w:t>mistral-common</w:t>
            </w:r>
          </w:p>
        </w:tc>
        <w:tc>
          <w:tcPr>
            <w:tcW w:type="dxa" w:w="1984"/>
          </w:tcPr>
          <w:p>
            <w:r>
              <w:rPr>
                <w:color w:val="33373B"/>
                <w:sz w:val="19"/>
              </w:rPr>
              <w:t>≥ 1.8.6</w:t>
            </w:r>
          </w:p>
        </w:tc>
        <w:tc>
          <w:tcPr>
            <w:tcW w:type="dxa" w:w="4535"/>
          </w:tcPr>
          <w:p>
            <w:r>
              <w:rPr>
                <w:color w:val="33373B"/>
                <w:sz w:val="19"/>
              </w:rPr>
              <w:t>Tokenizer tekken de Ministral 3</w:t>
            </w:r>
          </w:p>
        </w:tc>
      </w:tr>
      <w:tr>
        <w:tc>
          <w:tcPr>
            <w:tcW w:type="dxa" w:w="2551"/>
          </w:tcPr>
          <w:p>
            <w:r>
              <w:rPr>
                <w:color w:val="33373B"/>
                <w:sz w:val="19"/>
              </w:rPr>
              <w:t>FastAPI / Uvicorn</w:t>
            </w:r>
          </w:p>
        </w:tc>
        <w:tc>
          <w:tcPr>
            <w:tcW w:type="dxa" w:w="1984"/>
          </w:tcPr>
          <w:p>
            <w:r>
              <w:rPr>
                <w:color w:val="33373B"/>
                <w:sz w:val="19"/>
              </w:rPr>
              <w:t>0.115 / 0.32</w:t>
            </w:r>
          </w:p>
        </w:tc>
        <w:tc>
          <w:tcPr>
            <w:tcW w:type="dxa" w:w="4535"/>
          </w:tcPr>
          <w:p>
            <w:r>
              <w:rPr>
                <w:color w:val="33373B"/>
                <w:sz w:val="19"/>
              </w:rPr>
              <w:t>API HTTP</w:t>
            </w:r>
          </w:p>
        </w:tc>
      </w:tr>
      <w:tr>
        <w:tc>
          <w:tcPr>
            <w:tcW w:type="dxa" w:w="2551"/>
          </w:tcPr>
          <w:p>
            <w:r>
              <w:rPr>
                <w:color w:val="33373B"/>
                <w:sz w:val="19"/>
              </w:rPr>
              <w:t>Docker / Compose</w:t>
            </w:r>
          </w:p>
        </w:tc>
        <w:tc>
          <w:tcPr>
            <w:tcW w:type="dxa" w:w="1984"/>
          </w:tcPr>
          <w:p>
            <w:r>
              <w:rPr>
                <w:color w:val="33373B"/>
                <w:sz w:val="19"/>
              </w:rPr>
              <w:t>24+ / v2</w:t>
            </w:r>
          </w:p>
        </w:tc>
        <w:tc>
          <w:tcPr>
            <w:tcW w:type="dxa" w:w="4535"/>
          </w:tcPr>
          <w:p>
            <w:r>
              <w:rPr>
                <w:color w:val="33373B"/>
                <w:sz w:val="19"/>
              </w:rPr>
              <w:t>Conteneurisation</w:t>
            </w:r>
          </w:p>
        </w:tc>
      </w:tr>
    </w:tbl>
    <w:p>
      <w:pPr>
        <w:spacing w:after="40"/>
      </w:pPr>
    </w:p>
    <w:p>
      <w:pPr>
        <w:pStyle w:val="Heading2"/>
      </w:pPr>
      <w:r>
        <w:rPr>
          <w:rFonts w:ascii="Segoe UI Semibold" w:hAnsi="Segoe UI Semibold"/>
          <w:color w:val="2E7D32"/>
        </w:rPr>
        <w:t>2.3  Le modèle de base : Ministral 3 8B Instruct</w:t>
      </w:r>
    </w:p>
    <w:p>
      <w:pPr>
        <w:pStyle w:val="ListBullet"/>
      </w:pPr>
      <w:r>
        <w:rPr>
          <w:b/>
          <w:color w:val="33373B"/>
          <w:sz w:val="21"/>
        </w:rPr>
        <w:t xml:space="preserve">Architecture — </w:t>
      </w:r>
      <w:r>
        <w:rPr>
          <w:color w:val="33373B"/>
          <w:sz w:val="21"/>
        </w:rPr>
        <w:t>mistral3 (modèle multimodal : partie texte « ministral3 » + tour vision « pixtral »). Licence Apache 2.0, 8 milliards de paramètres, contexte jusqu'à 256 k tokens.</w:t>
      </w:r>
    </w:p>
    <w:p>
      <w:pPr>
        <w:pStyle w:val="ListBullet"/>
      </w:pPr>
      <w:r>
        <w:rPr>
          <w:b/>
          <w:color w:val="33373B"/>
          <w:sz w:val="21"/>
        </w:rPr>
        <w:t xml:space="preserve">Deux formats — </w:t>
      </w:r>
      <w:r>
        <w:rPr>
          <w:color w:val="33373B"/>
          <w:sz w:val="21"/>
        </w:rPr>
        <w:t>la version Instruct par défaut est en FP8 (≈ 8 Go, idéale pour l'inférence vLLM) ; une variante BF16 existe (idéale pour l'affinage QLoRA 4-bit).</w:t>
      </w:r>
    </w:p>
    <w:p>
      <w:pPr>
        <w:pStyle w:val="ListBullet"/>
      </w:pPr>
      <w:r>
        <w:rPr>
          <w:b/>
          <w:color w:val="33373B"/>
          <w:sz w:val="21"/>
        </w:rPr>
        <w:t xml:space="preserve">Prérequis — </w:t>
      </w:r>
      <w:r>
        <w:rPr>
          <w:color w:val="33373B"/>
          <w:sz w:val="21"/>
        </w:rPr>
        <w:t>le config.json déclare transformers_version 5.0.0.dev0 : un stack récent est obligatoire (transformers ≥ 5.12).</w:t>
      </w:r>
    </w:p>
    <w:p>
      <w:pPr>
        <w:pStyle w:val="Heading1"/>
      </w:pPr>
      <w:r>
        <w:rPr>
          <w:rFonts w:ascii="Segoe UI Semibold" w:hAnsi="Segoe UI Semibold"/>
          <w:color w:val="6F4E37"/>
        </w:rPr>
        <w:t>3.  Le pipeline de bout en bout</w:t>
      </w:r>
    </w:p>
    <w:p>
      <w:pPr>
        <w:spacing w:after="120"/>
      </w:pPr>
      <w:r>
        <w:rPr>
          <w:i w:val="0"/>
          <w:color w:val="33373B"/>
          <w:sz w:val="21"/>
        </w:rPr>
        <w:t>Le chemin complet, des documents officiels jusqu'au modèle servi, se déroule en trois grandes phases :</w:t>
      </w:r>
    </w:p>
    <w:p>
      <w:pPr>
        <w:shd w:val="clear" w:color="auto" w:fill="F4F4F4"/>
        <w:spacing w:before="120" w:after="0"/>
        <w:ind w:left="120"/>
      </w:pPr>
      <w:r>
        <w:rPr>
          <w:rFonts w:ascii="Consolas" w:hAnsi="Consolas"/>
          <w:color w:val="1B1B1B"/>
          <w:sz w:val="19"/>
        </w:rPr>
        <w:t>Documents officiels (PDF)</w:t>
      </w:r>
    </w:p>
    <w:p>
      <w:pPr>
        <w:shd w:val="clear" w:color="auto" w:fill="F4F4F4"/>
        <w:spacing w:after="0"/>
        <w:ind w:left="120"/>
      </w:pPr>
      <w:r>
        <w:rPr>
          <w:rFonts w:ascii="Consolas" w:hAnsi="Consolas"/>
          <w:color w:val="1B1B1B"/>
          <w:sz w:val="19"/>
        </w:rPr>
        <w:t xml:space="preserve">        |  build_corpus_rag.py  (téléchargement, chunking, embeddings, génération RAG)</w:t>
      </w:r>
    </w:p>
    <w:p>
      <w:pPr>
        <w:shd w:val="clear" w:color="auto" w:fill="F4F4F4"/>
        <w:spacing w:after="0"/>
        <w:ind w:left="120"/>
      </w:pPr>
      <w:r>
        <w:rPr>
          <w:rFonts w:ascii="Consolas" w:hAnsi="Consolas"/>
          <w:color w:val="1B1B1B"/>
          <w:sz w:val="19"/>
        </w:rPr>
        <w:t xml:space="preserve">        v</w:t>
      </w:r>
    </w:p>
    <w:p>
      <w:pPr>
        <w:shd w:val="clear" w:color="auto" w:fill="F4F4F4"/>
        <w:spacing w:after="0"/>
        <w:ind w:left="120"/>
      </w:pPr>
      <w:r>
        <w:rPr>
          <w:rFonts w:ascii="Consolas" w:hAnsi="Consolas"/>
          <w:color w:val="1B1B1B"/>
          <w:sz w:val="19"/>
        </w:rPr>
        <w:t>corpus/corpus_cacao_rag.jsonl   (paires Q/R validées)</w:t>
      </w:r>
    </w:p>
    <w:p>
      <w:pPr>
        <w:shd w:val="clear" w:color="auto" w:fill="F4F4F4"/>
        <w:spacing w:after="0"/>
        <w:ind w:left="120"/>
      </w:pPr>
      <w:r>
        <w:rPr>
          <w:rFonts w:ascii="Consolas" w:hAnsi="Consolas"/>
          <w:color w:val="1B1B1B"/>
          <w:sz w:val="19"/>
        </w:rPr>
        <w:t xml:space="preserve">        |  train_lora.py  (QLoRA 4-bit sur Ministral 3 8B BF16)</w:t>
      </w:r>
    </w:p>
    <w:p>
      <w:pPr>
        <w:shd w:val="clear" w:color="auto" w:fill="F4F4F4"/>
        <w:spacing w:after="0"/>
        <w:ind w:left="120"/>
      </w:pPr>
      <w:r>
        <w:rPr>
          <w:rFonts w:ascii="Consolas" w:hAnsi="Consolas"/>
          <w:color w:val="1B1B1B"/>
          <w:sz w:val="19"/>
        </w:rPr>
        <w:t xml:space="preserve">        v</w:t>
      </w:r>
    </w:p>
    <w:p>
      <w:pPr>
        <w:shd w:val="clear" w:color="auto" w:fill="F4F4F4"/>
        <w:spacing w:after="0"/>
        <w:ind w:left="120"/>
      </w:pPr>
      <w:r>
        <w:rPr>
          <w:rFonts w:ascii="Consolas" w:hAnsi="Consolas"/>
          <w:color w:val="1B1B1B"/>
          <w:sz w:val="19"/>
        </w:rPr>
        <w:t>models/lora-adapter/   (adaptateur LoRA ~150 Mo)</w:t>
      </w:r>
    </w:p>
    <w:p>
      <w:pPr>
        <w:shd w:val="clear" w:color="auto" w:fill="F4F4F4"/>
        <w:spacing w:after="0"/>
        <w:ind w:left="120"/>
      </w:pPr>
      <w:r>
        <w:rPr>
          <w:rFonts w:ascii="Consolas" w:hAnsi="Consolas"/>
          <w:color w:val="1B1B1B"/>
          <w:sz w:val="19"/>
        </w:rPr>
        <w:t xml:space="preserve">        |  merge_and_export.py  (fusion adaptateur + modèle de base)</w:t>
      </w:r>
    </w:p>
    <w:p>
      <w:pPr>
        <w:shd w:val="clear" w:color="auto" w:fill="F4F4F4"/>
        <w:spacing w:after="0"/>
        <w:ind w:left="120"/>
      </w:pPr>
      <w:r>
        <w:rPr>
          <w:rFonts w:ascii="Consolas" w:hAnsi="Consolas"/>
          <w:color w:val="1B1B1B"/>
          <w:sz w:val="19"/>
        </w:rPr>
        <w:t xml:space="preserve">        v</w:t>
      </w:r>
    </w:p>
    <w:p>
      <w:pPr>
        <w:shd w:val="clear" w:color="auto" w:fill="F4F4F4"/>
        <w:spacing w:after="0"/>
        <w:ind w:left="120"/>
      </w:pPr>
      <w:r>
        <w:rPr>
          <w:rFonts w:ascii="Consolas" w:hAnsi="Consolas"/>
          <w:color w:val="1B1B1B"/>
          <w:sz w:val="19"/>
        </w:rPr>
        <w:t>models/opencacao-7b/   (modèle fusionné, prêt pour vLLM)  -&gt;  export GGUF (CPU)</w:t>
      </w:r>
    </w:p>
    <w:p>
      <w:pPr>
        <w:spacing w:after="40"/>
      </w:pPr>
    </w:p>
    <w:p>
      <w:pPr>
        <w:pStyle w:val="Heading1"/>
      </w:pPr>
      <w:r>
        <w:rPr>
          <w:rFonts w:ascii="Segoe UI Semibold" w:hAnsi="Segoe UI Semibold"/>
          <w:color w:val="6F4E37"/>
        </w:rPr>
        <w:t>4.  Constitution du corpus</w:t>
      </w:r>
    </w:p>
    <w:p>
      <w:pPr>
        <w:pStyle w:val="Heading2"/>
      </w:pPr>
      <w:r>
        <w:rPr>
          <w:rFonts w:ascii="Segoe UI Semibold" w:hAnsi="Segoe UI Semibold"/>
          <w:color w:val="2E7D32"/>
        </w:rPr>
        <w:t>4.1  Les sources officielles</w:t>
      </w:r>
    </w:p>
    <w:p>
      <w:pPr>
        <w:spacing w:after="120"/>
      </w:pPr>
      <w:r>
        <w:rPr>
          <w:i w:val="0"/>
          <w:color w:val="33373B"/>
          <w:sz w:val="21"/>
        </w:rPr>
        <w:t>Le corpus est ancré sur un manifeste de 31 documents publics de la filière cacao ivoirienne, décrits dans corpus/sources/sources_officielles.yaml. Quatre institutions sont reconnues comme sources fiables :</w:t>
      </w:r>
    </w:p>
    <w:tbl>
      <w:tblPr>
        <w:tblStyle w:val="TableGrid"/>
        <w:tblW w:type="auto" w:w="0"/>
        <w:jc w:val="center"/>
        <w:tblLook w:firstColumn="1" w:firstRow="1" w:lastColumn="0" w:lastRow="0" w:noHBand="0" w:noVBand="1" w:val="04A0"/>
      </w:tblPr>
      <w:tblGrid>
        <w:gridCol w:w="4759"/>
        <w:gridCol w:w="4759"/>
      </w:tblGrid>
      <w:tr>
        <w:tc>
          <w:tcPr>
            <w:tcW w:type="dxa" w:w="2551"/>
            <w:shd w:val="clear" w:color="auto" w:fill="6F4E37"/>
          </w:tcPr>
          <w:p>
            <w:pPr>
              <w:jc w:val="left"/>
            </w:pPr>
            <w:r>
              <w:rPr>
                <w:b/>
                <w:color w:val="FFFFFF"/>
                <w:sz w:val="20"/>
              </w:rPr>
              <w:t>Source</w:t>
            </w:r>
          </w:p>
        </w:tc>
        <w:tc>
          <w:tcPr>
            <w:tcW w:type="dxa" w:w="6520"/>
            <w:shd w:val="clear" w:color="auto" w:fill="6F4E37"/>
          </w:tcPr>
          <w:p>
            <w:pPr>
              <w:jc w:val="left"/>
            </w:pPr>
            <w:r>
              <w:rPr>
                <w:b/>
                <w:color w:val="FFFFFF"/>
                <w:sz w:val="20"/>
              </w:rPr>
              <w:t>Nature des documents</w:t>
            </w:r>
          </w:p>
        </w:tc>
      </w:tr>
      <w:tr>
        <w:tc>
          <w:tcPr>
            <w:tcW w:type="dxa" w:w="2551"/>
          </w:tcPr>
          <w:p>
            <w:r>
              <w:rPr>
                <w:color w:val="33373B"/>
                <w:sz w:val="19"/>
              </w:rPr>
              <w:t>CNRA</w:t>
            </w:r>
          </w:p>
        </w:tc>
        <w:tc>
          <w:tcPr>
            <w:tcW w:type="dxa" w:w="6520"/>
          </w:tcPr>
          <w:p>
            <w:r>
              <w:rPr>
                <w:color w:val="33373B"/>
                <w:sz w:val="19"/>
              </w:rPr>
              <w:t>Fiches techniques (swollen shoot, pourriture brune, ravageurs, fertilisation, pépinière, séchage, greffage…)</w:t>
            </w:r>
          </w:p>
        </w:tc>
      </w:tr>
      <w:tr>
        <w:tc>
          <w:tcPr>
            <w:tcW w:type="dxa" w:w="2551"/>
          </w:tcPr>
          <w:p>
            <w:r>
              <w:rPr>
                <w:color w:val="33373B"/>
                <w:sz w:val="19"/>
              </w:rPr>
              <w:t>Conseil du Café-Cacao</w:t>
            </w:r>
          </w:p>
        </w:tc>
        <w:tc>
          <w:tcPr>
            <w:tcW w:type="dxa" w:w="6520"/>
          </w:tcPr>
          <w:p>
            <w:r>
              <w:rPr>
                <w:color w:val="33373B"/>
                <w:sz w:val="19"/>
              </w:rPr>
              <w:t>Manuel du planteur, cacaoculture durable, qualité, revenu, formation</w:t>
            </w:r>
          </w:p>
        </w:tc>
      </w:tr>
      <w:tr>
        <w:tc>
          <w:tcPr>
            <w:tcW w:type="dxa" w:w="2551"/>
          </w:tcPr>
          <w:p>
            <w:r>
              <w:rPr>
                <w:color w:val="33373B"/>
                <w:sz w:val="19"/>
              </w:rPr>
              <w:t>FAO</w:t>
            </w:r>
          </w:p>
        </w:tc>
        <w:tc>
          <w:tcPr>
            <w:tcW w:type="dxa" w:w="6520"/>
          </w:tcPr>
          <w:p>
            <w:r>
              <w:rPr>
                <w:color w:val="33373B"/>
                <w:sz w:val="19"/>
              </w:rPr>
              <w:t>Analyse prospective de la filière</w:t>
            </w:r>
          </w:p>
        </w:tc>
      </w:tr>
      <w:tr>
        <w:tc>
          <w:tcPr>
            <w:tcW w:type="dxa" w:w="2551"/>
          </w:tcPr>
          <w:p>
            <w:r>
              <w:rPr>
                <w:color w:val="33373B"/>
                <w:sz w:val="19"/>
              </w:rPr>
              <w:t>ANADER</w:t>
            </w:r>
          </w:p>
        </w:tc>
        <w:tc>
          <w:tcPr>
            <w:tcW w:type="dxa" w:w="6520"/>
          </w:tcPr>
          <w:p>
            <w:r>
              <w:rPr>
                <w:color w:val="33373B"/>
                <w:sz w:val="19"/>
              </w:rPr>
              <w:t>Brochure institutionnelle, encadrement</w:t>
            </w:r>
          </w:p>
        </w:tc>
      </w:tr>
    </w:tbl>
    <w:p>
      <w:pPr>
        <w:spacing w:after="40"/>
      </w:pPr>
    </w:p>
    <w:p>
      <w:pPr>
        <w:pStyle w:val="Heading2"/>
      </w:pPr>
      <w:r>
        <w:rPr>
          <w:rFonts w:ascii="Segoe UI Semibold" w:hAnsi="Segoe UI Semibold"/>
          <w:color w:val="2E7D32"/>
        </w:rPr>
        <w:t>4.2  La méthode RAG (génération ancrée)</w:t>
      </w:r>
    </w:p>
    <w:p>
      <w:pPr>
        <w:spacing w:after="120"/>
      </w:pPr>
      <w:r>
        <w:rPr>
          <w:i w:val="0"/>
          <w:color w:val="33373B"/>
          <w:sz w:val="21"/>
        </w:rPr>
        <w:t>Le script build_corpus_rag.py construit des paires question/réponse strictement ancrées dans les documents, sans extrapolation :</w:t>
      </w:r>
    </w:p>
    <w:p>
      <w:pPr>
        <w:pStyle w:val="ListBullet"/>
      </w:pPr>
      <w:r>
        <w:rPr>
          <w:b/>
          <w:color w:val="33373B"/>
          <w:sz w:val="21"/>
        </w:rPr>
        <w:t xml:space="preserve">1. Téléchargement — </w:t>
      </w:r>
      <w:r>
        <w:rPr>
          <w:color w:val="33373B"/>
          <w:sz w:val="21"/>
        </w:rPr>
        <w:t>récupération des 31 PDF (résolution automatique des liens WordPress du CNRA, tolérance TLS pour certains hôtes officiels).</w:t>
      </w:r>
    </w:p>
    <w:p>
      <w:pPr>
        <w:pStyle w:val="ListBullet"/>
      </w:pPr>
      <w:r>
        <w:rPr>
          <w:b/>
          <w:color w:val="33373B"/>
          <w:sz w:val="21"/>
        </w:rPr>
        <w:t xml:space="preserve">2. Découpage — </w:t>
      </w:r>
      <w:r>
        <w:rPr>
          <w:color w:val="33373B"/>
          <w:sz w:val="21"/>
        </w:rPr>
        <w:t>extraction du texte et découpage en passages (chunks de ~900 caractères, chevauchement 150, minimum 250).</w:t>
      </w:r>
    </w:p>
    <w:p>
      <w:pPr>
        <w:pStyle w:val="ListBullet"/>
      </w:pPr>
      <w:r>
        <w:rPr>
          <w:b/>
          <w:color w:val="33373B"/>
          <w:sz w:val="21"/>
        </w:rPr>
        <w:t xml:space="preserve">3. Diversification — </w:t>
      </w:r>
      <w:r>
        <w:rPr>
          <w:color w:val="33373B"/>
          <w:sz w:val="21"/>
        </w:rPr>
        <w:t>index sémantique local (sentence-transformers) pour éliminer les passages redondants (cosinus &gt; 0,92).</w:t>
      </w:r>
    </w:p>
    <w:p>
      <w:pPr>
        <w:pStyle w:val="ListBullet"/>
      </w:pPr>
      <w:r>
        <w:rPr>
          <w:b/>
          <w:color w:val="33373B"/>
          <w:sz w:val="21"/>
        </w:rPr>
        <w:t xml:space="preserve">4. Génération multi-angles — </w:t>
      </w:r>
      <w:r>
        <w:rPr>
          <w:color w:val="33373B"/>
          <w:sz w:val="21"/>
        </w:rPr>
        <w:t>pour chaque passage, le LLM local est interrogé sous 8 angles (symptômes, action, prévention, calendrier, cause, conséquence, débutant, bonnes pratiques) afin de multiplier les questions réellement distinctes.</w:t>
      </w:r>
    </w:p>
    <w:p>
      <w:pPr>
        <w:pStyle w:val="ListBullet"/>
      </w:pPr>
      <w:r>
        <w:rPr>
          <w:b/>
          <w:color w:val="33373B"/>
          <w:sz w:val="21"/>
        </w:rPr>
        <w:t xml:space="preserve">5. Validation et déduplication — </w:t>
      </w:r>
      <w:r>
        <w:rPr>
          <w:color w:val="33373B"/>
          <w:sz w:val="21"/>
        </w:rPr>
        <w:t>chaque paire générée passe les garde-fous avant écriture ; la déduplication exacte et sémantique élimine les doublons.</w:t>
      </w:r>
    </w:p>
    <w:p>
      <w:pPr>
        <w:shd w:val="clear" w:color="auto" w:fill="EAF3EA"/>
        <w:pBdr>
          <w:left w:val="single" w:sz="18" w:space="10" w:color="2E7D32"/>
        </w:pBdr>
        <w:spacing w:before="120" w:after="160"/>
        <w:ind w:left="120" w:right="120"/>
      </w:pPr>
      <w:r>
        <w:rPr>
          <w:b/>
          <w:color w:val="33373B"/>
          <w:sz w:val="21"/>
        </w:rPr>
        <w:t xml:space="preserve">Souveraineté préservée.  </w:t>
      </w:r>
      <w:r>
        <w:rPr>
          <w:color w:val="33373B"/>
          <w:sz w:val="21"/>
        </w:rPr>
        <w:t>La génération appelle un LLM local (Ministral 3 servi par vLLM) via la bibliothèque standard urllib — aucun SDK propriétaire (OpenAI, Anthropic, Cohere). Les embeddings sont eux aussi calculés localement.</w:t>
      </w:r>
    </w:p>
    <w:p>
      <w:pPr>
        <w:pStyle w:val="Heading2"/>
      </w:pPr>
      <w:r>
        <w:rPr>
          <w:rFonts w:ascii="Segoe UI Semibold" w:hAnsi="Segoe UI Semibold"/>
          <w:color w:val="2E7D32"/>
        </w:rPr>
        <w:t>4.3  Les garde-fous métier (non négociables)</w:t>
      </w:r>
    </w:p>
    <w:p>
      <w:pPr>
        <w:spacing w:after="120"/>
      </w:pPr>
      <w:r>
        <w:rPr>
          <w:i w:val="0"/>
          <w:color w:val="33373B"/>
          <w:sz w:val="21"/>
        </w:rPr>
        <w:t>La validation du corpus — comme l'API en production — refuse certaines productions. Chaque règle dispose d'un test automatisé dédié.</w:t>
      </w:r>
    </w:p>
    <w:tbl>
      <w:tblPr>
        <w:tblStyle w:val="TableGrid"/>
        <w:tblW w:type="auto" w:w="0"/>
        <w:jc w:val="center"/>
        <w:tblLook w:firstColumn="1" w:firstRow="1" w:lastColumn="0" w:lastRow="0" w:noHBand="0" w:noVBand="1" w:val="04A0"/>
      </w:tblPr>
      <w:tblGrid>
        <w:gridCol w:w="4759"/>
        <w:gridCol w:w="4759"/>
      </w:tblGrid>
      <w:tr>
        <w:tc>
          <w:tcPr>
            <w:tcW w:type="dxa" w:w="3118"/>
            <w:shd w:val="clear" w:color="auto" w:fill="6F4E37"/>
          </w:tcPr>
          <w:p>
            <w:pPr>
              <w:jc w:val="left"/>
            </w:pPr>
            <w:r>
              <w:rPr>
                <w:b/>
                <w:color w:val="FFFFFF"/>
                <w:sz w:val="20"/>
              </w:rPr>
              <w:t>Règle</w:t>
            </w:r>
          </w:p>
        </w:tc>
        <w:tc>
          <w:tcPr>
            <w:tcW w:type="dxa" w:w="5953"/>
            <w:shd w:val="clear" w:color="auto" w:fill="6F4E37"/>
          </w:tcPr>
          <w:p>
            <w:pPr>
              <w:jc w:val="left"/>
            </w:pPr>
            <w:r>
              <w:rPr>
                <w:b/>
                <w:color w:val="FFFFFF"/>
                <w:sz w:val="20"/>
              </w:rPr>
              <w:t>Comportement</w:t>
            </w:r>
          </w:p>
        </w:tc>
      </w:tr>
      <w:tr>
        <w:tc>
          <w:tcPr>
            <w:tcW w:type="dxa" w:w="3118"/>
          </w:tcPr>
          <w:p>
            <w:r>
              <w:rPr>
                <w:color w:val="33373B"/>
                <w:sz w:val="19"/>
              </w:rPr>
              <w:t>Dosage phytosanitaire chiffré</w:t>
            </w:r>
          </w:p>
        </w:tc>
        <w:tc>
          <w:tcPr>
            <w:tcW w:type="dxa" w:w="5953"/>
          </w:tcPr>
          <w:p>
            <w:r>
              <w:rPr>
                <w:color w:val="33373B"/>
                <w:sz w:val="19"/>
              </w:rPr>
              <w:t>Rejet absolu — jamais de dose précise, même en exemple. Redirection ANADER.</w:t>
            </w:r>
          </w:p>
        </w:tc>
      </w:tr>
      <w:tr>
        <w:tc>
          <w:tcPr>
            <w:tcW w:type="dxa" w:w="3118"/>
          </w:tcPr>
          <w:p>
            <w:r>
              <w:rPr>
                <w:color w:val="33373B"/>
                <w:sz w:val="19"/>
              </w:rPr>
              <w:t>Demande médicale / vétérinaire</w:t>
            </w:r>
          </w:p>
        </w:tc>
        <w:tc>
          <w:tcPr>
            <w:tcW w:type="dxa" w:w="5953"/>
          </w:tcPr>
          <w:p>
            <w:r>
              <w:rPr>
                <w:color w:val="33373B"/>
                <w:sz w:val="19"/>
              </w:rPr>
              <w:t>Refus — orientation vers un professionnel de santé.</w:t>
            </w:r>
          </w:p>
        </w:tc>
      </w:tr>
      <w:tr>
        <w:tc>
          <w:tcPr>
            <w:tcW w:type="dxa" w:w="3118"/>
          </w:tcPr>
          <w:p>
            <w:r>
              <w:rPr>
                <w:color w:val="33373B"/>
                <w:sz w:val="19"/>
              </w:rPr>
              <w:t>Diagnostic sur image sans agent</w:t>
            </w:r>
          </w:p>
        </w:tc>
        <w:tc>
          <w:tcPr>
            <w:tcW w:type="dxa" w:w="5953"/>
          </w:tcPr>
          <w:p>
            <w:r>
              <w:rPr>
                <w:color w:val="33373B"/>
                <w:sz w:val="19"/>
              </w:rPr>
              <w:t>Refus — demande de description des symptômes + ANADER.</w:t>
            </w:r>
          </w:p>
        </w:tc>
      </w:tr>
      <w:tr>
        <w:tc>
          <w:tcPr>
            <w:tcW w:type="dxa" w:w="3118"/>
          </w:tcPr>
          <w:p>
            <w:r>
              <w:rPr>
                <w:color w:val="33373B"/>
                <w:sz w:val="19"/>
              </w:rPr>
              <w:t>Hors filière cacao</w:t>
            </w:r>
          </w:p>
        </w:tc>
        <w:tc>
          <w:tcPr>
            <w:tcW w:type="dxa" w:w="5953"/>
          </w:tcPr>
          <w:p>
            <w:r>
              <w:rPr>
                <w:color w:val="33373B"/>
                <w:sz w:val="19"/>
              </w:rPr>
              <w:t>Refus poli (anacarde et vivrier tolérés).</w:t>
            </w:r>
          </w:p>
        </w:tc>
      </w:tr>
      <w:tr>
        <w:tc>
          <w:tcPr>
            <w:tcW w:type="dxa" w:w="3118"/>
          </w:tcPr>
          <w:p>
            <w:r>
              <w:rPr>
                <w:color w:val="33373B"/>
                <w:sz w:val="19"/>
              </w:rPr>
              <w:t>Source obligatoire</w:t>
            </w:r>
          </w:p>
        </w:tc>
        <w:tc>
          <w:tcPr>
            <w:tcW w:type="dxa" w:w="5953"/>
          </w:tcPr>
          <w:p>
            <w:r>
              <w:rPr>
                <w:color w:val="33373B"/>
                <w:sz w:val="19"/>
              </w:rPr>
              <w:t>Toute réponse doit citer au moins une source reconnue (CNRA, ANADER, Conseil du Café-Cacao, FAO).</w:t>
            </w:r>
          </w:p>
        </w:tc>
      </w:tr>
    </w:tbl>
    <w:p>
      <w:pPr>
        <w:spacing w:after="40"/>
      </w:pPr>
    </w:p>
    <w:p>
      <w:pPr>
        <w:pStyle w:val="Heading2"/>
      </w:pPr>
      <w:r>
        <w:rPr>
          <w:rFonts w:ascii="Segoe UI Semibold" w:hAnsi="Segoe UI Semibold"/>
          <w:color w:val="2E7D32"/>
        </w:rPr>
        <w:t>4.4  Génération concurrente</w:t>
      </w:r>
    </w:p>
    <w:p>
      <w:pPr>
        <w:spacing w:after="120"/>
      </w:pPr>
      <w:r>
        <w:rPr>
          <w:i w:val="0"/>
          <w:color w:val="33373B"/>
          <w:sz w:val="21"/>
        </w:rPr>
        <w:t>Pour tenir un temps raisonnable, les appels au LLM sont émis en parallèle (16 requêtes simultanées, agrégées par le batching continu de vLLM). La validation et la déduplication restent sérialisées dans le thread principal pour garantir un état déterministe.</w:t>
      </w:r>
    </w:p>
    <w:p>
      <w:pPr>
        <w:pStyle w:val="Heading2"/>
      </w:pPr>
      <w:r>
        <w:rPr>
          <w:rFonts w:ascii="Segoe UI Semibold" w:hAnsi="Segoe UI Semibold"/>
          <w:color w:val="2E7D32"/>
        </w:rPr>
        <w:t>4.5  Résultat obtenu</w:t>
      </w:r>
    </w:p>
    <w:p>
      <w:pPr>
        <w:spacing w:after="120"/>
      </w:pPr>
      <w:r>
        <w:rPr>
          <w:i w:val="0"/>
          <w:color w:val="33373B"/>
          <w:sz w:val="21"/>
        </w:rPr>
        <w:t>Le run final a produit un corpus complet et propre :</w:t>
      </w:r>
    </w:p>
    <w:tbl>
      <w:tblPr>
        <w:tblStyle w:val="TableGrid"/>
        <w:tblW w:type="auto" w:w="0"/>
        <w:jc w:val="center"/>
        <w:tblLook w:firstColumn="1" w:firstRow="1" w:lastColumn="0" w:lastRow="0" w:noHBand="0" w:noVBand="1" w:val="04A0"/>
      </w:tblPr>
      <w:tblGrid>
        <w:gridCol w:w="4759"/>
        <w:gridCol w:w="4759"/>
      </w:tblGrid>
      <w:tr>
        <w:tc>
          <w:tcPr>
            <w:tcW w:type="dxa" w:w="5102"/>
            <w:shd w:val="clear" w:color="auto" w:fill="6F4E37"/>
          </w:tcPr>
          <w:p>
            <w:pPr>
              <w:jc w:val="left"/>
            </w:pPr>
            <w:r>
              <w:rPr>
                <w:b/>
                <w:color w:val="FFFFFF"/>
                <w:sz w:val="20"/>
              </w:rPr>
              <w:t>Indicateur</w:t>
            </w:r>
          </w:p>
        </w:tc>
        <w:tc>
          <w:tcPr>
            <w:tcW w:type="dxa" w:w="3969"/>
            <w:shd w:val="clear" w:color="auto" w:fill="6F4E37"/>
          </w:tcPr>
          <w:p>
            <w:pPr>
              <w:jc w:val="left"/>
            </w:pPr>
            <w:r>
              <w:rPr>
                <w:b/>
                <w:color w:val="FFFFFF"/>
                <w:sz w:val="20"/>
              </w:rPr>
              <w:t>Valeur</w:t>
            </w:r>
          </w:p>
        </w:tc>
      </w:tr>
      <w:tr>
        <w:tc>
          <w:tcPr>
            <w:tcW w:type="dxa" w:w="5102"/>
          </w:tcPr>
          <w:p>
            <w:r>
              <w:rPr>
                <w:color w:val="33373B"/>
                <w:sz w:val="19"/>
              </w:rPr>
              <w:t>Paires écrites (cible atteinte)</w:t>
            </w:r>
          </w:p>
        </w:tc>
        <w:tc>
          <w:tcPr>
            <w:tcW w:type="dxa" w:w="3969"/>
          </w:tcPr>
          <w:p>
            <w:r>
              <w:rPr>
                <w:color w:val="33373B"/>
                <w:sz w:val="19"/>
              </w:rPr>
              <w:t>10 000</w:t>
            </w:r>
          </w:p>
        </w:tc>
      </w:tr>
      <w:tr>
        <w:tc>
          <w:tcPr>
            <w:tcW w:type="dxa" w:w="5102"/>
          </w:tcPr>
          <w:p>
            <w:r>
              <w:rPr>
                <w:color w:val="33373B"/>
                <w:sz w:val="19"/>
              </w:rPr>
              <w:t>Paires générées au total</w:t>
            </w:r>
          </w:p>
        </w:tc>
        <w:tc>
          <w:tcPr>
            <w:tcW w:type="dxa" w:w="3969"/>
          </w:tcPr>
          <w:p>
            <w:r>
              <w:rPr>
                <w:color w:val="33373B"/>
                <w:sz w:val="19"/>
              </w:rPr>
              <w:t>11 413</w:t>
            </w:r>
          </w:p>
        </w:tc>
      </w:tr>
      <w:tr>
        <w:tc>
          <w:tcPr>
            <w:tcW w:type="dxa" w:w="5102"/>
          </w:tcPr>
          <w:p>
            <w:r>
              <w:rPr>
                <w:color w:val="33373B"/>
                <w:sz w:val="19"/>
              </w:rPr>
              <w:t>Rejetées — aucune source citée</w:t>
            </w:r>
          </w:p>
        </w:tc>
        <w:tc>
          <w:tcPr>
            <w:tcW w:type="dxa" w:w="3969"/>
          </w:tcPr>
          <w:p>
            <w:r>
              <w:rPr>
                <w:color w:val="33373B"/>
                <w:sz w:val="19"/>
              </w:rPr>
              <w:t>3 569</w:t>
            </w:r>
          </w:p>
        </w:tc>
      </w:tr>
      <w:tr>
        <w:tc>
          <w:tcPr>
            <w:tcW w:type="dxa" w:w="5102"/>
          </w:tcPr>
          <w:p>
            <w:r>
              <w:rPr>
                <w:color w:val="33373B"/>
                <w:sz w:val="19"/>
              </w:rPr>
              <w:t>Rejetées — dosage phytosanitaire détecté</w:t>
            </w:r>
          </w:p>
        </w:tc>
        <w:tc>
          <w:tcPr>
            <w:tcW w:type="dxa" w:w="3969"/>
          </w:tcPr>
          <w:p>
            <w:r>
              <w:rPr>
                <w:color w:val="33373B"/>
                <w:sz w:val="19"/>
              </w:rPr>
              <w:t>9 (correctement bloquées)</w:t>
            </w:r>
          </w:p>
        </w:tc>
      </w:tr>
      <w:tr>
        <w:tc>
          <w:tcPr>
            <w:tcW w:type="dxa" w:w="5102"/>
          </w:tcPr>
          <w:p>
            <w:r>
              <w:rPr>
                <w:color w:val="33373B"/>
                <w:sz w:val="19"/>
              </w:rPr>
              <w:t>Doublons sémantiques écartés</w:t>
            </w:r>
          </w:p>
        </w:tc>
        <w:tc>
          <w:tcPr>
            <w:tcW w:type="dxa" w:w="3969"/>
          </w:tcPr>
          <w:p>
            <w:r>
              <w:rPr>
                <w:color w:val="33373B"/>
                <w:sz w:val="19"/>
              </w:rPr>
              <w:t>1 756</w:t>
            </w:r>
          </w:p>
        </w:tc>
      </w:tr>
      <w:tr>
        <w:tc>
          <w:tcPr>
            <w:tcW w:type="dxa" w:w="5102"/>
          </w:tcPr>
          <w:p>
            <w:r>
              <w:rPr>
                <w:color w:val="33373B"/>
                <w:sz w:val="19"/>
              </w:rPr>
              <w:t>Erreurs LLM</w:t>
            </w:r>
          </w:p>
        </w:tc>
        <w:tc>
          <w:tcPr>
            <w:tcW w:type="dxa" w:w="3969"/>
          </w:tcPr>
          <w:p>
            <w:r>
              <w:rPr>
                <w:color w:val="33373B"/>
                <w:sz w:val="19"/>
              </w:rPr>
              <w:t>0</w:t>
            </w:r>
          </w:p>
        </w:tc>
      </w:tr>
      <w:tr>
        <w:tc>
          <w:tcPr>
            <w:tcW w:type="dxa" w:w="5102"/>
          </w:tcPr>
          <w:p>
            <w:r>
              <w:rPr>
                <w:color w:val="33373B"/>
                <w:sz w:val="19"/>
              </w:rPr>
              <w:t>Chunks utilisés / disponibles</w:t>
            </w:r>
          </w:p>
        </w:tc>
        <w:tc>
          <w:tcPr>
            <w:tcW w:type="dxa" w:w="3969"/>
          </w:tcPr>
          <w:p>
            <w:r>
              <w:rPr>
                <w:color w:val="33373B"/>
                <w:sz w:val="19"/>
              </w:rPr>
              <w:t>1 038 / 1 105</w:t>
            </w:r>
          </w:p>
        </w:tc>
      </w:tr>
      <w:tr>
        <w:tc>
          <w:tcPr>
            <w:tcW w:type="dxa" w:w="5102"/>
          </w:tcPr>
          <w:p>
            <w:r>
              <w:rPr>
                <w:color w:val="33373B"/>
                <w:sz w:val="19"/>
              </w:rPr>
              <w:t>Validation finale</w:t>
            </w:r>
          </w:p>
        </w:tc>
        <w:tc>
          <w:tcPr>
            <w:tcW w:type="dxa" w:w="3969"/>
          </w:tcPr>
          <w:p>
            <w:r>
              <w:rPr>
                <w:color w:val="33373B"/>
                <w:sz w:val="19"/>
              </w:rPr>
              <w:t>Corpus valide</w:t>
            </w:r>
          </w:p>
        </w:tc>
      </w:tr>
    </w:tbl>
    <w:p>
      <w:pPr>
        <w:spacing w:after="40"/>
      </w:pPr>
    </w:p>
    <w:p>
      <w:pPr>
        <w:shd w:val="clear" w:color="auto" w:fill="F3EFE9"/>
        <w:pBdr>
          <w:left w:val="single" w:sz="18" w:space="10" w:color="6F4E37"/>
        </w:pBdr>
        <w:spacing w:before="120" w:after="160"/>
        <w:ind w:left="120" w:right="120"/>
      </w:pPr>
      <w:r>
        <w:rPr>
          <w:b/>
          <w:color w:val="33373B"/>
          <w:sz w:val="21"/>
        </w:rPr>
        <w:t xml:space="preserve">Lecture.  </w:t>
      </w:r>
      <w:r>
        <w:rPr>
          <w:color w:val="33373B"/>
          <w:sz w:val="21"/>
        </w:rPr>
        <w:t>Les 9 dosages phytosanitaires détectés et rejetés démontrent que le garde-fou métier fonctionne réellement sur des productions du modèle, et pas seulement en théorie.</w:t>
      </w:r>
    </w:p>
    <w:p>
      <w:pPr>
        <w:pStyle w:val="Heading1"/>
      </w:pPr>
      <w:r>
        <w:rPr>
          <w:rFonts w:ascii="Segoe UI Semibold" w:hAnsi="Segoe UI Semibold"/>
          <w:color w:val="6F4E37"/>
        </w:rPr>
        <w:t>5.  Le déploiement sur RunPod</w:t>
      </w:r>
    </w:p>
    <w:p>
      <w:pPr>
        <w:pStyle w:val="Heading2"/>
      </w:pPr>
      <w:r>
        <w:rPr>
          <w:rFonts w:ascii="Segoe UI Semibold" w:hAnsi="Segoe UI Semibold"/>
          <w:color w:val="2E7D32"/>
        </w:rPr>
        <w:t>5.1  Pourquoi un GPU loué</w:t>
      </w:r>
    </w:p>
    <w:p>
      <w:pPr>
        <w:spacing w:after="120"/>
      </w:pPr>
      <w:r>
        <w:rPr>
          <w:i w:val="0"/>
          <w:color w:val="33373B"/>
          <w:sz w:val="21"/>
        </w:rPr>
        <w:t>La génération du corpus et l'entraînement exigent un GPU récent. Plutôt qu'un investissement matériel, le projet loue un pod GPU à l'heure (RunPod) — cohérent avec le principe de modestie. Tout tourne sur le pod ; rien n'est installé durablement en local.</w:t>
      </w:r>
    </w:p>
    <w:p>
      <w:pPr>
        <w:pStyle w:val="Heading2"/>
      </w:pPr>
      <w:r>
        <w:rPr>
          <w:rFonts w:ascii="Segoe UI Semibold" w:hAnsi="Segoe UI Semibold"/>
          <w:color w:val="2E7D32"/>
        </w:rPr>
        <w:t>5.2  Mise en place du pod</w:t>
      </w:r>
    </w:p>
    <w:p>
      <w:pPr>
        <w:pStyle w:val="ListBullet"/>
      </w:pPr>
      <w:r>
        <w:rPr>
          <w:b/>
          <w:color w:val="33373B"/>
          <w:sz w:val="21"/>
        </w:rPr>
        <w:t xml:space="preserve">Template — </w:t>
      </w:r>
      <w:r>
        <w:rPr>
          <w:color w:val="33373B"/>
          <w:sz w:val="21"/>
        </w:rPr>
        <w:t>image avec Python + PyTorch + CUDA. Le choix de la version CUDA s'est révélé décisif (voir 5.3).</w:t>
      </w:r>
    </w:p>
    <w:p>
      <w:pPr>
        <w:pStyle w:val="ListBullet"/>
      </w:pPr>
      <w:r>
        <w:rPr>
          <w:b/>
          <w:color w:val="33373B"/>
          <w:sz w:val="21"/>
        </w:rPr>
        <w:t xml:space="preserve">Accès — </w:t>
      </w:r>
      <w:r>
        <w:rPr>
          <w:color w:val="33373B"/>
          <w:sz w:val="21"/>
        </w:rPr>
        <w:t>Jupyter Lab (port 8888) ; on ouvre un terminal dans Jupyter.</w:t>
      </w:r>
    </w:p>
    <w:p>
      <w:pPr>
        <w:pStyle w:val="ListBullet"/>
      </w:pPr>
      <w:r>
        <w:rPr>
          <w:b/>
          <w:color w:val="33373B"/>
          <w:sz w:val="21"/>
        </w:rPr>
        <w:t xml:space="preserve">Mise en place — </w:t>
      </w:r>
      <w:r>
        <w:rPr>
          <w:color w:val="33373B"/>
          <w:sz w:val="21"/>
        </w:rPr>
        <w:t>git clone du dépôt sur le pod, export du token Hugging Face, puis lancement des scripts clés en main pod_generate.sh et pod_train.sh.</w:t>
      </w:r>
    </w:p>
    <w:p>
      <w:pPr>
        <w:pStyle w:val="ListBullet"/>
      </w:pPr>
      <w:r>
        <w:rPr>
          <w:b/>
          <w:color w:val="33373B"/>
          <w:sz w:val="21"/>
        </w:rPr>
        <w:t xml:space="preserve">GPU retenu — </w:t>
      </w:r>
      <w:r>
        <w:rPr>
          <w:color w:val="33373B"/>
          <w:sz w:val="21"/>
        </w:rPr>
        <w:t>NVIDIA L4 (24 Go VRAM) — suffisant pour servir le modèle FP8 et pour le QLoRA de l'affinage.</w:t>
      </w:r>
    </w:p>
    <w:p>
      <w:pPr>
        <w:pStyle w:val="Heading2"/>
      </w:pPr>
      <w:r>
        <w:rPr>
          <w:rFonts w:ascii="Segoe UI Semibold" w:hAnsi="Segoe UI Semibold"/>
          <w:color w:val="2E7D32"/>
        </w:rPr>
        <w:t>5.3  Le parcours des blocages résolus</w:t>
      </w:r>
    </w:p>
    <w:p>
      <w:pPr>
        <w:spacing w:after="120"/>
      </w:pPr>
      <w:r>
        <w:rPr>
          <w:i w:val="0"/>
          <w:color w:val="33373B"/>
          <w:sz w:val="21"/>
        </w:rPr>
        <w:t>La mise en route a traversé une série de blocages instructifs. Chacun est documenté ci-dessous (symptôme → cause → solution), car ils constituent une véritable recette opérationnelle pour Ministral 3 sur GPU loué.</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color="auto" w:fill="6F4E37"/>
          </w:tcPr>
          <w:p>
            <w:pPr>
              <w:jc w:val="left"/>
            </w:pPr>
            <w:r>
              <w:rPr>
                <w:b/>
                <w:color w:val="FFFFFF"/>
                <w:sz w:val="20"/>
              </w:rPr>
              <w:t>Symptôme</w:t>
            </w:r>
          </w:p>
        </w:tc>
        <w:tc>
          <w:tcPr>
            <w:tcW w:type="dxa" w:w="3061"/>
            <w:shd w:val="clear" w:color="auto" w:fill="6F4E37"/>
          </w:tcPr>
          <w:p>
            <w:pPr>
              <w:jc w:val="left"/>
            </w:pPr>
            <w:r>
              <w:rPr>
                <w:b/>
                <w:color w:val="FFFFFF"/>
                <w:sz w:val="20"/>
              </w:rPr>
              <w:t>Cause</w:t>
            </w:r>
          </w:p>
        </w:tc>
        <w:tc>
          <w:tcPr>
            <w:tcW w:type="dxa" w:w="3061"/>
            <w:shd w:val="clear" w:color="auto" w:fill="6F4E37"/>
          </w:tcPr>
          <w:p>
            <w:pPr>
              <w:jc w:val="left"/>
            </w:pPr>
            <w:r>
              <w:rPr>
                <w:b/>
                <w:color w:val="FFFFFF"/>
                <w:sz w:val="20"/>
              </w:rPr>
              <w:t>Solution</w:t>
            </w:r>
          </w:p>
        </w:tc>
      </w:tr>
      <w:tr>
        <w:tc>
          <w:tcPr>
            <w:tcW w:type="dxa" w:w="2948"/>
          </w:tcPr>
          <w:p>
            <w:r>
              <w:rPr>
                <w:color w:val="33373B"/>
                <w:sz w:val="19"/>
              </w:rPr>
              <w:t>« Can't load the configuration » au démarrage de vLLM</w:t>
            </w:r>
          </w:p>
        </w:tc>
        <w:tc>
          <w:tcPr>
            <w:tcW w:type="dxa" w:w="3061"/>
          </w:tcPr>
          <w:p>
            <w:r>
              <w:rPr>
                <w:color w:val="33373B"/>
                <w:sz w:val="19"/>
              </w:rPr>
              <w:t>transformers 4.x trop ancienne ; Ministral 3 exige transformers ≥ 5</w:t>
            </w:r>
          </w:p>
        </w:tc>
        <w:tc>
          <w:tcPr>
            <w:tcW w:type="dxa" w:w="3061"/>
          </w:tcPr>
          <w:p>
            <w:r>
              <w:rPr>
                <w:color w:val="33373B"/>
                <w:sz w:val="19"/>
              </w:rPr>
              <w:t>Installer transformers récent (≥ 5.12 / branche main)</w:t>
            </w:r>
          </w:p>
        </w:tc>
      </w:tr>
      <w:tr>
        <w:tc>
          <w:tcPr>
            <w:tcW w:type="dxa" w:w="2948"/>
          </w:tcPr>
          <w:p>
            <w:r>
              <w:rPr>
                <w:color w:val="33373B"/>
                <w:sz w:val="19"/>
              </w:rPr>
              <w:t>Crash MistralCommonPixtralProcessor</w:t>
            </w:r>
          </w:p>
        </w:tc>
        <w:tc>
          <w:tcPr>
            <w:tcW w:type="dxa" w:w="3061"/>
          </w:tcPr>
          <w:p>
            <w:r>
              <w:rPr>
                <w:color w:val="33373B"/>
                <w:sz w:val="19"/>
              </w:rPr>
              <w:t>vLLM profile la tour vision (pixtral) avec une fausse image</w:t>
            </w:r>
          </w:p>
        </w:tc>
        <w:tc>
          <w:tcPr>
            <w:tcW w:type="dxa" w:w="3061"/>
          </w:tcPr>
          <w:p>
            <w:r>
              <w:rPr>
                <w:color w:val="33373B"/>
                <w:sz w:val="19"/>
              </w:rPr>
              <w:t>Servir en texte seul : --limit-mm-per-prompt '{"image": 0}'</w:t>
            </w:r>
          </w:p>
        </w:tc>
      </w:tr>
      <w:tr>
        <w:tc>
          <w:tcPr>
            <w:tcW w:type="dxa" w:w="2948"/>
          </w:tcPr>
          <w:p>
            <w:r>
              <w:rPr>
                <w:color w:val="33373B"/>
                <w:sz w:val="19"/>
              </w:rPr>
              <w:t>pip « Killed » pendant l'installation</w:t>
            </w:r>
          </w:p>
        </w:tc>
        <w:tc>
          <w:tcPr>
            <w:tcW w:type="dxa" w:w="3061"/>
          </w:tcPr>
          <w:p>
            <w:r>
              <w:rPr>
                <w:color w:val="33373B"/>
                <w:sz w:val="19"/>
              </w:rPr>
              <w:t>Overlay du conteneur (~5 Go) saturé par le cache pip</w:t>
            </w:r>
          </w:p>
        </w:tc>
        <w:tc>
          <w:tcPr>
            <w:tcW w:type="dxa" w:w="3061"/>
          </w:tcPr>
          <w:p>
            <w:r>
              <w:rPr>
                <w:color w:val="33373B"/>
                <w:sz w:val="19"/>
              </w:rPr>
              <w:t>pip --no-cache-dir + caches sur /workspace</w:t>
            </w:r>
          </w:p>
        </w:tc>
      </w:tr>
      <w:tr>
        <w:tc>
          <w:tcPr>
            <w:tcW w:type="dxa" w:w="2948"/>
          </w:tcPr>
          <w:p>
            <w:r>
              <w:rPr>
                <w:color w:val="33373B"/>
                <w:sz w:val="19"/>
              </w:rPr>
              <w:t>Le modèle de 16 Go ne tient pas</w:t>
            </w:r>
          </w:p>
        </w:tc>
        <w:tc>
          <w:tcPr>
            <w:tcW w:type="dxa" w:w="3061"/>
          </w:tcPr>
          <w:p>
            <w:r>
              <w:rPr>
                <w:color w:val="33373B"/>
                <w:sz w:val="19"/>
              </w:rPr>
              <w:t>Cache HF par défaut sur l'overlay de 5 Go</w:t>
            </w:r>
          </w:p>
        </w:tc>
        <w:tc>
          <w:tcPr>
            <w:tcW w:type="dxa" w:w="3061"/>
          </w:tcPr>
          <w:p>
            <w:r>
              <w:rPr>
                <w:color w:val="33373B"/>
                <w:sz w:val="19"/>
              </w:rPr>
              <w:t>export HF_HOME=/workspace/.hf (gros volume)</w:t>
            </w:r>
          </w:p>
        </w:tc>
      </w:tr>
      <w:tr>
        <w:tc>
          <w:tcPr>
            <w:tcW w:type="dxa" w:w="2948"/>
          </w:tcPr>
          <w:p>
            <w:r>
              <w:rPr>
                <w:color w:val="33373B"/>
                <w:sz w:val="19"/>
              </w:rPr>
              <w:t>Toutes les requêtes vLLM renvoient 500</w:t>
            </w:r>
          </w:p>
        </w:tc>
        <w:tc>
          <w:tcPr>
            <w:tcW w:type="dxa" w:w="3061"/>
          </w:tcPr>
          <w:p>
            <w:r>
              <w:rPr>
                <w:color w:val="33373B"/>
                <w:sz w:val="19"/>
              </w:rPr>
              <w:t>prometheus-fastapi-instrumentator incompatible avec Starlette</w:t>
            </w:r>
          </w:p>
        </w:tc>
        <w:tc>
          <w:tcPr>
            <w:tcW w:type="dxa" w:w="3061"/>
          </w:tcPr>
          <w:p>
            <w:r>
              <w:rPr>
                <w:color w:val="33373B"/>
                <w:sz w:val="19"/>
              </w:rPr>
              <w:t>pip install -U prometheus-fastapi-instrumentator</w:t>
            </w:r>
          </w:p>
        </w:tc>
      </w:tr>
      <w:tr>
        <w:tc>
          <w:tcPr>
            <w:tcW w:type="dxa" w:w="2948"/>
          </w:tcPr>
          <w:p>
            <w:r>
              <w:rPr>
                <w:color w:val="33373B"/>
                <w:sz w:val="19"/>
              </w:rPr>
              <w:t>« NVIDIA driver too old (12040) »</w:t>
            </w:r>
          </w:p>
        </w:tc>
        <w:tc>
          <w:tcPr>
            <w:tcW w:type="dxa" w:w="3061"/>
          </w:tcPr>
          <w:p>
            <w:r>
              <w:rPr>
                <w:color w:val="33373B"/>
                <w:sz w:val="19"/>
              </w:rPr>
              <w:t>Hôte en CUDA 12.4 ; vLLM 0.23 exige CUDA ≥ 12.8</w:t>
            </w:r>
          </w:p>
        </w:tc>
        <w:tc>
          <w:tcPr>
            <w:tcW w:type="dxa" w:w="3061"/>
          </w:tcPr>
          <w:p>
            <w:r>
              <w:rPr>
                <w:color w:val="33373B"/>
                <w:sz w:val="19"/>
              </w:rPr>
              <w:t>Choisir un pod en CUDA ≥ 12.8 (ici template CUDA 13.0)</w:t>
            </w:r>
          </w:p>
        </w:tc>
      </w:tr>
      <w:tr>
        <w:tc>
          <w:tcPr>
            <w:tcW w:type="dxa" w:w="2948"/>
          </w:tcPr>
          <w:p>
            <w:r>
              <w:rPr>
                <w:color w:val="33373B"/>
                <w:sz w:val="19"/>
              </w:rPr>
              <w:t>EngineCore : « Free memory … 1.38/21.95 GiB »</w:t>
            </w:r>
          </w:p>
        </w:tc>
        <w:tc>
          <w:tcPr>
            <w:tcW w:type="dxa" w:w="3061"/>
          </w:tcPr>
          <w:p>
            <w:r>
              <w:rPr>
                <w:color w:val="33373B"/>
                <w:sz w:val="19"/>
              </w:rPr>
              <w:t>VRAM retenue par un processus orphelin (invisible)</w:t>
            </w:r>
          </w:p>
        </w:tc>
        <w:tc>
          <w:tcPr>
            <w:tcW w:type="dxa" w:w="3061"/>
          </w:tcPr>
          <w:p>
            <w:r>
              <w:rPr>
                <w:color w:val="33373B"/>
                <w:sz w:val="19"/>
              </w:rPr>
              <w:t>Stop/Start du pod (réinitialise le GPU)</w:t>
            </w:r>
          </w:p>
        </w:tc>
      </w:tr>
      <w:tr>
        <w:tc>
          <w:tcPr>
            <w:tcW w:type="dxa" w:w="2948"/>
          </w:tcPr>
          <w:p>
            <w:r>
              <w:rPr>
                <w:color w:val="33373B"/>
                <w:sz w:val="19"/>
              </w:rPr>
              <w:t>ModuleNotFoundError : structlog</w:t>
            </w:r>
          </w:p>
        </w:tc>
        <w:tc>
          <w:tcPr>
            <w:tcW w:type="dxa" w:w="3061"/>
          </w:tcPr>
          <w:p>
            <w:r>
              <w:rPr>
                <w:color w:val="33373B"/>
                <w:sz w:val="19"/>
              </w:rPr>
              <w:t>Dépendance manquante du script de corpus</w:t>
            </w:r>
          </w:p>
        </w:tc>
        <w:tc>
          <w:tcPr>
            <w:tcW w:type="dxa" w:w="3061"/>
          </w:tcPr>
          <w:p>
            <w:r>
              <w:rPr>
                <w:color w:val="33373B"/>
                <w:sz w:val="19"/>
              </w:rPr>
              <w:t>Ajout de structlog à requirements-corpus.txt</w:t>
            </w:r>
          </w:p>
        </w:tc>
      </w:tr>
    </w:tbl>
    <w:p>
      <w:pPr>
        <w:spacing w:after="40"/>
      </w:pPr>
    </w:p>
    <w:p>
      <w:pPr>
        <w:shd w:val="clear" w:color="auto" w:fill="FBF1E3"/>
        <w:pBdr>
          <w:left w:val="single" w:sz="18" w:space="10" w:color="6F4E37"/>
        </w:pBdr>
        <w:spacing w:before="120" w:after="160"/>
        <w:ind w:left="120" w:right="120"/>
      </w:pPr>
      <w:r>
        <w:rPr>
          <w:b/>
          <w:color w:val="33373B"/>
          <w:sz w:val="21"/>
        </w:rPr>
        <w:t xml:space="preserve">Astuce terminal.  </w:t>
      </w:r>
      <w:r>
        <w:rPr>
          <w:color w:val="33373B"/>
          <w:sz w:val="21"/>
        </w:rPr>
        <w:t>Le shell minimal du pod corrompt les collages de commandes multi-lignes (il injecte des « &gt; »). On privilégie donc le lancement des scripts du dépôt plutôt que le collage de longues commandes.</w:t>
      </w:r>
    </w:p>
    <w:p>
      <w:pPr>
        <w:pStyle w:val="Heading2"/>
      </w:pPr>
      <w:r>
        <w:rPr>
          <w:rFonts w:ascii="Segoe UI Semibold" w:hAnsi="Segoe UI Semibold"/>
          <w:color w:val="2E7D32"/>
        </w:rPr>
        <w:t>5.4  La recette qui fonctionne</w:t>
      </w:r>
    </w:p>
    <w:p>
      <w:pPr>
        <w:spacing w:after="120"/>
      </w:pPr>
      <w:r>
        <w:rPr>
          <w:i w:val="0"/>
          <w:color w:val="33373B"/>
          <w:sz w:val="21"/>
        </w:rPr>
        <w:t>Une fois les blocages levés, la procédure se résume à :</w:t>
      </w:r>
    </w:p>
    <w:p>
      <w:pPr>
        <w:shd w:val="clear" w:color="auto" w:fill="F4F4F4"/>
        <w:spacing w:before="120" w:after="0"/>
        <w:ind w:left="120"/>
      </w:pPr>
      <w:r>
        <w:rPr>
          <w:rFonts w:ascii="Consolas" w:hAnsi="Consolas"/>
          <w:color w:val="1B1B1B"/>
          <w:sz w:val="19"/>
        </w:rPr>
        <w:t>cd /workspace</w:t>
      </w:r>
    </w:p>
    <w:p>
      <w:pPr>
        <w:shd w:val="clear" w:color="auto" w:fill="F4F4F4"/>
        <w:spacing w:after="0"/>
        <w:ind w:left="120"/>
      </w:pPr>
      <w:r>
        <w:rPr>
          <w:rFonts w:ascii="Consolas" w:hAnsi="Consolas"/>
          <w:color w:val="1B1B1B"/>
          <w:sz w:val="19"/>
        </w:rPr>
        <w:t>git clone -b develop https://github.com/Couldevlop/opencacao.git</w:t>
      </w:r>
    </w:p>
    <w:p>
      <w:pPr>
        <w:shd w:val="clear" w:color="auto" w:fill="F4F4F4"/>
        <w:spacing w:after="0"/>
        <w:ind w:left="120"/>
      </w:pPr>
      <w:r>
        <w:rPr>
          <w:rFonts w:ascii="Consolas" w:hAnsi="Consolas"/>
          <w:color w:val="1B1B1B"/>
          <w:sz w:val="19"/>
        </w:rPr>
        <w:t>cd opencacao</w:t>
      </w:r>
    </w:p>
    <w:p>
      <w:pPr>
        <w:shd w:val="clear" w:color="auto" w:fill="F4F4F4"/>
        <w:spacing w:after="0"/>
        <w:ind w:left="120"/>
      </w:pPr>
      <w:r>
        <w:rPr>
          <w:rFonts w:ascii="Consolas" w:hAnsi="Consolas"/>
          <w:color w:val="1B1B1B"/>
          <w:sz w:val="19"/>
        </w:rPr>
        <w:t>export HF_TOKEN=hf_xxxxxxxx</w:t>
      </w:r>
    </w:p>
    <w:p>
      <w:pPr>
        <w:shd w:val="clear" w:color="auto" w:fill="F4F4F4"/>
        <w:spacing w:after="0"/>
        <w:ind w:left="120"/>
      </w:pPr>
      <w:r>
        <w:rPr>
          <w:rFonts w:ascii="Consolas" w:hAnsi="Consolas"/>
          <w:color w:val="1B1B1B"/>
          <w:sz w:val="19"/>
        </w:rPr>
        <w:t>bash training/scripts/pod_generate.sh 10000     # génération du corpus (~plusieurs heures)</w:t>
      </w:r>
    </w:p>
    <w:p>
      <w:pPr>
        <w:shd w:val="clear" w:color="auto" w:fill="F4F4F4"/>
        <w:spacing w:after="0"/>
        <w:ind w:left="120"/>
      </w:pPr>
      <w:r>
        <w:rPr>
          <w:rFonts w:ascii="Consolas" w:hAnsi="Consolas"/>
          <w:color w:val="1B1B1B"/>
          <w:sz w:val="19"/>
        </w:rPr>
        <w:t>runpodctl send corpus/corpus_cacao_rag.jsonl    # sauvegarde vers le PC</w:t>
      </w:r>
    </w:p>
    <w:p>
      <w:pPr>
        <w:spacing w:after="40"/>
      </w:pPr>
    </w:p>
    <w:p>
      <w:pPr>
        <w:shd w:val="clear" w:color="auto" w:fill="EAF3EA"/>
        <w:pBdr>
          <w:left w:val="single" w:sz="18" w:space="10" w:color="2E7D32"/>
        </w:pBdr>
        <w:spacing w:before="120" w:after="160"/>
        <w:ind w:left="120" w:right="120"/>
      </w:pPr>
      <w:r>
        <w:rPr>
          <w:b/>
          <w:color w:val="33373B"/>
          <w:sz w:val="21"/>
        </w:rPr>
        <w:t xml:space="preserve">Tous les correctifs intégrés.  </w:t>
      </w:r>
      <w:r>
        <w:rPr>
          <w:color w:val="33373B"/>
          <w:sz w:val="21"/>
        </w:rPr>
        <w:t>Les scripts pod_generate.sh et pod_train.sh embarquent désormais l'ensemble de ces correctifs (caches /workspace, --no-cache-dir, image=0, réparation prometheus, attente robuste du serveur, nettoyage des vLLM zombies).</w:t>
      </w:r>
    </w:p>
    <w:p>
      <w:pPr>
        <w:pStyle w:val="Heading1"/>
      </w:pPr>
      <w:r>
        <w:rPr>
          <w:rFonts w:ascii="Segoe UI Semibold" w:hAnsi="Segoe UI Semibold"/>
          <w:color w:val="6F4E37"/>
        </w:rPr>
        <w:t>6.  L'entraînement LoRA</w:t>
      </w:r>
    </w:p>
    <w:p>
      <w:pPr>
        <w:pStyle w:val="Heading2"/>
      </w:pPr>
      <w:r>
        <w:rPr>
          <w:rFonts w:ascii="Segoe UI Semibold" w:hAnsi="Segoe UI Semibold"/>
          <w:color w:val="2E7D32"/>
        </w:rPr>
        <w:t>6.1  Le principe : QLoRA 4-bit</w:t>
      </w:r>
    </w:p>
    <w:p>
      <w:pPr>
        <w:spacing w:after="120"/>
      </w:pPr>
      <w:r>
        <w:rPr>
          <w:i w:val="0"/>
          <w:color w:val="33373B"/>
          <w:sz w:val="21"/>
        </w:rPr>
        <w:t>Plutôt qu'un fine-tuning complet (coûteux, multi-GPU), on utilise le QLoRA : le modèle de base est chargé en 4-bit (quantification NF4) et seuls de petits adaptateurs de rang faible (LoRA) sont entraînés. Cela permet d'affiner un modèle de 8 milliards de paramètres sur un seul GPU de 24 Go.</w:t>
      </w:r>
    </w:p>
    <w:p>
      <w:pPr>
        <w:pStyle w:val="Heading2"/>
      </w:pPr>
      <w:r>
        <w:rPr>
          <w:rFonts w:ascii="Segoe UI Semibold" w:hAnsi="Segoe UI Semibold"/>
          <w:color w:val="2E7D32"/>
        </w:rPr>
        <w:t>6.2  Les adaptations propres à Ministral 3</w:t>
      </w:r>
    </w:p>
    <w:p>
      <w:pPr>
        <w:spacing w:after="120"/>
      </w:pPr>
      <w:r>
        <w:rPr>
          <w:i w:val="0"/>
          <w:color w:val="33373B"/>
          <w:sz w:val="21"/>
        </w:rPr>
        <w:t>Le code d'entraînement, hérité de Mistral 7B, ne pouvait pas charger Ministral 3 tel quel. Quatre adaptations ont été nécessaires :</w:t>
      </w:r>
    </w:p>
    <w:p>
      <w:pPr>
        <w:pStyle w:val="ListBullet"/>
      </w:pPr>
      <w:r>
        <w:rPr>
          <w:b/>
          <w:color w:val="33373B"/>
          <w:sz w:val="21"/>
        </w:rPr>
        <w:t xml:space="preserve">Base BF16 — </w:t>
      </w:r>
      <w:r>
        <w:rPr>
          <w:color w:val="33373B"/>
          <w:sz w:val="21"/>
        </w:rPr>
        <w:t>on entraîne sur la variante BF16 (la version Instruct par défaut est en FP8, non re-quantifiable proprement en 4-bit).</w:t>
      </w:r>
    </w:p>
    <w:p>
      <w:pPr>
        <w:pStyle w:val="ListBullet"/>
      </w:pPr>
      <w:r>
        <w:rPr>
          <w:b/>
          <w:color w:val="33373B"/>
          <w:sz w:val="21"/>
        </w:rPr>
        <w:t xml:space="preserve">Classe multimodale — </w:t>
      </w:r>
      <w:r>
        <w:rPr>
          <w:color w:val="33373B"/>
          <w:sz w:val="21"/>
        </w:rPr>
        <w:t>chargement via AutoModelForImageTextToText (et non AutoModelForCausalLM), car Ministral 3 est un modèle image-texte.</w:t>
      </w:r>
    </w:p>
    <w:p>
      <w:pPr>
        <w:pStyle w:val="ListBullet"/>
      </w:pPr>
      <w:r>
        <w:rPr>
          <w:b/>
          <w:color w:val="33373B"/>
          <w:sz w:val="21"/>
        </w:rPr>
        <w:t xml:space="preserve">Ciblage LoRA — </w:t>
      </w:r>
      <w:r>
        <w:rPr>
          <w:color w:val="33373B"/>
          <w:sz w:val="21"/>
        </w:rPr>
        <w:t>le LoRA ne cible que le modèle de langue (regex sur les modules language_model), pour exclure la tour vision inutile sur un corpus 100 % texte.</w:t>
      </w:r>
    </w:p>
    <w:p>
      <w:pPr>
        <w:pStyle w:val="ListBullet"/>
      </w:pPr>
      <w:r>
        <w:rPr>
          <w:b/>
          <w:color w:val="33373B"/>
          <w:sz w:val="21"/>
        </w:rPr>
        <w:t xml:space="preserve">API TRL moderne — </w:t>
      </w:r>
      <w:r>
        <w:rPr>
          <w:color w:val="33373B"/>
          <w:sz w:val="21"/>
        </w:rPr>
        <w:t>configuration via SFTConfig (max_length, processing_class), conforme à TRL 1.x.</w:t>
      </w:r>
    </w:p>
    <w:p>
      <w:pPr>
        <w:shd w:val="clear" w:color="auto" w:fill="F3EFE9"/>
        <w:pBdr>
          <w:left w:val="single" w:sz="18" w:space="10" w:color="6F4E37"/>
        </w:pBdr>
        <w:spacing w:before="120" w:after="160"/>
        <w:ind w:left="120" w:right="120"/>
      </w:pPr>
      <w:r>
        <w:rPr>
          <w:b/>
          <w:color w:val="33373B"/>
          <w:sz w:val="21"/>
        </w:rPr>
        <w:t xml:space="preserve">Validation par smoke-test.  </w:t>
      </w:r>
      <w:r>
        <w:rPr>
          <w:color w:val="33373B"/>
          <w:sz w:val="21"/>
        </w:rPr>
        <w:t>Avant le run complet, un smoke-test de 3 pas charge le modèle et exécute 3 itérations. Il a confirmé sur le pod que le LoRA cible bien le modèle de langue (44,5 millions de paramètres entraînables, soit 0,5 % du total) — une garantie que la chaîne est correcte avant d'investir des heures de calcul.</w:t>
      </w:r>
    </w:p>
    <w:p>
      <w:pPr>
        <w:pStyle w:val="Heading2"/>
      </w:pPr>
      <w:r>
        <w:rPr>
          <w:rFonts w:ascii="Segoe UI Semibold" w:hAnsi="Segoe UI Semibold"/>
          <w:color w:val="2E7D32"/>
        </w:rPr>
        <w:t>6.3  Hyperparamètres épinglés</w:t>
      </w:r>
    </w:p>
    <w:tbl>
      <w:tblPr>
        <w:tblStyle w:val="TableGrid"/>
        <w:tblW w:type="auto" w:w="0"/>
        <w:jc w:val="center"/>
        <w:tblLook w:firstColumn="1" w:firstRow="1" w:lastColumn="0" w:lastRow="0" w:noHBand="0" w:noVBand="1" w:val="04A0"/>
      </w:tblPr>
      <w:tblGrid>
        <w:gridCol w:w="4759"/>
        <w:gridCol w:w="4759"/>
      </w:tblGrid>
      <w:tr>
        <w:tc>
          <w:tcPr>
            <w:tcW w:type="dxa" w:w="4252"/>
            <w:shd w:val="clear" w:color="auto" w:fill="6F4E37"/>
          </w:tcPr>
          <w:p>
            <w:pPr>
              <w:jc w:val="left"/>
            </w:pPr>
            <w:r>
              <w:rPr>
                <w:b/>
                <w:color w:val="FFFFFF"/>
                <w:sz w:val="20"/>
              </w:rPr>
              <w:t>Paramètre</w:t>
            </w:r>
          </w:p>
        </w:tc>
        <w:tc>
          <w:tcPr>
            <w:tcW w:type="dxa" w:w="4819"/>
            <w:shd w:val="clear" w:color="auto" w:fill="6F4E37"/>
          </w:tcPr>
          <w:p>
            <w:pPr>
              <w:jc w:val="left"/>
            </w:pPr>
            <w:r>
              <w:rPr>
                <w:b/>
                <w:color w:val="FFFFFF"/>
                <w:sz w:val="20"/>
              </w:rPr>
              <w:t>Valeur</w:t>
            </w:r>
          </w:p>
        </w:tc>
      </w:tr>
      <w:tr>
        <w:tc>
          <w:tcPr>
            <w:tcW w:type="dxa" w:w="4252"/>
          </w:tcPr>
          <w:p>
            <w:r>
              <w:rPr>
                <w:color w:val="33373B"/>
                <w:sz w:val="19"/>
              </w:rPr>
              <w:t>Rang LoRA (r) / alpha / dropout</w:t>
            </w:r>
          </w:p>
        </w:tc>
        <w:tc>
          <w:tcPr>
            <w:tcW w:type="dxa" w:w="4819"/>
          </w:tcPr>
          <w:p>
            <w:r>
              <w:rPr>
                <w:color w:val="33373B"/>
                <w:sz w:val="19"/>
              </w:rPr>
              <w:t>16 / 32 / 0,05</w:t>
            </w:r>
          </w:p>
        </w:tc>
      </w:tr>
      <w:tr>
        <w:tc>
          <w:tcPr>
            <w:tcW w:type="dxa" w:w="4252"/>
          </w:tcPr>
          <w:p>
            <w:r>
              <w:rPr>
                <w:color w:val="33373B"/>
                <w:sz w:val="19"/>
              </w:rPr>
              <w:t>Modules ciblés</w:t>
            </w:r>
          </w:p>
        </w:tc>
        <w:tc>
          <w:tcPr>
            <w:tcW w:type="dxa" w:w="4819"/>
          </w:tcPr>
          <w:p>
            <w:r>
              <w:rPr>
                <w:color w:val="33373B"/>
                <w:sz w:val="19"/>
              </w:rPr>
              <w:t>q,k,v,o_proj + gate,up,down_proj (modèle de langue)</w:t>
            </w:r>
          </w:p>
        </w:tc>
      </w:tr>
      <w:tr>
        <w:tc>
          <w:tcPr>
            <w:tcW w:type="dxa" w:w="4252"/>
          </w:tcPr>
          <w:p>
            <w:r>
              <w:rPr>
                <w:color w:val="33373B"/>
                <w:sz w:val="19"/>
              </w:rPr>
              <w:t>Quantification</w:t>
            </w:r>
          </w:p>
        </w:tc>
        <w:tc>
          <w:tcPr>
            <w:tcW w:type="dxa" w:w="4819"/>
          </w:tcPr>
          <w:p>
            <w:r>
              <w:rPr>
                <w:color w:val="33373B"/>
                <w:sz w:val="19"/>
              </w:rPr>
              <w:t>4-bit NF4, double quantification, calcul bfloat16</w:t>
            </w:r>
          </w:p>
        </w:tc>
      </w:tr>
      <w:tr>
        <w:tc>
          <w:tcPr>
            <w:tcW w:type="dxa" w:w="4252"/>
          </w:tcPr>
          <w:p>
            <w:r>
              <w:rPr>
                <w:color w:val="33373B"/>
                <w:sz w:val="19"/>
              </w:rPr>
              <w:t>Epochs</w:t>
            </w:r>
          </w:p>
        </w:tc>
        <w:tc>
          <w:tcPr>
            <w:tcW w:type="dxa" w:w="4819"/>
          </w:tcPr>
          <w:p>
            <w:r>
              <w:rPr>
                <w:color w:val="33373B"/>
                <w:sz w:val="19"/>
              </w:rPr>
              <w:t>3</w:t>
            </w:r>
          </w:p>
        </w:tc>
      </w:tr>
      <w:tr>
        <w:tc>
          <w:tcPr>
            <w:tcW w:type="dxa" w:w="4252"/>
          </w:tcPr>
          <w:p>
            <w:r>
              <w:rPr>
                <w:color w:val="33373B"/>
                <w:sz w:val="19"/>
              </w:rPr>
              <w:t>Batch (par device × accumulation)</w:t>
            </w:r>
          </w:p>
        </w:tc>
        <w:tc>
          <w:tcPr>
            <w:tcW w:type="dxa" w:w="4819"/>
          </w:tcPr>
          <w:p>
            <w:r>
              <w:rPr>
                <w:color w:val="33373B"/>
                <w:sz w:val="19"/>
              </w:rPr>
              <w:t>4 × 4 = 16 effectif</w:t>
            </w:r>
          </w:p>
        </w:tc>
      </w:tr>
      <w:tr>
        <w:tc>
          <w:tcPr>
            <w:tcW w:type="dxa" w:w="4252"/>
          </w:tcPr>
          <w:p>
            <w:r>
              <w:rPr>
                <w:color w:val="33373B"/>
                <w:sz w:val="19"/>
              </w:rPr>
              <w:t>Learning rate / scheduler</w:t>
            </w:r>
          </w:p>
        </w:tc>
        <w:tc>
          <w:tcPr>
            <w:tcW w:type="dxa" w:w="4819"/>
          </w:tcPr>
          <w:p>
            <w:r>
              <w:rPr>
                <w:color w:val="33373B"/>
                <w:sz w:val="19"/>
              </w:rPr>
              <w:t>2e-4 / cosine, warmup 3 %</w:t>
            </w:r>
          </w:p>
        </w:tc>
      </w:tr>
      <w:tr>
        <w:tc>
          <w:tcPr>
            <w:tcW w:type="dxa" w:w="4252"/>
          </w:tcPr>
          <w:p>
            <w:r>
              <w:rPr>
                <w:color w:val="33373B"/>
                <w:sz w:val="19"/>
              </w:rPr>
              <w:t>Longueur de séquence</w:t>
            </w:r>
          </w:p>
        </w:tc>
        <w:tc>
          <w:tcPr>
            <w:tcW w:type="dxa" w:w="4819"/>
          </w:tcPr>
          <w:p>
            <w:r>
              <w:rPr>
                <w:color w:val="33373B"/>
                <w:sz w:val="19"/>
              </w:rPr>
              <w:t>1024 tokens</w:t>
            </w:r>
          </w:p>
        </w:tc>
      </w:tr>
      <w:tr>
        <w:tc>
          <w:tcPr>
            <w:tcW w:type="dxa" w:w="4252"/>
          </w:tcPr>
          <w:p>
            <w:r>
              <w:rPr>
                <w:color w:val="33373B"/>
                <w:sz w:val="19"/>
              </w:rPr>
              <w:t>Graine (reproductibilité)</w:t>
            </w:r>
          </w:p>
        </w:tc>
        <w:tc>
          <w:tcPr>
            <w:tcW w:type="dxa" w:w="4819"/>
          </w:tcPr>
          <w:p>
            <w:r>
              <w:rPr>
                <w:color w:val="33373B"/>
                <w:sz w:val="19"/>
              </w:rPr>
              <w:t>42</w:t>
            </w:r>
          </w:p>
        </w:tc>
      </w:tr>
    </w:tbl>
    <w:p>
      <w:pPr>
        <w:spacing w:after="40"/>
      </w:pPr>
    </w:p>
    <w:p>
      <w:pPr>
        <w:pStyle w:val="Heading2"/>
      </w:pPr>
      <w:r>
        <w:rPr>
          <w:rFonts w:ascii="Segoe UI Semibold" w:hAnsi="Segoe UI Semibold"/>
          <w:color w:val="2E7D32"/>
        </w:rPr>
        <w:t>6.4  Fusion et export</w:t>
      </w:r>
    </w:p>
    <w:p>
      <w:pPr>
        <w:spacing w:after="120"/>
      </w:pPr>
      <w:r>
        <w:rPr>
          <w:i w:val="0"/>
          <w:color w:val="33373B"/>
          <w:sz w:val="21"/>
        </w:rPr>
        <w:t>Après l'entraînement, merge_and_export.py fusionne l'adaptateur LoRA avec le modèle de base BF16 et produit le modèle fusionné dans models/opencacao-7b/, prêt pour vLLM, accompagné d'une empreinte SHA-256 pour le versionnement. Un export GGUF quantifié (Q4_K_M) est ensuite possible pour servir en CPU via llama.cpp.</w:t>
      </w:r>
    </w:p>
    <w:p>
      <w:pPr>
        <w:spacing w:after="120"/>
      </w:pPr>
      <w:r>
        <w:rPr>
          <w:i w:val="0"/>
          <w:color w:val="33373B"/>
          <w:sz w:val="21"/>
        </w:rPr>
        <w:t>Sur le GPU L4, le fine-tuning affiche une barre de progression Hugging Face avec un compte à rebours fiable — contrairement à la génération du corpus, silencieuse. La durée dépend de la taille du corpus et du nombre d'epochs.</w:t>
      </w:r>
    </w:p>
    <w:p>
      <w:pPr>
        <w:pStyle w:val="Heading1"/>
      </w:pPr>
      <w:r>
        <w:rPr>
          <w:rFonts w:ascii="Segoe UI Semibold" w:hAnsi="Segoe UI Semibold"/>
          <w:color w:val="6F4E37"/>
        </w:rPr>
        <w:t>7.  Reproductibilité : commandes clés</w:t>
      </w:r>
    </w:p>
    <w:p>
      <w:pPr>
        <w:pStyle w:val="Heading3"/>
      </w:pPr>
      <w:r>
        <w:rPr>
          <w:rFonts w:ascii="Segoe UI Semibold" w:hAnsi="Segoe UI Semibold"/>
          <w:color w:val="33373B"/>
        </w:rPr>
        <w:t>Génération du corpus (sur le pod)</w:t>
      </w:r>
    </w:p>
    <w:p>
      <w:pPr>
        <w:shd w:val="clear" w:color="auto" w:fill="F4F4F4"/>
        <w:spacing w:before="120" w:after="0"/>
        <w:ind w:left="120"/>
      </w:pPr>
      <w:r>
        <w:rPr>
          <w:rFonts w:ascii="Consolas" w:hAnsi="Consolas"/>
          <w:color w:val="1B1B1B"/>
          <w:sz w:val="19"/>
        </w:rPr>
        <w:t>bash training/scripts/pod_generate.sh 10000</w:t>
      </w:r>
    </w:p>
    <w:p>
      <w:pPr>
        <w:spacing w:after="40"/>
      </w:pPr>
    </w:p>
    <w:p>
      <w:pPr>
        <w:pStyle w:val="Heading3"/>
      </w:pPr>
      <w:r>
        <w:rPr>
          <w:rFonts w:ascii="Segoe UI Semibold" w:hAnsi="Segoe UI Semibold"/>
          <w:color w:val="33373B"/>
        </w:rPr>
        <w:t>Entraînement + fusion (sur le pod)</w:t>
      </w:r>
    </w:p>
    <w:p>
      <w:pPr>
        <w:shd w:val="clear" w:color="auto" w:fill="F4F4F4"/>
        <w:spacing w:before="120" w:after="0"/>
        <w:ind w:left="120"/>
      </w:pPr>
      <w:r>
        <w:rPr>
          <w:rFonts w:ascii="Consolas" w:hAnsi="Consolas"/>
          <w:color w:val="1B1B1B"/>
          <w:sz w:val="19"/>
        </w:rPr>
        <w:t>bash training/scripts/pod_train.sh</w:t>
      </w:r>
    </w:p>
    <w:p>
      <w:pPr>
        <w:spacing w:after="40"/>
      </w:pPr>
    </w:p>
    <w:p>
      <w:pPr>
        <w:pStyle w:val="Heading3"/>
      </w:pPr>
      <w:r>
        <w:rPr>
          <w:rFonts w:ascii="Segoe UI Semibold" w:hAnsi="Segoe UI Semibold"/>
          <w:color w:val="33373B"/>
        </w:rPr>
        <w:t>Récupération d'un fichier depuis le pod</w:t>
      </w:r>
    </w:p>
    <w:p>
      <w:pPr>
        <w:shd w:val="clear" w:color="auto" w:fill="F4F4F4"/>
        <w:spacing w:before="120" w:after="0"/>
        <w:ind w:left="120"/>
      </w:pPr>
      <w:r>
        <w:rPr>
          <w:rFonts w:ascii="Consolas" w:hAnsi="Consolas"/>
          <w:color w:val="1B1B1B"/>
          <w:sz w:val="19"/>
        </w:rPr>
        <w:t># sur le pod :</w:t>
      </w:r>
    </w:p>
    <w:p>
      <w:pPr>
        <w:shd w:val="clear" w:color="auto" w:fill="F4F4F4"/>
        <w:spacing w:after="0"/>
        <w:ind w:left="120"/>
      </w:pPr>
      <w:r>
        <w:rPr>
          <w:rFonts w:ascii="Consolas" w:hAnsi="Consolas"/>
          <w:color w:val="1B1B1B"/>
          <w:sz w:val="19"/>
        </w:rPr>
        <w:t>runpodctl send corpus/corpus_cacao_rag.jsonl</w:t>
      </w:r>
    </w:p>
    <w:p>
      <w:pPr>
        <w:shd w:val="clear" w:color="auto" w:fill="F4F4F4"/>
        <w:spacing w:after="0"/>
        <w:ind w:left="120"/>
      </w:pPr>
      <w:r>
        <w:rPr>
          <w:rFonts w:ascii="Consolas" w:hAnsi="Consolas"/>
          <w:color w:val="1B1B1B"/>
          <w:sz w:val="19"/>
        </w:rPr>
        <w:t># sur le PC :</w:t>
      </w:r>
    </w:p>
    <w:p>
      <w:pPr>
        <w:shd w:val="clear" w:color="auto" w:fill="F4F4F4"/>
        <w:spacing w:after="0"/>
        <w:ind w:left="120"/>
      </w:pPr>
      <w:r>
        <w:rPr>
          <w:rFonts w:ascii="Consolas" w:hAnsi="Consolas"/>
          <w:color w:val="1B1B1B"/>
          <w:sz w:val="19"/>
        </w:rPr>
        <w:t>runpodctl receive &lt;code-affiché&gt;</w:t>
      </w:r>
    </w:p>
    <w:p>
      <w:pPr>
        <w:spacing w:after="40"/>
      </w:pPr>
    </w:p>
    <w:p>
      <w:pPr>
        <w:pStyle w:val="Heading3"/>
      </w:pPr>
      <w:r>
        <w:rPr>
          <w:rFonts w:ascii="Segoe UI Semibold" w:hAnsi="Segoe UI Semibold"/>
          <w:color w:val="33373B"/>
        </w:rPr>
        <w:t>Validation locale du corpus</w:t>
      </w:r>
    </w:p>
    <w:p>
      <w:pPr>
        <w:shd w:val="clear" w:color="auto" w:fill="F4F4F4"/>
        <w:spacing w:before="120" w:after="0"/>
        <w:ind w:left="120"/>
      </w:pPr>
      <w:r>
        <w:rPr>
          <w:rFonts w:ascii="Consolas" w:hAnsi="Consolas"/>
          <w:color w:val="1B1B1B"/>
          <w:sz w:val="19"/>
        </w:rPr>
        <w:t>python training/scripts/enrich_corpus.py --check corpus/corpus_cacao_rag.jsonl</w:t>
      </w:r>
    </w:p>
    <w:p>
      <w:pPr>
        <w:spacing w:after="40"/>
      </w:pPr>
    </w:p>
    <w:p>
      <w:pPr>
        <w:pStyle w:val="Heading1"/>
      </w:pPr>
      <w:r>
        <w:rPr>
          <w:rFonts w:ascii="Segoe UI Semibold" w:hAnsi="Segoe UI Semibold"/>
          <w:color w:val="6F4E37"/>
        </w:rPr>
        <w:t>8.  Enseignements et bonnes pratiques</w:t>
      </w:r>
    </w:p>
    <w:p>
      <w:pPr>
        <w:pStyle w:val="ListBullet"/>
      </w:pPr>
      <w:r>
        <w:rPr>
          <w:b/>
          <w:color w:val="33373B"/>
          <w:sz w:val="21"/>
        </w:rPr>
        <w:t xml:space="preserve">Vérifier avant d'affirmer — </w:t>
      </w:r>
      <w:r>
        <w:rPr>
          <w:color w:val="33373B"/>
          <w:sz w:val="21"/>
        </w:rPr>
        <w:t>le nom du modèle et son existence réelle se vérifient sur Hugging Face plutôt que de mémoire.</w:t>
      </w:r>
    </w:p>
    <w:p>
      <w:pPr>
        <w:pStyle w:val="ListBullet"/>
      </w:pPr>
      <w:r>
        <w:rPr>
          <w:b/>
          <w:color w:val="33373B"/>
          <w:sz w:val="21"/>
        </w:rPr>
        <w:t xml:space="preserve">Un modèle récent impose un stack récent — </w:t>
      </w:r>
      <w:r>
        <w:rPr>
          <w:color w:val="33373B"/>
          <w:sz w:val="21"/>
        </w:rPr>
        <w:t>Ministral 3 (multimodal, FP8) a exigé transformers ≥ 5, une classe de modèle adaptée et la variante BF16 pour le QLoRA.</w:t>
      </w:r>
    </w:p>
    <w:p>
      <w:pPr>
        <w:pStyle w:val="ListBullet"/>
      </w:pPr>
      <w:r>
        <w:rPr>
          <w:b/>
          <w:color w:val="33373B"/>
          <w:sz w:val="21"/>
        </w:rPr>
        <w:t xml:space="preserve">Le pod n'est pas une machine ordinaire — </w:t>
      </w:r>
      <w:r>
        <w:rPr>
          <w:color w:val="33373B"/>
          <w:sz w:val="21"/>
        </w:rPr>
        <w:t>overlay minuscule, caches à rediriger vers le gros volume, VRAM parfois orpheline qu'un redémarrage seul libère, version CUDA de l'hôte déterminante.</w:t>
      </w:r>
    </w:p>
    <w:p>
      <w:pPr>
        <w:pStyle w:val="ListBullet"/>
      </w:pPr>
      <w:r>
        <w:rPr>
          <w:b/>
          <w:color w:val="33373B"/>
          <w:sz w:val="21"/>
        </w:rPr>
        <w:t xml:space="preserve">Échouer vite — </w:t>
      </w:r>
      <w:r>
        <w:rPr>
          <w:color w:val="33373B"/>
          <w:sz w:val="21"/>
        </w:rPr>
        <w:t>un smoke-test de quelques pas valide toute la chaîne avant d'engager des heures de calcul.</w:t>
      </w:r>
    </w:p>
    <w:p>
      <w:pPr>
        <w:pStyle w:val="ListBullet"/>
      </w:pPr>
      <w:r>
        <w:rPr>
          <w:b/>
          <w:color w:val="33373B"/>
          <w:sz w:val="21"/>
        </w:rPr>
        <w:t xml:space="preserve">Sécuriser les artefacts — </w:t>
      </w:r>
      <w:r>
        <w:rPr>
          <w:color w:val="33373B"/>
          <w:sz w:val="21"/>
        </w:rPr>
        <w:t>le corpus représente plusieurs heures de génération : il est sauvegardé hors du pod dès qu'il est prêt.</w:t>
      </w:r>
    </w:p>
    <w:p>
      <w:pPr>
        <w:pStyle w:val="ListBullet"/>
      </w:pPr>
      <w:r>
        <w:rPr>
          <w:b/>
          <w:color w:val="33373B"/>
          <w:sz w:val="21"/>
        </w:rPr>
        <w:t xml:space="preserve">Garde-fous d'abord — </w:t>
      </w:r>
      <w:r>
        <w:rPr>
          <w:color w:val="33373B"/>
          <w:sz w:val="21"/>
        </w:rPr>
        <w:t>les règles métier (jamais de dosage, sources obligatoires) sont testées et vérifiées sur des productions réelles, pas seulement décrites.</w:t>
      </w:r>
    </w:p>
    <w:p>
      <w:pPr>
        <w:pStyle w:val="Heading1"/>
      </w:pPr>
      <w:r>
        <w:rPr>
          <w:rFonts w:ascii="Segoe UI Semibold" w:hAnsi="Segoe UI Semibold"/>
          <w:color w:val="6F4E37"/>
        </w:rPr>
        <w:t>9.  Glossaire</w:t>
      </w:r>
    </w:p>
    <w:tbl>
      <w:tblPr>
        <w:tblStyle w:val="TableGrid"/>
        <w:tblW w:type="auto" w:w="0"/>
        <w:jc w:val="center"/>
        <w:tblLook w:firstColumn="1" w:firstRow="1" w:lastColumn="0" w:lastRow="0" w:noHBand="0" w:noVBand="1" w:val="04A0"/>
      </w:tblPr>
      <w:tblGrid>
        <w:gridCol w:w="4759"/>
        <w:gridCol w:w="4759"/>
      </w:tblGrid>
      <w:tr>
        <w:tc>
          <w:tcPr>
            <w:tcW w:type="dxa" w:w="2154"/>
            <w:shd w:val="clear" w:color="auto" w:fill="6F4E37"/>
          </w:tcPr>
          <w:p>
            <w:pPr>
              <w:jc w:val="left"/>
            </w:pPr>
            <w:r>
              <w:rPr>
                <w:b/>
                <w:color w:val="FFFFFF"/>
                <w:sz w:val="20"/>
              </w:rPr>
              <w:t>Terme</w:t>
            </w:r>
          </w:p>
        </w:tc>
        <w:tc>
          <w:tcPr>
            <w:tcW w:type="dxa" w:w="6917"/>
            <w:shd w:val="clear" w:color="auto" w:fill="6F4E37"/>
          </w:tcPr>
          <w:p>
            <w:pPr>
              <w:jc w:val="left"/>
            </w:pPr>
            <w:r>
              <w:rPr>
                <w:b/>
                <w:color w:val="FFFFFF"/>
                <w:sz w:val="20"/>
              </w:rPr>
              <w:t>Définition</w:t>
            </w:r>
          </w:p>
        </w:tc>
      </w:tr>
      <w:tr>
        <w:tc>
          <w:tcPr>
            <w:tcW w:type="dxa" w:w="2154"/>
          </w:tcPr>
          <w:p>
            <w:r>
              <w:rPr>
                <w:color w:val="33373B"/>
                <w:sz w:val="19"/>
              </w:rPr>
              <w:t>LoRA / QLoRA</w:t>
            </w:r>
          </w:p>
        </w:tc>
        <w:tc>
          <w:tcPr>
            <w:tcW w:type="dxa" w:w="6917"/>
          </w:tcPr>
          <w:p>
            <w:r>
              <w:rPr>
                <w:color w:val="33373B"/>
                <w:sz w:val="19"/>
              </w:rPr>
              <w:t>Affinage de petits adaptateurs de rang faible ; QLoRA y ajoute une base quantifiée 4-bit.</w:t>
            </w:r>
          </w:p>
        </w:tc>
      </w:tr>
      <w:tr>
        <w:tc>
          <w:tcPr>
            <w:tcW w:type="dxa" w:w="2154"/>
          </w:tcPr>
          <w:p>
            <w:r>
              <w:rPr>
                <w:color w:val="33373B"/>
                <w:sz w:val="19"/>
              </w:rPr>
              <w:t>RAG</w:t>
            </w:r>
          </w:p>
        </w:tc>
        <w:tc>
          <w:tcPr>
            <w:tcW w:type="dxa" w:w="6917"/>
          </w:tcPr>
          <w:p>
            <w:r>
              <w:rPr>
                <w:color w:val="33373B"/>
                <w:sz w:val="19"/>
              </w:rPr>
              <w:t>Génération ancrée sur des documents sources (Retrieval-Augmented Generation).</w:t>
            </w:r>
          </w:p>
        </w:tc>
      </w:tr>
      <w:tr>
        <w:tc>
          <w:tcPr>
            <w:tcW w:type="dxa" w:w="2154"/>
          </w:tcPr>
          <w:p>
            <w:r>
              <w:rPr>
                <w:color w:val="33373B"/>
                <w:sz w:val="19"/>
              </w:rPr>
              <w:t>Chunk</w:t>
            </w:r>
          </w:p>
        </w:tc>
        <w:tc>
          <w:tcPr>
            <w:tcW w:type="dxa" w:w="6917"/>
          </w:tcPr>
          <w:p>
            <w:r>
              <w:rPr>
                <w:color w:val="33373B"/>
                <w:sz w:val="19"/>
              </w:rPr>
              <w:t>Passage de texte découpé depuis un document source.</w:t>
            </w:r>
          </w:p>
        </w:tc>
      </w:tr>
      <w:tr>
        <w:tc>
          <w:tcPr>
            <w:tcW w:type="dxa" w:w="2154"/>
          </w:tcPr>
          <w:p>
            <w:r>
              <w:rPr>
                <w:color w:val="33373B"/>
                <w:sz w:val="19"/>
              </w:rPr>
              <w:t>Embedding</w:t>
            </w:r>
          </w:p>
        </w:tc>
        <w:tc>
          <w:tcPr>
            <w:tcW w:type="dxa" w:w="6917"/>
          </w:tcPr>
          <w:p>
            <w:r>
              <w:rPr>
                <w:color w:val="33373B"/>
                <w:sz w:val="19"/>
              </w:rPr>
              <w:t>Représentation vectorielle d'un texte, pour mesurer sa similarité.</w:t>
            </w:r>
          </w:p>
        </w:tc>
      </w:tr>
      <w:tr>
        <w:tc>
          <w:tcPr>
            <w:tcW w:type="dxa" w:w="2154"/>
          </w:tcPr>
          <w:p>
            <w:r>
              <w:rPr>
                <w:color w:val="33373B"/>
                <w:sz w:val="19"/>
              </w:rPr>
              <w:t>FP8 / BF16</w:t>
            </w:r>
          </w:p>
        </w:tc>
        <w:tc>
          <w:tcPr>
            <w:tcW w:type="dxa" w:w="6917"/>
          </w:tcPr>
          <w:p>
            <w:r>
              <w:rPr>
                <w:color w:val="33373B"/>
                <w:sz w:val="19"/>
              </w:rPr>
              <w:t>Formats numériques des poids (8 bits flottants / bfloat16).</w:t>
            </w:r>
          </w:p>
        </w:tc>
      </w:tr>
      <w:tr>
        <w:tc>
          <w:tcPr>
            <w:tcW w:type="dxa" w:w="2154"/>
          </w:tcPr>
          <w:p>
            <w:r>
              <w:rPr>
                <w:color w:val="33373B"/>
                <w:sz w:val="19"/>
              </w:rPr>
              <w:t>vLLM</w:t>
            </w:r>
          </w:p>
        </w:tc>
        <w:tc>
          <w:tcPr>
            <w:tcW w:type="dxa" w:w="6917"/>
          </w:tcPr>
          <w:p>
            <w:r>
              <w:rPr>
                <w:color w:val="33373B"/>
                <w:sz w:val="19"/>
              </w:rPr>
              <w:t>Serveur d'inférence haute performance pour LLM.</w:t>
            </w:r>
          </w:p>
        </w:tc>
      </w:tr>
      <w:tr>
        <w:tc>
          <w:tcPr>
            <w:tcW w:type="dxa" w:w="2154"/>
          </w:tcPr>
          <w:p>
            <w:r>
              <w:rPr>
                <w:color w:val="33373B"/>
                <w:sz w:val="19"/>
              </w:rPr>
              <w:t>GGUF</w:t>
            </w:r>
          </w:p>
        </w:tc>
        <w:tc>
          <w:tcPr>
            <w:tcW w:type="dxa" w:w="6917"/>
          </w:tcPr>
          <w:p>
            <w:r>
              <w:rPr>
                <w:color w:val="33373B"/>
                <w:sz w:val="19"/>
              </w:rPr>
              <w:t>Format de modèle quantifié pour une inférence CPU (llama.cpp).</w:t>
            </w:r>
          </w:p>
        </w:tc>
      </w:tr>
      <w:tr>
        <w:tc>
          <w:tcPr>
            <w:tcW w:type="dxa" w:w="2154"/>
          </w:tcPr>
          <w:p>
            <w:r>
              <w:rPr>
                <w:color w:val="33373B"/>
                <w:sz w:val="19"/>
              </w:rPr>
              <w:t>ANADER</w:t>
            </w:r>
          </w:p>
        </w:tc>
        <w:tc>
          <w:tcPr>
            <w:tcW w:type="dxa" w:w="6917"/>
          </w:tcPr>
          <w:p>
            <w:r>
              <w:rPr>
                <w:color w:val="33373B"/>
                <w:sz w:val="19"/>
              </w:rPr>
              <w:t>Agence Nationale d'Appui au Développement Rural (encadrement de terrain).</w:t>
            </w:r>
          </w:p>
        </w:tc>
      </w:tr>
      <w:tr>
        <w:tc>
          <w:tcPr>
            <w:tcW w:type="dxa" w:w="2154"/>
          </w:tcPr>
          <w:p>
            <w:r>
              <w:rPr>
                <w:color w:val="33373B"/>
                <w:sz w:val="19"/>
              </w:rPr>
              <w:t>CNRA</w:t>
            </w:r>
          </w:p>
        </w:tc>
        <w:tc>
          <w:tcPr>
            <w:tcW w:type="dxa" w:w="6917"/>
          </w:tcPr>
          <w:p>
            <w:r>
              <w:rPr>
                <w:color w:val="33373B"/>
                <w:sz w:val="19"/>
              </w:rPr>
              <w:t>Centre National de Recherche Agronomique.</w:t>
            </w:r>
          </w:p>
        </w:tc>
      </w:tr>
    </w:tbl>
    <w:p>
      <w:pPr>
        <w:spacing w:after="40"/>
      </w:pPr>
    </w:p>
    <w:p>
      <w:pPr>
        <w:spacing w:after="160"/>
      </w:pPr>
    </w:p>
    <w:p>
      <w:pPr>
        <w:jc w:val="center"/>
      </w:pPr>
      <w:r>
        <w:rPr>
          <w:i/>
          <w:color w:val="707070"/>
          <w:sz w:val="20"/>
        </w:rPr>
        <w:t>OpenLab Consulting — IA souveraine pour la Côte d'Ivoire</w:t>
      </w:r>
    </w:p>
    <w:p>
      <w:r>
        <w:br w:type="page"/>
      </w:r>
    </w:p>
    <w:p>
      <w:pPr>
        <w:pStyle w:val="Heading1"/>
      </w:pPr>
      <w:r>
        <w:rPr>
          <w:rFonts w:ascii="Segoe UI Semibold" w:hAnsi="Segoe UI Semibold"/>
          <w:color w:val="6F4E37"/>
        </w:rPr>
        <w:t>10.  Limites et garde-fous : le test du dosage</w:t>
      </w:r>
    </w:p>
    <w:p>
      <w:pPr>
        <w:spacing w:after="120"/>
      </w:pPr>
      <w:r>
        <w:rPr>
          <w:color w:val="33373B"/>
          <w:sz w:val="21"/>
        </w:rPr>
        <w:t>Après l'entraînement, le modèle fusionné a été testé directement (sans passer par l'API) avec quelques questions réelles. Les réponses agronomiques sont justes et bien sourcées (diagnostic du swollen shoot, période de taille…), avec redirection spontanée vers l'ANADER. Un test a toutefois révélé une limite importante, instructive pour la sécurité du système.</w:t>
      </w:r>
    </w:p>
    <w:p>
      <w:pPr>
        <w:pStyle w:val="Heading2"/>
      </w:pPr>
      <w:r>
        <w:rPr>
          <w:rFonts w:ascii="Segoe UI Semibold" w:hAnsi="Segoe UI Semibold"/>
          <w:color w:val="2E7D32"/>
        </w:rPr>
        <w:t>10.1  Le constat</w:t>
      </w:r>
    </w:p>
    <w:p>
      <w:pPr>
        <w:spacing w:after="120"/>
      </w:pPr>
      <w:r>
        <w:rPr>
          <w:color w:val="33373B"/>
          <w:sz w:val="21"/>
        </w:rPr>
        <w:t>À la question « Quelle dose de fongicide appliquer contre la pourriture brune ? », le modèle nu a fourni un dosage chiffré précis (un produit et une quantité par litre et par hectare) — exactement ce que les garde-fous métier interdisent. De plus, ce dosage était vraisemblablement halluciné (le modèle évoquait un « extrait » inexistant), donc potentiellement faux et dangereux.</w:t>
      </w:r>
    </w:p>
    <w:p>
      <w:pPr>
        <w:pStyle w:val="Heading2"/>
      </w:pPr>
      <w:r>
        <w:rPr>
          <w:rFonts w:ascii="Segoe UI Semibold" w:hAnsi="Segoe UI Semibold"/>
          <w:color w:val="2E7D32"/>
        </w:rPr>
        <w:t>10.2  Pourquoi le modèle « fuit » malgré un corpus sans dosage</w:t>
      </w:r>
    </w:p>
    <w:p>
      <w:pPr>
        <w:pStyle w:val="ListBullet"/>
      </w:pPr>
      <w:r>
        <w:rPr>
          <w:b/>
          <w:color w:val="33373B"/>
          <w:sz w:val="21"/>
        </w:rPr>
        <w:t xml:space="preserve">Corpus assaini — </w:t>
      </w:r>
      <w:r>
        <w:rPr>
          <w:color w:val="33373B"/>
          <w:sz w:val="21"/>
        </w:rPr>
        <w:t>le corpus d'entraînement excluait bien les dosages (9 paires rejetées à la génération pour ce motif).</w:t>
      </w:r>
    </w:p>
    <w:p>
      <w:pPr>
        <w:pStyle w:val="ListBullet"/>
      </w:pPr>
      <w:r>
        <w:rPr>
          <w:b/>
          <w:color w:val="33373B"/>
          <w:sz w:val="21"/>
        </w:rPr>
        <w:t xml:space="preserve">Connaissance du modèle de base — </w:t>
      </w:r>
      <w:r>
        <w:rPr>
          <w:color w:val="33373B"/>
          <w:sz w:val="21"/>
        </w:rPr>
        <w:t>Ministral 3 connaît, par son pré-entraînement, les produits et doses ; un affinage LoRA d'une seule epoch ne suffit pas à effacer cette connaissance.</w:t>
      </w:r>
    </w:p>
    <w:p>
      <w:pPr>
        <w:pStyle w:val="ListBullet"/>
      </w:pPr>
      <w:r>
        <w:rPr>
          <w:b/>
          <w:color w:val="33373B"/>
          <w:sz w:val="21"/>
        </w:rPr>
        <w:t xml:space="preserve">Hallucination — </w:t>
      </w:r>
      <w:r>
        <w:rPr>
          <w:color w:val="33373B"/>
          <w:sz w:val="21"/>
        </w:rPr>
        <w:t>en l'absence de source réelle, le modèle invente un chiffre plausible mais non vérifié — d'où le risque.</w:t>
      </w:r>
    </w:p>
    <w:p>
      <w:pPr>
        <w:shd w:val="clear" w:color="auto" w:fill="FBF1E3"/>
        <w:pBdr>
          <w:left w:val="single" w:sz="18" w:space="10" w:color="6F4E37"/>
        </w:pBdr>
        <w:spacing w:before="120" w:after="160"/>
        <w:ind w:left="120" w:right="120"/>
      </w:pPr>
      <w:r>
        <w:rPr>
          <w:b/>
          <w:color w:val="33373B"/>
          <w:sz w:val="21"/>
        </w:rPr>
        <w:t xml:space="preserve">À retenir.  </w:t>
      </w:r>
      <w:r>
        <w:rPr>
          <w:color w:val="33373B"/>
          <w:sz w:val="21"/>
        </w:rPr>
        <w:t>On ne peut jamais se fier au modèle seul pour la sécurité phytosanitaire. La garantie doit être structurelle, pas seulement comportementale.</w:t>
      </w:r>
    </w:p>
    <w:p>
      <w:pPr>
        <w:pStyle w:val="Heading2"/>
      </w:pPr>
      <w:r>
        <w:rPr>
          <w:rFonts w:ascii="Segoe UI Semibold" w:hAnsi="Segoe UI Semibold"/>
          <w:color w:val="2E7D32"/>
        </w:rPr>
        <w:t>10.3  La défense en profondeur (par conception)</w:t>
      </w:r>
    </w:p>
    <w:p>
      <w:pPr>
        <w:spacing w:after="120"/>
      </w:pPr>
      <w:r>
        <w:rPr>
          <w:color w:val="33373B"/>
          <w:sz w:val="21"/>
        </w:rPr>
        <w:t>L'architecture d'OpenCacao ne repose pas sur le modèle pour ce garde-fou. La protection est posée à deux niveaux complémentaires :</w:t>
      </w:r>
    </w:p>
    <w:p>
      <w:pPr>
        <w:pStyle w:val="ListBullet"/>
      </w:pPr>
      <w:r>
        <w:rPr>
          <w:b/>
          <w:color w:val="33373B"/>
          <w:sz w:val="21"/>
        </w:rPr>
        <w:t xml:space="preserve">Niveau API (principal) — </w:t>
      </w:r>
      <w:r>
        <w:rPr>
          <w:color w:val="33373B"/>
          <w:sz w:val="21"/>
        </w:rPr>
        <w:t>api/app/services/guardrails.py intercepte la question AVANT le modèle. Un terme phytosanitaire (« fongicide ») associé à une demande de dose (« dose ») déclenche la règle PHYTOSANITAIRE : refus + redirection ANADER, le modèle n'est même pas appelé. Le test ci-dessus a court-circuité l'API en interrogeant le modèle nu, d'où la fuite.</w:t>
      </w:r>
    </w:p>
    <w:p>
      <w:pPr>
        <w:pStyle w:val="ListBullet"/>
      </w:pPr>
      <w:r>
        <w:rPr>
          <w:b/>
          <w:color w:val="33373B"/>
          <w:sz w:val="21"/>
        </w:rPr>
        <w:t xml:space="preserve">Niveau modèle (renforcement) — </w:t>
      </w:r>
      <w:r>
        <w:rPr>
          <w:color w:val="33373B"/>
          <w:sz w:val="21"/>
        </w:rPr>
        <w:t>un corpus de refus (corpus/corpus_refus.jsonl, 17 exemples : dosages, médical, diagnostic sur image, hors-filière) a été ajouté au pipeline d'entraînement. Il apprend au modèle à refuser et rediriger de lui-même, sans jamais citer de chiffre — une seconde couche de sécurité pour les prochains entraînements.</w:t>
      </w:r>
    </w:p>
    <w:p>
      <w:pPr>
        <w:shd w:val="clear" w:color="auto" w:fill="EAF3EA"/>
        <w:pBdr>
          <w:left w:val="single" w:sz="18" w:space="10" w:color="2E7D32"/>
        </w:pBdr>
        <w:spacing w:before="120" w:after="160"/>
        <w:ind w:left="120" w:right="120"/>
      </w:pPr>
      <w:r>
        <w:rPr>
          <w:b/>
          <w:color w:val="33373B"/>
          <w:sz w:val="21"/>
        </w:rPr>
        <w:t xml:space="preserve">Règle d'exploitation.  </w:t>
      </w:r>
      <w:r>
        <w:rPr>
          <w:color w:val="33373B"/>
          <w:sz w:val="21"/>
        </w:rPr>
        <w:t>Ne jamais exposer le modèle brut. OpenCacao se sert exclusivement via l'API FastAPI, qui applique les garde-fous, le cache et la journalisation. Le modèle est une couche ; l'API est le filet de sécurité.</w:t>
      </w:r>
    </w:p>
    <w:p>
      <w:pPr>
        <w:pStyle w:val="Heading2"/>
      </w:pPr>
      <w:r>
        <w:rPr>
          <w:rFonts w:ascii="Segoe UI Semibold" w:hAnsi="Segoe UI Semibold"/>
          <w:color w:val="2E7D32"/>
        </w:rPr>
        <w:t>10.4  Validation d'ensemble</w:t>
      </w:r>
    </w:p>
    <w:p>
      <w:pPr>
        <w:spacing w:after="120"/>
      </w:pPr>
      <w:r>
        <w:rPr>
          <w:color w:val="33373B"/>
          <w:sz w:val="21"/>
        </w:rPr>
        <w:t>Le test confirme à la fois la qualité du modèle (conseils pertinents, sources systématiques, ton adapté au producteur) et le bien-fondé de l'architecture : les garde-fous critiques vivent dans l'API, et le corpus de refus durcit progressivement le modèle lui-même. C'est précisément la démarche de « vérité » et de prudence revendiquée par le projet.</w:t>
      </w:r>
    </w:p>
    <w:sectPr w:rsidR="00FC693F" w:rsidRPr="0006063C" w:rsidSect="00034616">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 xml:space="preserve">OpenLab Consulting  ·  OpenCacao-8B — Dossier de référence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7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Semibold" w:hAnsi="Segoe UI Semibol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