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Понятие подпрограммы. Отладчик GDB.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создадим рабочую директорию и файл lab9-1.asm (рис. 2.1):</w:t>
      </w:r>
    </w:p>
    <w:p>
      <w:pPr>
        <w:pStyle w:val="CaptionedFigure"/>
      </w:pPr>
      <w:r>
        <w:drawing>
          <wp:inline>
            <wp:extent cx="5334000" cy="1329127"/>
            <wp:effectExtent b="0" l="0" r="0" t="0"/>
            <wp:docPr descr="Создание рабочей директории и файла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lab9-1.asm</w:t>
      </w:r>
    </w:p>
    <w:p>
      <w:pPr>
        <w:pStyle w:val="BodyText"/>
      </w:pPr>
      <w:r>
        <w:t xml:space="preserve">Теперь, вставим в ранее созданный файл из листинга 9.1.</w:t>
      </w:r>
    </w:p>
    <w:p>
      <w:pPr>
        <w:pStyle w:val="CaptionedFigure"/>
      </w:pPr>
      <w:r>
        <w:drawing>
          <wp:inline>
            <wp:extent cx="5334000" cy="4273148"/>
            <wp:effectExtent b="0" l="0" r="0" t="0"/>
            <wp:docPr descr="Вставка кода из файла листинга 9.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9.1</w:t>
      </w:r>
    </w:p>
    <w:p>
      <w:pPr>
        <w:pStyle w:val="BodyText"/>
      </w:pPr>
      <w:r>
        <w:t xml:space="preserve">Чтобы собрать код, нужен файл in_out.asm. скопируем его из директории прошлой лабораторной работы (рис. 2.3):</w:t>
      </w:r>
    </w:p>
    <w:p>
      <w:pPr>
        <w:pStyle w:val="CaptionedFigure"/>
      </w:pPr>
      <w:r>
        <w:drawing>
          <wp:inline>
            <wp:extent cx="5334000" cy="1328542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 посмотрим на результат выполнения. Она работает корректно. Изменим код, добавив подпрограмму subcalcul</w:t>
      </w:r>
    </w:p>
    <w:p>
      <w:pPr>
        <w:pStyle w:val="CaptionedFigure"/>
      </w:pPr>
      <w:r>
        <w:drawing>
          <wp:inline>
            <wp:extent cx="5334000" cy="1328542"/>
            <wp:effectExtent b="0" l="0" r="0" t="0"/>
            <wp:docPr descr="Изменение файла lab9-1.as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lab9-1.asm</w:t>
      </w:r>
    </w:p>
    <w:p>
      <w:pPr>
        <w:pStyle w:val="BodyText"/>
      </w:pPr>
      <w:r>
        <w:t xml:space="preserve">Попробуем собрать программу и запустить её (рис. 2.5):</w:t>
      </w:r>
    </w:p>
    <w:p>
      <w:pPr>
        <w:pStyle w:val="CaptionedFigure"/>
      </w:pPr>
      <w:r>
        <w:drawing>
          <wp:inline>
            <wp:extent cx="5334000" cy="4703618"/>
            <wp:effectExtent b="0" l="0" r="0" t="0"/>
            <wp:docPr descr="Повторная сборка программы из файла lab9-1.asm и её запуск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lab9-1.asm и её запуск</w:t>
      </w:r>
    </w:p>
    <w:p>
      <w:pPr>
        <w:pStyle w:val="BodyText"/>
      </w:pPr>
      <w:r>
        <w:t xml:space="preserve">Как видим, она корректно выводит значение функции. Создадим второй файл и вставим в него код из файла листинга 9.2 (рис. 2.6):</w:t>
      </w:r>
    </w:p>
    <w:p>
      <w:pPr>
        <w:pStyle w:val="CaptionedFigure"/>
      </w:pPr>
      <w:r>
        <w:drawing>
          <wp:inline>
            <wp:extent cx="5334000" cy="2957945"/>
            <wp:effectExtent b="0" l="0" r="0" t="0"/>
            <wp:docPr descr="Запись кода из листинга 9.2 в файл lab9-2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9.2 в файл lab9-2.asm</w:t>
      </w:r>
    </w:p>
    <w:p>
      <w:pPr>
        <w:pStyle w:val="BodyText"/>
      </w:pPr>
      <w:r>
        <w:t xml:space="preserve">Соберём его и откроем исполняемый файл в отладчике (рис. 2.7):</w:t>
      </w:r>
    </w:p>
    <w:p>
      <w:pPr>
        <w:pStyle w:val="CaptionedFigure"/>
      </w:pPr>
      <w:r>
        <w:drawing>
          <wp:inline>
            <wp:extent cx="5334000" cy="2957945"/>
            <wp:effectExtent b="0" l="0" r="0" t="0"/>
            <wp:docPr descr="Отладчик gdb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BodyText"/>
      </w:pPr>
      <w:r>
        <w:t xml:space="preserve">Запустим программу командой run (рис. 2.8):</w:t>
      </w:r>
    </w:p>
    <w:p>
      <w:pPr>
        <w:pStyle w:val="CaptionedFigure"/>
      </w:pPr>
      <w:r>
        <w:drawing>
          <wp:inline>
            <wp:extent cx="5334000" cy="1735974"/>
            <wp:effectExtent b="0" l="0" r="0" t="0"/>
            <wp:docPr descr="Запуск lab9-1.asm в gdb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lab9-1.asm в gdb</w:t>
      </w:r>
    </w:p>
    <w:p>
      <w:pPr>
        <w:pStyle w:val="BodyText"/>
      </w:pPr>
      <w:r>
        <w:t xml:space="preserve">Установим брейкпоинт и запустим ещё раз: (рис. 2.9):</w:t>
      </w:r>
    </w:p>
    <w:p>
      <w:pPr>
        <w:pStyle w:val="CaptionedFigure"/>
      </w:pPr>
      <w:r>
        <w:drawing>
          <wp:inline>
            <wp:extent cx="5334000" cy="2434243"/>
            <wp:effectExtent b="0" l="0" r="0" t="0"/>
            <wp:docPr descr="Запуск lab9-1.asm в gdb с точкой останов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lab9-1.asm в gdb с точкой останова</w:t>
      </w:r>
    </w:p>
    <w:p>
      <w:pPr>
        <w:pStyle w:val="BodyText"/>
      </w:pPr>
      <w:r>
        <w:t xml:space="preserve">Переключимся на отображение команд с синтаксисом intel (рис. 2.10):</w:t>
      </w:r>
    </w:p>
    <w:p>
      <w:pPr>
        <w:pStyle w:val="CaptionedFigure"/>
      </w:pPr>
      <w:r>
        <w:drawing>
          <wp:inline>
            <wp:extent cx="5334000" cy="2434243"/>
            <wp:effectExtent b="0" l="0" r="0" t="0"/>
            <wp:docPr descr="Отображение команд с синтаксисом intel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синтаксисом intel</w:t>
      </w:r>
    </w:p>
    <w:p>
      <w:pPr>
        <w:pStyle w:val="BodyText"/>
      </w:pPr>
      <w:r>
        <w:t xml:space="preserve">Главные отличия синтаксиса AT&amp;T и Intel состоят в порядке записи переменных в командах, виде записи числовых констант, и особенностях записиимён регистров.</w:t>
      </w:r>
      <w:r>
        <w:t xml:space="preserve"> </w:t>
      </w:r>
      <w:r>
        <w:t xml:space="preserve">Включим режим псевдографики (рис. 2.11):</w:t>
      </w:r>
    </w:p>
    <w:p>
      <w:pPr>
        <w:pStyle w:val="CaptionedFigure"/>
      </w:pPr>
      <w:r>
        <w:drawing>
          <wp:inline>
            <wp:extent cx="5334000" cy="2434243"/>
            <wp:effectExtent b="0" l="0" r="0" t="0"/>
            <wp:docPr descr="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Проверим существующие точки останова командой info breakpoints (рис. 2.12):</w:t>
      </w:r>
    </w:p>
    <w:p>
      <w:pPr>
        <w:pStyle w:val="CaptionedFigure"/>
      </w:pPr>
      <w:r>
        <w:drawing>
          <wp:inline>
            <wp:extent cx="5334000" cy="2434243"/>
            <wp:effectExtent b="0" l="0" r="0" t="0"/>
            <wp:docPr descr="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Точки останова</w:t>
      </w:r>
    </w:p>
    <w:p>
      <w:pPr>
        <w:pStyle w:val="BodyText"/>
      </w:pPr>
      <w:r>
        <w:t xml:space="preserve">Установим ещё одну по адресу инструкции и опять выведем список точек останова.(рис. 2.13):</w:t>
      </w:r>
    </w:p>
    <w:p>
      <w:pPr>
        <w:pStyle w:val="CaptionedFigure"/>
      </w:pPr>
      <w:r>
        <w:drawing>
          <wp:inline>
            <wp:extent cx="5334000" cy="4179916"/>
            <wp:effectExtent b="0" l="0" r="0" t="0"/>
            <wp:docPr descr="Точки останова 2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Точки останова 2</w:t>
      </w:r>
    </w:p>
    <w:p>
      <w:pPr>
        <w:pStyle w:val="BodyText"/>
      </w:pPr>
      <w:r>
        <w:t xml:space="preserve">Проверим содержание регистров. (рис. 2.14):</w:t>
      </w:r>
    </w:p>
    <w:p>
      <w:pPr>
        <w:pStyle w:val="CaptionedFigure"/>
      </w:pPr>
      <w:r>
        <w:drawing>
          <wp:inline>
            <wp:extent cx="5334000" cy="2957945"/>
            <wp:effectExtent b="0" l="0" r="0" t="0"/>
            <wp:docPr descr="Содержание регистр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регистров</w:t>
      </w:r>
    </w:p>
    <w:p>
      <w:pPr>
        <w:pStyle w:val="BodyText"/>
      </w:pPr>
      <w:r>
        <w:t xml:space="preserve">Проверим содержание переменной msg1 по имени. (рис. 2.15):</w:t>
      </w:r>
    </w:p>
    <w:p>
      <w:pPr>
        <w:pStyle w:val="CaptionedFigure"/>
      </w:pPr>
      <w:r>
        <w:drawing>
          <wp:inline>
            <wp:extent cx="5334000" cy="3045229"/>
            <wp:effectExtent b="0" l="0" r="0" t="0"/>
            <wp:docPr descr="Содержание msg1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msg1</w:t>
      </w:r>
    </w:p>
    <w:p>
      <w:pPr>
        <w:pStyle w:val="BodyText"/>
      </w:pPr>
      <w:r>
        <w:t xml:space="preserve">Проверим содержание переменной msg2 по адресу. (рис. 2.16):</w:t>
      </w:r>
    </w:p>
    <w:p>
      <w:pPr>
        <w:pStyle w:val="CaptionedFigure"/>
      </w:pPr>
      <w:r>
        <w:drawing>
          <wp:inline>
            <wp:extent cx="5334000" cy="3045229"/>
            <wp:effectExtent b="0" l="0" r="0" t="0"/>
            <wp:docPr descr="Содержание msg2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msg2</w:t>
      </w:r>
    </w:p>
    <w:p>
      <w:pPr>
        <w:pStyle w:val="BodyText"/>
      </w:pPr>
      <w:r>
        <w:t xml:space="preserve">Изменим командой set содержание msg1 и msg2. (рис. 2.17):</w:t>
      </w:r>
    </w:p>
    <w:p>
      <w:pPr>
        <w:pStyle w:val="CaptionedFigure"/>
      </w:pPr>
      <w:r>
        <w:drawing>
          <wp:inline>
            <wp:extent cx="5334000" cy="3045229"/>
            <wp:effectExtent b="0" l="0" r="0" t="0"/>
            <wp:docPr descr="Содержание msg1 и msg2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msg1 и msg2</w:t>
      </w:r>
    </w:p>
    <w:p>
      <w:pPr>
        <w:pStyle w:val="BodyText"/>
      </w:pPr>
      <w:r>
        <w:t xml:space="preserve">Изменим командой set содержание ebx. (рис. 2.18):</w:t>
      </w:r>
    </w:p>
    <w:p>
      <w:pPr>
        <w:pStyle w:val="CaptionedFigure"/>
      </w:pPr>
      <w:r>
        <w:drawing>
          <wp:inline>
            <wp:extent cx="5334000" cy="3045229"/>
            <wp:effectExtent b="0" l="0" r="0" t="0"/>
            <wp:docPr descr="Содержание ebx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ebx</w:t>
      </w:r>
    </w:p>
    <w:p>
      <w:pPr>
        <w:pStyle w:val="BodyText"/>
      </w:pPr>
      <w:r>
        <w:t xml:space="preserve">Скопируем файл lab8-2.asm в файл с именем lab9-3.asm и создадим исполняемый файл(рис. 2.19):</w:t>
      </w:r>
    </w:p>
    <w:p>
      <w:pPr>
        <w:pStyle w:val="CaptionedFigure"/>
      </w:pPr>
      <w:r>
        <w:drawing>
          <wp:inline>
            <wp:extent cx="5334000" cy="1386840"/>
            <wp:effectExtent b="0" l="0" r="0" t="0"/>
            <wp:docPr descr="Копирование фай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Загрузим файл в gdb и исследуем расположение аргументов командной строки в стеке после запуска программы (рис. 2.20):</w:t>
      </w:r>
    </w:p>
    <w:p>
      <w:pPr>
        <w:pStyle w:val="CaptionedFigure"/>
      </w:pPr>
      <w:r>
        <w:drawing>
          <wp:inline>
            <wp:extent cx="5334000" cy="3118739"/>
            <wp:effectExtent b="0" l="0" r="0" t="0"/>
            <wp:docPr descr="Исследование стек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Исследование стека</w:t>
      </w:r>
    </w:p>
    <w:p>
      <w:pPr>
        <w:pStyle w:val="BodyText"/>
      </w:pPr>
      <w:r>
        <w:t xml:space="preserve">Как видим, для вывода каждого элемента стека нам нужно менять значение адреса с шагом 4. Это связано с тем, что под каждый элемент выделяется 4 байта</w:t>
      </w:r>
    </w:p>
    <w:bookmarkEnd w:id="81"/>
    <w:bookmarkStart w:id="94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Для выполнения самостоятельной работы создадим файл task15.asm. Скопируем в него программу из работы 8 и изменим соответственно заданию(рис. 3.1):</w:t>
      </w:r>
    </w:p>
    <w:p>
      <w:pPr>
        <w:pStyle w:val="CaptionedFigure"/>
      </w:pPr>
      <w:r>
        <w:drawing>
          <wp:inline>
            <wp:extent cx="5334000" cy="3815166"/>
            <wp:effectExtent b="0" l="0" r="0" t="0"/>
            <wp:docPr descr="Код файла самостоятельной работы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BodyText"/>
      </w:pPr>
      <w:r>
        <w:t xml:space="preserve">Соберём и запустим программу, вводя различные аргументы (рис. 3.2):</w:t>
      </w:r>
    </w:p>
    <w:p>
      <w:pPr>
        <w:pStyle w:val="CaptionedFigure"/>
      </w:pPr>
      <w:r>
        <w:drawing>
          <wp:inline>
            <wp:extent cx="5334000" cy="1536915"/>
            <wp:effectExtent b="0" l="0" r="0" t="0"/>
            <wp:docPr descr="Сборка и запуск программы первого задания самостоятельной работы, а также результат выполнения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Пересчитав результат вручную, убеждаемся, что программа работает верно</w:t>
      </w:r>
    </w:p>
    <w:p>
      <w:pPr>
        <w:pStyle w:val="BodyText"/>
      </w:pPr>
      <w:r>
        <w:t xml:space="preserve">Создадим файл list9-3.asm. Скопируем в него листинг и изменим соответственно заданию(рис. 3.3):</w:t>
      </w:r>
    </w:p>
    <w:p>
      <w:pPr>
        <w:pStyle w:val="CaptionedFigure"/>
      </w:pPr>
      <w:r>
        <w:drawing>
          <wp:inline>
            <wp:extent cx="5334000" cy="2757406"/>
            <wp:effectExtent b="0" l="0" r="0" t="0"/>
            <wp:docPr descr="Код файла самостоятельной работы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BodyText"/>
      </w:pPr>
      <w:r>
        <w:t xml:space="preserve">Соберём и запустим программу (рис. 3.4):</w:t>
      </w:r>
    </w:p>
    <w:p>
      <w:pPr>
        <w:pStyle w:val="CaptionedFigure"/>
      </w:pPr>
      <w:r>
        <w:drawing>
          <wp:inline>
            <wp:extent cx="5334000" cy="1292816"/>
            <wp:effectExtent b="0" l="0" r="0" t="0"/>
            <wp:docPr descr="Сборка и запуск программы второго задания самостоятельной работы, а также результат выполнения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второго задания самостоятельной работы, а также результат выполнения</w:t>
      </w:r>
    </w:p>
    <w:p>
      <w:pPr>
        <w:pStyle w:val="BodyText"/>
      </w:pPr>
      <w:r>
        <w:t xml:space="preserve">Пересчитав результат вручную, убеждаемся, что теперь программа работает верно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выполнения лабораторной работы были получены представления о работе подпрограмм, а также было реализовано несколько программ, использующих подпрограммы. Также, были получены навыки работы с базовым функионалом gdb, и с помощью gdb была отловлена ошибка в коде программы</w:t>
      </w:r>
    </w:p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Борисенкова София Павловна</dc:creator>
  <dc:language>ru-RU</dc:language>
  <cp:keywords/>
  <dcterms:created xsi:type="dcterms:W3CDTF">2025-02-23T06:46:21Z</dcterms:created>
  <dcterms:modified xsi:type="dcterms:W3CDTF">2025-02-23T06:46:21Z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Понятие подпрограммы. Отладчик GDB.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