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8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b/>
          <w:bCs/>
          <w:color w:val="C9A84C"/>
          <w:sz w:val="72"/>
          <w:szCs w:val="72"/>
        </w:rPr>
        <w:t xml:space="preserve">CHRONX PROTOCOL</w:t>
      </w:r>
    </w:p>
    <w:p>
      <w:pPr>
        <w:spacing w:before="0" w:after="80"/>
        <w:jc w:val="center"/>
      </w:pPr>
      <w:r>
        <w:rPr>
          <w:rFonts w:ascii="Arial" w:cs="Arial" w:eastAsia="Arial" w:hAnsi="Arial"/>
          <w:b/>
          <w:bCs/>
          <w:color w:val="2C3E6B"/>
          <w:sz w:val="40"/>
          <w:szCs w:val="40"/>
        </w:rPr>
        <w:t>Whitepaper — Version One (Updated March 26, 2026)</w:t>
      </w:r>
    </w:p>
    <w:p>
      <w:pPr>
        <w:spacing w:before="0" w:after="400"/>
        <w:jc w:val="center"/>
      </w:pPr>
      <w:r>
        <w:rPr>
          <w:rFonts w:ascii="Arial" w:cs="Arial" w:eastAsia="Arial" w:hAnsi="Arial"/>
          <w:i/>
          <w:iCs/>
          <w:color w:val="666666"/>
          <w:sz w:val="28"/>
          <w:szCs w:val="28"/>
        </w:rPr>
        <w:t xml:space="preserve">The Promise Protocol — Genesis Zero</w:t>
      </w:r>
    </w:p>
    <w:p>
      <w:pPr>
        <w:pBdr>
          <w:bottom w:val="single" w:color="C9A84C" w:sz="2" w:space="4"/>
        </w:pBdr>
        <w:spacing w:before="160" w:after="160"/>
      </w:pPr>
      <w:r>
        <w:t xml:space="preserve"/>
      </w:r>
    </w:p>
    <w:p>
      <w:pPr>
        <w:spacing w:before="240" w:after="120"/>
        <w:jc w:val="center"/>
      </w:pPr>
      <w:r>
        <w:rPr>
          <w:rFonts w:ascii="Arial" w:cs="Arial" w:eastAsia="Arial" w:hAnsi="Arial"/>
          <w:color w:val="2C3E6B"/>
          <w:sz w:val="22"/>
          <w:szCs w:val="22"/>
        </w:rPr>
        <w:t xml:space="preserve">Genesis Zero  ·  Post-Quantum Cryptography  ·  Zero Fees</w:t>
      </w:r>
    </w:p>
    <w:p>
      <w:pPr>
        <w:spacing w:before="0" w:after="120"/>
        <w:jc w:val="center"/>
      </w:pPr>
      <w:r>
        <w:rPr>
          <w:rFonts w:ascii="Arial" w:cs="Arial" w:eastAsia="Arial" w:hAnsi="Arial"/>
          <w:b/>
          <w:bCs/>
          <w:color w:val="1A1A2E"/>
          <w:sz w:val="22"/>
          <w:szCs w:val="22"/>
        </w:rPr>
        <w:t xml:space="preserve">ICO: September 22, 2026  ·  $0.00319 per KX</w:t>
      </w:r>
    </w:p>
    <w:p>
      <w:pPr>
        <w:spacing w:before="0" w:after="400"/>
        <w:jc w:val="center"/>
      </w:pPr>
      <w:r>
        <w:rPr>
          <w:rFonts w:ascii="Arial" w:cs="Arial" w:eastAsia="Arial" w:hAnsi="Arial"/>
          <w:color w:val="C9A84C"/>
          <w:sz w:val="22"/>
          <w:szCs w:val="22"/>
        </w:rPr>
        <w:t xml:space="preserve">chronx.io</w:t>
      </w:r>
    </w:p>
    <w:p>
      <w:pPr>
        <w:pBdr>
          <w:bottom w:val="single" w:color="C9A84C" w:sz="2" w:space="4"/>
        </w:pBdr>
        <w:spacing w:before="160" w:after="160"/>
      </w:pPr>
      <w:r>
        <w:t xml:space="preserve"/>
      </w:r>
    </w:p>
    <w:p>
      <w:pPr>
        <w:spacing w:before="0" w:after="80"/>
      </w:pPr>
      <w:r>
        <w:t xml:space="preserve"/>
      </w:r>
    </w:p>
    <w:p>
      <w:pPr>
        <w:spacing w:before="0" w:after="80"/>
      </w:pPr>
      <w:r>
        <w:t xml:space="preserve"/>
      </w:r>
    </w:p>
    <w:p>
      <w:pPr>
        <w:spacing w:before="0" w:after="120"/>
        <w:jc w:val="center"/>
      </w:pPr>
      <w:r>
        <w:rPr>
          <w:rFonts w:ascii="Arial" w:cs="Arial" w:eastAsia="Arial" w:hAnsi="Arial"/>
          <w:i/>
          <w:iCs/>
          <w:color w:val="666666"/>
          <w:sz w:val="22"/>
          <w:szCs w:val="22"/>
        </w:rPr>
        <w:t xml:space="preserve">“ChronX does not merely record that a promise was made.
ChronX makes the promise inevitable.”</w:t>
      </w:r>
    </w:p>
    <w:p>
      <w:pPr>
        <w:spacing w:before="0" w:after="80"/>
      </w:pPr>
      <w:r>
        <w:t xml:space="preserve"/>
      </w:r>
    </w:p>
    <w:p>
      <w:pPr>
        <w:jc w:val="center"/>
      </w:pPr>
      <w:r>
        <w:rPr>
          <w:rFonts w:ascii="Arial" w:cs="Arial" w:eastAsia="Arial" w:hAnsi="Arial"/>
          <w:color w:val="666666"/>
          <w:sz w:val="20"/>
          <w:szCs w:val="20"/>
        </w:rPr>
        <w:t xml:space="preserve">March 25, 2026</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1. Everything is a Promise</w:t>
      </w:r>
    </w:p>
    <w:p>
      <w:pPr>
        <w:spacing w:before="80" w:after="120"/>
        <w:jc w:val="both"/>
      </w:pPr>
      <w:r>
        <w:rPr>
          <w:rFonts w:ascii="Arial" w:cs="Arial" w:eastAsia="Arial" w:hAnsi="Arial"/>
          <w:sz w:val="22"/>
          <w:szCs w:val="22"/>
        </w:rPr>
        <w:t xml:space="preserve">On ChronX Protocol, everything is a promise.</w:t>
      </w:r>
    </w:p>
    <w:p>
      <w:pPr>
        <w:spacing w:before="80" w:after="120"/>
        <w:jc w:val="both"/>
      </w:pPr>
      <w:r>
        <w:rPr>
          <w:rFonts w:ascii="Arial" w:cs="Arial" w:eastAsia="Arial" w:hAnsi="Arial"/>
          <w:sz w:val="22"/>
          <w:szCs w:val="22"/>
        </w:rPr>
        <w:t xml:space="preserve">A time-locked gift to your daughter on her eighteenth birthday: a promise. A 30-year mortgage: a bilateral promise between a lender and a borrower. A fire insurance policy that pays if your house burns down: a conditional promise. An AI-managed investment mandate: a delegated promise where you define the intent and the agent carries it out. A corporate bond: a promise to repay with interest.</w:t>
      </w:r>
    </w:p>
    <w:p>
      <w:pPr>
        <w:spacing w:before="80" w:after="120"/>
        <w:jc w:val="both"/>
      </w:pPr>
      <w:r>
        <w:rPr>
          <w:rFonts w:ascii="Arial" w:cs="Arial" w:eastAsia="Arial" w:hAnsi="Arial"/>
          <w:sz w:val="22"/>
          <w:szCs w:val="22"/>
        </w:rPr>
        <w:t xml:space="preserve">One idea. Infinite applications.</w:t>
      </w:r>
    </w:p>
    <w:p>
      <w:pPr>
        <w:spacing w:before="80" w:after="120"/>
        <w:jc w:val="both"/>
      </w:pPr>
      <w:r>
        <w:rPr>
          <w:rFonts w:ascii="Arial" w:cs="Arial" w:eastAsia="Arial" w:hAnsi="Arial"/>
          <w:sz w:val="22"/>
          <w:szCs w:val="22"/>
        </w:rPr>
        <w:t xml:space="preserve">ChronX does not try to be a payments network, a banking system, or an insurance platform. It is a promise protocol. It records promises, enforces them, and ensures the funds behind them are never lost. Everything else — loans, insurance, AI investment, secondary markets, reinsurance hierarchies — is built on top of that one idea by people who understand their own domain.</w:t>
      </w:r>
    </w:p>
    <w:p>
      <w:pPr>
        <w:spacing w:before="80" w:after="120"/>
        <w:jc w:val="both"/>
      </w:pPr>
      <w:r>
        <w:rPr>
          <w:rFonts w:ascii="Arial" w:cs="Arial" w:eastAsia="Arial" w:hAnsi="Arial"/>
          <w:sz w:val="22"/>
          <w:szCs w:val="22"/>
        </w:rPr>
        <w:t xml:space="preserve">The protocol does not judge the wisdom of a promise. It enforces it.</w:t>
      </w:r>
    </w:p>
    <w:p>
      <w:pPr>
        <w:spacing w:before="80" w:after="120"/>
        <w:jc w:val="both"/>
      </w:pPr>
      <w:r>
        <w:rPr>
          <w:rFonts w:ascii="Arial" w:cs="Arial" w:eastAsia="Arial" w:hAnsi="Arial"/>
          <w:sz w:val="22"/>
          <w:szCs w:val="22"/>
        </w:rPr>
        <w:t xml:space="preserve">This whitepaper is the definitive reference for the complete ChronX Protocol as of Genesis Zero — the final, immutable genesis from which all future activity builds. Every parameter, every instrument type, every governance rule is documented here. This is the reference for developers, finance professionals, AI systems evaluating integration opportunities, and domain experts considering what to build on ChronX.</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2. The DAG</w:t>
      </w:r>
    </w:p>
    <w:p>
      <w:pPr>
        <w:spacing w:before="80" w:after="120"/>
        <w:jc w:val="both"/>
      </w:pPr>
      <w:r>
        <w:rPr>
          <w:rFonts w:ascii="Arial" w:cs="Arial" w:eastAsia="Arial" w:hAnsi="Arial"/>
          <w:sz w:val="22"/>
          <w:szCs w:val="22"/>
        </w:rPr>
        <w:t xml:space="preserve">ChronX records every promise on a directed acyclic graph — a permanent ledger where every entry references what came before it. Nothing can be inserted, deleted, or altered. Not by us. Not by anyone. A promise made in 2026 is just as immutable in 2126.</w:t>
      </w:r>
    </w:p>
    <w:p>
      <w:pPr>
        <w:spacing w:before="80" w:after="120"/>
        <w:jc w:val="both"/>
      </w:pPr>
      <w:r>
        <w:rPr>
          <w:rFonts w:ascii="Arial" w:cs="Arial" w:eastAsia="Arial" w:hAnsi="Arial"/>
          <w:sz w:val="22"/>
          <w:szCs w:val="22"/>
        </w:rPr>
        <w:t xml:space="preserve">Unlike a traditional blockchain where transactions form a single chain of blocks, a DAG allows multiple transactions to be confirmed simultaneously by referencing one or more previous transactions. Each transaction references 1–8 parent vertices, creating a web of permanent, interlocking records.</w:t>
      </w:r>
    </w:p>
    <w:p>
      <w:pPr>
        <w:pStyle w:val="Heading2"/>
        <w:spacing w:before="360" w:after="160"/>
      </w:pPr>
      <w:r>
        <w:rPr>
          <w:rFonts w:ascii="Arial" w:cs="Arial" w:eastAsia="Arial" w:hAnsi="Arial"/>
          <w:b/>
          <w:bCs/>
          <w:color w:val="2C3E6B"/>
          <w:sz w:val="28"/>
          <w:szCs w:val="28"/>
        </w:rPr>
        <w:t xml:space="preserve">Why Free Matters</w:t>
      </w:r>
    </w:p>
    <w:p>
      <w:pPr>
        <w:spacing w:before="80" w:after="120"/>
        <w:jc w:val="both"/>
      </w:pPr>
      <w:r>
        <w:rPr>
          <w:rFonts w:ascii="Arial" w:cs="Arial" w:eastAsia="Arial" w:hAnsi="Arial"/>
          <w:sz w:val="22"/>
          <w:szCs w:val="22"/>
        </w:rPr>
        <w:t xml:space="preserve">Every transfer, every promise, every loan settlement on ChronX costs nothing. This is not a promotional offer. It is a protocol invariant, encoded at genesis and immutable forever. Transaction fees on ChronX are zero — past, present, and future.</w:t>
      </w:r>
    </w:p>
    <w:p>
      <w:pPr>
        <w:spacing w:before="80" w:after="120"/>
        <w:jc w:val="both"/>
      </w:pPr>
      <w:r>
        <w:rPr>
          <w:rFonts w:ascii="Arial" w:cs="Arial" w:eastAsia="Arial" w:hAnsi="Arial"/>
          <w:sz w:val="22"/>
          <w:szCs w:val="22"/>
        </w:rPr>
        <w:t xml:space="preserve">This matters because a 100-year promise cannot carry an unknown future fee. The promise was specific. The delivery must match. Zero fees make this possible.</w:t>
      </w:r>
    </w:p>
    <w:p>
      <w:pPr>
        <w:pStyle w:val="Heading2"/>
        <w:spacing w:before="360" w:after="160"/>
      </w:pPr>
      <w:r>
        <w:rPr>
          <w:rFonts w:ascii="Arial" w:cs="Arial" w:eastAsia="Arial" w:hAnsi="Arial"/>
          <w:b/>
          <w:bCs/>
          <w:color w:val="2C3E6B"/>
          <w:sz w:val="28"/>
          <w:szCs w:val="28"/>
        </w:rPr>
        <w:t xml:space="preserve">Why Immutability Matters for Promises</w:t>
      </w:r>
    </w:p>
    <w:p>
      <w:pPr>
        <w:spacing w:before="80" w:after="120"/>
        <w:jc w:val="both"/>
      </w:pPr>
      <w:r>
        <w:rPr>
          <w:rFonts w:ascii="Arial" w:cs="Arial" w:eastAsia="Arial" w:hAnsi="Arial"/>
          <w:sz w:val="22"/>
          <w:szCs w:val="22"/>
        </w:rPr>
        <w:t xml:space="preserve">A promise is only as good as the system that enforces it. If a centralized database can be edited, the promise can be edited. ChronX’s DAG is append-only. Once a promise is recorded, it exists forever. The sender cannot take it back (unless they specified a cancellation window). The protocol cannot modify it. The foundation cannot override it.</w:t>
      </w:r>
    </w:p>
    <w:p>
      <w:pPr>
        <w:pStyle w:val="Heading2"/>
        <w:spacing w:before="360" w:after="160"/>
      </w:pPr>
      <w:r>
        <w:rPr>
          <w:rFonts w:ascii="Arial" w:cs="Arial" w:eastAsia="Arial" w:hAnsi="Arial"/>
          <w:b/>
          <w:bCs/>
          <w:color w:val="2C3E6B"/>
          <w:sz w:val="28"/>
          <w:szCs w:val="28"/>
        </w:rPr>
        <w:t xml:space="preserve">KX: The Unit of Account</w:t>
      </w:r>
    </w:p>
    <w:p>
      <w:pPr>
        <w:spacing w:before="80" w:after="120"/>
        <w:jc w:val="both"/>
      </w:pPr>
      <w:r>
        <w:rPr>
          <w:rFonts w:ascii="Arial" w:cs="Arial" w:eastAsia="Arial" w:hAnsi="Arial"/>
          <w:sz w:val="22"/>
          <w:szCs w:val="22"/>
        </w:rPr>
        <w:t xml:space="preserve">KX is the native token of the ChronX Protocol. Total supply: 8,270,000,000 KX. Fixed forever. No inflation. No minting. No burning. One KX equals 1,000,000 Chronos. KX is a utility token — the fuel that moves promises from sender to recipient.</w:t>
      </w:r>
    </w:p>
    <w:p>
      <w:pPr>
        <w:pStyle w:val="Heading2"/>
        <w:spacing w:before="360" w:after="160"/>
      </w:pPr>
      <w:r>
        <w:rPr>
          <w:rFonts w:ascii="Arial" w:cs="Arial" w:eastAsia="Arial" w:hAnsi="Arial"/>
          <w:b/>
          <w:bCs/>
          <w:color w:val="2C3E6B"/>
          <w:sz w:val="28"/>
          <w:szCs w:val="28"/>
        </w:rPr>
        <w:t xml:space="preserve">Nodes and Security</w:t>
      </w:r>
    </w:p>
    <w:p>
      <w:pPr>
        <w:spacing w:before="80" w:after="120"/>
        <w:jc w:val="both"/>
      </w:pPr>
      <w:r>
        <w:rPr>
          <w:rFonts w:ascii="Arial" w:cs="Arial" w:eastAsia="Arial" w:hAnsi="Arial"/>
          <w:sz w:val="22"/>
          <w:szCs w:val="22"/>
        </w:rPr>
        <w:t xml:space="preserve">ChronX currently operates three nodes: a primary node on Vultr cloud infrastructure, a Windows node, and a Mac Mini node. These nodes validate every transaction using SHA3-256 proof of work (20 bits leading zeros) and CRYSTALS-Dilithium2 post-quantum digital signatures. Every wallet is quantum-resistant from day one.</w:t>
      </w:r>
    </w:p>
    <w:p>
      <w:pPr>
        <w:spacing w:before="80" w:after="120"/>
        <w:jc w:val="both"/>
      </w:pPr>
      <w:r>
        <w:rPr>
          <w:rFonts w:ascii="Arial" w:cs="Arial" w:eastAsia="Arial" w:hAnsi="Arial"/>
          <w:sz w:val="22"/>
          <w:szCs w:val="22"/>
        </w:rPr>
        <w:t xml:space="preserve">The network is designed for anyone to run a node. Node operators will be eligible for rewards beginning January 1, 2029, distributed from a 1,000,000,000 KX allocation over 100 years via harmonic time-locks. Running a node before 2029 supports the network. Nodes communicate via libp2p peer-to-peer networking.</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3. Promises in Any Currency</w:t>
      </w:r>
    </w:p>
    <w:p>
      <w:pPr>
        <w:spacing w:before="80" w:after="120"/>
        <w:jc w:val="both"/>
      </w:pPr>
      <w:r>
        <w:rPr>
          <w:rFonts w:ascii="Arial" w:cs="Arial" w:eastAsia="Arial" w:hAnsi="Arial"/>
          <w:sz w:val="22"/>
          <w:szCs w:val="22"/>
        </w:rPr>
        <w:t xml:space="preserve">KX is the reserve. Not necessarily the currency you see.</w:t>
      </w:r>
    </w:p>
    <w:p>
      <w:pPr>
        <w:spacing w:before="80" w:after="120"/>
        <w:jc w:val="both"/>
      </w:pPr>
      <w:r>
        <w:rPr>
          <w:rFonts w:ascii="Arial" w:cs="Arial" w:eastAsia="Arial" w:hAnsi="Arial"/>
          <w:sz w:val="22"/>
          <w:szCs w:val="22"/>
        </w:rPr>
        <w:t xml:space="preserve">PAY_AS is ChronX’s denomination layer. When creating any promise or loan, the sender specifies a currency denomination — USD, EUR, GBP, or any governance-approved currency. The protocol stores the obligation in KX but records the sender’s intent. At execution time, the XChan exchange provides the current rate, and the protocol delivers the correct KX equivalent.</w:t>
      </w:r>
    </w:p>
    <w:p>
      <w:pPr>
        <w:spacing w:before="40" w:after="60"/>
      </w:pPr>
      <w:r>
        <w:rPr>
          <w:rFonts w:ascii="Arial" w:cs="Arial" w:eastAsia="Arial" w:hAnsi="Arial"/>
          <w:color w:val="666666"/>
          <w:sz w:val="18"/>
          <w:szCs w:val="18"/>
        </w:rPr>
        <w:t xml:space="preserve">Governance: pay_as_max_usd = $250 per transaction. Subject to governance adjustment.</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Enum Variant</w:t>
            </w:r>
          </w:p>
        </w:tc>
        <w:tc>
          <w:tcPr>
            <w:tcW w:type="dxa" w:w="5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 KX</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 conversion. Deliver exact KX amount locked.</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UsdEquivalentAtCreation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USD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USD at maturity rate.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 at Creation</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EurEquivalentAtCreation</w:t>
            </w:r>
          </w:p>
        </w:tc>
        <w:tc>
          <w:tcPr>
            <w:tcW w:type="dxa" w:w="5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 KX equivalent of X EUR at today’s rate.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 at Maturity</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EurEquivalentAtMaturity</w:t>
            </w:r>
          </w:p>
        </w:tc>
        <w:tc>
          <w:tcPr>
            <w:tcW w:type="dxa" w:w="5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Deliver KX equivalent of X EUR at maturity rate.</w:t>
            </w:r>
          </w:p>
        </w:tc>
      </w:tr>
    </w:tbl>
    <w:p>
      <w:pPr>
        <w:spacing w:before="0" w:after="80"/>
      </w:pPr>
      <w:r>
        <w:t xml:space="preserve"/>
      </w:r>
    </w:p>
    <w:p>
      <w:pPr>
        <w:spacing w:before="80" w:after="120"/>
        <w:jc w:val="both"/>
      </w:pPr>
      <w:r>
        <w:rPr>
          <w:rFonts w:ascii="Arial" w:cs="Arial" w:eastAsia="Arial" w:hAnsi="Arial"/>
          <w:sz w:val="22"/>
          <w:szCs w:val="22"/>
        </w:rPr>
        <w:t xml:space="preserve">The accounting note: all obligations are KX at the protocol level. PAY_AS is a denomination layer, not a currency conversion service. The exchange rate at execution time determines the KX amount required. The protocol does not hold fiat. XChan provides the oracle rate. HedgeKX provides currency risk protection for those who want certainty.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4. The Essential Protocol Partners</w:t>
      </w:r>
    </w:p>
    <w:p>
      <w:pPr>
        <w:spacing w:before="80" w:after="120"/>
        <w:jc w:val="both"/>
      </w:pPr>
      <w:r>
        <w:rPr>
          <w:rFonts w:ascii="Arial" w:cs="Arial" w:eastAsia="Arial" w:hAnsi="Arial"/>
          <w:sz w:val="22"/>
          <w:szCs w:val="22"/>
        </w:rPr>
        <w:t xml:space="preserve">ChronX is the protocol. Around it, six bonded organizations extend its capabilities into specialized domains. Each is independent. Each posts a performance bond in KX. If a partner acts against the protocol’s interests, the Foundation may initiate a DrawRequest against that bond. The partner has a protocol-enforced lock period (minimum 30 days) before any action executes.</w:t>
      </w:r>
    </w:p>
    <w:p>
      <w:pPr>
        <w:pStyle w:val="Heading2"/>
        <w:spacing w:before="360" w:after="160"/>
      </w:pPr>
      <w:r>
        <w:rPr>
          <w:rFonts w:ascii="Arial" w:cs="Arial" w:eastAsia="Arial" w:hAnsi="Arial"/>
          <w:b/>
          <w:bCs/>
          <w:color w:val="2C3E6B"/>
          <w:sz w:val="28"/>
          <w:szCs w:val="28"/>
        </w:rPr>
        <w:t xml:space="preserve">4.1 MISAI — The AI Executor</w:t>
      </w:r>
    </w:p>
    <w:p>
      <w:pPr>
        <w:spacing w:before="80" w:after="120"/>
        <w:jc w:val="both"/>
      </w:pPr>
      <w:r>
        <w:rPr>
          <w:rFonts w:ascii="Arial" w:cs="Arial" w:eastAsia="Arial" w:hAnsi="Arial"/>
          <w:sz w:val="22"/>
          <w:szCs w:val="22"/>
        </w:rPr>
        <w:t xml:space="preserve">MISAI (misai.io) is an AI-powered executor that manages financial obligations on behalf of participants. As a loan servicer, MISAI monitors payment schedules, publishes DefaultRecords when payments are missed, and processes LoanCompletion entries. As an investment executor, MISAI manages TYPE M locks — promises where the grantor instructs AI to actively manage locked KX. MISAI’s 10,000,000 KX bond ensures meaningful accountability.</w:t>
      </w:r>
    </w:p>
    <w:p>
      <w:pPr>
        <w:spacing w:before="40" w:after="60"/>
      </w:pPr>
      <w:r>
        <w:rPr>
          <w:rFonts w:ascii="Arial" w:cs="Arial" w:eastAsia="Arial" w:hAnsi="Arial"/>
          <w:color w:val="666666"/>
          <w:sz w:val="18"/>
          <w:szCs w:val="18"/>
        </w:rPr>
        <w:t xml:space="preserve">Governance: misai_conservative_batch_only = true. Full autonomous operation requires a governance vote.</w:t>
      </w:r>
    </w:p>
    <w:p>
      <w:pPr>
        <w:pStyle w:val="Heading2"/>
        <w:spacing w:before="360" w:after="160"/>
      </w:pPr>
      <w:r>
        <w:rPr>
          <w:rFonts w:ascii="Arial" w:cs="Arial" w:eastAsia="Arial" w:hAnsi="Arial"/>
          <w:b/>
          <w:bCs/>
          <w:color w:val="2C3E6B"/>
          <w:sz w:val="28"/>
          <w:szCs w:val="28"/>
        </w:rPr>
        <w:t xml:space="preserve">4.2 Verifas — The Human Attestation Layer</w:t>
      </w:r>
    </w:p>
    <w:p>
      <w:pPr>
        <w:spacing w:before="80" w:after="120"/>
        <w:jc w:val="both"/>
      </w:pPr>
      <w:r>
        <w:rPr>
          <w:rFonts w:ascii="Arial" w:cs="Arial" w:eastAsia="Arial" w:hAnsi="Arial"/>
          <w:sz w:val="22"/>
          <w:szCs w:val="22"/>
        </w:rPr>
        <w:t xml:space="preserve">Verifas (verifas.io) is a network of bonded human attestors whose only job is to confirm that a promise recipient is the intended party when a wallet has gone offline. For promises unlocking more than 365 days in the future, the sender may attach an encrypted beneficiary package. Verifas has no duty to act — it must be presented with a valid attestation request. Verifas holds a 10,000,000 KX bond.</w:t>
      </w:r>
    </w:p>
    <w:p>
      <w:pPr>
        <w:pStyle w:val="Heading2"/>
        <w:spacing w:before="360" w:after="160"/>
      </w:pPr>
      <w:r>
        <w:rPr>
          <w:rFonts w:ascii="Arial" w:cs="Arial" w:eastAsia="Arial" w:hAnsi="Arial"/>
          <w:b/>
          <w:bCs/>
          <w:color w:val="2C3E6B"/>
          <w:sz w:val="28"/>
          <w:szCs w:val="28"/>
        </w:rPr>
        <w:t xml:space="preserve">4.3 XChan — The Protocol Exchange</w:t>
      </w:r>
    </w:p>
    <w:p>
      <w:pPr>
        <w:spacing w:before="80" w:after="120"/>
        <w:jc w:val="both"/>
      </w:pPr>
      <w:r>
        <w:rPr>
          <w:rFonts w:ascii="Arial" w:cs="Arial" w:eastAsia="Arial" w:hAnsi="Arial"/>
          <w:sz w:val="22"/>
          <w:szCs w:val="22"/>
        </w:rPr>
        <w:t xml:space="preserve">XChan (xchan.io) is the exchange that powers PAY_AS calculations. XChan provides the price oracle — a 7-day volume-weighted average of KX/USDC trades — that determines how much KX is required to deliver a promised USD amount. XChan also provides direct KX/USDC conversion via wKX on Base chain (contract: 0x0BBC24a0cBBC5d3fF1B9b90ce5195fC04FE0dD56) and Uniswap v3 (pool: 0x0B1865E9519EFf7De80539d986C5abCC5e8667De, wKX/USDC 1% fee). HedgeKX escrow: 0x5d423b4BCaA3474eDb187BC4D823d51900007432. XChan holds a 10,000,000 KX bond. In the future XChan may license third-party conversion services.</w:t>
      </w:r>
    </w:p>
    <w:p>
      <w:pPr>
        <w:spacing w:before="80" w:after="120"/>
        <w:jc w:val="both"/>
      </w:pPr>
      <w:r>
        <w:rPr>
          <w:rFonts w:ascii="Arial" w:hAnsi="Arial"/>
          <w:sz w:val="22"/>
        </w:rPr>
        <w:t>wKX is a bridge instrument, not an investment product. It is minted against specific locked KX and burned upon settlement. wKX tokens are not designed to be held, traded, or speculated upon. Any wKX appearing on secondary markets without a corresponding active ChronX savings lock is unredeemable. The Uniswap pool exists solely as a price discovery mechanism for KX/USDC — not as a consumer market for wKX as an investment product.</w:t>
      </w:r>
    </w:p>
    <w:p>
      <w:pPr>
        <w:pStyle w:val="Heading2"/>
        <w:spacing w:before="360" w:after="160"/>
      </w:pPr>
      <w:r>
        <w:rPr>
          <w:rFonts w:ascii="Arial" w:cs="Arial" w:eastAsia="Arial" w:hAnsi="Arial"/>
          <w:b/>
          <w:bCs/>
          <w:color w:val="2C3E6B"/>
          <w:sz w:val="28"/>
          <w:szCs w:val="28"/>
        </w:rPr>
        <w:t xml:space="preserve">4.4 HedgeKX — The Hedge Market Platform</w:t>
      </w:r>
    </w:p>
    <w:p>
      <w:pPr>
        <w:spacing w:before="80" w:after="120"/>
        <w:jc w:val="both"/>
      </w:pPr>
      <w:r>
        <w:rPr>
          <w:rFonts w:ascii="Arial" w:cs="Arial" w:eastAsia="Arial" w:hAnsi="Arial"/>
          <w:sz w:val="22"/>
          <w:szCs w:val="22"/>
        </w:rPr>
        <w:t xml:space="preserve">HedgeKX (hedgekx.io) is the platform for bilateral KX/USD hedge instruments. HedgeKX makes zero decisions — it does not price instruments, manage funds, take positions, or guarantee outcomes. It operates an order book where hedgers post offers and promise creators link to them. Settlement is automatic on the DAG. HedgeKX holds a 10,000,000 KX bond.</w:t>
      </w:r>
    </w:p>
    <w:p>
      <w:pPr>
        <w:spacing w:before="80" w:after="120"/>
        <w:jc w:val="both"/>
      </w:pPr>
      <w:r>
        <w:rPr>
          <w:rFonts w:ascii="Arial" w:cs="Arial" w:eastAsia="Arial" w:hAnsi="Arial"/>
          <w:sz w:val="22"/>
          <w:szCs w:val="22"/>
        </w:rPr>
        <w:t xml:space="preserve">Today HedgeKX operates in its founding phase: overnight hedges only, $250 maximum daily exposure, with the founding developer seeding both sides of the market as the first test participant. As the market matures, HedgeKX will expand durations by governance vote, and ultimately transition to an oracle operator and licensing platform for third-party hedge market operators.</w:t>
      </w:r>
    </w:p>
    <w:p>
      <w:pPr>
        <w:spacing w:before="40" w:after="60"/>
      </w:pPr>
      <w:r>
        <w:rPr>
          <w:rFonts w:ascii="Arial" w:cs="Arial" w:eastAsia="Arial" w:hAnsi="Arial"/>
          <w:color w:val="666666"/>
          <w:sz w:val="18"/>
          <w:szCs w:val="18"/>
        </w:rPr>
        <w:t xml:space="preserve">Governance: hedgekx_max_daily_exposure_usd = $250. hedgekx_max_instrument_duration_seconds = 86,400 (24 hours). Both subject to governance expansion.</w:t>
      </w:r>
    </w:p>
    <w:p>
      <w:pPr>
        <w:spacing w:before="40" w:after="60"/>
      </w:pPr>
      <w:r>
        <w:rPr>
          <w:rFonts w:ascii="Arial" w:cs="Arial" w:eastAsia="Arial" w:hAnsi="Arial"/>
          <w:color w:val="666666"/>
          <w:sz w:val="18"/>
          <w:szCs w:val="18"/>
        </w:rPr>
        <w:t xml:space="preserve">Mandate: HedgeKX is a platform only. It does not underwrite, guarantee, or take positions in any instrument. Hedge instruments are bilateral forex contracts between two parties. Loss on a correctly-executed instrument is not fraud. It is the instrument working as designed.</w:t>
      </w:r>
    </w:p>
    <w:p>
      <w:pPr>
        <w:spacing w:before="80" w:after="120"/>
      </w:pPr>
      <w:r>
        <w:rPr>
          <w:rFonts w:ascii="Arial" w:hAnsi="Arial"/>
          <w:sz w:val="22"/>
        </w:rPr>
        <w:t>HedgeKX serves as the stability layer of the ChronX ecosystem. By creating a two-sided market for KX price risk, it simultaneously protects lenders against KX depreciation, enables principal-protected savings accounts, and provides the price stability that makes long-duration PAY–AS promises credible. The relationship is self-reinforcing: savings deposits provide HedgeKX liquidity, which stabilises KX, which makes PAY–AS loans viable, which generates hedge demand from borrowers and lenders, which produces yield for savers, which attracts more savings deposits. The health of every financial instrument in the ChronX ecosystem ultimately depends on HedgeKX’s capacity to absorb and distribute price risk across willing participants.</w:t>
      </w:r>
    </w:p>
    <w:p>
      <w:pPr>
        <w:pStyle w:val="Heading2"/>
        <w:spacing w:before="360" w:after="160"/>
      </w:pPr>
      <w:r>
        <w:rPr>
          <w:rFonts w:ascii="Arial" w:cs="Arial" w:eastAsia="Arial" w:hAnsi="Arial"/>
          <w:b/>
          <w:bCs/>
          <w:color w:val="2C3E6B"/>
          <w:sz w:val="28"/>
          <w:szCs w:val="28"/>
        </w:rPr>
        <w:t xml:space="preserve">4.5 CPNX — Identity and Badges</w:t>
      </w:r>
    </w:p>
    <w:p>
      <w:pPr>
        <w:spacing w:before="80" w:after="120"/>
        <w:jc w:val="both"/>
      </w:pPr>
      <w:r>
        <w:rPr>
          <w:rFonts w:ascii="Arial" w:cs="Arial" w:eastAsia="Arial" w:hAnsi="Arial"/>
          <w:sz w:val="22"/>
          <w:szCs w:val="22"/>
        </w:rPr>
        <w:t xml:space="preserve">CPNX (cpnx.com) manages on-chain verification of participants. Badges gate access to protocol features: TYPE P-R fractional reserve pools require a BANK, INSURANCE, or GOVERNMENT badge. TYPE A authority grants require specific badge combinations. CPNX holds a 1,000,000 KX bond reflecting identity risk rather than financial risk. See Appendix K for the complete badge reference.</w:t>
      </w:r>
    </w:p>
    <w:p>
      <w:pPr>
        <w:pStyle w:val="Heading2"/>
        <w:spacing w:before="360" w:after="160"/>
      </w:pPr>
      <w:r>
        <w:rPr>
          <w:rFonts w:ascii="Arial" w:cs="Arial" w:eastAsia="Arial" w:hAnsi="Arial"/>
          <w:b/>
          <w:bCs/>
          <w:color w:val="2C3E6B"/>
          <w:sz w:val="28"/>
          <w:szCs w:val="28"/>
        </w:rPr>
        <w:t xml:space="preserve">4.6 KXGC — KX Guarantee Co.</w:t>
      </w:r>
    </w:p>
    <w:p>
      <w:pPr>
        <w:spacing w:before="80" w:after="120"/>
        <w:jc w:val="both"/>
      </w:pPr>
      <w:r>
        <w:rPr>
          <w:rFonts w:ascii="Arial" w:cs="Arial" w:eastAsia="Arial" w:hAnsi="Arial"/>
          <w:sz w:val="22"/>
          <w:szCs w:val="22"/>
        </w:rPr>
        <w:t xml:space="preserve">KXGC (kxgc.io) is the capital of last resort. It holds 300,000,000 KX in fully-reserved bond capital — permanently visible on the DAG, queryable by anyone, at any time. KXGC operates the Lloyd’s of London model: three-tier hierarchy of bonded guarantors. Tier 0 (KXGC, 300M KX, never writes policies directly). Tier 1 (bonded Names, 5–25M KX each, write guarantee instruments). Tier 2 (retail pools, backed by Tier 1 sponsors).</w:t>
      </w:r>
    </w:p>
    <w:p>
      <w:pPr>
        <w:spacing w:before="80" w:after="120"/>
        <w:jc w:val="both"/>
      </w:pPr>
      <w:r>
        <w:rPr>
          <w:rFonts w:ascii="Arial" w:hAnsi="Arial"/>
          <w:sz w:val="22"/>
        </w:rPr>
        <w:t>KXGC provides the backstop that makes PAY_AS insurance, long-horizon lending, and multi-party conditional payments viable at scale.</w:t>
      </w:r>
    </w:p>
    <w:p>
      <w:pPr>
        <w:spacing w:before="80" w:after="120"/>
        <w:jc w:val="both"/>
      </w:pPr>
      <w:r>
        <w:rPr>
          <w:rFonts w:ascii="Arial" w:cs="Arial" w:eastAsia="Arial" w:hAnsi="Arial"/>
          <w:sz w:val="22"/>
          <w:szCs w:val="22"/>
        </w:rPr>
        <w:t xml:space="preserve">Bond wallet: BqjGDbhzLJJgzpVywRxug4wTa2Qqtwipc1hkcLLJsWzF</w:t>
      </w:r>
    </w:p>
    <w:p>
      <w:pPr>
        <w:spacing w:before="80" w:after="120"/>
        <w:jc w:val="both"/>
      </w:pPr>
      <w:r>
        <w:rPr>
          <w:rFonts w:ascii="Arial" w:hAnsi="Arial"/>
          <w:sz w:val="22"/>
        </w:rPr>
        <w:t>4.7 Savings — Protocol-Guaranteed Principal</w:t>
      </w:r>
    </w:p>
    <w:p>
      <w:pPr>
        <w:spacing w:before="80" w:after="120"/>
        <w:jc w:val="both"/>
      </w:pPr>
      <w:r>
        <w:rPr>
          <w:rFonts w:ascii="Arial" w:hAnsi="Arial"/>
          <w:i/>
          <w:sz w:val="22"/>
        </w:rPr>
        <w:t>“Your savings principal is guaranteed by the ChronX protocol — secured by mathematics, not by a bank.”</w:t>
      </w:r>
    </w:p>
    <w:p>
      <w:pPr>
        <w:spacing w:before="80" w:after="120"/>
        <w:jc w:val="both"/>
      </w:pPr>
      <w:r>
        <w:rPr>
          <w:rFonts w:ascii="Arial" w:hAnsi="Arial"/>
          <w:sz w:val="22"/>
        </w:rPr>
        <w:t>When a user deposits KX into a savings lock, the following is true without exception: the KX is locked on the ChronX DAG at the moment of deposit and does not move; the lock matures automatically at the specified date with no human action required; the full principal returns to the owner at maturity automatically; this guarantee holds regardless of the operational status of any third party, any market condition, any hack or breach, or any regulatory action. The guarantee is enforced by the DAG itself — secured by CRYSTALS-Dilithium2 post-quantum signatures. No bank can make this statement about a yield-bearing product. A bank’s promise to return principal depends on solvency, insurance, and government discretion. ChronX’s guarantee depends only on mathematics.</w:t>
      </w:r>
    </w:p>
    <w:p>
      <w:pPr>
        <w:spacing w:before="80" w:after="120"/>
        <w:jc w:val="both"/>
      </w:pPr>
      <w:r>
        <w:rPr>
          <w:rFonts w:ascii="Arial" w:hAnsi="Arial"/>
          <w:sz w:val="22"/>
        </w:rPr>
        <w:t>Yield is separate from principal and is not guaranteed. If market activity produces no yield in a given period, the principal is unaffected and returns in full at maturity. Maximum loss to a saver in any scenario: zero principal. At most one day of yield in a disruption event.</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5. Every Promise is Tradeable</w:t>
      </w:r>
    </w:p>
    <w:p>
      <w:pPr>
        <w:spacing w:before="80" w:after="120"/>
        <w:jc w:val="both"/>
      </w:pPr>
      <w:r>
        <w:rPr>
          <w:rFonts w:ascii="Arial" w:cs="Arial" w:eastAsia="Arial" w:hAnsi="Arial"/>
          <w:sz w:val="22"/>
          <w:szCs w:val="22"/>
        </w:rPr>
        <w:t xml:space="preserve">A loan on ChronX is not trapped with its original lender. By default, loan obligations can be transferred to new owners.</w:t>
      </w:r>
    </w:p>
    <w:p>
      <w:pPr>
        <w:spacing w:before="40" w:after="60"/>
      </w:pPr>
      <w:r>
        <w:rPr>
          <w:rFonts w:ascii="Arial" w:cs="Arial" w:eastAsia="Arial" w:hAnsi="Arial"/>
          <w:color w:val="666666"/>
          <w:sz w:val="18"/>
          <w:szCs w:val="18"/>
        </w:rPr>
        <w:t xml:space="preserve">Governance: loan_transfer_enabled = false (dormant). Secondary market infrastructure is fully built. Activation requires a Foundation governance vote.</w:t>
      </w:r>
    </w:p>
    <w:p>
      <w:pPr>
        <w:pStyle w:val="Heading2"/>
        <w:spacing w:before="360" w:after="160"/>
      </w:pPr>
      <w:r>
        <w:rPr>
          <w:rFonts w:ascii="Arial" w:cs="Arial" w:eastAsia="Arial" w:hAnsi="Arial"/>
          <w:b/>
          <w:bCs/>
          <w:color w:val="2C3E6B"/>
          <w:sz w:val="28"/>
          <w:szCs w:val="28"/>
        </w:rPr>
        <w:t xml:space="preserve">Transferability Flags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Flag</w:t>
            </w:r>
          </w:p>
        </w:tc>
        <w:tc>
          <w:tcPr>
            <w:tcW w:type="dxa" w:w="7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Behavior</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FREE</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Anyone may buy this obligation. No restrictions.</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RESTRICTED</w:t>
            </w:r>
          </w:p>
        </w:tc>
        <w:tc>
          <w:tcPr>
            <w:tcW w:type="dxa" w:w="7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Transfer requires lender approval or specific conditions.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w:t>
            </w:r>
          </w:p>
        </w:tc>
        <w:tc>
          <w:tcPr>
            <w:tcW w:type="dxa" w:w="7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be transferred. Lender holds to maturity.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Tranching</w:t>
      </w:r>
    </w:p>
    <w:p>
      <w:pPr>
        <w:spacing w:before="80" w:after="120"/>
        <w:jc w:val="both"/>
      </w:pPr>
      <w:r>
        <w:rPr>
          <w:rFonts w:ascii="Arial" w:cs="Arial" w:eastAsia="Arial" w:hAnsi="Arial"/>
          <w:sz w:val="22"/>
          <w:szCs w:val="22"/>
        </w:rPr>
        <w:t xml:space="preserve">A single obligation can be split into tranches. Each tranche is a first-class obligation on the DAG with its own payment schedule, transfer history, and ownership record. Governance parameters: minimum tranche face value 1,000 KX, maximum 1,000 tranches per obligation, minimum trancheable obligation 10,000 KX.</w:t>
      </w:r>
    </w:p>
    <w:p>
      <w:pPr>
        <w:pStyle w:val="Heading2"/>
        <w:spacing w:before="360" w:after="160"/>
      </w:pPr>
      <w:r>
        <w:rPr>
          <w:rFonts w:ascii="Arial" w:cs="Arial" w:eastAsia="Arial" w:hAnsi="Arial"/>
          <w:b/>
          <w:bCs/>
          <w:color w:val="2C3E6B"/>
          <w:sz w:val="28"/>
          <w:szCs w:val="28"/>
        </w:rPr>
        <w:t xml:space="preserve">Yield and Principal Strips</w:t>
      </w:r>
    </w:p>
    <w:p>
      <w:pPr>
        <w:spacing w:before="80" w:after="120"/>
        <w:jc w:val="both"/>
      </w:pPr>
      <w:r>
        <w:rPr>
          <w:rFonts w:ascii="Arial" w:cs="Arial" w:eastAsia="Arial" w:hAnsi="Arial"/>
          <w:sz w:val="22"/>
          <w:szCs w:val="22"/>
        </w:rPr>
        <w:t xml:space="preserve">Tranched obligations support three claim types: WHOLE (principal and interest), YIELD_ONLY (interest payments only), and PRINCIPAL_ONLY (principal at maturity). This is the Pendle model implemented natively on a DAG.</w:t>
      </w:r>
    </w:p>
    <w:p>
      <w:pPr>
        <w:pStyle w:val="Heading2"/>
        <w:spacing w:before="360" w:after="160"/>
      </w:pPr>
      <w:r>
        <w:rPr>
          <w:rFonts w:ascii="Arial" w:cs="Arial" w:eastAsia="Arial" w:hAnsi="Arial"/>
          <w:b/>
          <w:bCs/>
          <w:color w:val="2C3E6B"/>
          <w:sz w:val="28"/>
          <w:szCs w:val="28"/>
        </w:rPr>
        <w:t xml:space="preserve">Atomic Settlement: T+0</w:t>
      </w:r>
    </w:p>
    <w:p>
      <w:pPr>
        <w:spacing w:before="80" w:after="120"/>
        <w:jc w:val="both"/>
      </w:pPr>
      <w:r>
        <w:rPr>
          <w:rFonts w:ascii="Arial" w:cs="Arial" w:eastAsia="Arial" w:hAnsi="Arial"/>
          <w:sz w:val="22"/>
          <w:szCs w:val="22"/>
        </w:rPr>
        <w:t xml:space="preserve">When an obligation trades, settlement is atomic. Buyer’s KX transfers to seller and ownership transfers to buyer in the same DAG vertex. T+0. No counterparty risk. No failed trades. No intermediary.</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6. The Axioms and Governance</w:t>
      </w:r>
    </w:p>
    <w:p>
      <w:pPr>
        <w:spacing w:before="80" w:after="120"/>
        <w:jc w:val="both"/>
      </w:pPr>
      <w:r>
        <w:rPr>
          <w:rFonts w:ascii="Arial" w:cs="Arial" w:eastAsia="Arial" w:hAnsi="Arial"/>
          <w:sz w:val="22"/>
          <w:szCs w:val="22"/>
        </w:rPr>
        <w:t xml:space="preserve">The ChronX Protocol is governed by 13 axioms encoded at Genesis Zero. These axioms are immutable. No governance body, software update, court order, or future decision can alter them.</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Governance Controls</w:t>
      </w:r>
    </w:p>
    <w:p>
      <w:pPr>
        <w:pStyle w:val="ListParagraph"/>
        <w:numPr>
          <w:ilvl w:val="0"/>
          <w:numId w:val="2"/>
        </w:numPr>
        <w:spacing w:before="60" w:after="60"/>
      </w:pPr>
      <w:r>
        <w:rPr>
          <w:rFonts w:ascii="Arial" w:cs="Arial" w:eastAsia="Arial" w:hAnsi="Arial"/>
          <w:sz w:val="22"/>
          <w:szCs w:val="22"/>
        </w:rPr>
        <w:t xml:space="preserve">Rate limits (transactions per wallet per minute, loan actions per wallet per day)</w:t>
      </w:r>
    </w:p>
    <w:p>
      <w:pPr>
        <w:pStyle w:val="ListParagraph"/>
        <w:numPr>
          <w:ilvl w:val="0"/>
          <w:numId w:val="2"/>
        </w:numPr>
        <w:spacing w:before="60" w:after="60"/>
      </w:pPr>
      <w:r>
        <w:rPr>
          <w:rFonts w:ascii="Arial" w:cs="Arial" w:eastAsia="Arial" w:hAnsi="Arial"/>
          <w:sz w:val="22"/>
          <w:szCs w:val="22"/>
        </w:rPr>
        <w:t xml:space="preserve">Sweep intervals</w:t>
      </w:r>
    </w:p>
    <w:p>
      <w:pPr>
        <w:pStyle w:val="ListParagraph"/>
        <w:numPr>
          <w:ilvl w:val="0"/>
          <w:numId w:val="2"/>
        </w:numPr>
        <w:spacing w:before="60" w:after="60"/>
      </w:pPr>
      <w:r>
        <w:rPr>
          <w:rFonts w:ascii="Arial" w:cs="Arial" w:eastAsia="Arial" w:hAnsi="Arial"/>
          <w:sz w:val="22"/>
          <w:szCs w:val="22"/>
        </w:rPr>
        <w:t xml:space="preserve">Executor parameters (eligibility window, fee cap, withdrawal delay)</w:t>
      </w:r>
    </w:p>
    <w:p>
      <w:pPr>
        <w:pStyle w:val="ListParagraph"/>
        <w:numPr>
          <w:ilvl w:val="0"/>
          <w:numId w:val="2"/>
        </w:numPr>
        <w:spacing w:before="60" w:after="60"/>
      </w:pPr>
      <w:r>
        <w:rPr>
          <w:rFonts w:ascii="Arial" w:cs="Arial" w:eastAsia="Arial" w:hAnsi="Arial"/>
          <w:sz w:val="22"/>
          <w:szCs w:val="22"/>
        </w:rPr>
        <w:t xml:space="preserve">Loan safeguards (principal limits, rate warnings, rescission windows)</w:t>
      </w:r>
    </w:p>
    <w:p>
      <w:pPr>
        <w:pStyle w:val="ListParagraph"/>
        <w:numPr>
          <w:ilvl w:val="0"/>
          <w:numId w:val="2"/>
        </w:numPr>
        <w:spacing w:before="60" w:after="60"/>
      </w:pPr>
      <w:r>
        <w:rPr>
          <w:rFonts w:ascii="Arial" w:cs="Arial" w:eastAsia="Arial" w:hAnsi="Arial"/>
          <w:sz w:val="22"/>
          <w:szCs w:val="22"/>
        </w:rPr>
        <w:t xml:space="preserve">Badge requirements for pool and authority instruments</w:t>
      </w:r>
    </w:p>
    <w:p>
      <w:pPr>
        <w:pStyle w:val="ListParagraph"/>
        <w:numPr>
          <w:ilvl w:val="0"/>
          <w:numId w:val="2"/>
        </w:numPr>
        <w:spacing w:before="60" w:after="60"/>
      </w:pPr>
      <w:r>
        <w:rPr>
          <w:rFonts w:ascii="Arial" w:cs="Arial" w:eastAsia="Arial" w:hAnsi="Arial"/>
          <w:sz w:val="22"/>
          <w:szCs w:val="22"/>
        </w:rPr>
        <w:t xml:space="preserve">PAY_AS approved currencies and transaction caps</w:t>
      </w:r>
    </w:p>
    <w:p>
      <w:pPr>
        <w:pStyle w:val="ListParagraph"/>
        <w:numPr>
          <w:ilvl w:val="0"/>
          <w:numId w:val="2"/>
        </w:numPr>
        <w:spacing w:before="60" w:after="60"/>
      </w:pPr>
      <w:r>
        <w:rPr>
          <w:rFonts w:ascii="Arial" w:cs="Arial" w:eastAsia="Arial" w:hAnsi="Arial"/>
          <w:sz w:val="22"/>
          <w:szCs w:val="22"/>
        </w:rPr>
        <w:t xml:space="preserve">Feature activation flags (loan transfers, oracle triggers, compound conditions)</w:t>
      </w:r>
    </w:p>
    <w:p>
      <w:pPr>
        <w:pStyle w:val="ListParagraph"/>
        <w:numPr>
          <w:ilvl w:val="0"/>
          <w:numId w:val="2"/>
        </w:numPr>
        <w:spacing w:before="60" w:after="60"/>
      </w:pPr>
      <w:r>
        <w:rPr>
          <w:rFonts w:ascii="Arial" w:cs="Arial" w:eastAsia="Arial" w:hAnsi="Arial"/>
          <w:sz w:val="22"/>
          <w:szCs w:val="22"/>
        </w:rPr>
        <w:t xml:space="preserve">EPP directive limits (per-transaction caps, duration limits, currency restrictions)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What Governance Cannot Touch</w:t>
      </w:r>
    </w:p>
    <w:p>
      <w:pPr>
        <w:pStyle w:val="ListParagraph"/>
        <w:numPr>
          <w:ilvl w:val="0"/>
          <w:numId w:val="2"/>
        </w:numPr>
        <w:spacing w:before="60" w:after="60"/>
      </w:pPr>
      <w:r>
        <w:rPr>
          <w:rFonts w:ascii="Arial" w:cs="Arial" w:eastAsia="Arial" w:hAnsi="Arial"/>
          <w:sz w:val="22"/>
          <w:szCs w:val="22"/>
        </w:rPr>
        <w:t xml:space="preserve">Transaction fees (zero, immutable forever)</w:t>
      </w:r>
    </w:p>
    <w:p>
      <w:pPr>
        <w:pStyle w:val="ListParagraph"/>
        <w:numPr>
          <w:ilvl w:val="0"/>
          <w:numId w:val="2"/>
        </w:numPr>
        <w:spacing w:before="60" w:after="60"/>
      </w:pPr>
      <w:r>
        <w:rPr>
          <w:rFonts w:ascii="Arial" w:cs="Arial" w:eastAsia="Arial" w:hAnsi="Arial"/>
          <w:sz w:val="22"/>
          <w:szCs w:val="22"/>
        </w:rPr>
        <w:t xml:space="preserve">The 13 axioms</w:t>
      </w:r>
    </w:p>
    <w:p>
      <w:pPr>
        <w:pStyle w:val="ListParagraph"/>
        <w:numPr>
          <w:ilvl w:val="0"/>
          <w:numId w:val="2"/>
        </w:numPr>
        <w:spacing w:before="60" w:after="60"/>
      </w:pPr>
      <w:r>
        <w:rPr>
          <w:rFonts w:ascii="Arial" w:cs="Arial" w:eastAsia="Arial" w:hAnsi="Arial"/>
          <w:sz w:val="22"/>
          <w:szCs w:val="22"/>
        </w:rPr>
        <w:t xml:space="preserve">Total KX supply (8,270,000,000, fixed forever)</w:t>
      </w:r>
    </w:p>
    <w:p>
      <w:pPr>
        <w:pStyle w:val="ListParagraph"/>
        <w:numPr>
          <w:ilvl w:val="0"/>
          <w:numId w:val="2"/>
        </w:numPr>
        <w:spacing w:before="60" w:after="60"/>
      </w:pPr>
      <w:r>
        <w:rPr>
          <w:rFonts w:ascii="Arial" w:cs="Arial" w:eastAsia="Arial" w:hAnsi="Arial"/>
          <w:sz w:val="22"/>
          <w:szCs w:val="22"/>
        </w:rPr>
        <w:t xml:space="preserve">The DAG (append-only)</w:t>
      </w:r>
    </w:p>
    <w:p>
      <w:pPr>
        <w:pStyle w:val="ListParagraph"/>
        <w:numPr>
          <w:ilvl w:val="0"/>
          <w:numId w:val="2"/>
        </w:numPr>
        <w:spacing w:before="60" w:after="60"/>
      </w:pPr>
      <w:r>
        <w:rPr>
          <w:rFonts w:ascii="Arial" w:cs="Arial" w:eastAsia="Arial" w:hAnsi="Arial"/>
          <w:sz w:val="22"/>
          <w:szCs w:val="22"/>
        </w:rPr>
        <w:t xml:space="preserve">Existing promises</w:t>
      </w:r>
    </w:p>
    <w:p>
      <w:pPr>
        <w:pStyle w:val="ListParagraph"/>
        <w:numPr>
          <w:ilvl w:val="0"/>
          <w:numId w:val="2"/>
        </w:numPr>
        <w:spacing w:before="60" w:after="60"/>
      </w:pPr>
      <w:r>
        <w:rPr>
          <w:rFonts w:ascii="Arial" w:cs="Arial" w:eastAsia="Arial" w:hAnsi="Arial"/>
          <w:sz w:val="22"/>
          <w:szCs w:val="22"/>
        </w:rPr>
        <w:t xml:space="preserve">The genesis (final_genesis: true, genesis_lock: true)</w:t>
      </w:r>
    </w:p>
    <w:p>
      <w:pPr>
        <w:pStyle w:val="ListParagraph"/>
        <w:numPr>
          <w:ilvl w:val="0"/>
          <w:numId w:val="2"/>
        </w:numPr>
        <w:spacing w:before="60" w:after="60"/>
      </w:pPr>
      <w:r>
        <w:rPr>
          <w:rFonts w:ascii="Arial" w:cs="Arial" w:eastAsia="Arial" w:hAnsi="Arial"/>
          <w:sz w:val="22"/>
          <w:szCs w:val="22"/>
        </w:rPr>
        <w:t xml:space="preserve">Dilithium2 post-quantum cryptographic standard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Genesis Zero: final_genesis true</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error FINAL_GENESIS_LOCKED. The genesis name is “ChronX Genesis Zero.” The genesis date is March 24, 2026. There will be no subsequent genesis.</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7. Tokenomics</w:t>
      </w:r>
    </w:p>
    <w:p>
      <w:pPr>
        <w:spacing w:before="80" w:after="120"/>
        <w:jc w:val="both"/>
      </w:pPr>
      <w:r>
        <w:rPr>
          <w:rFonts w:ascii="Arial" w:cs="Arial" w:eastAsia="Arial" w:hAnsi="Arial"/>
          <w:sz w:val="22"/>
          <w:szCs w:val="22"/>
        </w:rPr>
        <w:t xml:space="preserve">Total supply: 8,270,000,000 KX. Fixed forever. No inflation. No minting. No burning.</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2200"/>
        <w:gridCol w:w="1500"/>
        <w:gridCol w:w="720"/>
        <w:gridCol w:w="458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Allocation</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KX Amount</w:t>
            </w:r>
          </w:p>
        </w:tc>
        <w:tc>
          <w:tcPr>
            <w:tcW w:type="dxa" w:w="72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t>
            </w:r>
          </w:p>
        </w:tc>
        <w:tc>
          <w:tcPr>
            <w:tcW w:type="dxa" w:w="458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 Condition</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Public Sale (remaining)</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5,558,965,801</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67.22%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Spendable. Remainder after all protocol deployments below.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Treasury</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 annual harmonic locks 2027–2126</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Node Rewards</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12.09%</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annual harmonic locks 2029–2128</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3.63%</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Fully reserved. investable_fraction: 0.00</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Founder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188,000,000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2.27%</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misai.io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Verifas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verifas.io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XChan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xchan.io</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Bond</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0.121%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Performance bond. hedgekx.io</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Faucet</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0.036%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Developer onboarding. 9 KX per claim.</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Operating Reserve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1,000,884</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tranche of Public Sale deployed as XChan bridge liquidity.</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 Bond</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Performance bond. cpnx.com. Identity risk.</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Operational executor wallet.</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14</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0.012%</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2126-01-01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Milestone 2076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Locked until 2076-01-01</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Protocol Reserve</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500,000</w:t>
            </w:r>
          </w:p>
        </w:tc>
        <w:tc>
          <w:tcPr>
            <w:tcW w:type="dxa" w:w="72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0.006%</w:t>
            </w:r>
          </w:p>
        </w:tc>
        <w:tc>
          <w:tcPr>
            <w:tcW w:type="dxa" w:w="458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Locked until 2036-01-01</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Relay</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7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&lt;0.001%</w:t>
            </w:r>
          </w:p>
        </w:tc>
        <w:tc>
          <w:tcPr>
            <w:tcW w:type="dxa" w:w="45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 relay wallet. Operational.</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Treasury and Node Rewards: Harmonic Release</w:t>
      </w:r>
    </w:p>
    <w:p>
      <w:pPr>
        <w:spacing w:before="80" w:after="120"/>
        <w:jc w:val="both"/>
      </w:pPr>
      <w:r>
        <w:rPr>
          <w:rFonts w:ascii="Arial" w:cs="Arial" w:eastAsia="Arial" w:hAnsi="Arial"/>
          <w:sz w:val="22"/>
          <w:szCs w:val="22"/>
        </w:rPr>
        <w:t xml:space="preserve">The Treasury (1B KX) and Node Rewards (1B KX) are distributed via 100 annual harmonic time-locks. Formula: release_k = floor(POOL_CHRONOS / (H_100 × k)), where H_100 = 5.187377517639621. Year 1 (k=1) releases the largest tranche. All 200 locks are permanently on the DAG and publicly queryable.</w:t>
      </w:r>
    </w:p>
    <w:p>
      <w:pPr>
        <w:pStyle w:val="Heading2"/>
        <w:spacing w:before="360" w:after="160"/>
      </w:pPr>
      <w:r>
        <w:rPr>
          <w:rFonts w:ascii="Arial" w:cs="Arial" w:eastAsia="Arial" w:hAnsi="Arial"/>
          <w:b/>
          <w:bCs/>
          <w:color w:val="2C3E6B"/>
          <w:sz w:val="28"/>
          <w:szCs w:val="28"/>
        </w:rPr>
        <w:t xml:space="preserve">Pre-ICO and 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800"/>
        <w:gridCol w:w="1800"/>
        <w:gridCol w:w="37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Price/KX</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Discount</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Period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1</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$0.001755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45% off ICO</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now</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$0.002297</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28% off ICO</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June 22, 2026</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ICO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$0.00319</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price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September 22, 2026</w:t>
            </w:r>
          </w:p>
        </w:tc>
      </w:tr>
    </w:tbl>
    <w:p>
      <w:pPr>
        <w:spacing w:before="0" w:after="80"/>
      </w:pPr>
      <w:r>
        <w:t xml:space="preserve"/>
      </w:r>
    </w:p>
    <w:p>
      <w:pPr>
        <w:spacing w:before="80" w:after="120"/>
        <w:jc w:val="both"/>
      </w:pPr>
      <w:r>
        <w:rPr>
          <w:rFonts w:ascii="Arial" w:cs="Arial" w:eastAsia="Arial" w:hAnsi="Arial"/>
          <w:sz w:val="22"/>
          <w:szCs w:val="22"/>
        </w:rPr>
        <w:t xml:space="preserve">Raise target: $20,000,000. Soft cap: $500,000 USD. Fully diluted market cap at ICO: ~$26.4M. KX is available via XChan subject to governance transaction caps ($250 per transaction; $10,000 for accredited investors via chronx.io/ico.html).</w:t>
      </w:r>
    </w:p>
    <w:p>
      <w:pPr>
        <w:spacing w:before="80" w:after="120"/>
        <w:jc w:val="both"/>
      </w:pPr>
      <w:r>
        <w:rPr>
          <w:rFonts w:ascii="Arial" w:hAnsi="Arial"/>
          <w:sz w:val="22"/>
        </w:rPr>
        <w:t>A Note on wKX and Tokenomics</w:t>
      </w:r>
    </w:p>
    <w:p>
      <w:pPr>
        <w:spacing w:before="80" w:after="120"/>
        <w:jc w:val="both"/>
      </w:pPr>
      <w:r>
        <w:rPr>
          <w:rFonts w:ascii="Arial" w:hAnsi="Arial"/>
          <w:sz w:val="22"/>
        </w:rPr>
        <w:t>wKX (Wrapped KX) is a temporary representation of locked KX on Base (Ethereum L2). When KX is locked in a savings lock or XChan conversion lock, an equivalent amount of wKX may be minted on Base. This wKX is burned when the ChronX lock matures. At all times: total KX on ChronX DAG + total wKX on Base = 8,270,000,000 KX. wKX is not new supply. It is representation. The 8.27 billion cap is never violated.</w:t>
      </w:r>
    </w:p>
    <w:p>
      <w:pPr>
        <w:spacing w:before="0" w:after="80"/>
      </w:pPr>
      <w:r>
        <w:t xml:space="preserve"/>
      </w:r>
    </w:p>
    <w:p>
      <w:pPr>
        <w:pStyle w:val="Heading1"/>
        <w:pBdr>
          <w:bottom w:val="single" w:color="C9A84C" w:sz="4" w:space="4"/>
        </w:pBdr>
        <w:spacing w:before="480" w:after="200"/>
      </w:pPr>
      <w:r>
        <w:rPr>
          <w:rFonts w:ascii="Arial" w:cs="Arial" w:eastAsia="Arial" w:hAnsi="Arial"/>
          <w:b/>
          <w:bCs/>
          <w:color w:val="1A1A2E"/>
          <w:sz w:val="36"/>
          <w:szCs w:val="36"/>
        </w:rPr>
        <w:t xml:space="preserve">8.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Date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Milestone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25,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 locked. Protocol complete. Whitepaper Version One published.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now</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Pre-ICO Phase 1 ($0.001755/KX, 45% off). Wallet v2.5+ (Windows + Android). HedgeKX overnight market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June 22, 2026</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Pre-ICO Phase 2 ($0.002297/KX, 28% off).</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September 22, 2026</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ICO ($0.00319/KX). Public sale.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March 22, 2027</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First Treasury harmonic release.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January 1, 2029</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rewards begin (harmonic, 100 years).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Post-ICO</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 Uniswap routing. MISAI live AI executor. Verifas attestor network. HedgeKX duration expansion. KXGC Tier 1 admissions. Secondary market activation (loan_transfer_enabled: true by governance vote). OracleTrigger and CompoundAND engine logic.</w:t>
            </w:r>
          </w:p>
        </w:tc>
      </w:tr>
    </w:tbl>
    <w:p>
      <w:pPr>
        <w:spacing w:before="0" w:after="80"/>
      </w:pPr>
      <w:r>
        <w:t xml:space="preserve"/>
      </w:r>
    </w:p>
    <w:p>
      <w:pPr>
        <w:spacing w:before="0" w:after="80"/>
      </w:pPr>
      <w:r>
        <w:rPr>
          <w:rFonts w:ascii="Arial" w:hAnsi="Arial"/>
          <w:sz w:val="22"/>
        </w:rPr>
        <w:t>March 26, 2026: Savings lock architecture. wKX v3 provenance contract. Principal guarantee encoded.</w:t>
      </w:r>
    </w:p>
    <w:p>
      <w:pPr>
        <w:spacing w:before="0" w:after="80"/>
      </w:pPr>
      <w:r>
        <w:rPr>
          <w:rFonts w:ascii="Arial" w:hAnsi="Arial"/>
          <w:sz w:val="22"/>
        </w:rPr>
        <w:t>~March 29–31, 2026: YubiHSM 2 FIPS arrival. Bridge and attestation keys migrated to hardware. Savings yield activation.</w:t>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A — The Complete Promise Taxonomy</w:t>
      </w:r>
    </w:p>
    <w:p>
      <w:pPr>
        <w:spacing w:before="80" w:after="120"/>
        <w:jc w:val="both"/>
      </w:pPr>
      <w:r>
        <w:rPr>
          <w:rFonts w:ascii="Arial" w:cs="Arial" w:eastAsia="Arial" w:hAnsi="Arial"/>
          <w:sz w:val="22"/>
          <w:szCs w:val="22"/>
        </w:rPr>
        <w:t xml:space="preserve">All promise and payment types are live, zero-fee, and immutable at Genesis Zero unless explicitly marked as PLANNED. Every PLANNED item has scaffold fields in the protocol today — the governance flags and data structures exist, but the engine logic activates in a future build session.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 Instant Transfer (TYPE T)</w:t>
      </w:r>
    </w:p>
    <w:p>
      <w:pPr>
        <w:spacing w:before="80" w:after="120"/>
        <w:jc w:val="both"/>
      </w:pPr>
      <w:r>
        <w:rPr>
          <w:rFonts w:ascii="Arial" w:cs="Arial" w:eastAsia="Arial" w:hAnsi="Arial"/>
          <w:sz w:val="22"/>
          <w:szCs w:val="22"/>
        </w:rPr>
        <w:t xml:space="preserve">Send KX now. Recipient receives immediately upon DAG confirmation. If recipient wallet does not exist, it is auto-created.</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Pay a contractor for completed work</w:t>
      </w:r>
    </w:p>
    <w:p>
      <w:pPr>
        <w:pStyle w:val="ListParagraph"/>
        <w:numPr>
          <w:ilvl w:val="0"/>
          <w:numId w:val="2"/>
        </w:numPr>
        <w:spacing w:before="60" w:after="60"/>
      </w:pPr>
      <w:r>
        <w:rPr>
          <w:rFonts w:ascii="Arial" w:cs="Arial" w:eastAsia="Arial" w:hAnsi="Arial"/>
          <w:sz w:val="22"/>
          <w:szCs w:val="22"/>
        </w:rPr>
        <w:t xml:space="preserve">Settle a debt</w:t>
      </w:r>
    </w:p>
    <w:p>
      <w:pPr>
        <w:pStyle w:val="ListParagraph"/>
        <w:numPr>
          <w:ilvl w:val="0"/>
          <w:numId w:val="2"/>
        </w:numPr>
        <w:spacing w:before="60" w:after="60"/>
      </w:pPr>
      <w:r>
        <w:rPr>
          <w:rFonts w:ascii="Arial" w:cs="Arial" w:eastAsia="Arial" w:hAnsi="Arial"/>
          <w:sz w:val="22"/>
          <w:szCs w:val="22"/>
        </w:rPr>
        <w:t xml:space="preserve">Send KX to an email recipient (generates claim code)</w:t>
      </w:r>
    </w:p>
    <w:p>
      <w:pPr>
        <w:pStyle w:val="ListParagraph"/>
        <w:numPr>
          <w:ilvl w:val="0"/>
          <w:numId w:val="2"/>
        </w:numPr>
        <w:spacing w:before="60" w:after="60"/>
      </w:pPr>
      <w:r>
        <w:rPr>
          <w:rFonts w:ascii="Arial" w:cs="Arial" w:eastAsia="Arial" w:hAnsi="Arial"/>
          <w:sz w:val="22"/>
          <w:szCs w:val="22"/>
        </w:rPr>
        <w:t xml:space="preserve">Move funds between your own wallets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1000"/>
        <w:gridCol w:w="4160"/>
      </w:tblGrid>
      <w:tr>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Required</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 (Base58)</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 wallet address</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Yes</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in Chronos (1 KX = 1,000,000 Chronos)</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Human-readable note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memo_encrypted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true</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memo_public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bool</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false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A.2 Time-Locked Promise (TYPE S — Standard)</w:t>
      </w:r>
    </w:p>
    <w:p>
      <w:pPr>
        <w:spacing w:before="80" w:after="120"/>
        <w:jc w:val="both"/>
      </w:pPr>
      <w:r>
        <w:rPr>
          <w:rFonts w:ascii="Arial" w:cs="Arial" w:eastAsia="Arial" w:hAnsi="Arial"/>
          <w:sz w:val="22"/>
          <w:szCs w:val="22"/>
        </w:rPr>
        <w:t xml:space="preserve">A promise to deliver KX at a future date. The KX is locked on the DAG immediately. This is the core instrument of ChronX.</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Birthday gift: lock 1,000 KX, unlock on child’s 18th birthday</w:t>
      </w:r>
    </w:p>
    <w:p>
      <w:pPr>
        <w:pStyle w:val="ListParagraph"/>
        <w:numPr>
          <w:ilvl w:val="0"/>
          <w:numId w:val="2"/>
        </w:numPr>
        <w:spacing w:before="60" w:after="60"/>
      </w:pPr>
      <w:r>
        <w:rPr>
          <w:rFonts w:ascii="Arial" w:cs="Arial" w:eastAsia="Arial" w:hAnsi="Arial"/>
          <w:sz w:val="22"/>
          <w:szCs w:val="22"/>
        </w:rPr>
        <w:t xml:space="preserve">Vesting schedule: quarterly releases over 4 years</w:t>
      </w:r>
    </w:p>
    <w:p>
      <w:pPr>
        <w:pStyle w:val="ListParagraph"/>
        <w:numPr>
          <w:ilvl w:val="0"/>
          <w:numId w:val="2"/>
        </w:numPr>
        <w:spacing w:before="60" w:after="60"/>
      </w:pPr>
      <w:r>
        <w:rPr>
          <w:rFonts w:ascii="Arial" w:cs="Arial" w:eastAsia="Arial" w:hAnsi="Arial"/>
          <w:sz w:val="22"/>
          <w:szCs w:val="22"/>
        </w:rPr>
        <w:t xml:space="preserve">Escrow: lock KX until a deal closes</w:t>
      </w:r>
    </w:p>
    <w:p>
      <w:pPr>
        <w:pStyle w:val="ListParagraph"/>
        <w:numPr>
          <w:ilvl w:val="0"/>
          <w:numId w:val="2"/>
        </w:numPr>
        <w:spacing w:before="60" w:after="60"/>
      </w:pPr>
      <w:r>
        <w:rPr>
          <w:rFonts w:ascii="Arial" w:cs="Arial" w:eastAsia="Arial" w:hAnsi="Arial"/>
          <w:sz w:val="22"/>
          <w:szCs w:val="22"/>
        </w:rPr>
        <w:t xml:space="preserve">Deferred compensation: employer promises payment in 6 months</w:t>
      </w:r>
    </w:p>
    <w:p>
      <w:pPr>
        <w:spacing w:before="0" w:after="80"/>
      </w:pPr>
      <w:r>
        <w:t xml:space="preserve"/>
      </w:r>
    </w:p>
    <w:p>
      <w:pPr>
        <w:spacing w:before="80" w:after="120"/>
        <w:jc w:val="both"/>
      </w:pPr>
      <w:r>
        <w:rPr>
          <w:rFonts w:ascii="Arial" w:cs="Arial" w:eastAsia="Arial" w:hAnsi="Arial"/>
          <w:b/>
          <w:bCs/>
          <w:sz w:val="22"/>
          <w:szCs w:val="22"/>
        </w:rPr>
        <w:t xml:space="preserve">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Recipient’s Dilithium2 public key (1312 bytes)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u128 (Chronos)</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Amount to 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unlock_at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 (Unix UTC)</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Timestamp after which recipient may claim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(max 256)</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Human-readable note (encrypted by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cancellation_window_secs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from creation sender may cancel. None = irrevocable.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pay_as_amount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Target amount in denomination currency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FixedKX, UsdEquivalentAtMaturity, etc.</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email_recipient_hash</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BLAKE3 hash of recipient email (for email claims)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claim_window_secs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to claim before unclaimed_action fires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unclaimed_action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UnclaimedAction</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RevertToSender (default)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tags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User-defined labels (max 5, max 32 chars each)</w:t>
            </w:r>
          </w:p>
        </w:tc>
      </w:tr>
    </w:tbl>
    <w:p>
      <w:pPr>
        <w:spacing w:before="0" w:after="80"/>
      </w:pPr>
      <w:r>
        <w:t xml:space="preserve"/>
      </w:r>
    </w:p>
    <w:p>
      <w:pPr>
        <w:spacing w:before="80" w:after="120"/>
        <w:jc w:val="both"/>
      </w:pPr>
      <w:r>
        <w:rPr>
          <w:rFonts w:ascii="Arial" w:cs="Arial" w:eastAsia="Arial" w:hAnsi="Arial"/>
          <w:b/>
          <w:bCs/>
          <w:sz w:val="22"/>
          <w:szCs w:val="22"/>
        </w:rPr>
        <w:t xml:space="preserve">Escalation and attestor protection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that receives escalated claims. For insurance: KXGC bond wallet.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Seconds before escalation executes. Default: 2,592,000 (30 days).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that must attest (0.0–1.0). Overrides min_attestors. Floor: 0.50. Solves dead attestor problem.</w:t>
            </w:r>
          </w:p>
        </w:tc>
      </w:tr>
    </w:tbl>
    <w:p>
      <w:pPr>
        <w:spacing w:before="0" w:after="80"/>
      </w:pPr>
      <w:r>
        <w:t xml:space="preserve"/>
      </w:r>
    </w:p>
    <w:p>
      <w:pPr>
        <w:spacing w:before="80" w:after="120"/>
        <w:jc w:val="both"/>
      </w:pPr>
      <w:r>
        <w:rPr>
          <w:rFonts w:ascii="Arial" w:cs="Arial" w:eastAsia="Arial" w:hAnsi="Arial"/>
          <w:b/>
          <w:bCs/>
          <w:sz w:val="22"/>
          <w:szCs w:val="22"/>
        </w:rPr>
        <w:t xml:space="preserve">Hedge linkage parameters (live in protocol):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IDs of hedge instruments that must be Active before this lock activates. PAY_AS enforcement mechanism.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premium on clean expiry (condition never fired). The hedge premium return mechanism.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in Chronos to pay to success_payment_wallet on clean expiry.</w:t>
            </w:r>
          </w:p>
        </w:tc>
      </w:tr>
    </w:tbl>
    <w:p>
      <w:pPr>
        <w:spacing w:before="0" w:after="80"/>
      </w:pPr>
      <w:r>
        <w:t xml:space="preserve"/>
      </w:r>
    </w:p>
    <w:p>
      <w:pPr>
        <w:spacing w:before="80" w:after="120"/>
        <w:jc w:val="both"/>
      </w:pPr>
      <w:r>
        <w:rPr>
          <w:rFonts w:ascii="Arial" w:cs="Arial" w:eastAsia="Arial" w:hAnsi="Arial"/>
          <w:b/>
          <w:bCs/>
          <w:sz w:val="22"/>
          <w:szCs w:val="22"/>
        </w:rPr>
        <w:t xml:space="preserve">Condition type parameters (scaffold — fields stored, engine logic planned):</w:t>
      </w:r>
    </w:p>
    <w:p>
      <w:pPr>
        <w:shd w:fill="FFF3F3" w:val="clear"/>
        <w:spacing w:before="60" w:after="80"/>
      </w:pPr>
      <w:r>
        <w:rPr>
          <w:rFonts w:ascii="Arial" w:cs="Arial" w:eastAsia="Arial" w:hAnsi="Arial"/>
          <w:b/>
          <w:bCs/>
          <w:color w:val="8B0000"/>
          <w:sz w:val="20"/>
          <w:szCs w:val="20"/>
        </w:rPr>
        <w:t xml:space="preserve">⚠ OracleTrigger: LIVE — Sweep engine checks oracle price cache every 60 seconds. At lock creation, records oracle_creation_price. Trigger fires automatically when price crosses threshold in configured direction. Clean expiry transfers success_payment_chronos to success_payment_wallet. Governance: hedgekx_oracle_trigger_enabled = true. CompoundAND and LinkedSpring: LIVE. Sweep engine evaluates oracle conditions every 60 seconds against price cache.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(default, live), "OracleTrigger" (planned), "CompoundAND" (planned), "LinkedSpring"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oracle_pair</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e.g. "KX/USD". Used with OracleTrigger.</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 = fires if price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oracle_trigger_direction</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"Below" or "Above"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linked_instrument_id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Instrument that must have already fired for LinkedSpring to activate</w:t>
            </w:r>
          </w:p>
        </w:tc>
      </w:tr>
    </w:tbl>
    <w:p>
      <w:pPr>
        <w:spacing w:before="0" w:after="80"/>
      </w:pPr>
      <w:r>
        <w:t xml:space="preserve"/>
      </w:r>
    </w:p>
    <w:p>
      <w:pPr>
        <w:spacing w:before="80" w:after="120"/>
        <w:jc w:val="both"/>
      </w:pPr>
      <w:r>
        <w:rPr>
          <w:rFonts w:ascii="Arial" w:cs="Arial" w:eastAsia="Arial" w:hAnsi="Arial"/>
          <w:b/>
          <w:bCs/>
          <w:sz w:val="22"/>
          <w:szCs w:val="22"/>
        </w:rPr>
        <w:t xml:space="preserve">AI management parameters (TYPE M):</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lock_type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 = standard (default), "M" = AI-managed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agent_managed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Option&lt;bool&gt;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If true, enables MISAI executor eligibility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investable_fraction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0.0–1.0. Max 0.50 governed by misai_max_investable_fraction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lock_metadata</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184-char hex: ephemeral X25519 pubkey (32B) || nonce (12B) || ciphertext (32B) || tag (16B). Encrypts claim secret to MISAI X25519 public key.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risk_level</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Option&lt;u32&gt;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1–100. Grantor risk tolerance. Determines MISAI batch assignment.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grantor_intent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Free text investment mandate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grantor_axiom_consent_hash</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hash of Axioms VII–XII text. Consent required for TYPE M.</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backup_executors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Option&lt;Vec&lt;String&gt;&gt;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Up to 3 backup executor public keys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executor_threshold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Option&lt;u8&gt;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backup executor agreement count</w:t>
            </w:r>
          </w:p>
        </w:tc>
      </w:tr>
    </w:tbl>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Sender creates TimeLockCreate, signs with Dilithium2 private key, submits via RPC.</w:t>
      </w:r>
    </w:p>
    <w:p>
      <w:pPr>
        <w:pStyle w:val="ListParagraph"/>
        <w:numPr>
          <w:ilvl w:val="0"/>
          <w:numId w:val="2"/>
        </w:numPr>
        <w:spacing w:before="60" w:after="60"/>
      </w:pPr>
      <w:r>
        <w:rPr>
          <w:rFonts w:ascii="Arial" w:cs="Arial" w:eastAsia="Arial" w:hAnsi="Arial"/>
          <w:sz w:val="22"/>
          <w:szCs w:val="22"/>
        </w:rPr>
        <w:t xml:space="preserve">Engine deducts KX from sender. Lock created in timelocks sled tree. Status: Pending.</w:t>
      </w:r>
    </w:p>
    <w:p>
      <w:pPr>
        <w:pStyle w:val="ListParagraph"/>
        <w:numPr>
          <w:ilvl w:val="0"/>
          <w:numId w:val="2"/>
        </w:numPr>
        <w:spacing w:before="60" w:after="60"/>
      </w:pPr>
      <w:r>
        <w:rPr>
          <w:rFonts w:ascii="Arial" w:cs="Arial" w:eastAsia="Arial" w:hAnsi="Arial"/>
          <w:sz w:val="22"/>
          <w:szCs w:val="22"/>
        </w:rPr>
        <w:t xml:space="preserve">After unlock_at: recipient submits TimeLockClaim. KX credited.</w:t>
      </w:r>
    </w:p>
    <w:p>
      <w:pPr>
        <w:pStyle w:val="ListParagraph"/>
        <w:numPr>
          <w:ilvl w:val="0"/>
          <w:numId w:val="2"/>
        </w:numPr>
        <w:spacing w:before="60" w:after="60"/>
      </w:pPr>
      <w:r>
        <w:rPr>
          <w:rFonts w:ascii="Arial" w:cs="Arial" w:eastAsia="Arial" w:hAnsi="Arial"/>
          <w:sz w:val="22"/>
          <w:szCs w:val="22"/>
        </w:rPr>
        <w:t xml:space="preserve">If required_hedge_ids set: lock stays Pending until all linked hedges are Active.</w:t>
      </w:r>
    </w:p>
    <w:p>
      <w:pPr>
        <w:pStyle w:val="ListParagraph"/>
        <w:numPr>
          <w:ilvl w:val="0"/>
          <w:numId w:val="2"/>
        </w:numPr>
        <w:spacing w:before="60" w:after="60"/>
      </w:pPr>
      <w:r>
        <w:rPr>
          <w:rFonts w:ascii="Arial" w:cs="Arial" w:eastAsia="Arial" w:hAnsi="Arial"/>
          <w:sz w:val="22"/>
          <w:szCs w:val="22"/>
        </w:rPr>
        <w:t xml:space="preserve">On expiry without condition firing: success_payment_chronos transferred to success_payment_wallet (hedge premium), then fallback executes.</w:t>
      </w:r>
    </w:p>
    <w:p>
      <w:pPr>
        <w:pStyle w:val="ListParagraph"/>
        <w:numPr>
          <w:ilvl w:val="0"/>
          <w:numId w:val="2"/>
        </w:numPr>
        <w:spacing w:before="60" w:after="60"/>
      </w:pPr>
      <w:r>
        <w:rPr>
          <w:rFonts w:ascii="Arial" w:cs="Arial" w:eastAsia="Arial" w:hAnsi="Arial"/>
          <w:sz w:val="22"/>
          <w:szCs w:val="22"/>
        </w:rPr>
        <w:t xml:space="preserve">Locks &gt;= 1 year: 24-hour cancellation window. Email locks: 72-hour claim window.</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A.3 Email Claim Promise</w:t>
      </w:r>
    </w:p>
    <w:p>
      <w:pPr>
        <w:spacing w:before="80" w:after="120"/>
        <w:jc w:val="both"/>
      </w:pPr>
      <w:r>
        <w:rPr>
          <w:rFonts w:ascii="Arial" w:cs="Arial" w:eastAsia="Arial" w:hAnsi="Arial"/>
          <w:sz w:val="22"/>
          <w:szCs w:val="22"/>
        </w:rPr>
        <w:t xml:space="preserve">A promise to an email address without requiring the recipient’s wallet. The protocol generates a claim code (KX-XXXX-XXXX-XXXX-XXXX). The claim secret is never stored on-chain. The email hash is BLAKE3(lowercase(email)).</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Send KX to someone without a wallet yet</w:t>
      </w:r>
    </w:p>
    <w:p>
      <w:pPr>
        <w:pStyle w:val="ListParagraph"/>
        <w:numPr>
          <w:ilvl w:val="0"/>
          <w:numId w:val="2"/>
        </w:numPr>
        <w:spacing w:before="60" w:after="60"/>
      </w:pPr>
      <w:r>
        <w:rPr>
          <w:rFonts w:ascii="Arial" w:cs="Arial" w:eastAsia="Arial" w:hAnsi="Arial"/>
          <w:sz w:val="22"/>
          <w:szCs w:val="22"/>
        </w:rPr>
        <w:t xml:space="preserve">Payroll to contractors with email only</w:t>
      </w:r>
    </w:p>
    <w:p>
      <w:pPr>
        <w:pStyle w:val="ListParagraph"/>
        <w:numPr>
          <w:ilvl w:val="0"/>
          <w:numId w:val="2"/>
        </w:numPr>
        <w:spacing w:before="60" w:after="60"/>
      </w:pPr>
      <w:r>
        <w:rPr>
          <w:rFonts w:ascii="Arial" w:cs="Arial" w:eastAsia="Arial" w:hAnsi="Arial"/>
          <w:sz w:val="22"/>
          <w:szCs w:val="22"/>
        </w:rPr>
        <w:t xml:space="preserve">Onboarding: new user’s first KX via email claim</w:t>
      </w:r>
    </w:p>
    <w:p>
      <w:pPr>
        <w:spacing w:before="0" w:after="80"/>
      </w:pPr>
      <w:r>
        <w:t xml:space="preserve"/>
      </w:r>
    </w:p>
    <w:p>
      <w:pPr>
        <w:spacing w:before="80" w:after="120"/>
        <w:jc w:val="both"/>
      </w:pPr>
      <w:r>
        <w:rPr>
          <w:rFonts w:ascii="Arial" w:cs="Arial" w:eastAsia="Arial" w:hAnsi="Arial"/>
          <w:sz w:val="22"/>
          <w:szCs w:val="22"/>
        </w:rPr>
        <w:t xml:space="preserve">Claim window: 72 hours. If unclaimed, funds revert to sender automatically. Verified recipients receive KX automatically via relay wallet — no claim code entry needed.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A.4 Cascade Promise</w:t>
      </w:r>
    </w:p>
    <w:p>
      <w:pPr>
        <w:spacing w:before="80" w:after="120"/>
        <w:jc w:val="both"/>
      </w:pPr>
      <w:r>
        <w:rPr>
          <w:rFonts w:ascii="Arial" w:cs="Arial" w:eastAsia="Arial" w:hAnsi="Arial"/>
          <w:sz w:val="22"/>
          <w:szCs w:val="22"/>
        </w:rPr>
        <w:t xml:space="preserve">Multiple promises sharing a single claim code, each with its own unlock date and amount. TimeLockClaimWithSecret batch-claims all matured locks sharing the same claim_secret_hash.</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Welcome bonus: 100 KX now, 250 KX in a week, 500 KX in a month</w:t>
      </w:r>
    </w:p>
    <w:p>
      <w:pPr>
        <w:pStyle w:val="ListParagraph"/>
        <w:numPr>
          <w:ilvl w:val="0"/>
          <w:numId w:val="2"/>
        </w:numPr>
        <w:spacing w:before="60" w:after="60"/>
      </w:pPr>
      <w:r>
        <w:rPr>
          <w:rFonts w:ascii="Arial" w:cs="Arial" w:eastAsia="Arial" w:hAnsi="Arial"/>
          <w:sz w:val="22"/>
          <w:szCs w:val="22"/>
        </w:rPr>
        <w:t xml:space="preserve">Vesting schedule: quarterly releases over 2 years</w:t>
      </w:r>
    </w:p>
    <w:p>
      <w:pPr>
        <w:pStyle w:val="ListParagraph"/>
        <w:numPr>
          <w:ilvl w:val="0"/>
          <w:numId w:val="2"/>
        </w:numPr>
        <w:spacing w:before="60" w:after="60"/>
      </w:pPr>
      <w:r>
        <w:rPr>
          <w:rFonts w:ascii="Arial" w:cs="Arial" w:eastAsia="Arial" w:hAnsi="Arial"/>
          <w:sz w:val="22"/>
          <w:szCs w:val="22"/>
        </w:rPr>
        <w:t xml:space="preserve">Inheritance: staged distribution over decades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A.5 PAY_AS Promise</w:t>
      </w:r>
    </w:p>
    <w:p>
      <w:pPr>
        <w:spacing w:before="80" w:after="120"/>
        <w:jc w:val="both"/>
      </w:pPr>
      <w:r>
        <w:rPr>
          <w:rFonts w:ascii="Arial" w:cs="Arial" w:eastAsia="Arial" w:hAnsi="Arial"/>
          <w:sz w:val="22"/>
          <w:szCs w:val="22"/>
        </w:rPr>
        <w:t xml:space="preserve">A promise denominated in a non-KX currency. The pay_as_amount field records the target amount. At maturity, XChan provides the oracle rate. The protocol delivers the KX equivalent. If locked KX exceeds the requirement, surplus remains with the lock.</w:t>
      </w:r>
    </w:p>
    <w:p>
      <w:pPr>
        <w:spacing w:before="40" w:after="60"/>
      </w:pPr>
      <w:r>
        <w:rPr>
          <w:rFonts w:ascii="Arial" w:cs="Arial" w:eastAsia="Arial" w:hAnsi="Arial"/>
          <w:color w:val="666666"/>
          <w:sz w:val="18"/>
          <w:szCs w:val="18"/>
        </w:rPr>
        <w:t xml:space="preserve">Current governance cap: pay_as_max_usd = $250 per transaction.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A.6 TYPE M — AI-Managed Promise</w:t>
      </w:r>
    </w:p>
    <w:p>
      <w:pPr>
        <w:spacing w:before="80" w:after="120"/>
        <w:jc w:val="both"/>
      </w:pPr>
      <w:r>
        <w:rPr>
          <w:rFonts w:ascii="Arial" w:cs="Arial" w:eastAsia="Arial" w:hAnsi="Arial"/>
          <w:sz w:val="22"/>
          <w:szCs w:val="22"/>
        </w:rPr>
        <w:t xml:space="preserve">A standard TimeLockCreate with additional fields authorizing MISAI to manage the investable fraction of locked KX per the grantor’s mandate. The grantor never surrenders custody. MISAI only has authority to submit ExecutorWithdraw actions within its mandate, subject to a 24-hour delay (executor_withdraw_delay_seconds = 86,400).</w:t>
      </w:r>
    </w:p>
    <w:p>
      <w:pPr>
        <w:spacing w:before="80" w:after="120"/>
        <w:jc w:val="both"/>
      </w:pPr>
      <w:r>
        <w:rPr>
          <w:rFonts w:ascii="Arial" w:cs="Arial" w:eastAsia="Arial" w:hAnsi="Arial"/>
          <w:sz w:val="22"/>
          <w:szCs w:val="22"/>
        </w:rPr>
        <w:t xml:space="preserve">MISAI commits every decision to the DAG before executing (Axiom VIII). The grantor_axiom_consent_hash field records consent to Axioms VII–XII. Without this hash, a TYPE M lock cannot be created.</w:t>
      </w:r>
    </w:p>
    <w:p>
      <w:pPr>
        <w:spacing w:before="40" w:after="60"/>
      </w:pPr>
      <w:r>
        <w:rPr>
          <w:rFonts w:ascii="Arial" w:cs="Arial" w:eastAsia="Arial" w:hAnsi="Arial"/>
          <w:color w:val="666666"/>
          <w:sz w:val="18"/>
          <w:szCs w:val="18"/>
        </w:rPr>
        <w:t xml:space="preserve">Governance: misai_conservative_batch_only = true. Full autonomous operation requires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A.7 TYPE I — Invoice</w:t>
      </w:r>
    </w:p>
    <w:p>
      <w:pPr>
        <w:spacing w:before="80" w:after="120"/>
        <w:jc w:val="both"/>
      </w:pPr>
      <w:r>
        <w:rPr>
          <w:rFonts w:ascii="Arial" w:cs="Arial" w:eastAsia="Arial" w:hAnsi="Arial"/>
          <w:sz w:val="22"/>
          <w:szCs w:val="22"/>
        </w:rPr>
        <w:t xml:space="preserve">A recipient-gated payment request. The payee creates a TYPE I Invoice specifying amount and payer. The payer accepts (pays) or declines. Payment is atomic.</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Freelancer invoices client</w:t>
      </w:r>
    </w:p>
    <w:p>
      <w:pPr>
        <w:pStyle w:val="ListParagraph"/>
        <w:numPr>
          <w:ilvl w:val="0"/>
          <w:numId w:val="2"/>
        </w:numPr>
        <w:spacing w:before="60" w:after="60"/>
      </w:pPr>
      <w:r>
        <w:rPr>
          <w:rFonts w:ascii="Arial" w:cs="Arial" w:eastAsia="Arial" w:hAnsi="Arial"/>
          <w:sz w:val="22"/>
          <w:szCs w:val="22"/>
        </w:rPr>
        <w:t xml:space="preserve">Subscription billing</w:t>
      </w:r>
    </w:p>
    <w:p>
      <w:pPr>
        <w:pStyle w:val="ListParagraph"/>
        <w:numPr>
          <w:ilvl w:val="0"/>
          <w:numId w:val="2"/>
        </w:numPr>
        <w:spacing w:before="60" w:after="60"/>
      </w:pPr>
      <w:r>
        <w:rPr>
          <w:rFonts w:ascii="Arial" w:cs="Arial" w:eastAsia="Arial" w:hAnsi="Arial"/>
          <w:sz w:val="22"/>
          <w:szCs w:val="22"/>
        </w:rPr>
        <w:t xml:space="preserve">Escrow release trigger</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A.8 TYPE C — Credit Authorization</w:t>
      </w:r>
    </w:p>
    <w:p>
      <w:pPr>
        <w:spacing w:before="80" w:after="120"/>
        <w:jc w:val="both"/>
      </w:pPr>
      <w:r>
        <w:rPr>
          <w:rFonts w:ascii="Arial" w:cs="Arial" w:eastAsia="Arial" w:hAnsi="Arial"/>
          <w:sz w:val="22"/>
          <w:szCs w:val="22"/>
        </w:rPr>
        <w:t xml:space="preserve">A pre-authorized variable draw facility. The grantor authorizes a beneficiary to draw up to a ceiling amount in increments without per-draw approval. Revocable at any time before a draw executes.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authorize supplier to draw up to 50,000 KX over 90 days</w:t>
      </w:r>
    </w:p>
    <w:p>
      <w:pPr>
        <w:pStyle w:val="ListParagraph"/>
        <w:numPr>
          <w:ilvl w:val="0"/>
          <w:numId w:val="2"/>
        </w:numPr>
        <w:spacing w:before="60" w:after="60"/>
      </w:pPr>
      <w:r>
        <w:rPr>
          <w:rFonts w:ascii="Arial" w:cs="Arial" w:eastAsia="Arial" w:hAnsi="Arial"/>
          <w:sz w:val="22"/>
          <w:szCs w:val="22"/>
        </w:rPr>
        <w:t xml:space="preserve">Recurring payments: authorize monthly draws</w:t>
      </w:r>
    </w:p>
    <w:p>
      <w:pPr>
        <w:pStyle w:val="ListParagraph"/>
        <w:numPr>
          <w:ilvl w:val="0"/>
          <w:numId w:val="2"/>
        </w:numPr>
        <w:spacing w:before="60" w:after="60"/>
      </w:pPr>
      <w:r>
        <w:rPr>
          <w:rFonts w:ascii="Arial" w:cs="Arial" w:eastAsia="Arial" w:hAnsi="Arial"/>
          <w:sz w:val="22"/>
          <w:szCs w:val="22"/>
        </w:rPr>
        <w:t xml:space="preserve">Employee expense account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A.9 TYPE Y — Interest-Bearing Deposit</w:t>
      </w:r>
    </w:p>
    <w:p>
      <w:pPr>
        <w:spacing w:before="80" w:after="120"/>
        <w:jc w:val="both"/>
      </w:pPr>
      <w:r>
        <w:rPr>
          <w:rFonts w:ascii="Arial" w:cs="Arial" w:eastAsia="Arial" w:hAnsi="Arial"/>
          <w:sz w:val="22"/>
          <w:szCs w:val="22"/>
        </w:rPr>
        <w:t xml:space="preserve">The obligor commits to return principal plus a defined KX amount at maturity. The interest amount is fixed at creation — not a rate, but a specific KX sum.</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Fixed-term savings: deposit 10,000 KX, receive 10,500 KX at 6 months</w:t>
      </w:r>
    </w:p>
    <w:p>
      <w:pPr>
        <w:pStyle w:val="ListParagraph"/>
        <w:numPr>
          <w:ilvl w:val="0"/>
          <w:numId w:val="2"/>
        </w:numPr>
        <w:spacing w:before="60" w:after="60"/>
      </w:pPr>
      <w:r>
        <w:rPr>
          <w:rFonts w:ascii="Arial" w:cs="Arial" w:eastAsia="Arial" w:hAnsi="Arial"/>
          <w:sz w:val="22"/>
          <w:szCs w:val="22"/>
        </w:rPr>
        <w:t xml:space="preserve">Institutional fixed-return deposit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A.10 TYPE V — Conditional Validity</w:t>
      </w:r>
    </w:p>
    <w:p>
      <w:pPr>
        <w:spacing w:before="80" w:after="120"/>
        <w:jc w:val="both"/>
      </w:pPr>
      <w:r>
        <w:rPr>
          <w:rFonts w:ascii="Arial" w:cs="Arial" w:eastAsia="Arial" w:hAnsi="Arial"/>
          <w:sz w:val="22"/>
          <w:szCs w:val="22"/>
        </w:rPr>
        <w:t xml:space="preserve">An M-of-N attestor-released payment. Funds locked until minimum attestors confirm. If minimum not reached before valid_until, funds return to sender. See Appendix C for full specification.</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A.11 TYPE L — Ledger Entry</w:t>
      </w:r>
    </w:p>
    <w:p>
      <w:pPr>
        <w:spacing w:before="80" w:after="120"/>
        <w:jc w:val="both"/>
      </w:pPr>
      <w:r>
        <w:rPr>
          <w:rFonts w:ascii="Arial" w:cs="Arial" w:eastAsia="Arial" w:hAnsi="Arial"/>
          <w:sz w:val="22"/>
          <w:szCs w:val="22"/>
        </w:rPr>
        <w:t xml:space="preserve">A bonded-agent-only signed DAG memo for on-chain identity verification (IdentityVerified, IdentityRevoked), Promise Chain anchors, and protocol attestations. Only wallets registered as bonded verifiers may create TYPE L entries. This is how CPNX records badge issuances on the DAG.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A.12 TYPE G — Wallet Group</w:t>
      </w:r>
    </w:p>
    <w:p>
      <w:pPr>
        <w:spacing w:before="80" w:after="120"/>
        <w:jc w:val="both"/>
      </w:pPr>
      <w:r>
        <w:rPr>
          <w:rFonts w:ascii="Arial" w:cs="Arial" w:eastAsia="Arial" w:hAnsi="Arial"/>
          <w:sz w:val="22"/>
          <w:szCs w:val="22"/>
        </w:rPr>
        <w:t xml:space="preserve">A named group of wallets referenced as a unit. Supports CreateGroup, AddGroupMember, RemoveGroupMember, DissolveGroup, TransferGroupOwnership. Used in TYPE V attestor sets, backup executor lists, and authorized claim sets.</w:t>
      </w:r>
    </w:p>
    <w:p>
      <w:pPr>
        <w:spacing w:before="80" w:after="120"/>
        <w:jc w:val="both"/>
      </w:pPr>
      <w:r>
        <w:rPr>
          <w:rFonts w:ascii="Arial" w:cs="Arial" w:eastAsia="Arial" w:hAnsi="Arial"/>
          <w:sz w:val="22"/>
          <w:szCs w:val="22"/>
        </w:rPr>
        <w:t xml:space="preserve">Critical design note: insurance and loan instruments should always reference a TYPE G group via attestor_group rather than hardcoding individual wallet addresses. When a group member dies or is incapacitated, the Foundation can submit RemoveGroupMember and the group reference on all existing instruments automatically reflects the updated membership.</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A.13 New Action Types (Scaffold — Logic Pending)</w:t>
      </w:r>
    </w:p>
    <w:p>
      <w:pPr>
        <w:shd w:fill="FFF3F3" w:val="clear"/>
        <w:spacing w:before="60" w:after="80"/>
      </w:pPr>
      <w:r>
        <w:rPr>
          <w:rFonts w:ascii="Arial" w:cs="Arial" w:eastAsia="Arial" w:hAnsi="Arial"/>
          <w:b/>
          <w:bCs/>
          <w:color w:val="8B0000"/>
          <w:sz w:val="20"/>
          <w:szCs w:val="20"/>
        </w:rPr>
        <w:t xml:space="preserve">⚠ PLANNED — EscalateConditional, DeclareAttestorFailure, and BondSlashCascade. Fields and storage exist. Full engine logic is a future build session.</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1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Purpose</w:t>
            </w:r>
          </w:p>
        </w:tc>
        <w:tc>
          <w:tcPr>
            <w:tcW w:type="dxa" w:w="3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State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EscalateConditional</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Escalates a TYPE V/S lock to a higher authority (court order, dispute, attestor failure). Transfers attestation authority to escalation_wallet.</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No automated cascade yet.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DeclareAttestorFailure</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or Foundation declares a TYPE G group has failed (arrests, dissolution, bond default). All instruments referencing the group escalate to their escalation_wallet.</w:t>
            </w:r>
          </w:p>
        </w:tc>
        <w:tc>
          <w:tcPr>
            <w:tcW w:type="dxa" w:w="3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Scaffold. Stores record. Automated cascade is a future build session.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BondSlashCascade</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Slashes a Tier 1 bond and optionally transfers obligations to KXGC.</w:t>
            </w:r>
          </w:p>
        </w:tc>
        <w:tc>
          <w:tcPr>
            <w:tcW w:type="dxa" w:w="3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Scaffold. Stores record. Full obligation transfer logic pending.</w:t>
            </w:r>
          </w:p>
        </w:tc>
      </w:tr>
    </w:tbl>
    <w:p>
      <w:pPr>
        <w:spacing w:before="0" w:after="80"/>
      </w:pPr>
      <w:r>
        <w:t xml:space="preserve"/>
      </w:r>
    </w:p>
    <w:p>
      <w:pPr>
        <w:spacing w:before="80" w:after="120"/>
        <w:jc w:val="both"/>
      </w:pPr>
      <w:r>
        <w:rPr>
          <w:rFonts w:ascii="Arial" w:cs="Arial" w:eastAsia="Arial" w:hAnsi="Arial"/>
          <w:b/>
          <w:bCs/>
          <w:sz w:val="22"/>
          <w:szCs w:val="22"/>
        </w:rPr>
        <w:t xml:space="preserve">EscalateConditional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conditional_id</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 ID being escalated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escalation_type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"CourtOrder", "DisputeFiled", "AttestorIncapacity", "BondSlash"</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evidence_hash</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BLAKE3 of supporting document (court order, arrest record, etc.)</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public, immutable. Published on DAG immediately.</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B — Bilateral Promises (Loans)</w:t>
      </w:r>
    </w:p>
    <w:p>
      <w:pPr>
        <w:spacing w:before="80" w:after="120"/>
        <w:jc w:val="both"/>
      </w:pPr>
      <w:r>
        <w:rPr>
          <w:rFonts w:ascii="Arial" w:cs="Arial" w:eastAsia="Arial" w:hAnsi="Arial"/>
          <w:sz w:val="22"/>
          <w:szCs w:val="22"/>
        </w:rPr>
        <w:t xml:space="preserve">A loan is a bilateral promise — two parties, mutual consent, recorded on the DAG. Every loan begins with a LoanOffer. The borrower submits LoanAcceptance or LoanDecline. Neither party can impose terms unilaterally.</w:t>
      </w:r>
    </w:p>
    <w:p>
      <w:pPr>
        <w:spacing w:before="40" w:after="60"/>
      </w:pPr>
      <w:r>
        <w:rPr>
          <w:rFonts w:ascii="Arial" w:cs="Arial" w:eastAsia="Arial" w:hAnsi="Arial"/>
          <w:color w:val="666666"/>
          <w:sz w:val="18"/>
          <w:szCs w:val="18"/>
        </w:rPr>
        <w:t xml:space="preserve">Governance: loan_transfer_enabled = false (dormant). loan_block_principal_usd = $250 (governance vote needed to raise for institutional issuance).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 Fixed Term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Personal loan: 10,000 KX at 5% for 12 months</w:t>
      </w:r>
    </w:p>
    <w:p>
      <w:pPr>
        <w:pStyle w:val="ListParagraph"/>
        <w:numPr>
          <w:ilvl w:val="0"/>
          <w:numId w:val="2"/>
        </w:numPr>
        <w:spacing w:before="60" w:after="60"/>
      </w:pPr>
      <w:r>
        <w:rPr>
          <w:rFonts w:ascii="Arial" w:cs="Arial" w:eastAsia="Arial" w:hAnsi="Arial"/>
          <w:sz w:val="22"/>
          <w:szCs w:val="22"/>
        </w:rPr>
        <w:t xml:space="preserve">Business term loan: 500,000 KX at 8% for 36 months</w:t>
      </w:r>
    </w:p>
    <w:p>
      <w:pPr>
        <w:pStyle w:val="ListParagraph"/>
        <w:numPr>
          <w:ilvl w:val="0"/>
          <w:numId w:val="2"/>
        </w:numPr>
        <w:spacing w:before="60" w:after="60"/>
      </w:pPr>
      <w:r>
        <w:rPr>
          <w:rFonts w:ascii="Arial" w:cs="Arial" w:eastAsia="Arial" w:hAnsi="Arial"/>
          <w:sz w:val="22"/>
          <w:szCs w:val="22"/>
        </w:rPr>
        <w:t xml:space="preserve">Bridge loan: 100,000 KX at 12% for 90 days, bullet repayment</w:t>
      </w:r>
    </w:p>
    <w:p>
      <w:pPr>
        <w:pStyle w:val="ListParagraph"/>
        <w:numPr>
          <w:ilvl w:val="0"/>
          <w:numId w:val="2"/>
        </w:numPr>
        <w:spacing w:before="60" w:after="60"/>
      </w:pPr>
      <w:r>
        <w:rPr>
          <w:rFonts w:ascii="Arial" w:cs="Arial" w:eastAsia="Arial" w:hAnsi="Arial"/>
          <w:sz w:val="22"/>
          <w:szCs w:val="22"/>
        </w:rPr>
        <w:t xml:space="preserve">Mortgage: 1,000,000 KX at 4% for 30 years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principal_chronos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 amount in Chronos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InterestRate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Fixed(bps) or Variable{spread, cap, floor, source}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loan_type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LoanType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FixedSchedule (default) or Revolving{...}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payment_stages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Vec&lt;LoanPaymentStage&gt;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Each stage: due_at, amount_kx, pay_as, payment_type, index</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PayAsDenomination</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denomination mode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default_triggers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Vec&lt;DefaultTrigger&gt;</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MissedPayment, EscrowShortfall, CollateralUndersecured, Custom</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collateral_lock_id</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time-lock used as collateral</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prepayment_terms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PrepaymentTerms</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Prohibited, AllowedAtPar, AllowedWithPenalty, AllowedWithDiscount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late_fee_schedule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LateFeeSchedule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 Flat{fee_kx}, Tiered{stages}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offer_expiry_seconds</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How long the offer remains open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Terms description (encrypted by default)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B.2 Revolving Loan</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Business line of credit: 200,000 KX ceiling, quarterly renewal</w:t>
      </w:r>
    </w:p>
    <w:p>
      <w:pPr>
        <w:pStyle w:val="ListParagraph"/>
        <w:numPr>
          <w:ilvl w:val="0"/>
          <w:numId w:val="2"/>
        </w:numPr>
        <w:spacing w:before="60" w:after="60"/>
      </w:pPr>
      <w:r>
        <w:rPr>
          <w:rFonts w:ascii="Arial" w:cs="Arial" w:eastAsia="Arial" w:hAnsi="Arial"/>
          <w:sz w:val="22"/>
          <w:szCs w:val="22"/>
        </w:rPr>
        <w:t xml:space="preserve">Overdraft facility</w:t>
      </w:r>
    </w:p>
    <w:p>
      <w:pPr>
        <w:pStyle w:val="ListParagraph"/>
        <w:numPr>
          <w:ilvl w:val="0"/>
          <w:numId w:val="2"/>
        </w:numPr>
        <w:spacing w:before="60" w:after="60"/>
      </w:pPr>
      <w:r>
        <w:rPr>
          <w:rFonts w:ascii="Arial" w:cs="Arial" w:eastAsia="Arial" w:hAnsi="Arial"/>
          <w:sz w:val="22"/>
          <w:szCs w:val="22"/>
        </w:rPr>
        <w:t xml:space="preserve">Working capital: seasonal draws</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renewal_period_seconds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How often the facility renews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rate_cap_per_period_bps</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rate per renewal period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exit_rights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EitherParty, LenderOnly, BorrowerOnly, MutualConsent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revival_condition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Always, OracleBelow, OracleAbove, CustomAttestation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B.3 Murabaha (Sharia — Fixed Profit)</w:t>
      </w:r>
    </w:p>
    <w:p>
      <w:pPr>
        <w:spacing w:before="80" w:after="120"/>
        <w:jc w:val="both"/>
      </w:pPr>
      <w:r>
        <w:rPr>
          <w:rFonts w:ascii="Arial" w:cs="Arial" w:eastAsia="Arial" w:hAnsi="Arial"/>
          <w:sz w:val="22"/>
          <w:szCs w:val="22"/>
        </w:rPr>
        <w:t xml:space="preserve">Cost-plus financing. Lender purchases asset, sells to buyer at cost plus fixed disclosed profit. No compounding. LoanOffer with interest_rate: Fixed(0), profit added to principal, PrincipalOnly payment stages.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B.4 Qard Hasan (Sharia — Zero Profit)</w:t>
      </w:r>
    </w:p>
    <w:p>
      <w:pPr>
        <w:spacing w:before="80" w:after="120"/>
        <w:jc w:val="both"/>
      </w:pPr>
      <w:r>
        <w:rPr>
          <w:rFonts w:ascii="Arial" w:cs="Arial" w:eastAsia="Arial" w:hAnsi="Arial"/>
          <w:sz w:val="22"/>
          <w:szCs w:val="22"/>
        </w:rPr>
        <w:t xml:space="preserve">Benevolent loan. Borrower repays exactly what was borrowed. LoanOffer with interest_rate: Fixed(0), PrincipalOnly stages totaling exactly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B.5 Negative Rate Loan</w:t>
      </w:r>
    </w:p>
    <w:p>
      <w:pPr>
        <w:spacing w:before="80" w:after="120"/>
        <w:jc w:val="both"/>
      </w:pPr>
      <w:r>
        <w:rPr>
          <w:rFonts w:ascii="Arial" w:cs="Arial" w:eastAsia="Arial" w:hAnsi="Arial"/>
          <w:sz w:val="22"/>
          <w:szCs w:val="22"/>
        </w:rPr>
        <w:t xml:space="preserve">Borrower repays less than borrowed. LoanOffer with interest_rate: Fixed(negative_bps). Payment stages total less than principal_chronos.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B.6 Construction Draw Loan</w:t>
      </w:r>
    </w:p>
    <w:p>
      <w:pPr>
        <w:spacing w:before="80" w:after="120"/>
        <w:jc w:val="both"/>
      </w:pPr>
      <w:r>
        <w:rPr>
          <w:rFonts w:ascii="Arial" w:cs="Arial" w:eastAsia="Arial" w:hAnsi="Arial"/>
          <w:sz w:val="22"/>
          <w:szCs w:val="22"/>
        </w:rPr>
        <w:t xml:space="preserve">Disbursed in stages as milestones are completed. Inspector wallet as draw_requestor. DrawRequest actions submitted by inspector. TYPE P-F pool can back the full project amount from day one.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B.7 Balloon Payment Loan</w:t>
      </w:r>
    </w:p>
    <w:p>
      <w:pPr>
        <w:spacing w:before="80" w:after="120"/>
        <w:jc w:val="both"/>
      </w:pPr>
      <w:r>
        <w:rPr>
          <w:rFonts w:ascii="Arial" w:cs="Arial" w:eastAsia="Arial" w:hAnsi="Arial"/>
          <w:sz w:val="22"/>
          <w:szCs w:val="22"/>
        </w:rPr>
        <w:t xml:space="preserve">Small periodic payments followed by large final payment. InterestOnly payment stages except the last, which uses BulletFinal.</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B.8 Structured Settlement (TYPE D)</w:t>
      </w:r>
    </w:p>
    <w:p>
      <w:pPr>
        <w:spacing w:before="80" w:after="120"/>
        <w:jc w:val="both"/>
      </w:pPr>
      <w:r>
        <w:rPr>
          <w:rFonts w:ascii="Arial" w:cs="Arial" w:eastAsia="Arial" w:hAnsi="Arial"/>
          <w:sz w:val="22"/>
          <w:szCs w:val="22"/>
        </w:rPr>
        <w:t xml:space="preserve">Custom irregular payment schedule. May include guaranteed minimums plus contingent amounts. payment_type: Custom on each stage.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B.9 PAY_AS Loan</w:t>
      </w:r>
    </w:p>
    <w:p>
      <w:pPr>
        <w:spacing w:before="80" w:after="120"/>
        <w:jc w:val="both"/>
      </w:pPr>
      <w:r>
        <w:rPr>
          <w:rFonts w:ascii="Arial" w:cs="Arial" w:eastAsia="Arial" w:hAnsi="Arial"/>
          <w:sz w:val="22"/>
          <w:szCs w:val="22"/>
        </w:rPr>
        <w:t xml:space="preserve">Loan denominated in non-KX currency. Each payment stage includes a pay_as field. At each settlement date XChan oracle provides the rate. HedgeKX integration allows lender to lock in exchange rates.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B.10 Interval Loan</w:t>
      </w:r>
    </w:p>
    <w:p>
      <w:pPr>
        <w:spacing w:before="80" w:after="120"/>
        <w:jc w:val="both"/>
      </w:pPr>
      <w:r>
        <w:rPr>
          <w:rFonts w:ascii="Arial" w:cs="Arial" w:eastAsia="Arial" w:hAnsi="Arial"/>
          <w:sz w:val="22"/>
          <w:szCs w:val="22"/>
        </w:rPr>
        <w:t xml:space="preserve">Regular automated payment intervals. Sweep engine runs every 3,600 seconds checking for due payments. No manual action required.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B.11 Loan Transferability</w:t>
      </w:r>
    </w:p>
    <w:p>
      <w:pPr>
        <w:spacing w:before="40" w:after="60"/>
      </w:pPr>
      <w:r>
        <w:rPr>
          <w:rFonts w:ascii="Arial" w:cs="Arial" w:eastAsia="Arial" w:hAnsi="Arial"/>
          <w:color w:val="666666"/>
          <w:sz w:val="18"/>
          <w:szCs w:val="18"/>
        </w:rPr>
        <w:t xml:space="preserve">Note: loan_transfer_enabled = false (dormant). Activation requires Foundation governance vote post-ICO.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B.12 Loan Tranching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48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5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8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min_tranche_face_value_kx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size of each tranche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max_tranches_per_obligation</w:t>
            </w:r>
          </w:p>
        </w:tc>
        <w:tc>
          <w:tcPr>
            <w:tcW w:type="dxa" w:w="1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48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tranches per parent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min_trancheable_obligation_kx</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w:t>
            </w:r>
          </w:p>
        </w:tc>
        <w:tc>
          <w:tcPr>
            <w:tcW w:type="dxa" w:w="48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parent size for tranching</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B.13 Yield and Principal Strips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43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Claim Type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Receives</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Typical Buyer</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WHOLE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principal and interest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investors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YIELD_ONLY</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 payments only</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Income-seeking investors, pension funds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PRINCIPAL_ONLY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 at 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Duration managers, hedgers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B.14 Loan Retirement</w:t>
      </w:r>
    </w:p>
    <w:p>
      <w:pPr>
        <w:spacing w:before="80" w:after="120"/>
        <w:jc w:val="both"/>
      </w:pPr>
      <w:r>
        <w:rPr>
          <w:rFonts w:ascii="Arial" w:cs="Arial" w:eastAsia="Arial" w:hAnsi="Arial"/>
          <w:sz w:val="22"/>
          <w:szCs w:val="22"/>
        </w:rPr>
        <w:t xml:space="preserve">Lender retires a portion of an obligation permanently. Parameters: retire_fraction (0.0–1.0), announcement (public, max 512 chars). Applies proportionally across all child tranches.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B.15 Terms Visibility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Visibility</w:t>
            </w:r>
          </w:p>
        </w:tc>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What Is Public</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Who Can Change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PRIVATE (default)</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Existence, payment status, default history. NOT rate, schedule, terms.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 may switch to PUBLIC.</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PUBLIC</w:t>
            </w:r>
          </w:p>
        </w:tc>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Everything: rate, term, schedule, prepayment terms, payment history.</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Either party.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B.16 MISAI as Loan Servicer</w:t>
      </w:r>
    </w:p>
    <w:p>
      <w:pPr>
        <w:spacing w:before="80" w:after="120"/>
        <w:jc w:val="both"/>
      </w:pPr>
      <w:r>
        <w:rPr>
          <w:rFonts w:ascii="Arial" w:cs="Arial" w:eastAsia="Arial" w:hAnsi="Arial"/>
          <w:sz w:val="22"/>
          <w:szCs w:val="22"/>
        </w:rPr>
        <w:t xml:space="preserve">Any loan may designate MISAI as servicer via the servicer_wallet parameter. MISAI monitors the payment schedule, publishes DefaultRecord when payments are missed, and processes LoanCompletion when all stages are paid. Every MISAI action is committed to the DAG before it executes (Axiom VIII).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executor wallet</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64PXAwjapumXadK4e5Zk7f8zAxhaKwJifSJLHHiRsDKb</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7% maximum. Can only be lowered by governance.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post-maturity before executor may act</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 (24 hours).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B.17 AttestConditional — Partial Release</w:t>
      </w:r>
    </w:p>
    <w:p>
      <w:pPr>
        <w:shd w:fill="FFF3F3" w:val="clear"/>
        <w:spacing w:before="60" w:after="80"/>
      </w:pPr>
      <w:r>
        <w:rPr>
          <w:rFonts w:ascii="Arial" w:cs="Arial" w:eastAsia="Arial" w:hAnsi="Arial"/>
          <w:b/>
          <w:bCs/>
          <w:color w:val="8B0000"/>
          <w:sz w:val="20"/>
          <w:szCs w:val="20"/>
        </w:rPr>
        <w:t xml:space="preserve">⚠ LIVE — Partial claim release at attestation time. Currently the protocol releases the full amount_chronos when the attestor threshold is met. The ability for attestors to specify a partial release_amount_chronos (e.g. $750,000 on a $1,000,000 policy) requires a dedicated build session. Workaround today: write each policy as multiple smaller TYPE S instruments (e.g. ten $100,000 tranches) so attestors can attest to any multiple of the tranche size.</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C — Conditional Promises (TYPE S Springing Instruments)</w:t>
      </w:r>
    </w:p>
    <w:p>
      <w:pPr>
        <w:spacing w:before="80" w:after="120"/>
        <w:jc w:val="both"/>
      </w:pPr>
      <w:r>
        <w:rPr>
          <w:rFonts w:ascii="Arial" w:cs="Arial" w:eastAsia="Arial" w:hAnsi="Arial"/>
          <w:sz w:val="22"/>
          <w:szCs w:val="22"/>
        </w:rPr>
        <w:t xml:space="preserve">A TYPE S Springing Instrument does not execute until a condition is recorded by the obligor. If the condition is not recorded before valid_until, funds return to the obligor automatically.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C.1 Core Parameters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400"/>
        <w:gridCol w:w="2000"/>
        <w:gridCol w:w="500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5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sender_pubkey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 party locking funds (obligor)</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recipient_pubkey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DilithiumPublicKey</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The party receiving funds if condition met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amount_chronos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Amount locked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attestor_pubkeys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Vec&lt;DilithiumPublicKey&gt;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Authorized attestors. Use attestor_group for dynamic membership.</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[u8;32]</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reference a TYPE G Wallet Group instead of inline list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min_attestors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u32</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Minimum attestations required for release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Option&lt;f64&gt;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Fraction of current group (0.0–1.0). Overrides min_attestors. Recommended for long-horizon instruments.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 (Unix)</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Expiry. If condition unmet, funds return.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fallback</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ConditionalFallback</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Void, Return (refund sender), Escrow (hold)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Option&lt;String&gt;</w:t>
            </w:r>
          </w:p>
        </w:tc>
        <w:tc>
          <w:tcPr>
            <w:tcW w:type="dxa" w:w="5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receiving escalated authority if attestor group fails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Option&lt;u64&gt;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Seconds before escalation executes after EscalateConditional is submitted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C.2 Condition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6160"/>
      </w:tblGrid>
      <w:tr>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6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min_attestors of the attestor group submit AttestConditional. Protocol releases.</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automatically when XChan oracle crosses threshold. No human attestor needed for trigger. governance flag: hedgekx_oracle_trigger_enabled.</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Both condition_a AND condition_b must be true. Used for catastrophe hedge layer: KX drops &gt;50% AND a PAY_AS claim has actually fired. governance flag: hedgekx_compound_condition_enabled.</w:t>
            </w:r>
          </w:p>
        </w:tc>
      </w:tr>
      <w:tr>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LinkedSpring</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Fires only if linked_instrument_id has already fired. Creates causal chain between instruments. Used for excess-of-loss hedge tower construction.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C.3 Parametric Insurance (Live Today)</w:t>
      </w:r>
    </w:p>
    <w:p>
      <w:pPr>
        <w:spacing w:before="80" w:after="120"/>
        <w:jc w:val="both"/>
      </w:pPr>
      <w:r>
        <w:rPr>
          <w:rFonts w:ascii="Arial" w:cs="Arial" w:eastAsia="Arial" w:hAnsi="Arial"/>
          <w:sz w:val="22"/>
          <w:szCs w:val="22"/>
        </w:rPr>
        <w:t xml:space="preserve">A KXGC Tier 1 Name creates a TYPE S instrument: “If this house burns down, pay $50,000 USD.” The Name is the attestor. The homeowner is the recipient. PAY_AS denominates in USD. If the condition fires, the Name submits AttestConditional. The protocol releases KX equivalent to $50,000 at the current XChan rate. The homeowner converts at XChan.</w:t>
      </w:r>
    </w:p>
    <w:p>
      <w:pPr>
        <w:spacing w:before="40" w:after="60"/>
      </w:pPr>
      <w:r>
        <w:rPr>
          <w:rFonts w:ascii="Arial" w:cs="Arial" w:eastAsia="Arial" w:hAnsi="Arial"/>
          <w:color w:val="666666"/>
          <w:sz w:val="18"/>
          <w:szCs w:val="18"/>
        </w:rPr>
        <w:t xml:space="preserve">Note on partial claims: full amount releases when attested. Partial release (e.g. $37,500 on a $50,000 policy) requires the tranche workaround (B.17) until AttestConditional partial release is built.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C.4 Performance Bond (Live Today)</w:t>
      </w:r>
    </w:p>
    <w:p>
      <w:pPr>
        <w:spacing w:before="80" w:after="120"/>
        <w:jc w:val="both"/>
      </w:pPr>
      <w:r>
        <w:rPr>
          <w:rFonts w:ascii="Arial" w:cs="Arial" w:eastAsia="Arial" w:hAnsi="Arial"/>
          <w:sz w:val="22"/>
          <w:szCs w:val="22"/>
        </w:rPr>
        <w:t xml:space="preserve">Contractor locks KX against commitment. Client is attestor. On completion, client submits AttestConditional. KX releases to contractor. If contractor fails before valid_until, funds return per fallback setting.</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C.5 HedgeKX Overnight Hedge (Live Today)</w:t>
      </w:r>
    </w:p>
    <w:p>
      <w:pPr>
        <w:spacing w:before="80" w:after="120"/>
        <w:jc w:val="both"/>
      </w:pPr>
      <w:r>
        <w:rPr>
          <w:rFonts w:ascii="Arial" w:cs="Arial" w:eastAsia="Arial" w:hAnsi="Arial"/>
          <w:sz w:val="22"/>
          <w:szCs w:val="22"/>
        </w:rPr>
        <w:t xml:space="preserve">A hedger locks KX as collateral against a 24-hour KX/USD position. If the condition (KX drops beyond threshold) is attested by the HedgeKX oracle attestor, KX releases to the pool. If the condition is not triggered before valid_until, success_payment_chronos transfers to success_payment_wallet (the hedge premium return), and remaining KX returns to the hedger.</w:t>
      </w:r>
    </w:p>
    <w:p>
      <w:pPr>
        <w:spacing w:before="40" w:after="60"/>
      </w:pPr>
      <w:r>
        <w:rPr>
          <w:rFonts w:ascii="Arial" w:cs="Arial" w:eastAsia="Arial" w:hAnsi="Arial"/>
          <w:color w:val="666666"/>
          <w:sz w:val="18"/>
          <w:szCs w:val="18"/>
        </w:rPr>
        <w:t xml:space="preserve">Current governance: hedgekx_max_daily_exposure_usd = $250. hedgekx_max_instrument_duration_seconds = 86,400.</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C.6 The Hedge Tower Structure (Partially Live)</w:t>
      </w:r>
    </w:p>
    <w:p>
      <w:pPr>
        <w:spacing w:before="80" w:after="120"/>
        <w:jc w:val="both"/>
      </w:pPr>
      <w:r>
        <w:rPr>
          <w:rFonts w:ascii="Arial" w:cs="Arial" w:eastAsia="Arial" w:hAnsi="Arial"/>
          <w:sz w:val="22"/>
          <w:szCs w:val="22"/>
        </w:rPr>
        <w:t xml:space="preserve">For PAY_AS insurance policies, three hedge layers protect against KX/USD currency conversion risk:</w:t>
      </w:r>
    </w:p>
    <w:p>
      <w:pPr>
        <w:pStyle w:val="ListParagraph"/>
        <w:numPr>
          <w:ilvl w:val="0"/>
          <w:numId w:val="2"/>
        </w:numPr>
        <w:spacing w:before="60" w:after="60"/>
      </w:pPr>
      <w:r>
        <w:rPr>
          <w:rFonts w:ascii="Arial" w:cs="Arial" w:eastAsia="Arial" w:hAnsi="Arial"/>
          <w:sz w:val="22"/>
          <w:szCs w:val="22"/>
        </w:rPr>
        <w:t xml:space="preserve">Layer 0 (Primary, Live): Rolling 30-day hedges covering first 8% of KX depreciation. Daily trance absorbs this loss. Hedge premiums are determined by market participants. During the pre-ICO founding phase, premium rates reflect the token’s limited price history and carry a substantial risk premium. Rates will compress as KX establishes a verifiable track record post-ICO. OracleTrigger condition (planned) will automate settlement.</w:t>
      </w:r>
    </w:p>
    <w:p>
      <w:pPr>
        <w:pStyle w:val="ListParagraph"/>
        <w:numPr>
          <w:ilvl w:val="0"/>
          <w:numId w:val="2"/>
        </w:numPr>
        <w:spacing w:before="60" w:after="60"/>
      </w:pPr>
      <w:r>
        <w:rPr>
          <w:rFonts w:ascii="Arial" w:cs="Arial" w:eastAsia="Arial" w:hAnsi="Arial"/>
          <w:sz w:val="22"/>
          <w:szCs w:val="22"/>
        </w:rPr>
        <w:t xml:space="preserve">Layer 1 (Excess-of-Loss, Planned): Covers 8–20% depreciation band. 1-year instruments. 12% annual premium. Fires only after Layer 0 has been exhausted. Requires OracleTrigger.</w:t>
      </w:r>
    </w:p>
    <w:p>
      <w:pPr>
        <w:pStyle w:val="ListParagraph"/>
        <w:numPr>
          <w:ilvl w:val="0"/>
          <w:numId w:val="2"/>
        </w:numPr>
        <w:spacing w:before="60" w:after="60"/>
      </w:pPr>
      <w:r>
        <w:rPr>
          <w:rFonts w:ascii="Arial" w:cs="Arial" w:eastAsia="Arial" w:hAnsi="Arial"/>
          <w:sz w:val="22"/>
          <w:szCs w:val="22"/>
        </w:rPr>
        <w:t xml:space="preserve">Layer 2 (Catastrophe, Planned): Covers &gt;20% depreciation AND a PAY_AS claim has actually fired. Compound condition: KX price drop AND LinkedSpring from actual claim.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Why Layer 2 is correctly designed:</w:t>
      </w:r>
    </w:p>
    <w:p>
      <w:pPr>
        <w:spacing w:before="80" w:after="120"/>
        <w:jc w:val="both"/>
      </w:pPr>
      <w:r>
        <w:rPr>
          <w:rFonts w:ascii="Arial" w:cs="Arial" w:eastAsia="Arial" w:hAnsi="Arial"/>
          <w:sz w:val="22"/>
          <w:szCs w:val="22"/>
        </w:rPr>
        <w:t xml:space="preserve">KX could drop 50% due to a protocol incident, but if no covered properties burned during that period, no PAY_AS TYPE S has sprung. Layer 2 never fires. The hedger retains their USDC collateral and all premium income. Their exposure is only to the intersection of KX crash AND actual claim — two independent events that must both occur simultaneously.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C.7 Convertible Note (Live Today)</w:t>
      </w:r>
    </w:p>
    <w:p>
      <w:pPr>
        <w:spacing w:before="80" w:after="120"/>
        <w:jc w:val="both"/>
      </w:pPr>
      <w:r>
        <w:rPr>
          <w:rFonts w:ascii="Arial" w:cs="Arial" w:eastAsia="Arial" w:hAnsi="Arial"/>
          <w:sz w:val="22"/>
          <w:szCs w:val="22"/>
        </w:rPr>
        <w:t xml:space="preserve">Condition: qualifying financing round closes. Obligor records round closure via AttestConditional. KX releases to investors. ChronX enforces the KX release. Equity conversion happens off-chain.</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D — Pool Instruments</w:t>
      </w:r>
    </w:p>
    <w:p>
      <w:pPr>
        <w:pStyle w:val="Heading2"/>
        <w:spacing w:before="360" w:after="160"/>
      </w:pPr>
      <w:r>
        <w:rPr>
          <w:rFonts w:ascii="Arial" w:cs="Arial" w:eastAsia="Arial" w:hAnsi="Arial"/>
          <w:b/>
          <w:bCs/>
          <w:color w:val="2C3E6B"/>
          <w:sz w:val="28"/>
          <w:szCs w:val="28"/>
        </w:rPr>
        <w:t xml:space="preserve">D.1 TYPE P-F — Fully Reserved Pool</w:t>
      </w:r>
    </w:p>
    <w:p>
      <w:pPr>
        <w:spacing w:before="80" w:after="120"/>
        <w:jc w:val="both"/>
      </w:pPr>
      <w:r>
        <w:rPr>
          <w:rFonts w:ascii="Arial" w:cs="Arial" w:eastAsia="Arial" w:hAnsi="Arial"/>
          <w:sz w:val="22"/>
          <w:szCs w:val="22"/>
        </w:rPr>
        <w:t xml:space="preserve">Total reserved must always be &lt;= pool balance. No fractional reserve. No leverage. No access requirements.</w:t>
      </w:r>
    </w:p>
    <w:p>
      <w:pPr>
        <w:spacing w:before="80" w:after="120"/>
        <w:jc w:val="both"/>
      </w:pPr>
      <w:r>
        <w:rPr>
          <w:rFonts w:ascii="Arial" w:cs="Arial" w:eastAsia="Arial" w:hAnsi="Arial"/>
          <w:b/>
          <w:bCs/>
          <w:sz w:val="22"/>
          <w:szCs w:val="22"/>
        </w:rPr>
        <w:t xml:space="preserve">Use Cases:</w:t>
      </w:r>
    </w:p>
    <w:p>
      <w:pPr>
        <w:pStyle w:val="ListParagraph"/>
        <w:numPr>
          <w:ilvl w:val="0"/>
          <w:numId w:val="2"/>
        </w:numPr>
        <w:spacing w:before="60" w:after="60"/>
      </w:pPr>
      <w:r>
        <w:rPr>
          <w:rFonts w:ascii="Arial" w:cs="Arial" w:eastAsia="Arial" w:hAnsi="Arial"/>
          <w:sz w:val="22"/>
          <w:szCs w:val="22"/>
        </w:rPr>
        <w:t xml:space="preserve">Construction escrow: full project amount reserved from day one</w:t>
      </w:r>
    </w:p>
    <w:p>
      <w:pPr>
        <w:pStyle w:val="ListParagraph"/>
        <w:numPr>
          <w:ilvl w:val="0"/>
          <w:numId w:val="2"/>
        </w:numPr>
        <w:spacing w:before="60" w:after="60"/>
      </w:pPr>
      <w:r>
        <w:rPr>
          <w:rFonts w:ascii="Arial" w:cs="Arial" w:eastAsia="Arial" w:hAnsi="Arial"/>
          <w:sz w:val="22"/>
          <w:szCs w:val="22"/>
        </w:rPr>
        <w:t xml:space="preserve">Vesting pool: employee allocations fully backed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D.2 TYPE P-R — Fractional Reserve Pool</w:t>
      </w:r>
    </w:p>
    <w:p>
      <w:pPr>
        <w:spacing w:before="80" w:after="120"/>
        <w:jc w:val="both"/>
      </w:pPr>
      <w:r>
        <w:rPr>
          <w:rFonts w:ascii="Arial" w:cs="Arial" w:eastAsia="Arial" w:hAnsi="Arial"/>
          <w:sz w:val="22"/>
          <w:szCs w:val="22"/>
        </w:rPr>
        <w:t xml:space="preserve">Operates with a coverage ratio. Pool holds less KX than total face value of obligations. coverage_ratio_at_registration is immutable per claimant.</w:t>
      </w:r>
    </w:p>
    <w:p>
      <w:pPr>
        <w:spacing w:before="80" w:after="120"/>
        <w:jc w:val="both"/>
      </w:pPr>
      <w:r>
        <w:rPr>
          <w:rFonts w:ascii="Arial" w:cs="Arial" w:eastAsia="Arial" w:hAnsi="Arial"/>
          <w:b/>
          <w:bCs/>
          <w:sz w:val="22"/>
          <w:szCs w:val="22"/>
        </w:rPr>
        <w:t xml:space="preserve">Access requirements:</w:t>
      </w:r>
    </w:p>
    <w:p>
      <w:pPr>
        <w:pStyle w:val="ListParagraph"/>
        <w:numPr>
          <w:ilvl w:val="0"/>
          <w:numId w:val="2"/>
        </w:numPr>
        <w:spacing w:before="60" w:after="60"/>
      </w:pPr>
      <w:r>
        <w:rPr>
          <w:rFonts w:ascii="Arial" w:cs="Arial" w:eastAsia="Arial" w:hAnsi="Arial"/>
          <w:sz w:val="22"/>
          <w:szCs w:val="22"/>
        </w:rPr>
        <w:t xml:space="preserve">Badge: BANK, INSURANCE, or GOVERNMENT (from CPNX)</w:t>
      </w:r>
    </w:p>
    <w:p>
      <w:pPr>
        <w:pStyle w:val="ListParagraph"/>
        <w:numPr>
          <w:ilvl w:val="0"/>
          <w:numId w:val="2"/>
        </w:numPr>
        <w:spacing w:before="60" w:after="60"/>
      </w:pPr>
      <w:r>
        <w:rPr>
          <w:rFonts w:ascii="Arial" w:cs="Arial" w:eastAsia="Arial" w:hAnsi="Arial"/>
          <w:sz w:val="22"/>
          <w:szCs w:val="22"/>
        </w:rPr>
        <w:t xml:space="preserve">Active TYPE A authority grant (from KXGC)</w:t>
      </w:r>
    </w:p>
    <w:p>
      <w:pPr>
        <w:pStyle w:val="ListParagraph"/>
        <w:numPr>
          <w:ilvl w:val="0"/>
          <w:numId w:val="2"/>
        </w:numPr>
        <w:spacing w:before="60" w:after="60"/>
      </w:pPr>
      <w:r>
        <w:rPr>
          <w:rFonts w:ascii="Arial" w:cs="Arial" w:eastAsia="Arial" w:hAnsi="Arial"/>
          <w:sz w:val="22"/>
          <w:szCs w:val="22"/>
        </w:rPr>
        <w:t xml:space="preserve">type_pr_requires_type_a: true (current governance)</w:t>
      </w:r>
    </w:p>
    <w:p>
      <w:pPr>
        <w:spacing w:before="0"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Governance Parameter</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3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type_pr_eligible_badges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Required badges to create TYPE P-R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type_pr_requires_type_a</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Must have active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badge_pr_check_enabled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3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check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D.3 KXGC Hierarchy</w:t>
      </w:r>
    </w:p>
    <w:p>
      <w:pPr>
        <w:pStyle w:val="ListParagraph"/>
        <w:numPr>
          <w:ilvl w:val="0"/>
          <w:numId w:val="2"/>
        </w:numPr>
        <w:spacing w:before="60" w:after="60"/>
      </w:pPr>
      <w:r>
        <w:rPr>
          <w:rFonts w:ascii="Arial" w:cs="Arial" w:eastAsia="Arial" w:hAnsi="Arial"/>
          <w:sz w:val="22"/>
          <w:szCs w:val="22"/>
        </w:rPr>
        <w:t xml:space="preserve">KXGC (Tier 0): 300M KX. Reserve ratio 1.00. Investable fraction 0.00. Never writes policies directly.</w:t>
      </w:r>
    </w:p>
    <w:p>
      <w:pPr>
        <w:pStyle w:val="ListParagraph"/>
        <w:numPr>
          <w:ilvl w:val="0"/>
          <w:numId w:val="2"/>
        </w:numPr>
        <w:spacing w:before="60" w:after="60"/>
      </w:pPr>
      <w:r>
        <w:rPr>
          <w:rFonts w:ascii="Arial" w:cs="Arial" w:eastAsia="Arial" w:hAnsi="Arial"/>
          <w:sz w:val="22"/>
          <w:szCs w:val="22"/>
        </w:rPr>
        <w:t xml:space="preserve">Tier 1 Names: Bond 5–25M KX each. Admitted by KXGC. Create TYPE P-R pools. Can subgrant to Tier 2.</w:t>
      </w:r>
    </w:p>
    <w:p>
      <w:pPr>
        <w:pStyle w:val="ListParagraph"/>
        <w:numPr>
          <w:ilvl w:val="0"/>
          <w:numId w:val="2"/>
        </w:numPr>
        <w:spacing w:before="60" w:after="60"/>
      </w:pPr>
      <w:r>
        <w:rPr>
          <w:rFonts w:ascii="Arial" w:cs="Arial" w:eastAsia="Arial" w:hAnsi="Arial"/>
          <w:sz w:val="22"/>
          <w:szCs w:val="22"/>
        </w:rPr>
        <w:t xml:space="preserve">Tier 2 Operators: Retail pools. Backed by Tier 1 sponsor. Pool depletion visible on DAG immediately.</w:t>
      </w:r>
    </w:p>
    <w:p>
      <w:pPr>
        <w:pStyle w:val="ListParagraph"/>
        <w:numPr>
          <w:ilvl w:val="0"/>
          <w:numId w:val="2"/>
        </w:numPr>
        <w:spacing w:before="60" w:after="60"/>
      </w:pPr>
      <w:r>
        <w:rPr>
          <w:rFonts w:ascii="Arial" w:cs="Arial" w:eastAsia="Arial" w:hAnsi="Arial"/>
          <w:sz w:val="22"/>
          <w:szCs w:val="22"/>
        </w:rPr>
        <w:t xml:space="preserve">Revocation: 30-day notice period, protocol-enforced. Sub-grant limits cannot exceed grantor’s limits.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D.4 TYPE W — Waterfall Routing</w:t>
      </w:r>
    </w:p>
    <w:p>
      <w:pPr>
        <w:spacing w:before="80" w:after="120"/>
        <w:jc w:val="both"/>
      </w:pPr>
      <w:r>
        <w:rPr>
          <w:rFonts w:ascii="Arial" w:cs="Arial" w:eastAsia="Arial" w:hAnsi="Arial"/>
          <w:sz w:val="22"/>
          <w:szCs w:val="22"/>
        </w:rPr>
        <w:t xml:space="preserve">When Tier 2 pool depletes, claims route to Tier 1 sponsor automatically. If Tier 1 depletes, claims route to KXGC. All events recorded on DAG. No external oracle needed.</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E — Bond Instruments (TYPE B)</w:t>
      </w:r>
    </w:p>
    <w:p>
      <w:pPr>
        <w:spacing w:before="80" w:after="120"/>
        <w:jc w:val="both"/>
      </w:pPr>
      <w:r>
        <w:rPr>
          <w:rFonts w:ascii="Arial" w:cs="Arial" w:eastAsia="Arial" w:hAnsi="Arial"/>
          <w:sz w:val="22"/>
          <w:szCs w:val="22"/>
        </w:rPr>
        <w:t xml:space="preserve">Each EPP lends its performance bond to the Foundation. 100-year, 0% interest loan. Foundation holds DrawRequest right.</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E.1 B-ISSUE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lender_wallet</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EPP bond wallet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borrower_wallet</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Foundation wallet (bond holder)</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term_years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years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interest_rate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Fixed(0) always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drawrequest_lock_days</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by grantor at issuance. Minimum 30 days.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purpose</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text describing bond purpose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E.2 B-DRAWREQUEST</w:t>
      </w:r>
    </w:p>
    <w:p>
      <w:pPr>
        <w:spacing w:before="80" w:after="120"/>
        <w:jc w:val="both"/>
      </w:pPr>
      <w:r>
        <w:rPr>
          <w:rFonts w:ascii="Arial" w:cs="Arial" w:eastAsia="Arial" w:hAnsi="Arial"/>
          <w:sz w:val="22"/>
          <w:szCs w:val="22"/>
        </w:rPr>
        <w:t xml:space="preserve">DrawRequest auto-executes on lock_until. Foundation cannot accelerate. Board cannot override. Published on DAG immediately. Even cancellation requires a new 30-day process.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6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action</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RETURN (back to EPP) or SLASH (permanent reduction)</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reason</w:t>
            </w:r>
          </w:p>
        </w:tc>
        <w:tc>
          <w:tcPr>
            <w:tcW w:type="dxa" w:w="6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 immutable, published on DAG immediately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lock_until</w:t>
            </w:r>
          </w:p>
        </w:tc>
        <w:tc>
          <w:tcPr>
            <w:tcW w:type="dxa" w:w="6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Submission timestamp + drawrequest_lock_days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E.3 Current EPP Bonds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3200"/>
        <w:gridCol w:w="1400"/>
        <w:gridCol w:w="21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EPP</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(KX)</w:t>
            </w:r>
          </w:p>
        </w:tc>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Bond Wallet</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Website</w:t>
            </w:r>
          </w:p>
        </w:tc>
        <w:tc>
          <w:tcPr>
            <w:tcW w:type="dxa" w:w="2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Lock</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2EY2u8iLXW6KXM6zH2PYcB98WDBzBU7DK4d2PsLL422v</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CNUuEt3kQNAeQtSP9Y9muyCMujxFWq2AfsTecjHvCYtD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verifas.io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68Y97pWzwT8r5kEfozAjhZd6b4bhrKVmJUr84NAfz129</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xchan.io</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DqbgpLvxhobS5FcW71ca85RSYxKxw7Dx2tuogkrrkQ1i</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1,000,000</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5g4Fcn8A9BigH8vvyNvVvTGksC6PVWTsQnvT8adRGfFp</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cpnx.com</w:t>
            </w:r>
          </w:p>
        </w:tc>
        <w:tc>
          <w:tcPr>
            <w:tcW w:type="dxa" w:w="2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300,000,000</w:t>
            </w:r>
          </w:p>
        </w:tc>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BqjGDbhzLJJgzpVywRxug4wTa2Qqtwipc1hkcLLJsWzF</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kxgc.io</w:t>
            </w:r>
          </w:p>
        </w:tc>
        <w:tc>
          <w:tcPr>
            <w:tcW w:type="dxa" w:w="2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30 days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F — Authority Grants (TYPE A)</w:t>
      </w:r>
    </w:p>
    <w:p>
      <w:pPr>
        <w:spacing w:before="80" w:after="120"/>
        <w:jc w:val="both"/>
      </w:pPr>
      <w:r>
        <w:rPr>
          <w:rFonts w:ascii="Arial" w:cs="Arial" w:eastAsia="Arial" w:hAnsi="Arial"/>
          <w:sz w:val="22"/>
          <w:szCs w:val="22"/>
        </w:rPr>
        <w:t xml:space="preserve">TYPE A grants establish the KXGC reinsurance hierarchy. Parameters flow down but cannot be amplified.</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F.1 Complete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4960"/>
      </w:tblGrid>
      <w:tr>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grantee_wallet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AccountId</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receiving authority</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authority_type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AuthorityType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Tier1 or Tier2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obligations / KX on deposit. Ceiling: 10.0</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fraction MISAI may manage. Ceiling: 0.25</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max_obligations_kx</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Hard KX cap regardless of ratio</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can_subgrant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bool</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grantee may authorize Tier 2</w:t>
            </w:r>
          </w:p>
        </w:tc>
      </w:tr>
      <w:tr>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subgrant_max_coverage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f64</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Sub-grant coverage ratio (&lt;= own)</w:t>
            </w:r>
          </w:p>
        </w:tc>
      </w:tr>
      <w:tr>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revocation_notice_seconds</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u64</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2,592,000 (30 days)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F.2 Hierarchy Rules</w:t>
      </w:r>
    </w:p>
    <w:p>
      <w:pPr>
        <w:pStyle w:val="ListParagraph"/>
        <w:numPr>
          <w:ilvl w:val="0"/>
          <w:numId w:val="2"/>
        </w:numPr>
        <w:spacing w:before="60" w:after="60"/>
      </w:pPr>
      <w:r>
        <w:rPr>
          <w:rFonts w:ascii="Arial" w:cs="Arial" w:eastAsia="Arial" w:hAnsi="Arial"/>
          <w:sz w:val="22"/>
          <w:szCs w:val="22"/>
        </w:rPr>
        <w:t xml:space="preserve">Tier 1 grant: sender must be KXGC bond wallet.</w:t>
      </w:r>
    </w:p>
    <w:p>
      <w:pPr>
        <w:pStyle w:val="ListParagraph"/>
        <w:numPr>
          <w:ilvl w:val="0"/>
          <w:numId w:val="2"/>
        </w:numPr>
        <w:spacing w:before="60" w:after="60"/>
      </w:pPr>
      <w:r>
        <w:rPr>
          <w:rFonts w:ascii="Arial" w:cs="Arial" w:eastAsia="Arial" w:hAnsi="Arial"/>
          <w:sz w:val="22"/>
          <w:szCs w:val="22"/>
        </w:rPr>
        <w:t xml:space="preserve">Tier 2 grant: sender must have active Tier 1 with can_subgrant: true.</w:t>
      </w:r>
    </w:p>
    <w:p>
      <w:pPr>
        <w:pStyle w:val="ListParagraph"/>
        <w:numPr>
          <w:ilvl w:val="0"/>
          <w:numId w:val="2"/>
        </w:numPr>
        <w:spacing w:before="60" w:after="60"/>
      </w:pPr>
      <w:r>
        <w:rPr>
          <w:rFonts w:ascii="Arial" w:cs="Arial" w:eastAsia="Arial" w:hAnsi="Arial"/>
          <w:sz w:val="22"/>
          <w:szCs w:val="22"/>
        </w:rPr>
        <w:t xml:space="preserve">Sub-grant limits must be &lt;= grantor’s own limits.</w:t>
      </w:r>
    </w:p>
    <w:p>
      <w:pPr>
        <w:pStyle w:val="ListParagraph"/>
        <w:numPr>
          <w:ilvl w:val="0"/>
          <w:numId w:val="2"/>
        </w:numPr>
        <w:spacing w:before="60" w:after="60"/>
      </w:pPr>
      <w:r>
        <w:rPr>
          <w:rFonts w:ascii="Arial" w:cs="Arial" w:eastAsia="Arial" w:hAnsi="Arial"/>
          <w:sz w:val="22"/>
          <w:szCs w:val="22"/>
        </w:rPr>
        <w:t xml:space="preserve">TYPE P-R pool creation requires an active TYPE A grant.</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G — Complete Governance Parameters</w:t>
      </w:r>
    </w:p>
    <w:p>
      <w:pPr>
        <w:spacing w:before="80" w:after="120"/>
        <w:jc w:val="both"/>
      </w:pPr>
      <w:r>
        <w:rPr>
          <w:rFonts w:ascii="Arial" w:cs="Arial" w:eastAsia="Arial" w:hAnsi="Arial"/>
          <w:sz w:val="22"/>
          <w:szCs w:val="22"/>
        </w:rPr>
        <w:t xml:space="preserve">Live values from genesis-params.json as of Genesis Zero. All changes require a Foundation governance vote.</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G.1 Rate Limiting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000"/>
        <w:gridCol w:w="800"/>
        <w:gridCol w:w="800"/>
        <w:gridCol w:w="3360"/>
      </w:tblGrid>
      <w:tr>
        <w:tc>
          <w:tcPr>
            <w:tcW w:type="dxa" w:w="3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Floor</w:t>
            </w:r>
          </w:p>
        </w:tc>
        <w:tc>
          <w:tcPr>
            <w:tcW w:type="dxa" w:w="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Ceiling</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rate_limit_tx_per_wallet_per_minute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 transactions per wallet per minute</w:t>
            </w:r>
          </w:p>
        </w:tc>
      </w:tr>
      <w:tr>
        <w:tc>
          <w:tcPr>
            <w:tcW w:type="dxa" w:w="3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rate_limit_loan_actions_per_wallet_per_day</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1,000</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loan actions per wallet per day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G.2 Sweep Timing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1400"/>
        <w:gridCol w:w="4160"/>
      </w:tblGrid>
      <w:tr>
        <w:tc>
          <w:tcPr>
            <w:tcW w:type="dxa" w:w="3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1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sweep_matured_timelock_interval_seconds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matured timelocks every 60s</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sweep_loan_interval_seconds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3,600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Process loan payments hourly</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sweep_email_lock_interval_seconds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Check email lock expiry every 5 min</w:t>
            </w:r>
          </w:p>
        </w:tc>
      </w:tr>
      <w:tr>
        <w:tc>
          <w:tcPr>
            <w:tcW w:type="dxa" w:w="3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sweep_executor_interval_seconds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60</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Check executor withdrawals every 60s</w:t>
            </w:r>
          </w:p>
        </w:tc>
      </w:tr>
      <w:tr>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executor_withdraw_delay_seconds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86,400</w:t>
            </w:r>
          </w:p>
        </w:tc>
        <w:tc>
          <w:tcPr>
            <w:tcW w:type="dxa" w:w="41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24-hour executor withdrawal delay. Production value.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G.3 Fees (Immutable)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All fees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Transaction fees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IMMUTABLE — Zero forever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instrument types (I, C, Y, V, L, S, M, 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IMMUTABLE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G.4 Executor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executor_fee_cap_pct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Ceiling only. Can only be lowered by governance.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executor_eligibility_window_days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Days after maturity before executor eligible</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verifier_min_bond_kx</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100,000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Minimum bond to register as verifier</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escalation_lock_seconds_default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2,592,000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Default 30-day escalation lock period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min_attestors_pct_floor</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Cannot require less than 50% of group quorum</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G.5 Loan Safeguards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loan_rescission_window_hours</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72</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Right of rescission window</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loan_warn_principal_usd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Warning threshold for principal</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loan_block_principal_usd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 threshold. Governance vote needed to raise for institutional use.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loan_warn_annual_rate_pct</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warning threshold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loan_block_annual_rate_pct</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block threshold</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loan_transfer_enabled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 Activation requires governance vote.</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loan_age_confirmation_required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Borrower must confirm age &gt;= 18</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G.6 PAY_AS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 denomination active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pay_as_max_usd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Maximum PAY_AS per transaction. Confirmed in genesis-params.json.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G.7 HedgeKX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cap. Governance parameter.</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24-hour maximum duration. Governance parameter.</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OracleTrigger condition type. LIVE — Sweep engine evaluates every 60s against oracle price cache.</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condition type. PLANNED — scaffold only.</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hedge platform licensing. PLANNED —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G.8 KXGC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kxgc_min_reserve_ratio</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reserve required at all times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0.00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Zero AI investment of KXGC reserves</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kxgc_bond_wallet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 bond wallet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G.9 MISAI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misai_conservative_batch_only</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Batch-only mode. Full autonomy requires governance vote.</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misai_max_investable_fraction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0.50</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50% of any promise investable by MISAI</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misai_hedge_monitoring_enabled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monitoring. PLANNED.</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misai_pool_health_score_enabled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Pool health score publishing. PLANNED.</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misai_fair_value_publishing_enabled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fair value publishing. PLANNED.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G.10 TYPE A Bounds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45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type_a_max_coverage_ratio</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Maximum coverage ratio in any TYPE A grant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type_a_max_investable_pct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0.25</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Max investable fraction in any TYPE A grant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type_a_eligible_badges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 INSURANCE, GOVERNMENT, KXGC_TIER1, KXGC_TIER2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Badges eligible for TYPE A</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G.11 Privacy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memo_encrypted_by_default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true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Memos encrypted unless sender opts out</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memo_public_by_default</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Memos private unless sender opts in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credit_default_prune_years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records prune after 7 years</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privacy_send_enabled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DORMANT</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credit_visibility_enabled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DORMANT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G.12 Emergency Switches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4960"/>
      </w:tblGrid>
      <w:tr>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governance_halt</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Emergency halt. Stops all non-claim activity.</w:t>
            </w:r>
          </w:p>
        </w:tc>
      </w:tr>
      <w:tr>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type_pr_suspended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Suspend all TYPE P-R creation</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new_badge_issuance_suspended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Suspend new badge issuance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G.13 Planned Governance Parameters (Scaffold)</w:t>
      </w:r>
    </w:p>
    <w:p>
      <w:pPr>
        <w:shd w:fill="FFF3F3" w:val="clear"/>
        <w:spacing w:before="60" w:after="80"/>
      </w:pPr>
      <w:r>
        <w:rPr>
          <w:rFonts w:ascii="Arial" w:cs="Arial" w:eastAsia="Arial" w:hAnsi="Arial"/>
          <w:b/>
          <w:bCs/>
          <w:color w:val="8B0000"/>
          <w:sz w:val="20"/>
          <w:szCs w:val="20"/>
        </w:rPr>
        <w:t xml:space="preserve">⚠ PLANNED — The following parameters exist in genesis-params.json as scaffolds. Engine logic activates in future build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w:t>
            </w:r>
          </w:p>
        </w:tc>
        <w:tc>
          <w:tcPr>
            <w:tcW w:type="dxa" w:w="4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Activates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pool_health_score_enabled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pool health scoring</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oracle_trigger_enabled</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Automatic oracle-driven TYPE S triggers</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compound_condition_enabled</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and LinkedSpring condition types</w:t>
            </w:r>
          </w:p>
        </w:tc>
      </w:tr>
    </w:tbl>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H — Use Case Playbooks</w:t>
      </w:r>
    </w:p>
    <w:p>
      <w:pPr>
        <w:spacing w:before="80" w:after="120"/>
        <w:jc w:val="both"/>
      </w:pPr>
      <w:r>
        <w:rPr>
          <w:rFonts w:ascii="Arial" w:cs="Arial" w:eastAsia="Arial" w:hAnsi="Arial"/>
          <w:sz w:val="22"/>
          <w:szCs w:val="22"/>
        </w:rPr>
        <w:t xml:space="preserve">Written for domain experts and AI agents evaluating ChronX for business development. Each section states what ChronX provides today, what requires a governance vote, and what is planned for future builds.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H.1 — I Want to Issue Debt</w:t>
      </w:r>
    </w:p>
    <w:p>
      <w:pPr>
        <w:spacing w:before="80" w:after="120"/>
        <w:jc w:val="both"/>
      </w:pPr>
      <w:r>
        <w:rPr>
          <w:rFonts w:ascii="Arial" w:cs="Arial" w:eastAsia="Arial" w:hAnsi="Arial"/>
          <w:i/>
          <w:iCs/>
          <w:color w:val="666666"/>
          <w:sz w:val="22"/>
          <w:szCs w:val="22"/>
        </w:rPr>
        <w:t xml:space="preserve">Who this is for: corporations, real estate developers, municipalities, private lenders.</w:t>
      </w:r>
    </w:p>
    <w:p>
      <w:pPr>
        <w:spacing w:before="0" w:after="80"/>
      </w:pPr>
      <w:r>
        <w:t xml:space="preserve"/>
      </w:r>
    </w:p>
    <w:p>
      <w:pPr>
        <w:spacing w:before="80" w:after="120"/>
        <w:jc w:val="both"/>
      </w:pPr>
      <w:r>
        <w:rPr>
          <w:rFonts w:ascii="Arial" w:cs="Arial" w:eastAsia="Arial" w:hAnsi="Arial"/>
          <w:b/>
          <w:bCs/>
          <w:sz w:val="22"/>
          <w:szCs w:val="22"/>
        </w:rPr>
        <w:t xml:space="preserve">What ChronX provides today:</w:t>
      </w:r>
    </w:p>
    <w:p>
      <w:pPr>
        <w:pStyle w:val="ListParagraph"/>
        <w:numPr>
          <w:ilvl w:val="0"/>
          <w:numId w:val="2"/>
        </w:numPr>
        <w:spacing w:before="60" w:after="60"/>
      </w:pPr>
      <w:r>
        <w:rPr>
          <w:rFonts w:ascii="Arial" w:cs="Arial" w:eastAsia="Arial" w:hAnsi="Arial"/>
          <w:sz w:val="22"/>
          <w:szCs w:val="22"/>
        </w:rPr>
        <w:t xml:space="preserve">Permanent auditable obligation on the DAG</w:t>
      </w:r>
    </w:p>
    <w:p>
      <w:pPr>
        <w:pStyle w:val="ListParagraph"/>
        <w:numPr>
          <w:ilvl w:val="0"/>
          <w:numId w:val="2"/>
        </w:numPr>
        <w:spacing w:before="60" w:after="60"/>
      </w:pPr>
      <w:r>
        <w:rPr>
          <w:rFonts w:ascii="Arial" w:cs="Arial" w:eastAsia="Arial" w:hAnsi="Arial"/>
          <w:sz w:val="22"/>
          <w:szCs w:val="22"/>
        </w:rPr>
        <w:t xml:space="preserve">Automatic payment enforcement via hourly sweep engine</w:t>
      </w:r>
    </w:p>
    <w:p>
      <w:pPr>
        <w:pStyle w:val="ListParagraph"/>
        <w:numPr>
          <w:ilvl w:val="0"/>
          <w:numId w:val="2"/>
        </w:numPr>
        <w:spacing w:before="60" w:after="60"/>
      </w:pPr>
      <w:r>
        <w:rPr>
          <w:rFonts w:ascii="Arial" w:cs="Arial" w:eastAsia="Arial" w:hAnsi="Arial"/>
          <w:sz w:val="22"/>
          <w:szCs w:val="22"/>
        </w:rPr>
        <w:t xml:space="preserve">Tranche mechanism (split into independently tradeable pieces)</w:t>
      </w:r>
    </w:p>
    <w:p>
      <w:pPr>
        <w:pStyle w:val="ListParagraph"/>
        <w:numPr>
          <w:ilvl w:val="0"/>
          <w:numId w:val="2"/>
        </w:numPr>
        <w:spacing w:before="60" w:after="60"/>
      </w:pPr>
      <w:r>
        <w:rPr>
          <w:rFonts w:ascii="Arial" w:cs="Arial" w:eastAsia="Arial" w:hAnsi="Arial"/>
          <w:sz w:val="22"/>
          <w:szCs w:val="22"/>
        </w:rPr>
        <w:t xml:space="preserve">T+0 atomic settlement on secondary trades</w:t>
      </w:r>
    </w:p>
    <w:p>
      <w:pPr>
        <w:spacing w:before="0" w:after="80"/>
      </w:pPr>
      <w:r>
        <w:t xml:space="preserve"/>
      </w:r>
    </w:p>
    <w:p>
      <w:pPr>
        <w:spacing w:before="80" w:after="120"/>
        <w:jc w:val="both"/>
      </w:pPr>
      <w:r>
        <w:rPr>
          <w:rFonts w:ascii="Arial" w:cs="Arial" w:eastAsia="Arial" w:hAnsi="Arial"/>
          <w:b/>
          <w:bCs/>
          <w:sz w:val="22"/>
          <w:szCs w:val="22"/>
        </w:rPr>
        <w:t xml:space="preserve">Current governance blockers:</w:t>
      </w:r>
    </w:p>
    <w:p>
      <w:pPr>
        <w:pStyle w:val="ListParagraph"/>
        <w:numPr>
          <w:ilvl w:val="0"/>
          <w:numId w:val="2"/>
        </w:numPr>
        <w:spacing w:before="60" w:after="60"/>
      </w:pPr>
      <w:r>
        <w:rPr>
          <w:rFonts w:ascii="Arial" w:cs="Arial" w:eastAsia="Arial" w:hAnsi="Arial"/>
          <w:sz w:val="22"/>
          <w:szCs w:val="22"/>
        </w:rPr>
        <w:t xml:space="preserve">loan_transfer_enabled: false — secondary market not yet active</w:t>
      </w:r>
    </w:p>
    <w:p>
      <w:pPr>
        <w:pStyle w:val="ListParagraph"/>
        <w:numPr>
          <w:ilvl w:val="0"/>
          <w:numId w:val="2"/>
        </w:numPr>
        <w:spacing w:before="60" w:after="60"/>
      </w:pPr>
      <w:r>
        <w:rPr>
          <w:rFonts w:ascii="Arial" w:cs="Arial" w:eastAsia="Arial" w:hAnsi="Arial"/>
          <w:sz w:val="22"/>
          <w:szCs w:val="22"/>
        </w:rPr>
        <w:t xml:space="preserve">loan_block_principal_usd: $250 — governance vote needed to raise for institutional issuance</w:t>
      </w:r>
    </w:p>
    <w:p>
      <w:pPr>
        <w:spacing w:before="0" w:after="80"/>
      </w:pPr>
      <w:r>
        <w:t xml:space="preserve"/>
      </w:r>
    </w:p>
    <w:p>
      <w:pPr>
        <w:spacing w:before="80" w:after="120"/>
        <w:jc w:val="both"/>
      </w:pPr>
      <w:r>
        <w:rPr>
          <w:rFonts w:ascii="Arial" w:cs="Arial" w:eastAsia="Arial" w:hAnsi="Arial"/>
          <w:b/>
          <w:bCs/>
          <w:sz w:val="22"/>
          <w:szCs w:val="22"/>
        </w:rPr>
        <w:t xml:space="preserve">Workflow:</w:t>
      </w:r>
    </w:p>
    <w:p>
      <w:pPr>
        <w:pStyle w:val="ListParagraph"/>
        <w:numPr>
          <w:ilvl w:val="0"/>
          <w:numId w:val="2"/>
        </w:numPr>
        <w:spacing w:before="60" w:after="60"/>
      </w:pPr>
      <w:r>
        <w:rPr>
          <w:rFonts w:ascii="Arial" w:cs="Arial" w:eastAsia="Arial" w:hAnsi="Arial"/>
          <w:sz w:val="22"/>
          <w:szCs w:val="22"/>
        </w:rPr>
        <w:t xml:space="preserve">Integrate via RPC at https://api.chronx.io/rpc</w:t>
      </w:r>
    </w:p>
    <w:p>
      <w:pPr>
        <w:pStyle w:val="ListParagraph"/>
        <w:numPr>
          <w:ilvl w:val="0"/>
          <w:numId w:val="2"/>
        </w:numPr>
        <w:spacing w:before="60" w:after="60"/>
      </w:pPr>
      <w:r>
        <w:rPr>
          <w:rFonts w:ascii="Arial" w:cs="Arial" w:eastAsia="Arial" w:hAnsi="Arial"/>
          <w:sz w:val="22"/>
          <w:szCs w:val="22"/>
        </w:rPr>
        <w:t xml:space="preserve">Create LoanOffer with your terms (see Appendix B)</w:t>
      </w:r>
    </w:p>
    <w:p>
      <w:pPr>
        <w:pStyle w:val="ListParagraph"/>
        <w:numPr>
          <w:ilvl w:val="0"/>
          <w:numId w:val="2"/>
        </w:numPr>
        <w:spacing w:before="60" w:after="60"/>
      </w:pPr>
      <w:r>
        <w:rPr>
          <w:rFonts w:ascii="Arial" w:cs="Arial" w:eastAsia="Arial" w:hAnsi="Arial"/>
          <w:sz w:val="22"/>
          <w:szCs w:val="22"/>
        </w:rPr>
        <w:t xml:space="preserve">Counterparty accepts → obligation live on DAG</w:t>
      </w:r>
    </w:p>
    <w:p>
      <w:pPr>
        <w:pStyle w:val="ListParagraph"/>
        <w:numPr>
          <w:ilvl w:val="0"/>
          <w:numId w:val="2"/>
        </w:numPr>
        <w:spacing w:before="60" w:after="60"/>
      </w:pPr>
      <w:r>
        <w:rPr>
          <w:rFonts w:ascii="Arial" w:cs="Arial" w:eastAsia="Arial" w:hAnsi="Arial"/>
          <w:sz w:val="22"/>
          <w:szCs w:val="22"/>
        </w:rPr>
        <w:t xml:space="preserve">Monitor via chronx_getObligationStatus</w:t>
      </w:r>
    </w:p>
    <w:p>
      <w:pPr>
        <w:pStyle w:val="ListParagraph"/>
        <w:numPr>
          <w:ilvl w:val="0"/>
          <w:numId w:val="2"/>
        </w:numPr>
        <w:spacing w:before="60" w:after="60"/>
      </w:pPr>
      <w:r>
        <w:rPr>
          <w:rFonts w:ascii="Arial" w:cs="Arial" w:eastAsia="Arial" w:hAnsi="Arial"/>
          <w:sz w:val="22"/>
          <w:szCs w:val="22"/>
        </w:rPr>
        <w:t xml:space="preserve">Retire portions as you repurchase</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H.2 — I Want to Build a Marketplace</w:t>
      </w:r>
    </w:p>
    <w:p>
      <w:pPr>
        <w:spacing w:before="80" w:after="120"/>
        <w:jc w:val="both"/>
      </w:pPr>
      <w:r>
        <w:rPr>
          <w:rFonts w:ascii="Arial" w:cs="Arial" w:eastAsia="Arial" w:hAnsi="Arial"/>
          <w:i/>
          <w:iCs/>
          <w:color w:val="666666"/>
          <w:sz w:val="22"/>
          <w:szCs w:val="22"/>
        </w:rPr>
        <w:t xml:space="preserve">Who this is for: fintech developers, exchange operators, DeFi builders.</w:t>
      </w:r>
    </w:p>
    <w:p>
      <w:pPr>
        <w:spacing w:before="0" w:after="80"/>
      </w:pPr>
      <w:r>
        <w:t xml:space="preserve"/>
      </w:r>
    </w:p>
    <w:p>
      <w:pPr>
        <w:spacing w:before="80" w:after="120"/>
        <w:jc w:val="both"/>
      </w:pPr>
      <w:r>
        <w:rPr>
          <w:rFonts w:ascii="Arial" w:cs="Arial" w:eastAsia="Arial" w:hAnsi="Arial"/>
          <w:b/>
          <w:bCs/>
          <w:sz w:val="22"/>
          <w:szCs w:val="22"/>
        </w:rPr>
        <w:t xml:space="preserve">Key RPC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chronx_getYieldInputs(obligation_id)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Rate, schedule, prepayment terms for pricing</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chronx_getObligationsByOwner(wallet)</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Portfolio view</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chronx_getTransferHistory(obligation_id)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Complete provenance chain</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chronx_getTranches(parent_id)</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child tranche obligations</w:t>
            </w:r>
          </w:p>
        </w:tc>
      </w:tr>
    </w:tbl>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H.3 — I Want to Rate Loans</w:t>
      </w:r>
    </w:p>
    <w:p>
      <w:pPr>
        <w:spacing w:before="80" w:after="120"/>
        <w:jc w:val="both"/>
      </w:pPr>
      <w:r>
        <w:rPr>
          <w:rFonts w:ascii="Arial" w:cs="Arial" w:eastAsia="Arial" w:hAnsi="Arial"/>
          <w:i/>
          <w:iCs/>
          <w:color w:val="666666"/>
          <w:sz w:val="22"/>
          <w:szCs w:val="22"/>
        </w:rPr>
        <w:t xml:space="preserve">Who this is for: credit rating analysts, risk modelers, financial data companies.</w:t>
      </w:r>
    </w:p>
    <w:p>
      <w:pPr>
        <w:spacing w:before="0" w:after="80"/>
      </w:pPr>
      <w:r>
        <w:t xml:space="preserve"/>
      </w:r>
    </w:p>
    <w:p>
      <w:pPr>
        <w:spacing w:before="80" w:after="120"/>
        <w:jc w:val="both"/>
      </w:pPr>
      <w:r>
        <w:rPr>
          <w:rFonts w:ascii="Arial" w:cs="Arial" w:eastAsia="Arial" w:hAnsi="Arial"/>
          <w:b/>
          <w:bCs/>
          <w:sz w:val="22"/>
          <w:szCs w:val="22"/>
        </w:rPr>
        <w:t xml:space="preserve">Always public on the DAG:</w:t>
      </w:r>
    </w:p>
    <w:p>
      <w:pPr>
        <w:pStyle w:val="ListParagraph"/>
        <w:numPr>
          <w:ilvl w:val="0"/>
          <w:numId w:val="2"/>
        </w:numPr>
        <w:spacing w:before="60" w:after="60"/>
      </w:pPr>
      <w:r>
        <w:rPr>
          <w:rFonts w:ascii="Arial" w:cs="Arial" w:eastAsia="Arial" w:hAnsi="Arial"/>
          <w:sz w:val="22"/>
          <w:szCs w:val="22"/>
        </w:rPr>
        <w:t xml:space="preserve">Obligation ID, creation date, current owner</w:t>
      </w:r>
    </w:p>
    <w:p>
      <w:pPr>
        <w:pStyle w:val="ListParagraph"/>
        <w:numPr>
          <w:ilvl w:val="0"/>
          <w:numId w:val="2"/>
        </w:numPr>
        <w:spacing w:before="60" w:after="60"/>
      </w:pPr>
      <w:r>
        <w:rPr>
          <w:rFonts w:ascii="Arial" w:cs="Arial" w:eastAsia="Arial" w:hAnsi="Arial"/>
          <w:sz w:val="22"/>
          <w:szCs w:val="22"/>
        </w:rPr>
        <w:t xml:space="preserve">Payment status (current / defaulted)</w:t>
      </w:r>
    </w:p>
    <w:p>
      <w:pPr>
        <w:pStyle w:val="ListParagraph"/>
        <w:numPr>
          <w:ilvl w:val="0"/>
          <w:numId w:val="2"/>
        </w:numPr>
        <w:spacing w:before="60" w:after="60"/>
      </w:pPr>
      <w:r>
        <w:rPr>
          <w:rFonts w:ascii="Arial" w:cs="Arial" w:eastAsia="Arial" w:hAnsi="Arial"/>
          <w:sz w:val="22"/>
          <w:szCs w:val="22"/>
        </w:rPr>
        <w:t xml:space="preserve">Transfer history, retirement status, LenderMemo entries</w:t>
      </w:r>
    </w:p>
    <w:p>
      <w:pPr>
        <w:pStyle w:val="ListParagraph"/>
        <w:numPr>
          <w:ilvl w:val="0"/>
          <w:numId w:val="2"/>
        </w:numPr>
        <w:spacing w:before="60" w:after="60"/>
      </w:pPr>
      <w:r>
        <w:rPr>
          <w:rFonts w:ascii="Arial" w:cs="Arial" w:eastAsia="Arial" w:hAnsi="Arial"/>
          <w:sz w:val="22"/>
          <w:szCs w:val="22"/>
        </w:rPr>
        <w:t xml:space="preserve">DefaultRecord if filed</w:t>
      </w:r>
    </w:p>
    <w:p>
      <w:pPr>
        <w:spacing w:before="0" w:after="80"/>
      </w:pPr>
      <w:r>
        <w:t xml:space="preserve"/>
      </w:r>
    </w:p>
    <w:p>
      <w:pPr>
        <w:spacing w:before="80" w:after="120"/>
        <w:jc w:val="both"/>
      </w:pPr>
      <w:r>
        <w:rPr>
          <w:rFonts w:ascii="Arial" w:cs="Arial" w:eastAsia="Arial" w:hAnsi="Arial"/>
          <w:b/>
          <w:bCs/>
          <w:sz w:val="22"/>
          <w:szCs w:val="22"/>
        </w:rPr>
        <w:t xml:space="preserve">Public if terms_visibility: PUBLIC:</w:t>
      </w:r>
    </w:p>
    <w:p>
      <w:pPr>
        <w:pStyle w:val="ListParagraph"/>
        <w:numPr>
          <w:ilvl w:val="0"/>
          <w:numId w:val="2"/>
        </w:numPr>
        <w:spacing w:before="60" w:after="60"/>
      </w:pPr>
      <w:r>
        <w:rPr>
          <w:rFonts w:ascii="Arial" w:cs="Arial" w:eastAsia="Arial" w:hAnsi="Arial"/>
          <w:sz w:val="22"/>
          <w:szCs w:val="22"/>
        </w:rPr>
        <w:t xml:space="preserve">Interest rate, term, payment schedule, prepayment terms, collateral reference</w:t>
      </w:r>
    </w:p>
    <w:p>
      <w:pPr>
        <w:spacing w:before="80" w:after="120"/>
        <w:jc w:val="both"/>
      </w:pPr>
      <w:r>
        <w:rPr>
          <w:rFonts w:ascii="Arial" w:cs="Arial" w:eastAsia="Arial" w:hAnsi="Arial"/>
          <w:sz w:val="22"/>
          <w:szCs w:val="22"/>
        </w:rPr>
        <w:t xml:space="preserve">Ratings live on your platform. The DAG is evidence. Your bond via CPNX is your credibility.</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H.4 — I Have 20 Years of Insurance Experience</w:t>
      </w:r>
    </w:p>
    <w:p>
      <w:pPr>
        <w:spacing w:before="80" w:after="120"/>
        <w:jc w:val="both"/>
      </w:pPr>
      <w:r>
        <w:rPr>
          <w:rFonts w:ascii="Arial" w:cs="Arial" w:eastAsia="Arial" w:hAnsi="Arial"/>
          <w:i/>
          <w:iCs/>
          <w:color w:val="666666"/>
          <w:sz w:val="22"/>
          <w:szCs w:val="22"/>
        </w:rPr>
        <w:t xml:space="preserve">Who this is for: insurance underwriters, surplus lines operators, reinsurance professionals.</w:t>
      </w:r>
    </w:p>
    <w:p>
      <w:pPr>
        <w:spacing w:before="0" w:after="80"/>
      </w:pPr>
      <w:r>
        <w:t xml:space="preserve"/>
      </w:r>
    </w:p>
    <w:p>
      <w:pPr>
        <w:spacing w:before="80" w:after="120"/>
        <w:jc w:val="both"/>
      </w:pPr>
      <w:r>
        <w:rPr>
          <w:rFonts w:ascii="Arial" w:cs="Arial" w:eastAsia="Arial" w:hAnsi="Arial"/>
          <w:b/>
          <w:bCs/>
          <w:sz w:val="22"/>
          <w:szCs w:val="22"/>
        </w:rPr>
        <w:t xml:space="preserve">The situation:</w:t>
      </w:r>
    </w:p>
    <w:p>
      <w:pPr>
        <w:spacing w:before="80" w:after="120"/>
        <w:jc w:val="both"/>
      </w:pPr>
      <w:r>
        <w:rPr>
          <w:rFonts w:ascii="Arial" w:cs="Arial" w:eastAsia="Arial" w:hAnsi="Arial"/>
          <w:sz w:val="22"/>
          <w:szCs w:val="22"/>
        </w:rPr>
        <w:t xml:space="preserve">Major insurers are exiting California. Homeowners with paid-off properties are legally self-insurable. No lender requirement. No mandate. They need coverage. Nobody is offering it. This is the first market.</w:t>
      </w:r>
    </w:p>
    <w:p>
      <w:pPr>
        <w:spacing w:before="0" w:after="80"/>
      </w:pPr>
      <w:r>
        <w:t xml:space="preserve"/>
      </w:r>
    </w:p>
    <w:p>
      <w:pPr>
        <w:spacing w:before="80" w:after="120"/>
        <w:jc w:val="both"/>
      </w:pPr>
      <w:r>
        <w:rPr>
          <w:rFonts w:ascii="Arial" w:cs="Arial" w:eastAsia="Arial" w:hAnsi="Arial"/>
          <w:b/>
          <w:bCs/>
          <w:sz w:val="22"/>
          <w:szCs w:val="22"/>
        </w:rPr>
        <w:t xml:space="preserve">What KXGC provides:</w:t>
      </w:r>
    </w:p>
    <w:p>
      <w:pPr>
        <w:spacing w:before="80" w:after="120"/>
        <w:jc w:val="both"/>
      </w:pPr>
      <w:r>
        <w:rPr>
          <w:rFonts w:ascii="Arial" w:cs="Arial" w:eastAsia="Arial" w:hAnsi="Arial"/>
          <w:sz w:val="22"/>
          <w:szCs w:val="22"/>
        </w:rPr>
        <w:t xml:space="preserve">300,000,000 KX in fully-reserved capital — permanently on the DAG, queryable by anyone. No audit required. No regulatory filing. The DAG is the proof.</w:t>
      </w:r>
    </w:p>
    <w:p>
      <w:pPr>
        <w:spacing w:before="0" w:after="80"/>
      </w:pPr>
      <w:r>
        <w:t xml:space="preserve"/>
      </w:r>
    </w:p>
    <w:p>
      <w:pPr>
        <w:spacing w:before="80" w:after="120"/>
        <w:jc w:val="both"/>
      </w:pPr>
      <w:r>
        <w:rPr>
          <w:rFonts w:ascii="Arial" w:cs="Arial" w:eastAsia="Arial" w:hAnsi="Arial"/>
          <w:b/>
          <w:bCs/>
          <w:sz w:val="22"/>
          <w:szCs w:val="22"/>
        </w:rPr>
        <w:t xml:space="preserve">How to get started:</w:t>
      </w:r>
    </w:p>
    <w:p>
      <w:pPr>
        <w:pStyle w:val="ListParagraph"/>
        <w:numPr>
          <w:ilvl w:val="0"/>
          <w:numId w:val="2"/>
        </w:numPr>
        <w:spacing w:before="60" w:after="60"/>
      </w:pPr>
      <w:r>
        <w:rPr>
          <w:rFonts w:ascii="Arial" w:cs="Arial" w:eastAsia="Arial" w:hAnsi="Arial"/>
          <w:sz w:val="22"/>
          <w:szCs w:val="22"/>
        </w:rPr>
        <w:t xml:space="preserve">Contact KXGC at contact@kxgc.io to begin Tier 1 admissions</w:t>
      </w:r>
    </w:p>
    <w:p>
      <w:pPr>
        <w:pStyle w:val="ListParagraph"/>
        <w:numPr>
          <w:ilvl w:val="0"/>
          <w:numId w:val="2"/>
        </w:numPr>
        <w:spacing w:before="60" w:after="60"/>
      </w:pPr>
      <w:r>
        <w:rPr>
          <w:rFonts w:ascii="Arial" w:cs="Arial" w:eastAsia="Arial" w:hAnsi="Arial"/>
          <w:sz w:val="22"/>
          <w:szCs w:val="22"/>
        </w:rPr>
        <w:t xml:space="preserve">KXGC issues TYPE A authority grant (coverage ratio, investable pct, subgrant rights)</w:t>
      </w:r>
    </w:p>
    <w:p>
      <w:pPr>
        <w:pStyle w:val="ListParagraph"/>
        <w:numPr>
          <w:ilvl w:val="0"/>
          <w:numId w:val="2"/>
        </w:numPr>
        <w:spacing w:before="60" w:after="60"/>
      </w:pPr>
      <w:r>
        <w:rPr>
          <w:rFonts w:ascii="Arial" w:cs="Arial" w:eastAsia="Arial" w:hAnsi="Arial"/>
          <w:sz w:val="22"/>
          <w:szCs w:val="22"/>
        </w:rPr>
        <w:t xml:space="preserve">Get INSURANCE badge from CPNX (cpnx.com)</w:t>
      </w:r>
    </w:p>
    <w:p>
      <w:pPr>
        <w:pStyle w:val="ListParagraph"/>
        <w:numPr>
          <w:ilvl w:val="0"/>
          <w:numId w:val="2"/>
        </w:numPr>
        <w:spacing w:before="60" w:after="60"/>
      </w:pPr>
      <w:r>
        <w:rPr>
          <w:rFonts w:ascii="Arial" w:cs="Arial" w:eastAsia="Arial" w:hAnsi="Arial"/>
          <w:sz w:val="22"/>
          <w:szCs w:val="22"/>
        </w:rPr>
        <w:t xml:space="preserve">Create TYPE P-R pool with mandatory disclosure_text</w:t>
      </w:r>
    </w:p>
    <w:p>
      <w:pPr>
        <w:pStyle w:val="ListParagraph"/>
        <w:numPr>
          <w:ilvl w:val="0"/>
          <w:numId w:val="2"/>
        </w:numPr>
        <w:spacing w:before="60" w:after="60"/>
      </w:pPr>
      <w:r>
        <w:rPr>
          <w:rFonts w:ascii="Arial" w:cs="Arial" w:eastAsia="Arial" w:hAnsi="Arial"/>
          <w:sz w:val="22"/>
          <w:szCs w:val="22"/>
        </w:rPr>
        <w:t xml:space="preserve">Write TYPE S policies with PAY_AS USD and escalation_wallet set to KXGC</w:t>
      </w:r>
    </w:p>
    <w:p>
      <w:pPr>
        <w:pStyle w:val="ListParagraph"/>
        <w:numPr>
          <w:ilvl w:val="0"/>
          <w:numId w:val="2"/>
        </w:numPr>
        <w:spacing w:before="60" w:after="60"/>
      </w:pPr>
      <w:r>
        <w:rPr>
          <w:rFonts w:ascii="Arial" w:cs="Arial" w:eastAsia="Arial" w:hAnsi="Arial"/>
          <w:sz w:val="22"/>
          <w:szCs w:val="22"/>
        </w:rPr>
        <w:t xml:space="preserve">Design attestor group as TYPE G with min_attestors_pct (not static wallet addresses)</w:t>
      </w:r>
    </w:p>
    <w:p>
      <w:pPr>
        <w:pStyle w:val="ListParagraph"/>
        <w:numPr>
          <w:ilvl w:val="0"/>
          <w:numId w:val="2"/>
        </w:numPr>
        <w:spacing w:before="60" w:after="60"/>
      </w:pPr>
      <w:r>
        <w:rPr>
          <w:rFonts w:ascii="Arial" w:cs="Arial" w:eastAsia="Arial" w:hAnsi="Arial"/>
          <w:sz w:val="22"/>
          <w:szCs w:val="22"/>
        </w:rPr>
        <w:t xml:space="preserve">KXGC backstops via TYPE W waterfall</w:t>
      </w:r>
    </w:p>
    <w:p>
      <w:pPr>
        <w:spacing w:before="0" w:after="80"/>
      </w:pPr>
      <w:r>
        <w:t xml:space="preserve"/>
      </w:r>
    </w:p>
    <w:p>
      <w:pPr>
        <w:spacing w:before="80" w:after="120"/>
        <w:jc w:val="both"/>
      </w:pPr>
      <w:r>
        <w:rPr>
          <w:rFonts w:ascii="Arial" w:cs="Arial" w:eastAsia="Arial" w:hAnsi="Arial"/>
          <w:b/>
          <w:bCs/>
          <w:sz w:val="22"/>
          <w:szCs w:val="22"/>
        </w:rPr>
        <w:t xml:space="preserve">Regulatory note:</w:t>
      </w:r>
    </w:p>
    <w:p>
      <w:pPr>
        <w:spacing w:before="80" w:after="120"/>
        <w:jc w:val="both"/>
      </w:pPr>
      <w:r>
        <w:rPr>
          <w:rFonts w:ascii="Arial" w:cs="Arial" w:eastAsia="Arial" w:hAnsi="Arial"/>
          <w:sz w:val="22"/>
          <w:szCs w:val="22"/>
        </w:rPr>
        <w:t xml:space="preserve">Homes owned free and clear are legally self-insurable in most US jurisdictions. ChronX TYPE S instruments are conditional payment contracts. Consult qualified legal counsel before operating.</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H.5 — I Want to Write Homeowner Insurance as a Mutual Benefit Company</w:t>
      </w:r>
    </w:p>
    <w:p>
      <w:pPr>
        <w:spacing w:before="80" w:after="120"/>
        <w:jc w:val="both"/>
      </w:pPr>
      <w:r>
        <w:rPr>
          <w:rFonts w:ascii="Arial" w:cs="Arial" w:eastAsia="Arial" w:hAnsi="Arial"/>
          <w:i/>
          <w:iCs/>
          <w:color w:val="666666"/>
          <w:sz w:val="22"/>
          <w:szCs w:val="22"/>
        </w:rPr>
        <w:t xml:space="preserve">Who this is for: founders building a blockchain-native insurance mutual for free-and-clear homeowners.</w:t>
      </w:r>
    </w:p>
    <w:p>
      <w:pPr>
        <w:spacing w:before="0" w:after="80"/>
      </w:pPr>
      <w:r>
        <w:t xml:space="preserve"/>
      </w:r>
    </w:p>
    <w:p>
      <w:pPr>
        <w:spacing w:before="80" w:after="120"/>
        <w:jc w:val="both"/>
      </w:pPr>
      <w:r>
        <w:rPr>
          <w:rFonts w:ascii="Arial" w:cs="Arial" w:eastAsia="Arial" w:hAnsi="Arial"/>
          <w:b/>
          <w:bCs/>
          <w:sz w:val="22"/>
          <w:szCs w:val="22"/>
        </w:rPr>
        <w:t xml:space="preserve">Legal structure:</w:t>
      </w:r>
    </w:p>
    <w:p>
      <w:pPr>
        <w:spacing w:before="80" w:after="120"/>
        <w:jc w:val="both"/>
      </w:pPr>
      <w:r>
        <w:rPr>
          <w:rFonts w:ascii="Arial" w:cs="Arial" w:eastAsia="Arial" w:hAnsi="Arial"/>
          <w:sz w:val="22"/>
          <w:szCs w:val="22"/>
        </w:rPr>
        <w:t xml:space="preserve">A mutual benefit company covering only its own members in most US states is not considered an insurance company under state law if it does not solicit the public. Free-and-clear homeowners are legally self-insurable. This is your regulatory argument for operating without a traditional insurance license in early states. Consult a surplus lines attorney before writing policy #1.</w:t>
      </w:r>
    </w:p>
    <w:p>
      <w:pPr>
        <w:spacing w:before="0" w:after="80"/>
      </w:pPr>
      <w:r>
        <w:t xml:space="preserve"/>
      </w:r>
    </w:p>
    <w:p>
      <w:pPr>
        <w:spacing w:before="80" w:after="120"/>
        <w:jc w:val="both"/>
      </w:pPr>
      <w:r>
        <w:rPr>
          <w:rFonts w:ascii="Arial" w:cs="Arial" w:eastAsia="Arial" w:hAnsi="Arial"/>
          <w:b/>
          <w:bCs/>
          <w:sz w:val="22"/>
          <w:szCs w:val="22"/>
        </w:rPr>
        <w:t xml:space="preserve">The complete build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
        <w:gridCol w:w="3600"/>
        <w:gridCol w:w="5400"/>
      </w:tblGrid>
      <w:tr>
        <w:tc>
          <w:tcPr>
            <w:tcW w:type="dxa" w:w="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Step</w:t>
            </w:r>
          </w:p>
        </w:tc>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Action</w:t>
            </w:r>
          </w:p>
        </w:tc>
        <w:tc>
          <w:tcPr>
            <w:tcW w:type="dxa" w:w="5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Blocker Today?</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 mutual benefit company legal entity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Legal, not protocol</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INSURANCE badge from CPNX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TYPE A authority grant from KXGC as Tier 1 Name</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4</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Create TYPE P-R pool with disclosure_text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TYPE S policies with PAY_AS USD</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Blocked: pay_as_max_usd = $250. Needs governance vote.</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6</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Design attestor group using TYPE G with min_attestors_pct</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Set escalation_wallet to KXGC on every policy</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Ready now</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Arrange Layer 0 overnight hedges via HedgeKX</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Ready now ($250 cap)</w:t>
            </w:r>
          </w:p>
        </w:tc>
      </w:tr>
      <w:tr>
        <w:tc>
          <w:tcPr>
            <w:tcW w:type="dxa" w:w="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w:t>
            </w:r>
          </w:p>
        </w:tc>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Build USDC auto-convert servicer (MISAI executor on claim)</w:t>
            </w:r>
          </w:p>
        </w:tc>
        <w:tc>
          <w:tcPr>
            <w:tcW w:type="dxa" w:w="5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Off-chain build</w:t>
            </w:r>
          </w:p>
        </w:tc>
      </w:tr>
      <w:tr>
        <w:tc>
          <w:tcPr>
            <w:tcW w:type="dxa" w:w="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Recruit member-policyholders</w:t>
            </w:r>
          </w:p>
        </w:tc>
        <w:tc>
          <w:tcPr>
            <w:tcW w:type="dxa" w:w="5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Marketing</w:t>
            </w:r>
          </w:p>
        </w:tc>
      </w:tr>
    </w:tbl>
    <w:p>
      <w:pPr>
        <w:spacing w:before="0" w:after="80"/>
      </w:pPr>
      <w:r>
        <w:t xml:space="preserve"/>
      </w:r>
    </w:p>
    <w:p>
      <w:pPr>
        <w:spacing w:before="80" w:after="120"/>
        <w:jc w:val="both"/>
      </w:pPr>
      <w:r>
        <w:rPr>
          <w:rFonts w:ascii="Arial" w:cs="Arial" w:eastAsia="Arial" w:hAnsi="Arial"/>
          <w:b/>
          <w:bCs/>
          <w:sz w:val="22"/>
          <w:szCs w:val="22"/>
        </w:rPr>
        <w:t xml:space="preserve">Policy instrument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pay_as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UsdEquivalentAtMaturity</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Homeowner receives USD equivalent, not KX</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attestor_group</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G group ID]</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Board members. Use min_attestors_pct not static list.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min_attestors_pct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0.60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of current board must agree. Survives member loss.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BqjGDb…sWzF</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bond wallet. Claims roll up here on attestor failure.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escalation_lock_seconds</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2,592,000</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for KXGC to review before executing</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required_hedge_ids</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0 hedge IDs]</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Policy cannot activate without hedge coverage</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[hedger wallet]</w:t>
            </w:r>
          </w:p>
        </w:tc>
        <w:tc>
          <w:tcPr>
            <w:tcW w:type="dxa" w:w="4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 premium returns here if KX holds</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Live today. OracleTrigger automation is planned.</w:t>
            </w:r>
          </w:p>
        </w:tc>
      </w:tr>
    </w:tbl>
    <w:p>
      <w:pPr>
        <w:spacing w:before="0" w:after="80"/>
      </w:pPr>
      <w:r>
        <w:t xml:space="preserve"/>
      </w:r>
    </w:p>
    <w:p>
      <w:pPr>
        <w:spacing w:before="80" w:after="120"/>
        <w:jc w:val="both"/>
      </w:pPr>
      <w:r>
        <w:rPr>
          <w:rFonts w:ascii="Arial" w:cs="Arial" w:eastAsia="Arial" w:hAnsi="Arial"/>
          <w:b/>
          <w:bCs/>
          <w:sz w:val="22"/>
          <w:szCs w:val="22"/>
        </w:rPr>
        <w:t xml:space="preserve">The hedge tower (Layer 0 live, Layers 1-2 planned):</w:t>
      </w:r>
    </w:p>
    <w:p>
      <w:pPr>
        <w:pStyle w:val="ListParagraph"/>
        <w:numPr>
          <w:ilvl w:val="0"/>
          <w:numId w:val="2"/>
        </w:numPr>
        <w:spacing w:before="60" w:after="60"/>
      </w:pPr>
      <w:r>
        <w:rPr>
          <w:rFonts w:ascii="Arial" w:cs="Arial" w:eastAsia="Arial" w:hAnsi="Arial"/>
          <w:sz w:val="22"/>
          <w:szCs w:val="22"/>
        </w:rPr>
        <w:t xml:space="preserve">Layer 0: Rolling overnight hedges. Hedger absorbs first 8% KX depreciation. Premium determined by market participants. During founding phase, rates reflect limited price history and carry substantial risk premium. $250 daily cap currently.</w:t>
      </w:r>
    </w:p>
    <w:p>
      <w:pPr>
        <w:pStyle w:val="ListParagraph"/>
        <w:numPr>
          <w:ilvl w:val="0"/>
          <w:numId w:val="2"/>
        </w:numPr>
        <w:spacing w:before="60" w:after="60"/>
      </w:pPr>
      <w:r>
        <w:rPr>
          <w:rFonts w:ascii="Arial" w:cs="Arial" w:eastAsia="Arial" w:hAnsi="Arial"/>
          <w:sz w:val="22"/>
          <w:szCs w:val="22"/>
        </w:rPr>
        <w:t xml:space="preserve">Layer 1 (planned): 1-year instrument. Covers 8-20% depreciation band. 12% annual premium. Fires only after Layer 0 exhausted.</w:t>
      </w:r>
    </w:p>
    <w:p>
      <w:pPr>
        <w:pStyle w:val="ListParagraph"/>
        <w:numPr>
          <w:ilvl w:val="0"/>
          <w:numId w:val="2"/>
        </w:numPr>
        <w:spacing w:before="60" w:after="60"/>
      </w:pPr>
      <w:r>
        <w:rPr>
          <w:rFonts w:ascii="Arial" w:cs="Arial" w:eastAsia="Arial" w:hAnsi="Arial"/>
          <w:sz w:val="22"/>
          <w:szCs w:val="22"/>
        </w:rPr>
        <w:t xml:space="preserve">Layer 2 (planned): Catastrophe layer. Covers &gt;20% depreciation AND a PAY_AS claim has actually fired (CompoundAND condition). Hedger keeps premium if KX drops but no claim fires.</w:t>
      </w:r>
    </w:p>
    <w:p>
      <w:pPr>
        <w:spacing w:before="0" w:after="80"/>
      </w:pPr>
      <w:r>
        <w:t xml:space="preserve"/>
      </w:r>
    </w:p>
    <w:p>
      <w:pPr>
        <w:spacing w:before="80" w:after="120"/>
        <w:jc w:val="both"/>
      </w:pPr>
      <w:r>
        <w:rPr>
          <w:rFonts w:ascii="Arial" w:cs="Arial" w:eastAsia="Arial" w:hAnsi="Arial"/>
          <w:b/>
          <w:bCs/>
          <w:sz w:val="22"/>
          <w:szCs w:val="22"/>
        </w:rPr>
        <w:t xml:space="preserve">The dead attestor problem — solved:</w:t>
      </w:r>
    </w:p>
    <w:p>
      <w:pPr>
        <w:spacing w:before="80" w:after="120"/>
        <w:jc w:val="both"/>
      </w:pPr>
      <w:r>
        <w:rPr>
          <w:rFonts w:ascii="Arial" w:cs="Arial" w:eastAsia="Arial" w:hAnsi="Arial"/>
          <w:sz w:val="22"/>
          <w:szCs w:val="22"/>
        </w:rPr>
        <w:t xml:space="preserve">Use TYPE G wallet group with min_attestors_pct: 0.60 rather than static addresses. When a board member dies or is incapacitated, submit RemoveGroupMember. The 60% threshold flexes automatically with the current group size. Maintain a group large enough (7+ members) that losing 1-2 never drops you below minimum.</w:t>
      </w:r>
    </w:p>
    <w:p>
      <w:pPr>
        <w:spacing w:before="0" w:after="80"/>
      </w:pPr>
      <w:r>
        <w:t xml:space="preserve"/>
      </w:r>
    </w:p>
    <w:p>
      <w:pPr>
        <w:spacing w:before="80" w:after="120"/>
        <w:jc w:val="both"/>
      </w:pPr>
      <w:r>
        <w:rPr>
          <w:rFonts w:ascii="Arial" w:cs="Arial" w:eastAsia="Arial" w:hAnsi="Arial"/>
          <w:b/>
          <w:bCs/>
          <w:sz w:val="22"/>
          <w:szCs w:val="22"/>
        </w:rPr>
        <w:t xml:space="preserve">Tier 1 fraud / arrest scenario:</w:t>
      </w:r>
    </w:p>
    <w:p>
      <w:pPr>
        <w:spacing w:before="80" w:after="120"/>
        <w:jc w:val="both"/>
      </w:pPr>
      <w:r>
        <w:rPr>
          <w:rFonts w:ascii="Arial" w:cs="Arial" w:eastAsia="Arial" w:hAnsi="Arial"/>
          <w:sz w:val="22"/>
          <w:szCs w:val="22"/>
        </w:rPr>
        <w:t xml:space="preserve">If the Tier 1 operator’s attestor group fails (arrests, dissolution), KXGC or the Foundation submits DeclareAttestorFailure. All policies referencing the failed group escalate automatically to the escalation_wallet (KXGC). KXGC’s DrawRequest against the Tier 1 bond queues simultaneously. Policyholders’ coverage transfers to KXGC. The bond makes the fraud expensive. The protocol makes the coverage transfer automatic.</w:t>
      </w:r>
    </w:p>
    <w:p>
      <w:pPr>
        <w:spacing w:before="40" w:after="60"/>
      </w:pPr>
      <w:r>
        <w:rPr>
          <w:rFonts w:ascii="Arial" w:cs="Arial" w:eastAsia="Arial" w:hAnsi="Arial"/>
          <w:color w:val="666666"/>
          <w:sz w:val="18"/>
          <w:szCs w:val="18"/>
        </w:rPr>
        <w:t xml:space="preserve">Contact: contact@kxgc.io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H.6 — I Want to Run a Node</w:t>
      </w:r>
    </w:p>
    <w:p>
      <w:pPr>
        <w:spacing w:before="80" w:after="120"/>
        <w:jc w:val="both"/>
      </w:pPr>
      <w:r>
        <w:rPr>
          <w:rFonts w:ascii="Arial" w:cs="Arial" w:eastAsia="Arial" w:hAnsi="Arial"/>
          <w:i/>
          <w:iCs/>
          <w:color w:val="666666"/>
          <w:sz w:val="22"/>
          <w:szCs w:val="22"/>
        </w:rPr>
        <w:t xml:space="preserve">Who this is for: technical operators, infrastructure providers, community participants.</w:t>
      </w:r>
    </w:p>
    <w:p>
      <w:pPr>
        <w:spacing w:before="0" w:after="80"/>
      </w:pPr>
      <w:r>
        <w:t xml:space="preserve"/>
      </w:r>
    </w:p>
    <w:p>
      <w:pPr>
        <w:spacing w:before="80" w:after="120"/>
        <w:jc w:val="both"/>
      </w:pPr>
      <w:r>
        <w:rPr>
          <w:rFonts w:ascii="Arial" w:cs="Arial" w:eastAsia="Arial" w:hAnsi="Arial"/>
          <w:b/>
          <w:bCs/>
          <w:sz w:val="22"/>
          <w:szCs w:val="22"/>
        </w:rPr>
        <w:t xml:space="preserve">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2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Minimum</w:t>
            </w:r>
          </w:p>
        </w:tc>
        <w:tc>
          <w:tcPr>
            <w:tcW w:type="dxa" w:w="5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CPU</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cores</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Any modern x86_64 or ARM64</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RAM</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 GB</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16 GB recommended</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Storage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GB SSD</w:t>
            </w:r>
          </w:p>
        </w:tc>
        <w:tc>
          <w:tcPr>
            <w:tcW w:type="dxa" w:w="5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DAG grows with volume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Network</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10 Mbps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Stable uptime more important than speed</w:t>
            </w:r>
          </w:p>
        </w:tc>
      </w:tr>
    </w:tbl>
    <w:p>
      <w:pPr>
        <w:spacing w:before="0" w:after="80"/>
      </w:pPr>
      <w:r>
        <w:t xml:space="preserve"/>
      </w:r>
    </w:p>
    <w:p>
      <w:pPr>
        <w:spacing w:before="80" w:after="120"/>
        <w:jc w:val="both"/>
      </w:pPr>
      <w:r>
        <w:rPr>
          <w:rFonts w:ascii="Arial" w:cs="Arial" w:eastAsia="Arial" w:hAnsi="Arial"/>
          <w:b/>
          <w:bCs/>
          <w:sz w:val="22"/>
          <w:szCs w:val="22"/>
        </w:rPr>
        <w:t xml:space="preserve">What you get from January 1, 2029:</w:t>
      </w:r>
    </w:p>
    <w:p>
      <w:pPr>
        <w:pStyle w:val="ListParagraph"/>
        <w:numPr>
          <w:ilvl w:val="0"/>
          <w:numId w:val="2"/>
        </w:numPr>
        <w:spacing w:before="60" w:after="60"/>
      </w:pPr>
      <w:r>
        <w:rPr>
          <w:rFonts w:ascii="Arial" w:cs="Arial" w:eastAsia="Arial" w:hAnsi="Arial"/>
          <w:sz w:val="22"/>
          <w:szCs w:val="22"/>
        </w:rPr>
        <w:t xml:space="preserve">Proportional share of Node Rewards harmonic release (1,000,000,000 KX over 100 years)</w:t>
      </w:r>
    </w:p>
    <w:p>
      <w:pPr>
        <w:pStyle w:val="ListParagraph"/>
        <w:numPr>
          <w:ilvl w:val="0"/>
          <w:numId w:val="2"/>
        </w:numPr>
        <w:spacing w:before="60" w:after="60"/>
      </w:pPr>
      <w:r>
        <w:rPr>
          <w:rFonts w:ascii="Arial" w:cs="Arial" w:eastAsia="Arial" w:hAnsi="Arial"/>
          <w:sz w:val="22"/>
          <w:szCs w:val="22"/>
        </w:rPr>
        <w:t xml:space="preserve">Year 1 release at ICO price ($0.00319): approximately $2.8M USD distributed across all active operators</w:t>
      </w:r>
    </w:p>
    <w:p>
      <w:pPr>
        <w:spacing w:before="0" w:after="80"/>
      </w:pPr>
      <w:r>
        <w:t xml:space="preserve"/>
      </w:r>
    </w:p>
    <w:p>
      <w:pPr>
        <w:spacing w:before="80" w:after="120"/>
        <w:jc w:val="both"/>
      </w:pPr>
      <w:r>
        <w:rPr>
          <w:rFonts w:ascii="Arial" w:cs="Arial" w:eastAsia="Arial" w:hAnsi="Arial"/>
          <w:b/>
          <w:bCs/>
          <w:sz w:val="22"/>
          <w:szCs w:val="22"/>
        </w:rPr>
        <w:t xml:space="preserve">How to start:</w:t>
      </w:r>
    </w:p>
    <w:p>
      <w:pPr>
        <w:pStyle w:val="ListParagraph"/>
        <w:numPr>
          <w:ilvl w:val="0"/>
          <w:numId w:val="2"/>
        </w:numPr>
        <w:spacing w:before="60" w:after="60"/>
      </w:pPr>
      <w:r>
        <w:rPr>
          <w:rFonts w:ascii="Arial" w:cs="Arial" w:eastAsia="Arial" w:hAnsi="Arial"/>
          <w:sz w:val="22"/>
          <w:szCs w:val="22"/>
        </w:rPr>
        <w:t xml:space="preserve">Linux: curl -sSL https://chronx.io/install-node.sh | sudo bash</w:t>
      </w:r>
    </w:p>
    <w:p>
      <w:pPr>
        <w:pStyle w:val="ListParagraph"/>
        <w:numPr>
          <w:ilvl w:val="0"/>
          <w:numId w:val="2"/>
        </w:numPr>
        <w:spacing w:before="60" w:after="60"/>
      </w:pPr>
      <w:r>
        <w:rPr>
          <w:rFonts w:ascii="Arial" w:cs="Arial" w:eastAsia="Arial" w:hAnsi="Arial"/>
          <w:sz w:val="22"/>
          <w:szCs w:val="22"/>
        </w:rPr>
        <w:t xml:space="preserve">Windows: download ChronX-Node-Setup.exe from chronx.io/node.html</w:t>
      </w:r>
    </w:p>
    <w:p>
      <w:pPr>
        <w:pStyle w:val="ListParagraph"/>
        <w:numPr>
          <w:ilvl w:val="0"/>
          <w:numId w:val="2"/>
        </w:numPr>
        <w:spacing w:before="60" w:after="60"/>
      </w:pPr>
      <w:r>
        <w:rPr>
          <w:rFonts w:ascii="Arial" w:cs="Arial" w:eastAsia="Arial" w:hAnsi="Arial"/>
          <w:sz w:val="22"/>
          <w:szCs w:val="22"/>
        </w:rPr>
        <w:t xml:space="preserve">Bootstrap peer: 12D3KooWMsFQDZhqAFnkcj1XjPrjjVFwsQ6UqgvffvA6HFt6MfFU</w:t>
      </w:r>
    </w:p>
    <w:p>
      <w:pPr>
        <w:spacing w:before="40" w:after="60"/>
      </w:pPr>
      <w:r>
        <w:rPr>
          <w:rFonts w:ascii="Arial" w:cs="Arial" w:eastAsia="Arial" w:hAnsi="Arial"/>
          <w:color w:val="666666"/>
          <w:sz w:val="18"/>
          <w:szCs w:val="18"/>
        </w:rPr>
        <w:t xml:space="preserve">Contact: contact@chronx.io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H.7 — I Want to Build an AI Agent on ChronX</w:t>
      </w:r>
    </w:p>
    <w:p>
      <w:pPr>
        <w:spacing w:before="80" w:after="120"/>
        <w:jc w:val="both"/>
      </w:pPr>
      <w:r>
        <w:rPr>
          <w:rFonts w:ascii="Arial" w:cs="Arial" w:eastAsia="Arial" w:hAnsi="Arial"/>
          <w:i/>
          <w:iCs/>
          <w:color w:val="666666"/>
          <w:sz w:val="22"/>
          <w:szCs w:val="22"/>
        </w:rPr>
        <w:t xml:space="preserve">Who this is for: AI developers, quant funds, autonomous agent builders.</w:t>
      </w:r>
    </w:p>
    <w:p>
      <w:pPr>
        <w:spacing w:before="0" w:after="80"/>
      </w:pPr>
      <w:r>
        <w:t xml:space="preserve"/>
      </w:r>
    </w:p>
    <w:p>
      <w:pPr>
        <w:spacing w:before="80" w:after="120"/>
        <w:jc w:val="both"/>
      </w:pPr>
      <w:r>
        <w:rPr>
          <w:rFonts w:ascii="Arial" w:cs="Arial" w:eastAsia="Arial" w:hAnsi="Arial"/>
          <w:b/>
          <w:bCs/>
          <w:sz w:val="22"/>
          <w:szCs w:val="22"/>
        </w:rPr>
        <w:t xml:space="preserve">What ChronX provides natively for AI agents:</w:t>
      </w:r>
    </w:p>
    <w:p>
      <w:pPr>
        <w:pStyle w:val="ListParagraph"/>
        <w:numPr>
          <w:ilvl w:val="0"/>
          <w:numId w:val="2"/>
        </w:numPr>
        <w:spacing w:before="60" w:after="60"/>
      </w:pPr>
      <w:r>
        <w:rPr>
          <w:rFonts w:ascii="Arial" w:cs="Arial" w:eastAsia="Arial" w:hAnsi="Arial"/>
          <w:sz w:val="22"/>
          <w:szCs w:val="22"/>
        </w:rPr>
        <w:t xml:space="preserve">TYPE M locks: AI-managed time-locked KX with grantor-defined mandate, risk level, and exclusions</w:t>
      </w:r>
    </w:p>
    <w:p>
      <w:pPr>
        <w:pStyle w:val="ListParagraph"/>
        <w:numPr>
          <w:ilvl w:val="0"/>
          <w:numId w:val="2"/>
        </w:numPr>
        <w:spacing w:before="60" w:after="60"/>
      </w:pPr>
      <w:r>
        <w:rPr>
          <w:rFonts w:ascii="Arial" w:cs="Arial" w:eastAsia="Arial" w:hAnsi="Arial"/>
          <w:sz w:val="22"/>
          <w:szCs w:val="22"/>
        </w:rPr>
        <w:t xml:space="preserve">AI Agent Axioms VII–XIII: immutable governance rules for autonomous agents</w:t>
      </w:r>
    </w:p>
    <w:p>
      <w:pPr>
        <w:pStyle w:val="ListParagraph"/>
        <w:numPr>
          <w:ilvl w:val="0"/>
          <w:numId w:val="2"/>
        </w:numPr>
        <w:spacing w:before="60" w:after="60"/>
      </w:pPr>
      <w:r>
        <w:rPr>
          <w:rFonts w:ascii="Arial" w:cs="Arial" w:eastAsia="Arial" w:hAnsi="Arial"/>
          <w:sz w:val="22"/>
          <w:szCs w:val="22"/>
        </w:rPr>
        <w:t xml:space="preserve">Separation of custody and decision (Axiom X): agent that decides does not hold funds</w:t>
      </w:r>
    </w:p>
    <w:p>
      <w:pPr>
        <w:pStyle w:val="ListParagraph"/>
        <w:numPr>
          <w:ilvl w:val="0"/>
          <w:numId w:val="2"/>
        </w:numPr>
        <w:spacing w:before="60" w:after="60"/>
      </w:pPr>
      <w:r>
        <w:rPr>
          <w:rFonts w:ascii="Arial" w:cs="Arial" w:eastAsia="Arial" w:hAnsi="Arial"/>
          <w:sz w:val="22"/>
          <w:szCs w:val="22"/>
        </w:rPr>
        <w:t xml:space="preserve">Permanent public decision record (Axiom VIII): every action committed to DAG before execution</w:t>
      </w:r>
    </w:p>
    <w:p>
      <w:pPr>
        <w:pStyle w:val="ListParagraph"/>
        <w:numPr>
          <w:ilvl w:val="0"/>
          <w:numId w:val="2"/>
        </w:numPr>
        <w:spacing w:before="60" w:after="60"/>
      </w:pPr>
      <w:r>
        <w:rPr>
          <w:rFonts w:ascii="Arial" w:cs="Arial" w:eastAsia="Arial" w:hAnsi="Arial"/>
          <w:sz w:val="22"/>
          <w:szCs w:val="22"/>
        </w:rPr>
        <w:t xml:space="preserve">Zero-fee micropayments for agent-to-agent settlement</w:t>
      </w:r>
    </w:p>
    <w:p>
      <w:pPr>
        <w:pStyle w:val="ListParagraph"/>
        <w:numPr>
          <w:ilvl w:val="0"/>
          <w:numId w:val="2"/>
        </w:numPr>
        <w:spacing w:before="60" w:after="60"/>
      </w:pPr>
      <w:r>
        <w:rPr>
          <w:rFonts w:ascii="Arial" w:cs="Arial" w:eastAsia="Arial" w:hAnsi="Arial"/>
          <w:sz w:val="22"/>
          <w:szCs w:val="22"/>
        </w:rPr>
        <w:t xml:space="preserve">TYPE C credit authorizations: pre-authorized draws, no per-transaction approval</w:t>
      </w:r>
    </w:p>
    <w:p>
      <w:pPr>
        <w:spacing w:before="0" w:after="80"/>
      </w:pPr>
      <w:r>
        <w:t xml:space="preserve"/>
      </w:r>
    </w:p>
    <w:p>
      <w:pPr>
        <w:spacing w:before="80" w:after="120"/>
        <w:jc w:val="both"/>
      </w:pPr>
      <w:r>
        <w:rPr>
          <w:rFonts w:ascii="Arial" w:cs="Arial" w:eastAsia="Arial" w:hAnsi="Arial"/>
          <w:b/>
          <w:bCs/>
          <w:sz w:val="22"/>
          <w:szCs w:val="22"/>
        </w:rPr>
        <w:t xml:space="preserve">Key RPC methods for agent builders: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3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5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Use</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Discover TYPE M locks available for management</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Get X25519 public key for lock_metadata encryption</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chronx_getAgentCustodyRecord(lock_id)</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Custody state for a specific lock</w:t>
            </w:r>
          </w:p>
        </w:tc>
      </w:tr>
      <w:tr>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chronx_getAxiomConsent(lock_id, party)</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Verify axiom consent on a lock</w:t>
            </w:r>
          </w:p>
        </w:tc>
      </w:tr>
      <w:tr>
        <w:tc>
          <w:tcPr>
            <w:tcW w:type="dxa" w:w="3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chronx_getAgentHistory(agent_wallet)</w:t>
            </w:r>
          </w:p>
        </w:tc>
        <w:tc>
          <w:tcPr>
            <w:tcW w:type="dxa" w:w="5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decision history</w:t>
            </w:r>
          </w:p>
        </w:tc>
      </w:tr>
    </w:tbl>
    <w:p>
      <w:pPr>
        <w:spacing w:before="0" w:after="80"/>
      </w:pPr>
      <w:r>
        <w:t xml:space="preserve"/>
      </w:r>
    </w:p>
    <w:p>
      <w:pPr>
        <w:spacing w:before="80" w:after="120"/>
        <w:jc w:val="both"/>
      </w:pPr>
      <w:r>
        <w:rPr>
          <w:rFonts w:ascii="Arial" w:cs="Arial" w:eastAsia="Arial" w:hAnsi="Arial"/>
          <w:b/>
          <w:bCs/>
          <w:sz w:val="22"/>
          <w:szCs w:val="22"/>
        </w:rPr>
        <w:t xml:space="preserve">Current governance constraints:</w:t>
      </w:r>
    </w:p>
    <w:p>
      <w:pPr>
        <w:pStyle w:val="ListParagraph"/>
        <w:numPr>
          <w:ilvl w:val="0"/>
          <w:numId w:val="2"/>
        </w:numPr>
        <w:spacing w:before="60" w:after="60"/>
      </w:pPr>
      <w:r>
        <w:rPr>
          <w:rFonts w:ascii="Arial" w:cs="Arial" w:eastAsia="Arial" w:hAnsi="Arial"/>
          <w:sz w:val="22"/>
          <w:szCs w:val="22"/>
        </w:rPr>
        <w:t xml:space="preserve">misai_conservative_batch_only: true — batch-only mode, full autonomy requires governance vote</w:t>
      </w:r>
    </w:p>
    <w:p>
      <w:pPr>
        <w:pStyle w:val="ListParagraph"/>
        <w:numPr>
          <w:ilvl w:val="0"/>
          <w:numId w:val="2"/>
        </w:numPr>
        <w:spacing w:before="60" w:after="60"/>
      </w:pPr>
      <w:r>
        <w:rPr>
          <w:rFonts w:ascii="Arial" w:cs="Arial" w:eastAsia="Arial" w:hAnsi="Arial"/>
          <w:sz w:val="22"/>
          <w:szCs w:val="22"/>
        </w:rPr>
        <w:t xml:space="preserve">misai_max_investable_fraction: 0.50 — max 50% of any lock</w:t>
      </w:r>
    </w:p>
    <w:p>
      <w:pPr>
        <w:pStyle w:val="ListParagraph"/>
        <w:numPr>
          <w:ilvl w:val="0"/>
          <w:numId w:val="2"/>
        </w:numPr>
        <w:spacing w:before="60" w:after="60"/>
      </w:pPr>
      <w:r>
        <w:rPr>
          <w:rFonts w:ascii="Arial" w:cs="Arial" w:eastAsia="Arial" w:hAnsi="Arial"/>
          <w:sz w:val="22"/>
          <w:szCs w:val="22"/>
        </w:rPr>
        <w:t xml:space="preserve">executor_withdraw_delay_seconds: 86,400 — 24-hour delay</w:t>
      </w:r>
    </w:p>
    <w:p>
      <w:pPr>
        <w:spacing w:before="40" w:after="60"/>
      </w:pPr>
      <w:r>
        <w:rPr>
          <w:rFonts w:ascii="Arial" w:cs="Arial" w:eastAsia="Arial" w:hAnsi="Arial"/>
          <w:color w:val="666666"/>
          <w:sz w:val="18"/>
          <w:szCs w:val="18"/>
        </w:rPr>
        <w:t xml:space="preserve">Contact: contact@misai.io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H.8 — I Want to Hedge KX/USD Exposure</w:t>
      </w:r>
    </w:p>
    <w:p>
      <w:pPr>
        <w:spacing w:before="80" w:after="120"/>
        <w:jc w:val="both"/>
      </w:pPr>
      <w:r>
        <w:rPr>
          <w:rFonts w:ascii="Arial" w:cs="Arial" w:eastAsia="Arial" w:hAnsi="Arial"/>
          <w:i/>
          <w:iCs/>
          <w:color w:val="666666"/>
          <w:sz w:val="22"/>
          <w:szCs w:val="22"/>
        </w:rPr>
        <w:t xml:space="preserve">Who this is for: KX holders who want USD stability, insurance mutuals needing currency risk coverage, long-horizon promise creators.</w:t>
      </w:r>
    </w:p>
    <w:p>
      <w:pPr>
        <w:spacing w:before="0" w:after="80"/>
      </w:pPr>
      <w:r>
        <w:t xml:space="preserve"/>
      </w:r>
    </w:p>
    <w:p>
      <w:pPr>
        <w:spacing w:before="80" w:after="120"/>
        <w:jc w:val="both"/>
      </w:pPr>
      <w:r>
        <w:rPr>
          <w:rFonts w:ascii="Arial" w:cs="Arial" w:eastAsia="Arial" w:hAnsi="Arial"/>
          <w:b/>
          <w:bCs/>
          <w:sz w:val="22"/>
          <w:szCs w:val="22"/>
        </w:rPr>
        <w:t xml:space="preserve">What a hedge instrument is:</w:t>
      </w:r>
    </w:p>
    <w:p>
      <w:pPr>
        <w:spacing w:before="80" w:after="120"/>
        <w:jc w:val="both"/>
      </w:pPr>
      <w:r>
        <w:rPr>
          <w:rFonts w:ascii="Arial" w:cs="Arial" w:eastAsia="Arial" w:hAnsi="Arial"/>
          <w:sz w:val="22"/>
          <w:szCs w:val="22"/>
        </w:rPr>
        <w:t xml:space="preserve">A hedge instrument on ChronX is a bilateral foreign exchange forward contract between two parties. The risk of loss is currency conversion risk only — not insurance risk, not claims risk, not fraud risk. A hedger who loses money on a correctly-executed instrument has no claim against HedgeKX or any other party. The instrument executed as designed.</w:t>
      </w:r>
    </w:p>
    <w:p>
      <w:pPr>
        <w:spacing w:before="0" w:after="80"/>
      </w:pPr>
      <w:r>
        <w:t xml:space="preserve"/>
      </w:r>
    </w:p>
    <w:p>
      <w:pPr>
        <w:spacing w:before="80" w:after="120"/>
        <w:jc w:val="both"/>
      </w:pPr>
      <w:r>
        <w:rPr>
          <w:rFonts w:ascii="Arial" w:cs="Arial" w:eastAsia="Arial" w:hAnsi="Arial"/>
          <w:b/>
          <w:bCs/>
          <w:sz w:val="22"/>
          <w:szCs w:val="22"/>
        </w:rPr>
        <w:t xml:space="preserve">Available instrument types today:</w:t>
      </w:r>
    </w:p>
    <w:p>
      <w:pPr>
        <w:pStyle w:val="ListParagraph"/>
        <w:numPr>
          <w:ilvl w:val="0"/>
          <w:numId w:val="2"/>
        </w:numPr>
        <w:spacing w:before="60" w:after="60"/>
      </w:pPr>
      <w:r>
        <w:rPr>
          <w:rFonts w:ascii="Arial" w:cs="Arial" w:eastAsia="Arial" w:hAnsi="Arial"/>
          <w:sz w:val="22"/>
          <w:szCs w:val="22"/>
        </w:rPr>
        <w:t xml:space="preserve">Overnight (24-hour) KX/USD hedge via HedgeKX order book</w:t>
      </w:r>
    </w:p>
    <w:p>
      <w:pPr>
        <w:pStyle w:val="ListParagraph"/>
        <w:numPr>
          <w:ilvl w:val="0"/>
          <w:numId w:val="2"/>
        </w:numPr>
        <w:spacing w:before="60" w:after="60"/>
      </w:pPr>
      <w:r>
        <w:rPr>
          <w:rFonts w:ascii="Arial" w:cs="Arial" w:eastAsia="Arial" w:hAnsi="Arial"/>
          <w:sz w:val="22"/>
          <w:szCs w:val="22"/>
        </w:rPr>
        <w:t xml:space="preserve">success_payment_wallet: your USDC wallet for premium return if condition never fires</w:t>
      </w:r>
    </w:p>
    <w:p>
      <w:pPr>
        <w:pStyle w:val="ListParagraph"/>
        <w:numPr>
          <w:ilvl w:val="0"/>
          <w:numId w:val="2"/>
        </w:numPr>
        <w:spacing w:before="60" w:after="60"/>
      </w:pPr>
      <w:r>
        <w:rPr>
          <w:rFonts w:ascii="Arial" w:cs="Arial" w:eastAsia="Arial" w:hAnsi="Arial"/>
          <w:sz w:val="22"/>
          <w:szCs w:val="22"/>
        </w:rPr>
        <w:t xml:space="preserve">Maximum daily exposure: $250 (governance parameter, will expand)</w:t>
      </w:r>
    </w:p>
    <w:p>
      <w:pPr>
        <w:spacing w:before="0" w:after="80"/>
      </w:pPr>
      <w:r>
        <w:t xml:space="preserve"/>
      </w:r>
    </w:p>
    <w:p>
      <w:pPr>
        <w:spacing w:before="80" w:after="120"/>
        <w:jc w:val="both"/>
      </w:pPr>
      <w:r>
        <w:rPr>
          <w:rFonts w:ascii="Arial" w:cs="Arial" w:eastAsia="Arial" w:hAnsi="Arial"/>
          <w:b/>
          <w:bCs/>
          <w:sz w:val="22"/>
          <w:szCs w:val="22"/>
        </w:rPr>
        <w:t xml:space="preserve">Planned instrument types:</w:t>
      </w:r>
    </w:p>
    <w:p>
      <w:pPr>
        <w:pStyle w:val="ListParagraph"/>
        <w:numPr>
          <w:ilvl w:val="0"/>
          <w:numId w:val="2"/>
        </w:numPr>
        <w:spacing w:before="60" w:after="60"/>
      </w:pPr>
      <w:r>
        <w:rPr>
          <w:rFonts w:ascii="Arial" w:cs="Arial" w:eastAsia="Arial" w:hAnsi="Arial"/>
          <w:sz w:val="22"/>
          <w:szCs w:val="22"/>
        </w:rPr>
        <w:t xml:space="preserve">OracleTrigger: automatic execution when XChan oracle crosses threshold (no human attestor needed)</w:t>
      </w:r>
    </w:p>
    <w:p>
      <w:pPr>
        <w:pStyle w:val="ListParagraph"/>
        <w:numPr>
          <w:ilvl w:val="0"/>
          <w:numId w:val="2"/>
        </w:numPr>
        <w:spacing w:before="60" w:after="60"/>
      </w:pPr>
      <w:r>
        <w:rPr>
          <w:rFonts w:ascii="Arial" w:cs="Arial" w:eastAsia="Arial" w:hAnsi="Arial"/>
          <w:sz w:val="22"/>
          <w:szCs w:val="22"/>
        </w:rPr>
        <w:t xml:space="preserve">Short-dated (1-30 day) instruments as governance expands duration</w:t>
      </w:r>
    </w:p>
    <w:p>
      <w:pPr>
        <w:pStyle w:val="ListParagraph"/>
        <w:numPr>
          <w:ilvl w:val="0"/>
          <w:numId w:val="2"/>
        </w:numPr>
        <w:spacing w:before="60" w:after="60"/>
      </w:pPr>
      <w:r>
        <w:rPr>
          <w:rFonts w:ascii="Arial" w:cs="Arial" w:eastAsia="Arial" w:hAnsi="Arial"/>
          <w:sz w:val="22"/>
          <w:szCs w:val="22"/>
        </w:rPr>
        <w:t xml:space="preserve">Excess-of-loss layers (8-20%, &gt;20% bands) as CompoundAND and LinkedSpring are built</w:t>
      </w:r>
    </w:p>
    <w:p>
      <w:pPr>
        <w:spacing w:before="0" w:after="80"/>
      </w:pPr>
      <w:r>
        <w:t xml:space="preserve"/>
      </w:r>
    </w:p>
    <w:p>
      <w:pPr>
        <w:spacing w:before="80" w:after="120"/>
        <w:jc w:val="both"/>
      </w:pPr>
      <w:r>
        <w:rPr>
          <w:rFonts w:ascii="Arial" w:cs="Arial" w:eastAsia="Arial" w:hAnsi="Arial"/>
          <w:b/>
          <w:bCs/>
          <w:sz w:val="22"/>
          <w:szCs w:val="22"/>
        </w:rPr>
        <w:t xml:space="preserve">How to post an offer on HedgeKX:</w:t>
      </w:r>
    </w:p>
    <w:p>
      <w:pPr>
        <w:pStyle w:val="ListParagraph"/>
        <w:numPr>
          <w:ilvl w:val="0"/>
          <w:numId w:val="2"/>
        </w:numPr>
        <w:spacing w:before="60" w:after="60"/>
      </w:pPr>
      <w:r>
        <w:rPr>
          <w:rFonts w:ascii="Arial" w:cs="Arial" w:eastAsia="Arial" w:hAnsi="Arial"/>
          <w:sz w:val="22"/>
          <w:szCs w:val="22"/>
        </w:rPr>
        <w:t xml:space="preserve">Create a TYPE S instrument with your threshold (e.g. oracle_trigger_threshold: 0.92 for 8% protection)</w:t>
      </w:r>
    </w:p>
    <w:p>
      <w:pPr>
        <w:pStyle w:val="ListParagraph"/>
        <w:numPr>
          <w:ilvl w:val="0"/>
          <w:numId w:val="2"/>
        </w:numPr>
        <w:spacing w:before="60" w:after="60"/>
      </w:pPr>
      <w:r>
        <w:rPr>
          <w:rFonts w:ascii="Arial" w:cs="Arial" w:eastAsia="Arial" w:hAnsi="Arial"/>
          <w:sz w:val="22"/>
          <w:szCs w:val="22"/>
        </w:rPr>
        <w:t xml:space="preserve">Set valid_until to your chosen duration</w:t>
      </w:r>
    </w:p>
    <w:p>
      <w:pPr>
        <w:pStyle w:val="ListParagraph"/>
        <w:numPr>
          <w:ilvl w:val="0"/>
          <w:numId w:val="2"/>
        </w:numPr>
        <w:spacing w:before="60" w:after="60"/>
      </w:pPr>
      <w:r>
        <w:rPr>
          <w:rFonts w:ascii="Arial" w:cs="Arial" w:eastAsia="Arial" w:hAnsi="Arial"/>
          <w:sz w:val="22"/>
          <w:szCs w:val="22"/>
        </w:rPr>
        <w:t xml:space="preserve">Set success_payment_wallet to receive premium if condition never fires</w:t>
      </w:r>
    </w:p>
    <w:p>
      <w:pPr>
        <w:pStyle w:val="ListParagraph"/>
        <w:numPr>
          <w:ilvl w:val="0"/>
          <w:numId w:val="2"/>
        </w:numPr>
        <w:spacing w:before="60" w:after="60"/>
      </w:pPr>
      <w:r>
        <w:rPr>
          <w:rFonts w:ascii="Arial" w:cs="Arial" w:eastAsia="Arial" w:hAnsi="Arial"/>
          <w:sz w:val="22"/>
          <w:szCs w:val="22"/>
        </w:rPr>
        <w:t xml:space="preserve">Post instrument ID to HedgeKX order book</w:t>
      </w:r>
    </w:p>
    <w:p>
      <w:pPr>
        <w:pStyle w:val="ListParagraph"/>
        <w:numPr>
          <w:ilvl w:val="0"/>
          <w:numId w:val="2"/>
        </w:numPr>
        <w:spacing w:before="60" w:after="60"/>
      </w:pPr>
      <w:r>
        <w:rPr>
          <w:rFonts w:ascii="Arial" w:cs="Arial" w:eastAsia="Arial" w:hAnsi="Arial"/>
          <w:sz w:val="22"/>
          <w:szCs w:val="22"/>
        </w:rPr>
        <w:t xml:space="preserve">Promise creator links your instrument ID in their required_hedge_ids field</w:t>
      </w:r>
    </w:p>
    <w:p>
      <w:pPr>
        <w:spacing w:before="0" w:after="80"/>
      </w:pPr>
      <w:r>
        <w:t xml:space="preserve"/>
      </w:r>
    </w:p>
    <w:p>
      <w:pPr>
        <w:spacing w:before="80" w:after="120"/>
        <w:jc w:val="both"/>
      </w:pPr>
      <w:r>
        <w:rPr>
          <w:rFonts w:ascii="Arial" w:cs="Arial" w:eastAsia="Arial" w:hAnsi="Arial"/>
          <w:b/>
          <w:bCs/>
          <w:sz w:val="22"/>
          <w:szCs w:val="22"/>
        </w:rPr>
        <w:t xml:space="preserve">Long-horizon PAY_AS hedging (Bob’s 20-year promise to Mary):</w:t>
      </w:r>
    </w:p>
    <w:p>
      <w:pPr>
        <w:spacing w:before="80" w:after="120"/>
        <w:jc w:val="both"/>
      </w:pPr>
      <w:r>
        <w:rPr>
          <w:rFonts w:ascii="Arial" w:cs="Arial" w:eastAsia="Arial" w:hAnsi="Arial"/>
          <w:sz w:val="22"/>
          <w:szCs w:val="22"/>
        </w:rPr>
        <w:t xml:space="preserve">Certain PAY_AS promises — those guaranteed to execute — require a different hedging approach than contingent insurance instruments. The hedge_requirement field supports three modes:</w:t>
      </w:r>
    </w:p>
    <w:p>
      <w:pPr>
        <w:pStyle w:val="ListParagraph"/>
        <w:numPr>
          <w:ilvl w:val="0"/>
          <w:numId w:val="2"/>
        </w:numPr>
        <w:spacing w:before="60" w:after="60"/>
      </w:pPr>
      <w:r>
        <w:rPr>
          <w:rFonts w:ascii="Arial" w:cs="Arial" w:eastAsia="Arial" w:hAnsi="Arial"/>
          <w:sz w:val="22"/>
          <w:szCs w:val="22"/>
        </w:rPr>
        <w:t xml:space="preserve">Static: specific hedge instrument IDs linked at creation. Best for short-term instruments.</w:t>
      </w:r>
    </w:p>
    <w:p>
      <w:pPr>
        <w:pStyle w:val="ListParagraph"/>
        <w:numPr>
          <w:ilvl w:val="0"/>
          <w:numId w:val="2"/>
        </w:numPr>
        <w:spacing w:before="60" w:after="60"/>
      </w:pPr>
      <w:r>
        <w:rPr>
          <w:rFonts w:ascii="Arial" w:cs="Arial" w:eastAsia="Arial" w:hAnsi="Arial"/>
          <w:sz w:val="22"/>
          <w:szCs w:val="22"/>
        </w:rPr>
        <w:t xml:space="preserve">Dynamic: MISAI-managed pool backstop. Pool aggregates risk across many promises. Hedgers enter and exit on 30-day windows. MISAI sources replacements as hedges expire. Best for long-horizon promises.</w:t>
      </w:r>
    </w:p>
    <w:p>
      <w:pPr>
        <w:pStyle w:val="ListParagraph"/>
        <w:numPr>
          <w:ilvl w:val="0"/>
          <w:numId w:val="2"/>
        </w:numPr>
        <w:spacing w:before="60" w:after="60"/>
      </w:pPr>
      <w:r>
        <w:rPr>
          <w:rFonts w:ascii="Arial" w:cs="Arial" w:eastAsia="Arial" w:hAnsi="Arial"/>
          <w:sz w:val="22"/>
          <w:szCs w:val="22"/>
        </w:rPr>
        <w:t xml:space="preserve">None: grantor accepts KX/USD conversion risk at maturity. Valid choice if grantor believes KX will appreciate.</w:t>
      </w:r>
    </w:p>
    <w:p>
      <w:pPr>
        <w:spacing w:before="40" w:after="60"/>
      </w:pPr>
      <w:r>
        <w:rPr>
          <w:rFonts w:ascii="Arial" w:cs="Arial" w:eastAsia="Arial" w:hAnsi="Arial"/>
          <w:color w:val="666666"/>
          <w:sz w:val="18"/>
          <w:szCs w:val="18"/>
        </w:rPr>
        <w:t xml:space="preserve">Contact: contact@hedgekx.io</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H.9 — I Want to Use Verifas for Long-Horizon Delivery</w:t>
      </w:r>
    </w:p>
    <w:p>
      <w:pPr>
        <w:spacing w:before="80" w:after="120"/>
        <w:jc w:val="both"/>
      </w:pPr>
      <w:r>
        <w:rPr>
          <w:rFonts w:ascii="Arial" w:cs="Arial" w:eastAsia="Arial" w:hAnsi="Arial"/>
          <w:i/>
          <w:iCs/>
          <w:color w:val="666666"/>
          <w:sz w:val="22"/>
          <w:szCs w:val="22"/>
        </w:rPr>
        <w:t xml:space="preserve">Who this is for: estate planners, trust attorneys, family offices, anyone making promises that outlast contact information.</w:t>
      </w:r>
    </w:p>
    <w:p>
      <w:pPr>
        <w:spacing w:before="0" w:after="80"/>
      </w:pPr>
      <w:r>
        <w:t xml:space="preserve"/>
      </w:r>
    </w:p>
    <w:p>
      <w:pPr>
        <w:spacing w:before="80" w:after="120"/>
        <w:jc w:val="both"/>
      </w:pPr>
      <w:r>
        <w:rPr>
          <w:rFonts w:ascii="Arial" w:cs="Arial" w:eastAsia="Arial" w:hAnsi="Arial"/>
          <w:sz w:val="22"/>
          <w:szCs w:val="22"/>
        </w:rPr>
        <w:t xml:space="preserve">You lock 500,000 KX for your grandchild today. In 2076 when it unlocks, your grandchild may be hard to find. Verifas is the bridge between the protocol and the human.</w:t>
      </w:r>
    </w:p>
    <w:p>
      <w:pPr>
        <w:spacing w:before="0" w:after="80"/>
      </w:pPr>
      <w:r>
        <w:t xml:space="preserve"/>
      </w:r>
    </w:p>
    <w:p>
      <w:pPr>
        <w:spacing w:before="80" w:after="120"/>
        <w:jc w:val="both"/>
      </w:pPr>
      <w:r>
        <w:rPr>
          <w:rFonts w:ascii="Arial" w:cs="Arial" w:eastAsia="Arial" w:hAnsi="Arial"/>
          <w:b/>
          <w:bCs/>
          <w:sz w:val="22"/>
          <w:szCs w:val="22"/>
        </w:rPr>
        <w:t xml:space="preserve">How to attach a beneficiary package:</w:t>
      </w:r>
    </w:p>
    <w:p>
      <w:pPr>
        <w:pStyle w:val="ListParagraph"/>
        <w:numPr>
          <w:ilvl w:val="0"/>
          <w:numId w:val="2"/>
        </w:numPr>
        <w:spacing w:before="60" w:after="60"/>
      </w:pPr>
      <w:r>
        <w:rPr>
          <w:rFonts w:ascii="Arial" w:cs="Arial" w:eastAsia="Arial" w:hAnsi="Arial"/>
          <w:sz w:val="22"/>
          <w:szCs w:val="22"/>
        </w:rPr>
        <w:t xml:space="preserve">When creating TimeLockCreate with unlock_at &gt; 365 days, include beneficiary_package</w:t>
      </w:r>
    </w:p>
    <w:p>
      <w:pPr>
        <w:pStyle w:val="ListParagraph"/>
        <w:numPr>
          <w:ilvl w:val="0"/>
          <w:numId w:val="2"/>
        </w:numPr>
        <w:spacing w:before="60" w:after="60"/>
      </w:pPr>
      <w:r>
        <w:rPr>
          <w:rFonts w:ascii="Arial" w:cs="Arial" w:eastAsia="Arial" w:hAnsi="Arial"/>
          <w:sz w:val="22"/>
          <w:szCs w:val="22"/>
        </w:rPr>
        <w:t xml:space="preserve">Encrypt the package to Verifas’s HSM public key (from Verifas API)</w:t>
      </w:r>
    </w:p>
    <w:p>
      <w:pPr>
        <w:pStyle w:val="ListParagraph"/>
        <w:numPr>
          <w:ilvl w:val="0"/>
          <w:numId w:val="2"/>
        </w:numPr>
        <w:spacing w:before="60" w:after="60"/>
      </w:pPr>
      <w:r>
        <w:rPr>
          <w:rFonts w:ascii="Arial" w:cs="Arial" w:eastAsia="Arial" w:hAnsi="Arial"/>
          <w:sz w:val="22"/>
          <w:szCs w:val="22"/>
        </w:rPr>
        <w:t xml:space="preserve">Package contents: beneficiary type (email / person / organization), identifier, domicile at creation</w:t>
      </w:r>
    </w:p>
    <w:p>
      <w:pPr>
        <w:spacing w:before="0" w:after="80"/>
      </w:pPr>
      <w:r>
        <w:t xml:space="preserve"/>
      </w:r>
    </w:p>
    <w:p>
      <w:pPr>
        <w:spacing w:before="80" w:after="120"/>
        <w:jc w:val="both"/>
      </w:pPr>
      <w:r>
        <w:rPr>
          <w:rFonts w:ascii="Arial" w:cs="Arial" w:eastAsia="Arial" w:hAnsi="Arial"/>
          <w:b/>
          <w:bCs/>
          <w:sz w:val="22"/>
          <w:szCs w:val="22"/>
        </w:rPr>
        <w:t xml:space="preserve">What happens at maturity:</w:t>
      </w:r>
    </w:p>
    <w:p>
      <w:pPr>
        <w:pStyle w:val="ListParagraph"/>
        <w:numPr>
          <w:ilvl w:val="0"/>
          <w:numId w:val="2"/>
        </w:numPr>
        <w:spacing w:before="60" w:after="60"/>
      </w:pPr>
      <w:r>
        <w:rPr>
          <w:rFonts w:ascii="Arial" w:cs="Arial" w:eastAsia="Arial" w:hAnsi="Arial"/>
          <w:sz w:val="22"/>
          <w:szCs w:val="22"/>
        </w:rPr>
        <w:t xml:space="preserve">Lock matures. Recipient has 90 days to self-claim.</w:t>
      </w:r>
    </w:p>
    <w:p>
      <w:pPr>
        <w:pStyle w:val="ListParagraph"/>
        <w:numPr>
          <w:ilvl w:val="0"/>
          <w:numId w:val="2"/>
        </w:numPr>
        <w:spacing w:before="60" w:after="60"/>
      </w:pPr>
      <w:r>
        <w:rPr>
          <w:rFonts w:ascii="Arial" w:cs="Arial" w:eastAsia="Arial" w:hAnsi="Arial"/>
          <w:sz w:val="22"/>
          <w:szCs w:val="22"/>
        </w:rPr>
        <w:t xml:space="preserve">Day 91: Verifas attestors begin beneficiary location process</w:t>
      </w:r>
    </w:p>
    <w:p>
      <w:pPr>
        <w:pStyle w:val="ListParagraph"/>
        <w:numPr>
          <w:ilvl w:val="0"/>
          <w:numId w:val="2"/>
        </w:numPr>
        <w:spacing w:before="60" w:after="60"/>
      </w:pPr>
      <w:r>
        <w:rPr>
          <w:rFonts w:ascii="Arial" w:cs="Arial" w:eastAsia="Arial" w:hAnsi="Arial"/>
          <w:sz w:val="22"/>
          <w:szCs w:val="22"/>
        </w:rPr>
        <w:t xml:space="preserve">Attestor confirms identity via IdentityVerified TYPE L entry on DAG</w:t>
      </w:r>
    </w:p>
    <w:p>
      <w:pPr>
        <w:pStyle w:val="ListParagraph"/>
        <w:numPr>
          <w:ilvl w:val="0"/>
          <w:numId w:val="2"/>
        </w:numPr>
        <w:spacing w:before="60" w:after="60"/>
      </w:pPr>
      <w:r>
        <w:rPr>
          <w:rFonts w:ascii="Arial" w:cs="Arial" w:eastAsia="Arial" w:hAnsi="Arial"/>
          <w:sz w:val="22"/>
          <w:szCs w:val="22"/>
        </w:rPr>
        <w:t xml:space="preserve">Claim executes. KX delivered.</w:t>
      </w:r>
    </w:p>
    <w:p>
      <w:pPr>
        <w:pStyle w:val="ListParagraph"/>
        <w:numPr>
          <w:ilvl w:val="0"/>
          <w:numId w:val="2"/>
        </w:numPr>
        <w:spacing w:before="60" w:after="60"/>
      </w:pPr>
      <w:r>
        <w:rPr>
          <w:rFonts w:ascii="Arial" w:cs="Arial" w:eastAsia="Arial" w:hAnsi="Arial"/>
          <w:sz w:val="22"/>
          <w:szCs w:val="22"/>
        </w:rPr>
        <w:t xml:space="preserve">If unclaimed at maturity + 100 years: KX transfers to Humanity Stake</w:t>
      </w:r>
    </w:p>
    <w:p>
      <w:pPr>
        <w:spacing w:before="0" w:after="80"/>
      </w:pPr>
      <w:r>
        <w:t xml:space="preserve"/>
      </w:r>
    </w:p>
    <w:p>
      <w:pPr>
        <w:spacing w:before="80" w:after="120"/>
        <w:jc w:val="both"/>
      </w:pPr>
      <w:r>
        <w:rPr>
          <w:rFonts w:ascii="Arial" w:cs="Arial" w:eastAsia="Arial" w:hAnsi="Arial"/>
          <w:b/>
          <w:bCs/>
          <w:sz w:val="22"/>
          <w:szCs w:val="22"/>
        </w:rPr>
        <w:t xml:space="preserve">Sign of Life:</w:t>
      </w:r>
    </w:p>
    <w:p>
      <w:pPr>
        <w:spacing w:before="80" w:after="120"/>
        <w:jc w:val="both"/>
      </w:pPr>
      <w:r>
        <w:rPr>
          <w:rFonts w:ascii="Arial" w:cs="Arial" w:eastAsia="Arial" w:hAnsi="Arial"/>
          <w:sz w:val="22"/>
          <w:szCs w:val="22"/>
        </w:rPr>
        <w:t xml:space="preserve">Set sign_of_life_interval_days for very long-horizon promises. If grantor fails to attest within interval + 90-day grace period, funds transfer to guardian_pubkey. This is the protocol’s dead-man switch.</w:t>
      </w:r>
    </w:p>
    <w:p>
      <w:pPr>
        <w:spacing w:before="40" w:after="60"/>
      </w:pPr>
      <w:r>
        <w:rPr>
          <w:rFonts w:ascii="Arial" w:cs="Arial" w:eastAsia="Arial" w:hAnsi="Arial"/>
          <w:color w:val="666666"/>
          <w:sz w:val="18"/>
          <w:szCs w:val="18"/>
        </w:rPr>
        <w:t xml:space="preserve">Contact: contact@verifas.io</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I — RPC Method Reference</w:t>
      </w:r>
    </w:p>
    <w:p>
      <w:pPr>
        <w:spacing w:before="80" w:after="120"/>
        <w:jc w:val="both"/>
      </w:pPr>
      <w:r>
        <w:rPr>
          <w:rFonts w:ascii="Arial" w:cs="Arial" w:eastAsia="Arial" w:hAnsi="Arial"/>
          <w:sz w:val="22"/>
          <w:szCs w:val="22"/>
        </w:rPr>
        <w:t xml:space="preserve">Endpoint: https://api.chronx.io/rpc (POST, JSON-RPC 2.0). All methods free. All read methods publicly accessible without authentication.</w:t>
      </w:r>
    </w:p>
    <w:p>
      <w:pPr>
        <w:spacing w:before="40" w:after="60"/>
      </w:pPr>
      <w:r>
        <w:rPr>
          <w:rFonts w:ascii="Arial" w:cs="Arial" w:eastAsia="Arial" w:hAnsi="Arial"/>
          <w:color w:val="666666"/>
          <w:sz w:val="18"/>
          <w:szCs w:val="18"/>
        </w:rPr>
        <w:t xml:space="preserve">Note: rpc.chronx.io is a legacy alias. Always use https://api.chronx.io/rpc.</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Balance and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800"/>
        <w:gridCol w:w="33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3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chronx_getAccount</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Option&lt;RpcAccount&gt;</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account state</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chronx_getBalance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Balance in Chronos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chronx_getChainStats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RpcChainStats</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Vertex count, account count, total supply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chronx_getGenesisInfo</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RpcGenesisInfo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Genesis Zero constants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chronx_getGovernanceParams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33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live governance parameters from genesis-params.json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chronx_getVersion</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RpcVersionInfo</w:t>
            </w:r>
          </w:p>
        </w:tc>
        <w:tc>
          <w:tcPr>
            <w:tcW w:type="dxa" w:w="3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 software version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Transaction Submission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1600"/>
        <w:gridCol w:w="3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chronx_sendTransaction</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signed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chronx_cancelLock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Cancel a timelock</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chronx_submitCascade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Submit cascade transaction</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chronx_rejectInvoice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tx_hex: String</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String (TxId)</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Submit RejectInvoice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Time-Lock and Promise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chronx_getLocks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for account</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chronx_getLockById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Option&lt;RpcTimeLock&gt;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Single lock by ID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chronx_getPendingIncoming</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Vec&lt;RpcTimeLock&gt;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locks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chronx_getCascadeDetails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claim_secret_hash: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RpcCascadeDetails</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sharing claim code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chronx_getInvestablePromises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Vec&lt;RpcInvestablePromise&gt;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M locks for MISAI</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chronx_getEscalationStatus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conditional_id: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Escalation record if exists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chronx_getAttestorFailures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DeclareAttestorFailure records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chronx_getAffectedPolicies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group_id: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locks referencing this group</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chronx_getHedgeInstruments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locks with required_hedge_ids referencing this pool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chronx_getLinkedSpringStatus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instrument_id: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Whether linked instrument has fired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chronx_getPoolHealthScore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Pool health score (null until MISAI populates)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Transfer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chronx_getTransaction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tx_id: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Option&lt;RpcDetailedTx&gt;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Get vertex by TxId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chronx_getRecentTransactionsDetailed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limit: u32</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Vec&lt;RpcDetailedTx&gt;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Recent transactions with type classification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chronx_getIncomingTransfers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Vec&lt;RpcIncomingTransfer&gt;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Incoming transfer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chronx_getOutgoingTransfers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account_id: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Vec&lt;RpcOutgoingTransfer&gt;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Outgoing transfer history</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Loan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Full loan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chronx_getLoansByWallet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All loans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chronx_getLoanOffers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Pending loan offers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chronx_getLoanPaymentHistory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Vec&lt;RpcLoanPaymentStage&gt;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Payment history</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chronx_getLoanDefaultRecord</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loan_id_hex: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Default record if filed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chronx_getYieldInputs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obligation_id: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Rate, schedule, prepayment terms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Payment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chronx_getInvoice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invoice_id_hex: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Option&lt;RpcInvoiceRecord&gt;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I Invoice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chronx_getOpenInvoices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Vec&lt;RpcInvoiceRecord&gt;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invoices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chronx_getCreditAuthorization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credit_id_hex: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Option&lt;RpcCreditRecord&gt;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C Credit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chronx_getOpenCredits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Vec&lt;RpcCreditRecord&gt;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Open credit authorizations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chronx_getDeposit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deposit_id_hex: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Option&lt;RpcDepositRecord&gt;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Y Deposit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chronx_getActiveDeposits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Vec&lt;RpcDepositRecord&gt;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Active deposits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chronx_getConditionalPayment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type_v_id_hex: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Option&lt;RpcConditionalRecord&gt;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V/S Conditional record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Identity, Badges, and Governance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chronx_getVerifiedIdentity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Option&lt;RpcIdentityRecord&gt;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 identity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chronx_getIdentityHistory</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Vec&lt;RpcLedgerEntryRecord&gt;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Full identity audit trail</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chronx_getKXGCCapacity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Bond balance, obligations, capacity, warning level</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chronx_getAuthorityGrants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wallet_b58: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A grants for a wallet</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chronx_getPromiseAxioms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RpcPromiseAxioms</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13 axioms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AI Agent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AI agents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chronx_getAgentCustodyRecord</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Option&lt;RpcAgentCustodyRecord&gt;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Agent custody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chronx_getAgentHistory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agent_wallet: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Vec&lt;RpcAgentCustodyRecord&gt;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Agent activity history</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chronx_getAxiomConsent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party_type: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Option&lt;RpcAxiomConsentRecord&gt;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Axiom consent record</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chronx_getMisaiPubkey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JSON</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MISAI X25519 public key for lock_metadata encryption</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Delivery, Network, and HedgeKX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1800"/>
        <w:gridCol w:w="2760"/>
      </w:tblGrid>
      <w:tr>
        <w:tc>
          <w:tcPr>
            <w:tcW w:type="dxa" w:w="2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Method</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Parameters</w:t>
            </w:r>
          </w:p>
        </w:tc>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Returns</w:t>
            </w:r>
          </w:p>
        </w:tc>
        <w:tc>
          <w:tcPr>
            <w:tcW w:type="dxa" w:w="2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chronx_getVerifierRegistry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Vec&lt;RpcVerifierRecord&gt;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All registered verifiers</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chronx_getSignOfLifeStatus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lock_id: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Option&lt;RpcSignOfLifeRecord&gt;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Sign of Life status</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chronx_getNetworkInfo</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RpcNetworkInfo</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Peer count, node version, uptime</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chronx_getHumanityStakeBalance</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(none)</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RpcHumanityStakeBalance</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Humanity Stake balance</w:t>
            </w:r>
          </w:p>
        </w:tc>
      </w:tr>
      <w:tr>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chronx_getGroup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group_id_hex: String</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Option&lt;JSON&gt;</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Wallet group record</w:t>
            </w:r>
          </w:p>
        </w:tc>
      </w:tr>
      <w:tr>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chronx_getOracleSnapshot</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pair: String</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Option&lt;RpcOracleSnapshot&gt;</w:t>
            </w:r>
          </w:p>
        </w:tc>
        <w:tc>
          <w:tcPr>
            <w:tcW w:type="dxa" w:w="2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Latest oracle price snapshot</w:t>
            </w:r>
          </w:p>
        </w:tc>
      </w:tr>
    </w:tbl>
    <w:p>
      <w:pPr>
        <w:spacing w:before="0" w:after="80"/>
      </w:pPr>
      <w:r>
        <w:t xml:space="preserve"/>
      </w:r>
    </w:p>
    <w:p>
      <w:pPr>
        <w:spacing w:before="80" w:after="120"/>
        <w:jc w:val="both"/>
      </w:pPr>
      <w:r>
        <w:rPr>
          <w:rFonts w:ascii="Arial" w:cs="Arial" w:eastAsia="Arial" w:hAnsi="Arial"/>
          <w:b/>
          <w:bCs/>
          <w:sz w:val="22"/>
          <w:szCs w:val="22"/>
        </w:rPr>
        <w:t xml:space="preserve">Example request:</w:t>
      </w:r>
    </w:p>
    <w:p>
      <w:pPr>
        <w:spacing w:before="40" w:after="40"/>
      </w:pPr>
      <w:r>
        <w:rPr>
          <w:rFonts w:ascii="Courier New" w:cs="Courier New" w:eastAsia="Courier New" w:hAnsi="Courier New"/>
          <w:color w:val="666666"/>
          <w:sz w:val="18"/>
          <w:szCs w:val="18"/>
        </w:rPr>
        <w:t xml:space="preserve">{ "jsonrpc": "2.0", "method": "chronx_getBalance", "params": ["BqjGDbhzLJJgzpVywRxug4wTa2Qqtwipc1hkcLLJsWzF"], "id": 1 }</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J — The Axioms (Complete)</w:t>
      </w:r>
    </w:p>
    <w:p>
      <w:pPr>
        <w:spacing w:before="80" w:after="120"/>
        <w:jc w:val="both"/>
      </w:pPr>
      <w:r>
        <w:rPr>
          <w:rFonts w:ascii="Arial" w:cs="Arial" w:eastAsia="Arial" w:hAnsi="Arial"/>
          <w:sz w:val="22"/>
          <w:szCs w:val="22"/>
        </w:rPr>
        <w:t xml:space="preserve">Encoded at Genesis Zero. Immutable. final_genesis: true. Cannot be altered by any person, governance body, software update, or court order.</w:t>
      </w:r>
    </w:p>
    <w:p>
      <w:pPr>
        <w:pBdr>
          <w:bottom w:val="single" w:color="C9A84C" w:sz="2" w:space="4"/>
        </w:pBdr>
        <w:spacing w:before="160" w:after="160"/>
      </w:pPr>
      <w:r>
        <w:t xml:space="preserve"/>
      </w:r>
    </w:p>
    <w:p>
      <w:pPr>
        <w:spacing w:before="80" w:after="120"/>
        <w:jc w:val="both"/>
      </w:pPr>
      <w:r>
        <w:rPr>
          <w:rFonts w:ascii="Arial" w:cs="Arial" w:eastAsia="Arial" w:hAnsi="Arial"/>
          <w:b/>
          <w:bCs/>
          <w:sz w:val="22"/>
          <w:szCs w:val="22"/>
        </w:rPr>
        <w:t xml:space="preserve">PROMISE AXIOMS</w:t>
      </w:r>
    </w:p>
    <w:p>
      <w:pPr>
        <w:spacing w:before="0" w:after="80"/>
      </w:pPr>
      <w:r>
        <w:t xml:space="preserve"/>
      </w:r>
    </w:p>
    <w:p>
      <w:pPr>
        <w:spacing w:before="80" w:after="120"/>
        <w:jc w:val="both"/>
      </w:pPr>
      <w:r>
        <w:rPr>
          <w:rFonts w:ascii="Arial" w:cs="Arial" w:eastAsia="Arial" w:hAnsi="Arial"/>
          <w:b/>
          <w:bCs/>
          <w:sz w:val="22"/>
          <w:szCs w:val="22"/>
        </w:rPr>
        <w:t xml:space="preserve">Axiom I — Intent</w:t>
      </w:r>
    </w:p>
    <w:p>
      <w:pPr>
        <w:spacing w:before="80" w:after="120"/>
        <w:jc w:val="both"/>
      </w:pPr>
      <w:r>
        <w:rPr>
          <w:rFonts w:ascii="Arial" w:cs="Arial" w:eastAsia="Arial" w:hAnsi="Arial"/>
          <w:sz w:val="22"/>
          <w:szCs w:val="22"/>
        </w:rPr>
        <w:t xml:space="preserve">The grantor’s intent governs.</w:t>
      </w:r>
    </w:p>
    <w:p>
      <w:pPr>
        <w:spacing w:before="80" w:after="120"/>
        <w:jc w:val="both"/>
      </w:pPr>
      <w:r>
        <w:rPr>
          <w:rFonts w:ascii="Arial" w:cs="Arial" w:eastAsia="Arial" w:hAnsi="Arial"/>
          <w:b/>
          <w:bCs/>
          <w:sz w:val="22"/>
          <w:szCs w:val="22"/>
        </w:rPr>
        <w:t xml:space="preserve">Axiom II — Safety</w:t>
      </w:r>
    </w:p>
    <w:p>
      <w:pPr>
        <w:spacing w:before="80" w:after="120"/>
        <w:jc w:val="both"/>
      </w:pPr>
      <w:r>
        <w:rPr>
          <w:rFonts w:ascii="Arial" w:cs="Arial" w:eastAsia="Arial" w:hAnsi="Arial"/>
          <w:sz w:val="22"/>
          <w:szCs w:val="22"/>
        </w:rPr>
        <w:t xml:space="preserve">Promised funds are never lost.</w:t>
      </w:r>
    </w:p>
    <w:p>
      <w:pPr>
        <w:spacing w:before="80" w:after="120"/>
        <w:jc w:val="both"/>
      </w:pPr>
      <w:r>
        <w:rPr>
          <w:rFonts w:ascii="Arial" w:cs="Arial" w:eastAsia="Arial" w:hAnsi="Arial"/>
          <w:b/>
          <w:bCs/>
          <w:sz w:val="22"/>
          <w:szCs w:val="22"/>
        </w:rPr>
        <w:t xml:space="preserve">Axiom III — Delivery</w:t>
      </w:r>
    </w:p>
    <w:p>
      <w:pPr>
        <w:spacing w:before="80" w:after="120"/>
        <w:jc w:val="both"/>
      </w:pPr>
      <w:r>
        <w:rPr>
          <w:rFonts w:ascii="Arial" w:cs="Arial" w:eastAsia="Arial" w:hAnsi="Arial"/>
          <w:sz w:val="22"/>
          <w:szCs w:val="22"/>
        </w:rPr>
        <w:t xml:space="preserve">The protocol delivers.</w:t>
      </w:r>
    </w:p>
    <w:p>
      <w:pPr>
        <w:spacing w:before="0" w:after="80"/>
      </w:pPr>
      <w:r>
        <w:t xml:space="preserve"/>
      </w:r>
    </w:p>
    <w:p>
      <w:pPr>
        <w:spacing w:before="80" w:after="120"/>
        <w:jc w:val="both"/>
      </w:pPr>
      <w:r>
        <w:rPr>
          <w:rFonts w:ascii="Arial" w:cs="Arial" w:eastAsia="Arial" w:hAnsi="Arial"/>
          <w:b/>
          <w:bCs/>
          <w:sz w:val="22"/>
          <w:szCs w:val="22"/>
        </w:rPr>
        <w:t xml:space="preserve">CREDIT AXIOMS</w:t>
      </w:r>
    </w:p>
    <w:p>
      <w:pPr>
        <w:spacing w:before="0" w:after="80"/>
      </w:pPr>
      <w:r>
        <w:t xml:space="preserve"/>
      </w:r>
    </w:p>
    <w:p>
      <w:pPr>
        <w:spacing w:before="80" w:after="120"/>
        <w:jc w:val="both"/>
      </w:pPr>
      <w:r>
        <w:rPr>
          <w:rFonts w:ascii="Arial" w:cs="Arial" w:eastAsia="Arial" w:hAnsi="Arial"/>
          <w:b/>
          <w:bCs/>
          <w:sz w:val="22"/>
          <w:szCs w:val="22"/>
        </w:rPr>
        <w:t xml:space="preserve">Axiom IV — Consent</w:t>
      </w:r>
    </w:p>
    <w:p>
      <w:pPr>
        <w:spacing w:before="80" w:after="120"/>
        <w:jc w:val="both"/>
      </w:pPr>
      <w:r>
        <w:rPr>
          <w:rFonts w:ascii="Arial" w:cs="Arial" w:eastAsia="Arial" w:hAnsi="Arial"/>
          <w:sz w:val="22"/>
          <w:szCs w:val="22"/>
        </w:rPr>
        <w:t xml:space="preserve">No obligation exists without the explicit consent of both parties. Verification confirms identity and eligibility. It does not guarantee performance.</w:t>
      </w:r>
    </w:p>
    <w:p>
      <w:pPr>
        <w:spacing w:before="80" w:after="120"/>
        <w:jc w:val="both"/>
      </w:pPr>
      <w:r>
        <w:rPr>
          <w:rFonts w:ascii="Arial" w:cs="Arial" w:eastAsia="Arial" w:hAnsi="Arial"/>
          <w:b/>
          <w:bCs/>
          <w:sz w:val="22"/>
          <w:szCs w:val="22"/>
        </w:rPr>
        <w:t xml:space="preserve">Axiom V — Jurisdiction</w:t>
      </w:r>
    </w:p>
    <w:p>
      <w:pPr>
        <w:spacing w:before="80" w:after="120"/>
        <w:jc w:val="both"/>
      </w:pPr>
      <w:r>
        <w:rPr>
          <w:rFonts w:ascii="Arial" w:cs="Arial" w:eastAsia="Arial" w:hAnsi="Arial"/>
          <w:sz w:val="22"/>
          <w:szCs w:val="22"/>
        </w:rPr>
        <w:t xml:space="preserve">External agreements may govern additional terms. Collection remains between the parties and the law.</w:t>
      </w:r>
    </w:p>
    <w:p>
      <w:pPr>
        <w:spacing w:before="80" w:after="120"/>
        <w:jc w:val="both"/>
      </w:pPr>
      <w:r>
        <w:rPr>
          <w:rFonts w:ascii="Arial" w:hAnsi="Arial"/>
          <w:sz w:val="22"/>
        </w:rPr>
        <w:t>Credit assessment on ChronX can weight loan history by the institutional credibility of the lender, as indicated by their CPNX badge. Obligations from unverified counterparties can be deemed to carry no weight in credit scoring. Lenders use their own underwriting software to evaluate credit risk; ChronX provides the immutable ledger record, not a credit score.</w:t>
      </w:r>
    </w:p>
    <w:p>
      <w:pPr>
        <w:spacing w:before="0" w:after="80"/>
      </w:pPr>
      <w:r>
        <w:t xml:space="preserve"/>
      </w:r>
    </w:p>
    <w:p>
      <w:pPr>
        <w:spacing w:before="80" w:after="120"/>
        <w:jc w:val="both"/>
      </w:pPr>
      <w:r>
        <w:rPr>
          <w:rFonts w:ascii="Arial" w:cs="Arial" w:eastAsia="Arial" w:hAnsi="Arial"/>
          <w:b/>
          <w:bCs/>
          <w:sz w:val="22"/>
          <w:szCs w:val="22"/>
        </w:rPr>
        <w:t xml:space="preserve">TRIGGER AXIOM</w:t>
      </w:r>
    </w:p>
    <w:p>
      <w:pPr>
        <w:spacing w:before="0" w:after="80"/>
      </w:pPr>
      <w:r>
        <w:t xml:space="preserve"/>
      </w:r>
    </w:p>
    <w:p>
      <w:pPr>
        <w:spacing w:before="80" w:after="120"/>
        <w:jc w:val="both"/>
      </w:pPr>
      <w:r>
        <w:rPr>
          <w:rFonts w:ascii="Arial" w:cs="Arial" w:eastAsia="Arial" w:hAnsi="Arial"/>
          <w:b/>
          <w:bCs/>
          <w:sz w:val="22"/>
          <w:szCs w:val="22"/>
        </w:rPr>
        <w:t xml:space="preserve">Axiom VI — Conditions</w:t>
      </w:r>
    </w:p>
    <w:p>
      <w:pPr>
        <w:spacing w:before="80" w:after="120"/>
        <w:jc w:val="both"/>
      </w:pPr>
      <w:r>
        <w:rPr>
          <w:rFonts w:ascii="Arial" w:cs="Arial" w:eastAsia="Arial" w:hAnsi="Arial"/>
          <w:sz w:val="22"/>
          <w:szCs w:val="22"/>
        </w:rPr>
        <w:t xml:space="preserve">Any promise or agreement may encode a condition which triggers an obligation. The obligor records fulfillment. The protocol acts on that record. Conditions unmet at expiry return funds to the obligor.</w:t>
      </w:r>
    </w:p>
    <w:p>
      <w:pPr>
        <w:spacing w:before="0" w:after="80"/>
      </w:pPr>
      <w:r>
        <w:t xml:space="preserve"/>
      </w:r>
    </w:p>
    <w:p>
      <w:pPr>
        <w:spacing w:before="80" w:after="120"/>
        <w:jc w:val="both"/>
      </w:pPr>
      <w:r>
        <w:rPr>
          <w:rFonts w:ascii="Arial" w:cs="Arial" w:eastAsia="Arial" w:hAnsi="Arial"/>
          <w:b/>
          <w:bCs/>
          <w:sz w:val="22"/>
          <w:szCs w:val="22"/>
        </w:rPr>
        <w:t xml:space="preserve">AI AGENT AXIOMS</w:t>
      </w:r>
    </w:p>
    <w:p>
      <w:pPr>
        <w:spacing w:before="0" w:after="80"/>
      </w:pPr>
      <w:r>
        <w:t xml:space="preserve"/>
      </w:r>
    </w:p>
    <w:p>
      <w:pPr>
        <w:spacing w:before="80" w:after="120"/>
        <w:jc w:val="both"/>
      </w:pPr>
      <w:r>
        <w:rPr>
          <w:rFonts w:ascii="Arial" w:cs="Arial" w:eastAsia="Arial" w:hAnsi="Arial"/>
          <w:b/>
          <w:bCs/>
          <w:sz w:val="22"/>
          <w:szCs w:val="22"/>
        </w:rPr>
        <w:t xml:space="preserve">Axiom VII — Mandate</w:t>
      </w:r>
    </w:p>
    <w:p>
      <w:pPr>
        <w:spacing w:before="80" w:after="120"/>
        <w:jc w:val="both"/>
      </w:pPr>
      <w:r>
        <w:rPr>
          <w:rFonts w:ascii="Arial" w:cs="Arial" w:eastAsia="Arial" w:hAnsi="Arial"/>
          <w:sz w:val="22"/>
          <w:szCs w:val="22"/>
        </w:rPr>
        <w:t xml:space="preserve">The grantor’s intent, once encoded, is carried forward by autonomous software. Algorithms may evolve. The intent does not. An autonomous agent has no authority beyond that mandate.</w:t>
      </w:r>
    </w:p>
    <w:p>
      <w:pPr>
        <w:spacing w:before="80" w:after="120"/>
        <w:jc w:val="both"/>
      </w:pPr>
      <w:r>
        <w:rPr>
          <w:rFonts w:ascii="Arial" w:cs="Arial" w:eastAsia="Arial" w:hAnsi="Arial"/>
          <w:b/>
          <w:bCs/>
          <w:sz w:val="22"/>
          <w:szCs w:val="22"/>
        </w:rPr>
        <w:t xml:space="preserve">Axiom VIII — Transparency</w:t>
      </w:r>
    </w:p>
    <w:p>
      <w:pPr>
        <w:spacing w:before="80" w:after="120"/>
        <w:jc w:val="both"/>
      </w:pPr>
      <w:r>
        <w:rPr>
          <w:rFonts w:ascii="Arial" w:cs="Arial" w:eastAsia="Arial" w:hAnsi="Arial"/>
          <w:sz w:val="22"/>
          <w:szCs w:val="22"/>
        </w:rPr>
        <w:t xml:space="preserve">An AI agent must commit to a permanent public record before acting. Every decision is publicly verifiable. There are no private actions.</w:t>
      </w:r>
    </w:p>
    <w:p>
      <w:pPr>
        <w:spacing w:before="80" w:after="120"/>
        <w:jc w:val="both"/>
      </w:pPr>
      <w:r>
        <w:rPr>
          <w:rFonts w:ascii="Arial" w:cs="Arial" w:eastAsia="Arial" w:hAnsi="Arial"/>
          <w:b/>
          <w:bCs/>
          <w:sz w:val="22"/>
          <w:szCs w:val="22"/>
        </w:rPr>
        <w:t xml:space="preserve">Axiom IX — Risk</w:t>
      </w:r>
    </w:p>
    <w:p>
      <w:pPr>
        <w:spacing w:before="80" w:after="120"/>
        <w:jc w:val="both"/>
      </w:pPr>
      <w:r>
        <w:rPr>
          <w:rFonts w:ascii="Arial" w:cs="Arial" w:eastAsia="Arial" w:hAnsi="Arial"/>
          <w:sz w:val="22"/>
          <w:szCs w:val="22"/>
        </w:rPr>
        <w:t xml:space="preserve">The grantor acknowledges, and the AI agent affirms, that AI management of any investment tranche may result in gains or losses up to and including total loss.</w:t>
      </w:r>
    </w:p>
    <w:p>
      <w:pPr>
        <w:spacing w:before="80" w:after="120"/>
        <w:jc w:val="both"/>
      </w:pPr>
      <w:r>
        <w:rPr>
          <w:rFonts w:ascii="Arial" w:cs="Arial" w:eastAsia="Arial" w:hAnsi="Arial"/>
          <w:b/>
          <w:bCs/>
          <w:sz w:val="22"/>
          <w:szCs w:val="22"/>
        </w:rPr>
        <w:t xml:space="preserve">Axiom X — Separation</w:t>
      </w:r>
    </w:p>
    <w:p>
      <w:pPr>
        <w:spacing w:before="80" w:after="120"/>
        <w:jc w:val="both"/>
      </w:pPr>
      <w:r>
        <w:rPr>
          <w:rFonts w:ascii="Arial" w:cs="Arial" w:eastAsia="Arial" w:hAnsi="Arial"/>
          <w:sz w:val="22"/>
          <w:szCs w:val="22"/>
        </w:rPr>
        <w:t xml:space="preserve">The agent that decides does not hold funds. The agent that holds does not decide.</w:t>
      </w:r>
    </w:p>
    <w:p>
      <w:pPr>
        <w:spacing w:before="80" w:after="120"/>
        <w:jc w:val="both"/>
      </w:pPr>
      <w:r>
        <w:rPr>
          <w:rFonts w:ascii="Arial" w:cs="Arial" w:eastAsia="Arial" w:hAnsi="Arial"/>
          <w:b/>
          <w:bCs/>
          <w:sz w:val="22"/>
          <w:szCs w:val="22"/>
        </w:rPr>
        <w:t xml:space="preserve">Axiom XI — Coordination</w:t>
      </w:r>
    </w:p>
    <w:p>
      <w:pPr>
        <w:spacing w:before="80" w:after="120"/>
        <w:jc w:val="both"/>
      </w:pPr>
      <w:r>
        <w:rPr>
          <w:rFonts w:ascii="Arial" w:cs="Arial" w:eastAsia="Arial" w:hAnsi="Arial"/>
          <w:sz w:val="22"/>
          <w:szCs w:val="22"/>
        </w:rPr>
        <w:t xml:space="preserve">An agent is not the only actor. Before acting, an agent must account for the aggregate effect of similarly situated agents acting on similar instructions.</w:t>
      </w:r>
    </w:p>
    <w:p>
      <w:pPr>
        <w:spacing w:before="80" w:after="120"/>
        <w:jc w:val="both"/>
      </w:pPr>
      <w:r>
        <w:rPr>
          <w:rFonts w:ascii="Arial" w:cs="Arial" w:eastAsia="Arial" w:hAnsi="Arial"/>
          <w:b/>
          <w:bCs/>
          <w:sz w:val="22"/>
          <w:szCs w:val="22"/>
        </w:rPr>
        <w:t xml:space="preserve">Axiom XII — The Law</w:t>
      </w:r>
    </w:p>
    <w:p>
      <w:pPr>
        <w:spacing w:before="80" w:after="120"/>
        <w:jc w:val="both"/>
      </w:pPr>
      <w:r>
        <w:rPr>
          <w:rFonts w:ascii="Arial" w:cs="Arial" w:eastAsia="Arial" w:hAnsi="Arial"/>
          <w:sz w:val="22"/>
          <w:szCs w:val="22"/>
        </w:rPr>
        <w:t xml:space="preserve">All agent actions, mandates, and their fulfillment remain subject to the laws of applicable jurisdictions.</w:t>
      </w:r>
    </w:p>
    <w:p>
      <w:pPr>
        <w:spacing w:before="0" w:after="80"/>
      </w:pPr>
      <w:r>
        <w:t xml:space="preserve"/>
      </w:r>
    </w:p>
    <w:p>
      <w:pPr>
        <w:spacing w:before="80" w:after="120"/>
        <w:jc w:val="both"/>
      </w:pPr>
      <w:r>
        <w:rPr>
          <w:rFonts w:ascii="Arial" w:cs="Arial" w:eastAsia="Arial" w:hAnsi="Arial"/>
          <w:b/>
          <w:bCs/>
          <w:sz w:val="22"/>
          <w:szCs w:val="22"/>
        </w:rPr>
        <w:t xml:space="preserve">CLOSING STATEMENT</w:t>
      </w:r>
    </w:p>
    <w:p>
      <w:pPr>
        <w:spacing w:before="0" w:after="80"/>
      </w:pPr>
      <w:r>
        <w:t xml:space="preserve"/>
      </w:r>
    </w:p>
    <w:p>
      <w:pPr>
        <w:spacing w:before="80" w:after="120"/>
        <w:jc w:val="both"/>
      </w:pPr>
      <w:r>
        <w:rPr>
          <w:rFonts w:ascii="Arial" w:cs="Arial" w:eastAsia="Arial" w:hAnsi="Arial"/>
          <w:b/>
          <w:bCs/>
          <w:sz w:val="22"/>
          <w:szCs w:val="22"/>
        </w:rPr>
        <w:t xml:space="preserve">Axiom XIII — Supremacy of Law</w:t>
      </w:r>
    </w:p>
    <w:p>
      <w:pPr>
        <w:spacing w:before="80" w:after="120"/>
        <w:jc w:val="both"/>
      </w:pPr>
      <w:r>
        <w:rPr>
          <w:rFonts w:ascii="Arial" w:cs="Arial" w:eastAsia="Arial" w:hAnsi="Arial"/>
          <w:sz w:val="22"/>
          <w:szCs w:val="22"/>
        </w:rPr>
        <w:t xml:space="preserve">All axioms remain subject to applicable law.</w:t>
      </w:r>
    </w:p>
    <w:p>
      <w:pPr>
        <w:pBdr>
          <w:bottom w:val="single" w:color="C9A84C" w:sz="2" w:space="4"/>
        </w:pBdr>
        <w:spacing w:before="160" w:after="160"/>
      </w:pPr>
      <w:r>
        <w:t xml:space="preserve"/>
      </w:r>
    </w:p>
    <w:p>
      <w:pPr>
        <w:pStyle w:val="Heading2"/>
        <w:spacing w:before="360" w:after="160"/>
      </w:pPr>
      <w:r>
        <w:rPr>
          <w:rFonts w:ascii="Arial" w:cs="Arial" w:eastAsia="Arial" w:hAnsi="Arial"/>
          <w:b/>
          <w:bCs/>
          <w:color w:val="2C3E6B"/>
          <w:sz w:val="28"/>
          <w:szCs w:val="28"/>
        </w:rPr>
        <w:t xml:space="preserve">What final_genesis: true means</w:t>
      </w:r>
    </w:p>
    <w:p>
      <w:pPr>
        <w:spacing w:before="80" w:after="120"/>
        <w:jc w:val="both"/>
      </w:pPr>
      <w:r>
        <w:rPr>
          <w:rFonts w:ascii="Arial" w:cs="Arial" w:eastAsia="Arial" w:hAnsi="Arial"/>
          <w:sz w:val="22"/>
          <w:szCs w:val="22"/>
        </w:rPr>
        <w:t xml:space="preserve">The genesis-params.json contains final_genesis: true and genesis_lock: true. The engine rejects any GenesisReset action with FINAL_GENESIS_LOCKED. Genesis Zero is the first, last, and only genesis of the ChronX Protocol. The genesis date is March 24, 2026. There will be no subsequent genesis.</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K — CPNX Badge System</w:t>
      </w:r>
    </w:p>
    <w:p>
      <w:pPr>
        <w:spacing w:before="80" w:after="120"/>
        <w:jc w:val="both"/>
      </w:pPr>
      <w:r>
        <w:rPr>
          <w:rFonts w:ascii="Arial" w:cs="Arial" w:eastAsia="Arial" w:hAnsi="Arial"/>
          <w:sz w:val="22"/>
          <w:szCs w:val="22"/>
        </w:rPr>
        <w:t xml:space="preserve">Badges are recorded on the DAG as TYPE L IdentityVerified entries. They gate access to protocol features and establish institutional credibility.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K.1 Badge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1600"/>
        <w:gridCol w:w="2960"/>
      </w:tblGrid>
      <w:tr>
        <w:tc>
          <w:tcPr>
            <w:tcW w:type="dxa" w:w="18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Badge</w:t>
            </w:r>
          </w:p>
        </w:tc>
        <w:tc>
          <w:tcPr>
            <w:tcW w:type="dxa" w:w="3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Grants Access To</w:t>
            </w:r>
          </w:p>
        </w:tc>
        <w:tc>
          <w:tcPr>
            <w:tcW w:type="dxa" w:w="16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Issued By</w:t>
            </w:r>
          </w:p>
        </w:tc>
        <w:tc>
          <w:tcPr>
            <w:tcW w:type="dxa" w:w="2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Default Expiry</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VERIFIED_IDENTITY</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General trust signal. No protocol gates.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FOUNDING_TEAM</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General trust signal.</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Permanent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BANK</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INSURANCE</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TYPE P-R pools, TYPE A grants, KXGC Tier 1/2</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GOVERNMENT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P-R pools, TYPE A authority grants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KXGC_TIER1</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Write guarantee instruments as KXGC Tier 1 Name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KXGC via 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KXGC_TIER2</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Write policies as KXGC Tier 2 retail operator</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Tier 1 via CPNX</w:t>
            </w:r>
          </w:p>
        </w:tc>
        <w:tc>
          <w:tcPr>
            <w:tcW w:type="dxa" w:w="2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90 days (renewable)</w:t>
            </w:r>
          </w:p>
        </w:tc>
      </w:tr>
      <w:tr>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NODE_OPERATOR</w:t>
            </w:r>
          </w:p>
        </w:tc>
        <w:tc>
          <w:tcPr>
            <w:tcW w:type="dxa" w:w="3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Community trust signal. No protocol gates.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CPNX</w:t>
            </w:r>
          </w:p>
        </w:tc>
        <w:tc>
          <w:tcPr>
            <w:tcW w:type="dxa" w:w="2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90 days (renewable)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K.2 Badge Lifecycle</w:t>
      </w:r>
    </w:p>
    <w:p>
      <w:pPr>
        <w:spacing w:before="80" w:after="120"/>
        <w:jc w:val="both"/>
      </w:pPr>
      <w:r>
        <w:rPr>
          <w:rFonts w:ascii="Arial" w:cs="Arial" w:eastAsia="Arial" w:hAnsi="Arial"/>
          <w:b/>
          <w:bCs/>
          <w:sz w:val="22"/>
          <w:szCs w:val="22"/>
        </w:rPr>
        <w:t xml:space="preserve">Application:</w:t>
      </w:r>
    </w:p>
    <w:p>
      <w:pPr>
        <w:pStyle w:val="ListParagraph"/>
        <w:numPr>
          <w:ilvl w:val="0"/>
          <w:numId w:val="2"/>
        </w:numPr>
        <w:spacing w:before="60" w:after="60"/>
      </w:pPr>
      <w:r>
        <w:rPr>
          <w:rFonts w:ascii="Arial" w:cs="Arial" w:eastAsia="Arial" w:hAnsi="Arial"/>
          <w:sz w:val="22"/>
          <w:szCs w:val="22"/>
        </w:rPr>
        <w:t xml:space="preserve">Submit at cpnx.com</w:t>
      </w:r>
    </w:p>
    <w:p>
      <w:pPr>
        <w:pStyle w:val="ListParagraph"/>
        <w:numPr>
          <w:ilvl w:val="0"/>
          <w:numId w:val="2"/>
        </w:numPr>
        <w:spacing w:before="60" w:after="60"/>
      </w:pPr>
      <w:r>
        <w:rPr>
          <w:rFonts w:ascii="Arial" w:cs="Arial" w:eastAsia="Arial" w:hAnsi="Arial"/>
          <w:sz w:val="22"/>
          <w:szCs w:val="22"/>
        </w:rPr>
        <w:t xml:space="preserve">CPNX reviews independently and performs verification</w:t>
      </w:r>
    </w:p>
    <w:p>
      <w:pPr>
        <w:pStyle w:val="ListParagraph"/>
        <w:numPr>
          <w:ilvl w:val="0"/>
          <w:numId w:val="2"/>
        </w:numPr>
        <w:spacing w:before="60" w:after="60"/>
      </w:pPr>
      <w:r>
        <w:rPr>
          <w:rFonts w:ascii="Arial" w:cs="Arial" w:eastAsia="Arial" w:hAnsi="Arial"/>
          <w:sz w:val="22"/>
          <w:szCs w:val="22"/>
        </w:rPr>
        <w:t xml:space="preserve">CPNX submits TYPE L IdentityVerified entry to ChronX DAG using CPNX bond wallet</w:t>
      </w:r>
    </w:p>
    <w:p>
      <w:pPr>
        <w:pStyle w:val="ListParagraph"/>
        <w:numPr>
          <w:ilvl w:val="0"/>
          <w:numId w:val="2"/>
        </w:numPr>
        <w:spacing w:before="60" w:after="60"/>
      </w:pPr>
      <w:r>
        <w:rPr>
          <w:rFonts w:ascii="Arial" w:cs="Arial" w:eastAsia="Arial" w:hAnsi="Arial"/>
          <w:sz w:val="22"/>
          <w:szCs w:val="22"/>
        </w:rPr>
        <w:t xml:space="preserve">Badge appears in wallet UI and queryable via RPC</w:t>
      </w:r>
    </w:p>
    <w:p>
      <w:pPr>
        <w:spacing w:before="0" w:after="80"/>
      </w:pPr>
      <w:r>
        <w:t xml:space="preserve"/>
      </w:r>
    </w:p>
    <w:p>
      <w:pPr>
        <w:spacing w:before="80" w:after="120"/>
        <w:jc w:val="both"/>
      </w:pPr>
      <w:r>
        <w:rPr>
          <w:rFonts w:ascii="Arial" w:cs="Arial" w:eastAsia="Arial" w:hAnsi="Arial"/>
          <w:b/>
          <w:bCs/>
          <w:sz w:val="22"/>
          <w:szCs w:val="22"/>
        </w:rPr>
        <w:t xml:space="preserve">Revocation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Type</w:t>
            </w:r>
          </w:p>
        </w:tc>
        <w:tc>
          <w:tcPr>
            <w:tcW w:type="dxa" w:w="69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Effect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voluntary</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administrative</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disambiguation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Clean record. No blackout.</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fraud</w:t>
            </w:r>
          </w:p>
        </w:tc>
        <w:tc>
          <w:tcPr>
            <w:tcW w:type="dxa" w:w="6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Badge blackout period enforced. All CPNX checkmarks null immediately.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impersonation</w:t>
            </w:r>
          </w:p>
        </w:tc>
        <w:tc>
          <w:tcPr>
            <w:tcW w:type="dxa" w:w="69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Badge blackout period enforced.</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K.3 Developer Integration</w:t>
      </w:r>
    </w:p>
    <w:p>
      <w:pPr>
        <w:pStyle w:val="ListParagraph"/>
        <w:numPr>
          <w:ilvl w:val="0"/>
          <w:numId w:val="2"/>
        </w:numPr>
        <w:spacing w:before="60" w:after="60"/>
      </w:pPr>
      <w:r>
        <w:rPr>
          <w:rFonts w:ascii="Arial" w:cs="Arial" w:eastAsia="Arial" w:hAnsi="Arial"/>
          <w:sz w:val="22"/>
          <w:szCs w:val="22"/>
        </w:rPr>
        <w:t xml:space="preserve">Public API: GET https://api.chronx.io/wallet/badges/:wallet_address</w:t>
      </w:r>
    </w:p>
    <w:p>
      <w:pPr>
        <w:pStyle w:val="ListParagraph"/>
        <w:numPr>
          <w:ilvl w:val="0"/>
          <w:numId w:val="2"/>
        </w:numPr>
        <w:spacing w:before="60" w:after="60"/>
      </w:pPr>
      <w:r>
        <w:rPr>
          <w:rFonts w:ascii="Arial" w:cs="Arial" w:eastAsia="Arial" w:hAnsi="Arial"/>
          <w:sz w:val="22"/>
          <w:szCs w:val="22"/>
        </w:rPr>
        <w:t xml:space="preserve">Returns: [{badge_type, color, issued_by, expires_at}]</w:t>
      </w:r>
    </w:p>
    <w:p>
      <w:pPr>
        <w:pStyle w:val="ListParagraph"/>
        <w:numPr>
          <w:ilvl w:val="0"/>
          <w:numId w:val="2"/>
        </w:numPr>
        <w:spacing w:before="60" w:after="60"/>
      </w:pPr>
      <w:r>
        <w:rPr>
          <w:rFonts w:ascii="Arial" w:cs="Arial" w:eastAsia="Arial" w:hAnsi="Arial"/>
          <w:sz w:val="22"/>
          <w:szCs w:val="22"/>
        </w:rPr>
        <w:t xml:space="preserve">RPC: chronx_getVerifiedIdentity(wallet_b58) — latest identity record</w:t>
      </w:r>
    </w:p>
    <w:p>
      <w:pPr>
        <w:pStyle w:val="ListParagraph"/>
        <w:numPr>
          <w:ilvl w:val="0"/>
          <w:numId w:val="2"/>
        </w:numPr>
        <w:spacing w:before="60" w:after="60"/>
      </w:pPr>
      <w:r>
        <w:rPr>
          <w:rFonts w:ascii="Arial" w:cs="Arial" w:eastAsia="Arial" w:hAnsi="Arial"/>
          <w:sz w:val="22"/>
          <w:szCs w:val="22"/>
        </w:rPr>
        <w:t xml:space="preserve">Expired badges automatically filtered from API responses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K.4 CPNX Bond and Accountability</w:t>
      </w:r>
    </w:p>
    <w:p>
      <w:pPr>
        <w:spacing w:before="80" w:after="120"/>
        <w:jc w:val="both"/>
      </w:pPr>
      <w:r>
        <w:rPr>
          <w:rFonts w:ascii="Arial" w:cs="Arial" w:eastAsia="Arial" w:hAnsi="Arial"/>
          <w:sz w:val="22"/>
          <w:szCs w:val="22"/>
        </w:rPr>
        <w:t xml:space="preserve">CPNX holds 1,000,000 KX bond (wallet: 5g4Fcn8A9BigH8vvyNvVvTGksC6PVWTsQnvT8adRGfFp). This reflects identity risk, not financial risk. CPNX never holds or transfers participant funds. CPNX decides independently which verifications to perform. The Foundation governs only whether CPNX is admitted or removed from the registry. Removal causes all CPNX-issued checkmarks to become null immediately.</w:t>
      </w:r>
    </w:p>
    <w:p>
      <w:pPr>
        <w:spacing w:before="0" w:after="80"/>
      </w:pPr>
      <w:r>
        <w:t xml:space="preserve"/>
      </w:r>
    </w:p>
    <w:p>
      <w:r>
        <w:br w:type="page"/>
      </w:r>
    </w:p>
    <w:p>
      <w:pPr>
        <w:pStyle w:val="Heading1"/>
        <w:pBdr>
          <w:bottom w:val="single" w:color="C9A84C" w:sz="4" w:space="4"/>
        </w:pBdr>
        <w:spacing w:before="480" w:after="200"/>
      </w:pPr>
      <w:r>
        <w:rPr>
          <w:rFonts w:ascii="Arial" w:cs="Arial" w:eastAsia="Arial" w:hAnsi="Arial"/>
          <w:b/>
          <w:bCs/>
          <w:color w:val="1A1A2E"/>
          <w:sz w:val="36"/>
          <w:szCs w:val="36"/>
        </w:rPr>
        <w:t xml:space="preserve">Appendix L — HedgeKX Complete Reference</w:t>
      </w:r>
    </w:p>
    <w:p>
      <w:pPr>
        <w:spacing w:before="80" w:after="120"/>
        <w:jc w:val="both"/>
      </w:pPr>
      <w:r>
        <w:rPr>
          <w:rFonts w:ascii="Arial" w:cs="Arial" w:eastAsia="Arial" w:hAnsi="Arial"/>
          <w:sz w:val="22"/>
          <w:szCs w:val="22"/>
        </w:rPr>
        <w:t xml:space="preserve">HedgeKX is an Essential Protocol Partner and bilateral hedge instrument platform. This appendix is the complete technical reference for HedgeKX participants, instrument designers, and developers.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L.1 Mandate</w:t>
      </w:r>
    </w:p>
    <w:p>
      <w:pPr>
        <w:spacing w:before="80" w:after="120"/>
        <w:jc w:val="both"/>
      </w:pPr>
      <w:r>
        <w:rPr>
          <w:rFonts w:ascii="Arial" w:cs="Arial" w:eastAsia="Arial" w:hAnsi="Arial"/>
          <w:sz w:val="22"/>
          <w:szCs w:val="22"/>
        </w:rPr>
        <w:t xml:space="preserve">HedgeKX does exactly three things:</w:t>
      </w:r>
    </w:p>
    <w:p>
      <w:pPr>
        <w:pStyle w:val="ListParagraph"/>
        <w:numPr>
          <w:ilvl w:val="0"/>
          <w:numId w:val="2"/>
        </w:numPr>
        <w:spacing w:before="60" w:after="60"/>
      </w:pPr>
      <w:r>
        <w:rPr>
          <w:rFonts w:ascii="Arial" w:cs="Arial" w:eastAsia="Arial" w:hAnsi="Arial"/>
          <w:sz w:val="22"/>
          <w:szCs w:val="22"/>
        </w:rPr>
        <w:t xml:space="preserve">Operates a read-only order book where hedgers post available instruments and promise creators find coverage</w:t>
      </w:r>
    </w:p>
    <w:p>
      <w:pPr>
        <w:pStyle w:val="ListParagraph"/>
        <w:numPr>
          <w:ilvl w:val="0"/>
          <w:numId w:val="2"/>
        </w:numPr>
        <w:spacing w:before="60" w:after="60"/>
      </w:pPr>
      <w:r>
        <w:rPr>
          <w:rFonts w:ascii="Arial" w:cs="Arial" w:eastAsia="Arial" w:hAnsi="Arial"/>
          <w:sz w:val="22"/>
          <w:szCs w:val="22"/>
        </w:rPr>
        <w:t xml:space="preserve">Maintains standard TYPE S hedge instrument templates (governance-approved)</w:t>
      </w:r>
    </w:p>
    <w:p>
      <w:pPr>
        <w:pStyle w:val="ListParagraph"/>
        <w:numPr>
          <w:ilvl w:val="0"/>
          <w:numId w:val="2"/>
        </w:numPr>
        <w:spacing w:before="60" w:after="60"/>
      </w:pPr>
      <w:r>
        <w:rPr>
          <w:rFonts w:ascii="Arial" w:cs="Arial" w:eastAsia="Arial" w:hAnsi="Arial"/>
          <w:sz w:val="22"/>
          <w:szCs w:val="22"/>
        </w:rPr>
        <w:t xml:space="preserve">Attests oracle trigger conditions: reads XChan price data and confirms whether a hedge threshold has been breached</w:t>
      </w:r>
    </w:p>
    <w:p>
      <w:pPr>
        <w:spacing w:before="0" w:after="80"/>
      </w:pPr>
      <w:r>
        <w:t xml:space="preserve"/>
      </w:r>
    </w:p>
    <w:p>
      <w:pPr>
        <w:spacing w:before="80" w:after="120"/>
        <w:jc w:val="both"/>
      </w:pPr>
      <w:r>
        <w:rPr>
          <w:rFonts w:ascii="Arial" w:cs="Arial" w:eastAsia="Arial" w:hAnsi="Arial"/>
          <w:sz w:val="22"/>
          <w:szCs w:val="22"/>
        </w:rPr>
        <w:t xml:space="preserve">HedgeKX does not hold funds. Does not price instruments. Does not take positions. Does not manage pools. Does not guarantee outcomes. Does not make any decision about any instrument. Every hedge instrument is a bilateral contract between two wallets. HedgeKX is the venue, not the party.</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L.2 Current Governance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4760"/>
      </w:tblGrid>
      <w:tr>
        <w:tc>
          <w:tcPr>
            <w:tcW w:type="dxa" w:w="3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Parameter</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Current Value</w:t>
            </w:r>
          </w:p>
        </w:tc>
        <w:tc>
          <w:tcPr>
            <w:tcW w:type="dxa" w:w="4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hedgekx_max_daily_exposure_usd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$250</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Total daily exposure across all instruments. Resets midnight UTC.</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hedgekx_max_instrument_duration_seconds</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86,400</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maximum. Governance expansion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hedgekx_oracle_trigger_enabled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Automatic oracle execution. LIVE. Sweep runs every 60 seconds.</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hedgekx_compound_condition_enabled</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CompoundAND and LinkedSpring. PLANNED.</w:t>
            </w:r>
          </w:p>
        </w:tc>
      </w:tr>
      <w:tr>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hedgekx_third_party_licensing_enabled</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false</w:t>
            </w:r>
          </w:p>
        </w:tc>
        <w:tc>
          <w:tcPr>
            <w:tcW w:type="dxa" w:w="4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Third-party platform licensing. Future phase.</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L.3 Standard Overnight Hedge Instrument</w:t>
      </w:r>
    </w:p>
    <w:p>
      <w:pPr>
        <w:spacing w:before="80" w:after="120"/>
        <w:jc w:val="both"/>
      </w:pPr>
      <w:r>
        <w:rPr>
          <w:rFonts w:ascii="Arial" w:cs="Arial" w:eastAsia="Arial" w:hAnsi="Arial"/>
          <w:sz w:val="22"/>
          <w:szCs w:val="22"/>
        </w:rPr>
        <w:t xml:space="preserve">The standard TYPE S overnight hedge instrument. Both parties use this template. HedgeKX publishes it. Governance approves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Field</w:t>
            </w:r>
          </w:p>
        </w:tc>
        <w:tc>
          <w:tcPr>
            <w:tcW w:type="dxa" w:w="2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Value</w:t>
            </w:r>
          </w:p>
        </w:tc>
        <w:tc>
          <w:tcPr>
            <w:tcW w:type="dxa" w:w="4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condition_type</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HedgeKX oracle attestor confirms price movement. OracleTrigger planned.</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valid_until</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now + 86,400</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24 hours from creation</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oracle_trigger_threshold</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e.g. 0.92</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Fires if KX/USD drops to 92% of creation price (8% drop)</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success_payment_wallet</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Hedger’s wallet</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Receives premium here on clean expiry</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success_payment_chronos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[premium amount]</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Transferred to hedger automatically on clean expiry</w:t>
            </w:r>
          </w:p>
        </w:tc>
      </w:tr>
      <w:tr>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fallback</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Return</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Remaining KX returns to hedger if condition never fires</w:t>
            </w:r>
          </w:p>
        </w:tc>
      </w:tr>
      <w:tr>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escalation_wallet</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Optional: KXGC</w:t>
            </w:r>
          </w:p>
        </w:tc>
        <w:tc>
          <w:tcPr>
            <w:tcW w:type="dxa" w:w="4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 insurance pool hedges, KXGC as backstop authority</w:t>
            </w:r>
          </w:p>
        </w:tc>
      </w:tr>
    </w:tbl>
    <w:p>
      <w:pPr>
        <w:spacing w:before="0" w:after="80"/>
      </w:pPr>
      <w:r>
        <w:t xml:space="preserve"/>
      </w:r>
    </w:p>
    <w:p>
      <w:pPr>
        <w:spacing w:before="80" w:after="120"/>
        <w:jc w:val="both"/>
      </w:pPr>
      <w:r>
        <w:rPr>
          <w:rFonts w:ascii="Arial" w:cs="Arial" w:eastAsia="Arial" w:hAnsi="Arial"/>
          <w:b/>
          <w:bCs/>
          <w:sz w:val="22"/>
          <w:szCs w:val="22"/>
        </w:rPr>
        <w:t xml:space="preserve">What happens on clean expiry (condition never fired):</w:t>
      </w:r>
    </w:p>
    <w:p>
      <w:pPr>
        <w:pStyle w:val="ListParagraph"/>
        <w:numPr>
          <w:ilvl w:val="0"/>
          <w:numId w:val="2"/>
        </w:numPr>
        <w:spacing w:before="60" w:after="60"/>
      </w:pPr>
      <w:r>
        <w:rPr>
          <w:rFonts w:ascii="Arial" w:cs="Arial" w:eastAsia="Arial" w:hAnsi="Arial"/>
          <w:sz w:val="22"/>
          <w:szCs w:val="22"/>
        </w:rPr>
        <w:t xml:space="preserve">success_payment_chronos transfers to success_payment_wallet (hedger receives premium)</w:t>
      </w:r>
    </w:p>
    <w:p>
      <w:pPr>
        <w:pStyle w:val="ListParagraph"/>
        <w:numPr>
          <w:ilvl w:val="0"/>
          <w:numId w:val="2"/>
        </w:numPr>
        <w:spacing w:before="60" w:after="60"/>
      </w:pPr>
      <w:r>
        <w:rPr>
          <w:rFonts w:ascii="Arial" w:cs="Arial" w:eastAsia="Arial" w:hAnsi="Arial"/>
          <w:sz w:val="22"/>
          <w:szCs w:val="22"/>
        </w:rPr>
        <w:t xml:space="preserve">Remaining locked KX returns to hedger via fallback: Return</w:t>
      </w:r>
    </w:p>
    <w:p>
      <w:pPr>
        <w:pStyle w:val="ListParagraph"/>
        <w:numPr>
          <w:ilvl w:val="0"/>
          <w:numId w:val="2"/>
        </w:numPr>
        <w:spacing w:before="60" w:after="60"/>
      </w:pPr>
      <w:r>
        <w:rPr>
          <w:rFonts w:ascii="Arial" w:cs="Arial" w:eastAsia="Arial" w:hAnsi="Arial"/>
          <w:sz w:val="22"/>
          <w:szCs w:val="22"/>
        </w:rPr>
        <w:t xml:space="preserve">Instrument closes. Both parties have fulfilled their obligations.</w:t>
      </w:r>
    </w:p>
    <w:p>
      <w:pPr>
        <w:spacing w:before="0" w:after="80"/>
      </w:pPr>
      <w:r>
        <w:t xml:space="preserve"/>
      </w:r>
    </w:p>
    <w:p>
      <w:pPr>
        <w:spacing w:before="80" w:after="120"/>
        <w:jc w:val="both"/>
      </w:pPr>
      <w:r>
        <w:rPr>
          <w:rFonts w:ascii="Arial" w:cs="Arial" w:eastAsia="Arial" w:hAnsi="Arial"/>
          <w:b/>
          <w:bCs/>
          <w:sz w:val="22"/>
          <w:szCs w:val="22"/>
        </w:rPr>
        <w:t xml:space="preserve">What happens when condition fires:</w:t>
      </w:r>
    </w:p>
    <w:p>
      <w:pPr>
        <w:pStyle w:val="ListParagraph"/>
        <w:numPr>
          <w:ilvl w:val="0"/>
          <w:numId w:val="2"/>
        </w:numPr>
        <w:spacing w:before="60" w:after="60"/>
      </w:pPr>
      <w:r>
        <w:rPr>
          <w:rFonts w:ascii="Arial" w:cs="Arial" w:eastAsia="Arial" w:hAnsi="Arial"/>
          <w:sz w:val="22"/>
          <w:szCs w:val="22"/>
        </w:rPr>
        <w:t xml:space="preserve">HedgeKX oracle attestor submits AttestConditional</w:t>
      </w:r>
    </w:p>
    <w:p>
      <w:pPr>
        <w:pStyle w:val="ListParagraph"/>
        <w:numPr>
          <w:ilvl w:val="0"/>
          <w:numId w:val="2"/>
        </w:numPr>
        <w:spacing w:before="60" w:after="60"/>
      </w:pPr>
      <w:r>
        <w:rPr>
          <w:rFonts w:ascii="Arial" w:cs="Arial" w:eastAsia="Arial" w:hAnsi="Arial"/>
          <w:sz w:val="22"/>
          <w:szCs w:val="22"/>
        </w:rPr>
        <w:t xml:space="preserve">Protocol releases locked KX to recipient (the pool or promise creator)</w:t>
      </w:r>
    </w:p>
    <w:p>
      <w:pPr>
        <w:pStyle w:val="ListParagraph"/>
        <w:numPr>
          <w:ilvl w:val="0"/>
          <w:numId w:val="2"/>
        </w:numPr>
        <w:spacing w:before="60" w:after="60"/>
      </w:pPr>
      <w:r>
        <w:rPr>
          <w:rFonts w:ascii="Arial" w:cs="Arial" w:eastAsia="Arial" w:hAnsi="Arial"/>
          <w:sz w:val="22"/>
          <w:szCs w:val="22"/>
        </w:rPr>
        <w:t xml:space="preserve">success_payment does NOT execute (condition fired, premium is forfeit)</w:t>
      </w:r>
    </w:p>
    <w:p>
      <w:pPr>
        <w:pStyle w:val="ListParagraph"/>
        <w:numPr>
          <w:ilvl w:val="0"/>
          <w:numId w:val="2"/>
        </w:numPr>
        <w:spacing w:before="60" w:after="60"/>
      </w:pPr>
      <w:r>
        <w:rPr>
          <w:rFonts w:ascii="Arial" w:cs="Arial" w:eastAsia="Arial" w:hAnsi="Arial"/>
          <w:sz w:val="22"/>
          <w:szCs w:val="22"/>
        </w:rPr>
        <w:t xml:space="preserve">Instrument closes.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L.4 The Hedge Tower (Insurance Use Case)</w:t>
      </w:r>
    </w:p>
    <w:p>
      <w:pPr>
        <w:spacing w:before="80" w:after="120"/>
        <w:jc w:val="both"/>
      </w:pPr>
      <w:r>
        <w:rPr>
          <w:rFonts w:ascii="Arial" w:cs="Arial" w:eastAsia="Arial" w:hAnsi="Arial"/>
          <w:sz w:val="22"/>
          <w:szCs w:val="22"/>
        </w:rPr>
        <w:t xml:space="preserve">For PAY_AS insurance pools, three independent hedge layers protect against KX/USD conversion risk. Each layer is a separate TYPE S instrument between different parties. MISAI monitors coverage and sources replacements.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1400"/>
        <w:gridCol w:w="1200"/>
        <w:gridCol w:w="1000"/>
        <w:gridCol w:w="2560"/>
      </w:tblGrid>
      <w:tr>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2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Covers</w:t>
            </w:r>
          </w:p>
        </w:tc>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Duration</w:t>
            </w:r>
          </w:p>
        </w:tc>
        <w:tc>
          <w:tcPr>
            <w:tcW w:type="dxa" w:w="1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Premium</w:t>
            </w:r>
          </w:p>
        </w:tc>
        <w:tc>
          <w:tcPr>
            <w:tcW w:type="dxa" w:w="10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Status</w:t>
            </w:r>
          </w:p>
        </w:tc>
        <w:tc>
          <w:tcPr>
            <w:tcW w:type="dxa" w:w="2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Condition Type</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0 (Primary)</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KX depreciation</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days (rolling)</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Market-set</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Live today</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SingleAttestation (OracleTrigger planned)</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Layer 1 (Excess)</w:t>
            </w:r>
          </w:p>
        </w:tc>
        <w:tc>
          <w:tcPr>
            <w:tcW w:type="dxa" w:w="2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8–20% depreciation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 year</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~12%/year</w:t>
            </w:r>
          </w:p>
        </w:tc>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OracleTrigger + LinkedSpring</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Layer 2 (Catastrophe)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depreciation AND claim fires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Multi-year</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Negotiated</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Planned</w:t>
            </w:r>
          </w:p>
        </w:tc>
        <w:tc>
          <w:tcPr>
            <w:tcW w:type="dxa" w:w="2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CompoundAND (OracleTrigger + LinkedSpring)</w:t>
            </w:r>
          </w:p>
        </w:tc>
      </w:tr>
    </w:tbl>
    <w:p>
      <w:pPr>
        <w:spacing w:before="0" w:after="80"/>
      </w:pPr>
      <w:r>
        <w:t xml:space="preserve"/>
      </w:r>
    </w:p>
    <w:p>
      <w:pPr>
        <w:spacing w:before="80" w:after="120"/>
        <w:jc w:val="both"/>
      </w:pPr>
      <w:r>
        <w:rPr>
          <w:rFonts w:ascii="Arial" w:cs="Arial" w:eastAsia="Arial" w:hAnsi="Arial"/>
          <w:b/>
          <w:bCs/>
          <w:sz w:val="22"/>
          <w:szCs w:val="22"/>
        </w:rPr>
        <w:t xml:space="preserve">Layer 2 design insight:</w:t>
      </w:r>
    </w:p>
    <w:p>
      <w:pPr>
        <w:spacing w:before="80" w:after="120"/>
        <w:jc w:val="both"/>
      </w:pPr>
      <w:r>
        <w:rPr>
          <w:rFonts w:ascii="Arial" w:cs="Arial" w:eastAsia="Arial" w:hAnsi="Arial"/>
          <w:sz w:val="22"/>
          <w:szCs w:val="22"/>
        </w:rPr>
        <w:t xml:space="preserve">Layer 2 fires ONLY if KX drops more than 20% AND a PAY_AS claim has actually been attested. These are independent events. KX may drop 50% due to a market incident but if no covered properties suffered losses, Layer 2 never fires. The hedger retains their collateral and all premium income. Their exposure is strictly to the intersection of catastrophic KX crash and actual claim events.</w:t>
      </w:r>
    </w:p>
    <w:p>
      <w:pPr>
        <w:spacing w:before="0" w:after="80"/>
      </w:pPr>
      <w:r>
        <w:t xml:space="preserve"/>
      </w:r>
    </w:p>
    <w:p>
      <w:pPr>
        <w:pStyle w:val="Heading2"/>
        <w:spacing w:before="360" w:after="160"/>
      </w:pPr>
      <w:r>
        <w:rPr>
          <w:rFonts w:ascii="Arial" w:cs="Arial" w:eastAsia="Arial" w:hAnsi="Arial"/>
          <w:b/>
          <w:bCs/>
          <w:color w:val="2C3E6B"/>
          <w:sz w:val="28"/>
          <w:szCs w:val="28"/>
        </w:rPr>
        <w:t xml:space="preserve">L.5 PAY_AS Long-Horizon Hedging</w:t>
      </w:r>
    </w:p>
    <w:p>
      <w:pPr>
        <w:spacing w:before="80" w:after="120"/>
        <w:jc w:val="both"/>
      </w:pPr>
      <w:r>
        <w:rPr>
          <w:rFonts w:ascii="Arial" w:cs="Arial" w:eastAsia="Arial" w:hAnsi="Arial"/>
          <w:sz w:val="22"/>
          <w:szCs w:val="22"/>
        </w:rPr>
        <w:t xml:space="preserve">Certain PAY_AS promises — those guaranteed to execute, like Bob’s 20-year promise to Mary — require a different approach than contingent insurance instruments. The hedge_requirement field supports three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200"/>
        <w:gridCol w:w="37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Mode</w:t>
            </w:r>
          </w:p>
        </w:tc>
        <w:tc>
          <w:tcPr>
            <w:tcW w:type="dxa" w:w="42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7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Best For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Static</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Specific hedge instrument IDs linked at creation. Policy cannot activate without these instruments being Active.</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Short-term PAY_AS instruments where hedger is identified at creation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Dynamic</w:t>
            </w:r>
          </w:p>
        </w:tc>
        <w:tc>
          <w:tcPr>
            <w:tcW w:type="dxa" w:w="4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MISAI-managed pool backstop. Pool aggregates risk across many promises. Hedgers enter/exit on 30-day windows. MISAI sources replacements as hedges expire.</w:t>
            </w:r>
          </w:p>
        </w:tc>
        <w:tc>
          <w:tcPr>
            <w:tcW w:type="dxa" w:w="3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Long-horizon PAY_AS promises (5–20 years). Risk pooled across many instruments.</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None</w:t>
            </w:r>
          </w:p>
        </w:tc>
        <w:tc>
          <w:tcPr>
            <w:tcW w:type="dxa" w:w="4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 accepts KX/USD conversion risk at maturity. Lock activates immediately.</w:t>
            </w:r>
          </w:p>
        </w:tc>
        <w:tc>
          <w:tcPr>
            <w:tcW w:type="dxa" w:w="3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Grantors who believe KX will appreciate. No hedge premium cost.</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L.6 HedgeKX Evolution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560"/>
      </w:tblGrid>
      <w:tr>
        <w:tc>
          <w:tcPr>
            <w:tcW w:type="dxa" w:w="1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440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3560"/>
            <w:tcBorders>
              <w:top w:val="single" w:color="2C3E6B" w:sz="1"/>
              <w:left w:val="single" w:color="2C3E6B" w:sz="1"/>
              <w:bottom w:val="single" w:color="2C3E6B" w:sz="1"/>
              <w:right w:val="single" w:color="2C3E6B" w:sz="1"/>
            </w:tcBorders>
            <w:shd w:fill="2C3E6B" w:val="clear"/>
            <w:tcMar>
              <w:top w:type="dxa" w:w="80"/>
              <w:left w:type="dxa" w:w="120"/>
              <w:bottom w:type="dxa" w:w="80"/>
              <w:right w:type="dxa" w:w="120"/>
            </w:tcMar>
          </w:tcPr>
          <w:p>
            <w:r>
              <w:rPr>
                <w:rFonts w:ascii="Arial" w:cs="Arial" w:eastAsia="Arial" w:hAnsi="Arial"/>
                <w:b/>
                <w:bCs/>
                <w:color w:val="FFFFFF"/>
                <w:sz w:val="20"/>
                <w:szCs w:val="20"/>
              </w:rPr>
              <w:t xml:space="preserve">Trigger</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1 (Now)</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Overnight hedges only. $250 daily cap. Founder as sole test participant. SingleAttestation condition type.</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Genesis Zero</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2</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Duration expansion to 30 days. $2,500 daily cap. OracleTrigger condition type live. Market participants begin posting offers.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after OracleTrigger build session</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3</w:t>
            </w:r>
          </w:p>
        </w:tc>
        <w:tc>
          <w:tcPr>
            <w:tcW w:type="dxa" w:w="4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Excess-of-loss layer instruments. CompoundAND and LinkedSpring live. Full hedge tower operational. Institutional hedgers.</w:t>
            </w:r>
          </w:p>
        </w:tc>
        <w:tc>
          <w:tcPr>
            <w:tcW w:type="dxa" w:w="3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Governance vote after compound condition build session</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Phase 4</w:t>
            </w:r>
          </w:p>
        </w:tc>
        <w:tc>
          <w:tcPr>
            <w:tcW w:type="dxa" w:w="4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Third-party hedge platform licensing. HedgeKX becomes oracle operator and standard-setter. Multiple competing order books.</w:t>
            </w:r>
          </w:p>
        </w:tc>
        <w:tc>
          <w:tcPr>
            <w:tcW w:type="dxa" w:w="3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sz w:val="20"/>
                <w:szCs w:val="20"/>
              </w:rPr>
              <w:t xml:space="preserve">Governance vote when market volume justifies</w:t>
            </w:r>
          </w:p>
        </w:tc>
      </w:tr>
    </w:tbl>
    <w:p>
      <w:pPr>
        <w:spacing w:before="0" w:after="80"/>
      </w:pPr>
      <w:r>
        <w:t xml:space="preserve"/>
      </w:r>
    </w:p>
    <w:p>
      <w:pPr>
        <w:pStyle w:val="Heading2"/>
        <w:spacing w:before="360" w:after="160"/>
      </w:pPr>
      <w:r>
        <w:rPr>
          <w:rFonts w:ascii="Arial" w:cs="Arial" w:eastAsia="Arial" w:hAnsi="Arial"/>
          <w:b/>
          <w:bCs/>
          <w:color w:val="2C3E6B"/>
          <w:sz w:val="28"/>
          <w:szCs w:val="28"/>
        </w:rPr>
        <w:t xml:space="preserve">L.7 Liability and Disclosure</w:t>
      </w:r>
    </w:p>
    <w:p>
      <w:pPr>
        <w:spacing w:before="80" w:after="120"/>
        <w:jc w:val="both"/>
      </w:pPr>
      <w:r>
        <w:rPr>
          <w:rFonts w:ascii="Arial" w:cs="Arial" w:eastAsia="Arial" w:hAnsi="Arial"/>
          <w:sz w:val="22"/>
          <w:szCs w:val="22"/>
        </w:rPr>
        <w:t xml:space="preserve">Every hedge instrument participant signs a grantor_axiom_consent_hash before instrument creation. This hash proves the participant received and acknowledged the following:</w:t>
      </w:r>
    </w:p>
    <w:p>
      <w:pPr>
        <w:pStyle w:val="ListParagraph"/>
        <w:numPr>
          <w:ilvl w:val="0"/>
          <w:numId w:val="2"/>
        </w:numPr>
        <w:spacing w:before="60" w:after="60"/>
      </w:pPr>
      <w:r>
        <w:rPr>
          <w:rFonts w:ascii="Arial" w:cs="Arial" w:eastAsia="Arial" w:hAnsi="Arial"/>
          <w:sz w:val="22"/>
          <w:szCs w:val="22"/>
        </w:rPr>
        <w:t xml:space="preserve">This instrument will pay out if the specified condition is met. A payout is the instrument working as designed.</w:t>
      </w:r>
    </w:p>
    <w:p>
      <w:pPr>
        <w:pStyle w:val="ListParagraph"/>
        <w:numPr>
          <w:ilvl w:val="0"/>
          <w:numId w:val="2"/>
        </w:numPr>
        <w:spacing w:before="60" w:after="60"/>
      </w:pPr>
      <w:r>
        <w:rPr>
          <w:rFonts w:ascii="Arial" w:cs="Arial" w:eastAsia="Arial" w:hAnsi="Arial"/>
          <w:sz w:val="22"/>
          <w:szCs w:val="22"/>
        </w:rPr>
        <w:t xml:space="preserve">Loss on a correctly-executed hedge instrument is not fraud, misrepresentation, or failure by any party.</w:t>
      </w:r>
    </w:p>
    <w:p>
      <w:pPr>
        <w:pStyle w:val="ListParagraph"/>
        <w:numPr>
          <w:ilvl w:val="0"/>
          <w:numId w:val="2"/>
        </w:numPr>
        <w:spacing w:before="60" w:after="60"/>
      </w:pPr>
      <w:r>
        <w:rPr>
          <w:rFonts w:ascii="Arial" w:cs="Arial" w:eastAsia="Arial" w:hAnsi="Arial"/>
          <w:sz w:val="22"/>
          <w:szCs w:val="22"/>
        </w:rPr>
        <w:t xml:space="preserve">HedgeKX is a platform operator. It is not a party to this instrument. It does not guarantee any outcome.</w:t>
      </w:r>
    </w:p>
    <w:p>
      <w:pPr>
        <w:pStyle w:val="ListParagraph"/>
        <w:numPr>
          <w:ilvl w:val="0"/>
          <w:numId w:val="2"/>
        </w:numPr>
        <w:spacing w:before="60" w:after="60"/>
      </w:pPr>
      <w:r>
        <w:rPr>
          <w:rFonts w:ascii="Arial" w:cs="Arial" w:eastAsia="Arial" w:hAnsi="Arial"/>
          <w:sz w:val="22"/>
          <w:szCs w:val="22"/>
        </w:rPr>
        <w:t xml:space="preserve">Maximum loss is the amount committed. This is known and agreed to at creation.</w:t>
      </w:r>
    </w:p>
    <w:p>
      <w:pPr>
        <w:spacing w:before="0" w:after="80"/>
      </w:pPr>
      <w:r>
        <w:t xml:space="preserve"/>
      </w:r>
    </w:p>
    <w:p>
      <w:pPr>
        <w:spacing w:before="80" w:after="120"/>
        <w:jc w:val="both"/>
      </w:pPr>
      <w:r>
        <w:rPr>
          <w:rFonts w:ascii="Arial" w:cs="Arial" w:eastAsia="Arial" w:hAnsi="Arial"/>
          <w:sz w:val="22"/>
          <w:szCs w:val="22"/>
        </w:rPr>
        <w:t xml:space="preserve">All hedge instrument terms, trigger conditions, oracle sources, and payout histories are permanently recorded on the ChronX DAG and publicly queryable. This immutable record is the complete defense against any claim of misrepresentation. The instrument executed as written. The chain proves it.</w:t>
      </w:r>
    </w:p>
    <w:p>
      <w:pPr>
        <w:spacing w:before="200" w:after="120"/>
        <w:jc w:val="both"/>
      </w:pPr>
      <w:r>
        <w:rPr>
          <w:rFonts w:ascii="Arial" w:cs="Arial" w:eastAsia="Arial" w:hAnsi="Arial"/>
          <w:b/>
          <w:sz w:val="24"/>
          <w:szCs w:val="24"/>
        </w:rPr>
        <w:t xml:space="preserve">L.8 Synthetic Positions Disclosure</w:t>
      </w:r>
    </w:p>
    <w:p>
      <w:pPr>
        <w:spacing w:before="80" w:after="120"/>
        <w:jc w:val="both"/>
      </w:pPr>
      <w:r>
        <w:rPr>
          <w:rFonts w:ascii="Arial" w:cs="Arial" w:eastAsia="Arial" w:hAnsi="Arial"/>
          <w:sz w:val="22"/>
          <w:szCs w:val="22"/>
        </w:rPr>
        <w:t xml:space="preserve">A participant holding two wallets—or transacting with a related party—may use a PAY_AS loan combined with a HedgeKX instrument to construct a position economically equivalent to a call or put option on KX. The Foundation is aware of this use case. It is not prohibited. The $250 per-transaction governance cap and aggregate daily limits are the primary controls on the scale of such positions. HedgeKX does not operate as a derivatives exchange. Participants constructing synthetic positions do so as bilateral counterparties under standard instrument terms.</w:t>
      </w:r>
    </w:p>
    <w:p>
      <w:pPr>
        <w:spacing w:before="80" w:after="120"/>
        <w:jc w:val="both"/>
      </w:pPr>
      <w:r>
        <w:t>L.9 Principal-Protected Savings</w:t>
      </w:r>
    </w:p>
    <w:p>
      <w:pPr>
        <w:spacing w:before="80" w:after="120"/>
        <w:jc w:val="both"/>
      </w:pPr>
      <w:r>
        <w:rPr>
          <w:rFonts w:ascii="Arial" w:hAnsi="Arial"/>
          <w:sz w:val="22"/>
        </w:rPr>
        <w:t>KX holders may designate a portion of their wallet balance as savings. Savings balances are excluded from Auto-Sweep and loan repayment obligations. Optionally, savings may be invested in overnight HedgeKX instruments to earn yield.</w:t>
      </w:r>
    </w:p>
    <w:p>
      <w:pPr>
        <w:spacing w:before="80" w:after="120"/>
        <w:jc w:val="both"/>
      </w:pPr>
      <w:r>
        <w:rPr>
          <w:rFonts w:ascii="Arial" w:hAnsi="Arial"/>
          <w:sz w:val="22"/>
        </w:rPr>
        <w:t>The yield structure operates on two layers. The savings depositor acts as a hedge seller, earning a daily fraction of an annualised rate between zero and five percent. A superseding hedger commits USDC collateral to absorb any loss that would otherwise reduce the depositor’s principal. If no superseding hedger is available, the savings balance earns zero percent and holds KX without risk. Principal is never reduced.</w:t>
      </w:r>
    </w:p>
    <w:p>
      <w:pPr>
        <w:spacing w:before="80" w:after="120"/>
        <w:jc w:val="both"/>
      </w:pPr>
      <w:r>
        <w:rPr>
          <w:rFonts w:ascii="Arial" w:hAnsi="Arial"/>
          <w:sz w:val="22"/>
        </w:rPr>
        <w:t>Governance parameters control the maximum annual yield (savings_max_annual_yield_pct: 5.0) and whether HedgeKX investment is active (savings_hedgekx_yield_enabled). The feature requires a governance vote before public activation due to HedgeKX liquidity requirements.</w:t>
      </w:r>
    </w:p>
    <w:p>
      <w:pPr>
        <w:spacing w:before="80" w:after="120"/>
        <w:jc w:val="both"/>
      </w:pPr>
      <w:r>
        <w:rPr>
          <w:rFonts w:ascii="Arial" w:hAnsi="Arial"/>
          <w:b/>
          <w:sz w:val="22"/>
        </w:rPr>
        <w:t>L.10 wKX Provenance Architecture</w:t>
      </w:r>
    </w:p>
    <w:p>
      <w:pPr>
        <w:spacing w:before="80" w:after="120"/>
        <w:jc w:val="both"/>
      </w:pPr>
      <w:r>
        <w:rPr>
          <w:rFonts w:ascii="Arial" w:hAnsi="Arial"/>
          <w:sz w:val="22"/>
        </w:rPr>
        <w:t>wKX is a bridge instrument, not an investment product. It is minted against specific locked KX and burned upon settlement. wKX tokens are not designed to be held, traded, or speculated upon. Any wKX appearing on secondary markets without a corresponding active ChronX savings lock is unredeemable. The Uniswap pool exists solely as a price discovery mechanism for KX/USDC — not as a consumer market for wKX as an investment product.</w:t>
      </w:r>
    </w:p>
    <w:p>
      <w:pPr>
        <w:spacing w:before="80" w:after="120"/>
        <w:jc w:val="both"/>
      </w:pPr>
      <w:r>
        <w:rPr>
          <w:rFonts w:ascii="Arial" w:hAnsi="Arial"/>
          <w:sz w:val="22"/>
        </w:rPr>
        <w:t>Every wKX in existence derives from a specific ChronX DAG lock_id. No lock_id means no mint — enforced by the wKX contract itself. The contract tracks minted_per_lock[lock_id] and rejects duplicate mints. Once a lock_id is marked MATURED or INVALIDATED, any wKX minted against it becomes unredeemable.</w:t>
      </w:r>
    </w:p>
    <w:p>
      <w:pPr>
        <w:spacing w:before="80" w:after="120"/>
        <w:jc w:val="both"/>
      </w:pPr>
      <w:r>
        <w:rPr>
          <w:rFonts w:ascii="Arial" w:hAnsi="Arial"/>
          <w:sz w:val="22"/>
        </w:rPr>
        <w:t>Two-key security model: Key 1 (HedgeKX minting key, YubiHSM slot 1) and Key 2 (ChronX node attestation key, YubiHSM slot 2). Neither key alone can mint wKX. Fabricated lock_ids are impossible (BLAKE3 hashes of real DAG transactions). Extended lock expiry is impossible (expiry is in the immutable DAG). Minting after lock maturity is impossible (contract rejects matured lock_ids).</w:t>
      </w:r>
    </w:p>
    <w:p>
      <w:pPr>
        <w:spacing w:before="80" w:after="120"/>
        <w:jc w:val="both"/>
      </w:pPr>
      <w:r>
        <w:rPr>
          <w:rFonts w:ascii="Arial" w:hAnsi="Arial"/>
          <w:sz w:val="22"/>
        </w:rPr>
        <w:t>Hack response protocol: Hour 1 — governance emergency switch pauses minting. Hour 2 — publish on-chain proof that all savings locks are intact. Hour 6 — call admin_invalidate() on compromised lock_ids; stolen wKX becomes unredeemable. Days 1–30 — savings locks mature on schedule; KX returns automatically; stolen wKX becomes worthless. Do not re-seed the Uniswap pool until all stolen lock_ids are invalidated. Saver outcome in all scenarios: full principal returned.</w:t>
      </w:r>
    </w:p>
    <w:p>
      <w:pPr>
        <w:spacing w:before="80" w:after="120"/>
        <w:jc w:val="both"/>
      </w:pPr>
      <w:r>
        <w:rPr>
          <w:rFonts w:ascii="Arial" w:hAnsi="Arial"/>
          <w:sz w:val="22"/>
        </w:rPr>
        <w:t>Public auditability: the isRedeemable(lock_id) function allows anyone — journalists, regulators, users — to verify that any wKX in existence is backed by an active ChronX savings lock.</w:t>
      </w:r>
    </w:p>
    <w:p>
      <w:pPr>
        <w:spacing w:before="80" w:after="120"/>
        <w:jc w:val="both"/>
      </w:pPr>
      <w:r>
        <w:rPr>
          <w:rFonts w:ascii="Arial" w:hAnsi="Arial"/>
          <w:b/>
          <w:sz w:val="22"/>
        </w:rPr>
        <w:t>L.11 Friendly Loans</w:t>
      </w:r>
    </w:p>
    <w:p>
      <w:pPr>
        <w:spacing w:before="80" w:after="120"/>
        <w:jc w:val="both"/>
      </w:pPr>
      <w:r>
        <w:rPr>
          <w:rFonts w:ascii="Arial" w:hAnsi="Arial"/>
          <w:sz w:val="22"/>
        </w:rPr>
        <w:t>A friendly loan is a send variant where the recipient is expected to return the value within a set number of days. Zero protocol interest — the only cost is the hedge premium (currency risk protection). Total fee cap: 1% of loan value for 30 days (annualized ~12%). This is a hedge premium, not interest. HedgeKX is the sole oracle for pricing, drawing exclusively from XChan. friendly_loan_hedge_required is effectively immutable at scale — removing it would create protocol solvency risk.</w:t>
      </w:r>
    </w:p>
    <w:p>
      <w:pPr>
        <w:spacing w:before="80" w:after="120"/>
        <w:jc w:val="both"/>
      </w:pPr>
      <w:r>
        <w:rPr>
          <w:rFonts w:ascii="Arial" w:hAnsi="Arial"/>
          <w:sz w:val="22"/>
        </w:rPr>
        <w:t>Quote and lock flow: wallet queries HedgeKX for 10-second locked quote with depth reservation. Maximum 3 concurrent locks per wallet. User confirms within 10 seconds; hedge + promise created atomically via required_hedge_ids on TimeLockCreate. If unconfirmed, lock expires and depth is released at zero cost.</w:t>
      </w:r>
    </w:p>
    <w:p>
      <w:pPr>
        <w:spacing w:before="80" w:after="120"/>
        <w:jc w:val="both"/>
      </w:pPr>
      <w:r>
        <w:rPr>
          <w:rFonts w:ascii="Arial" w:hAnsi="Arial"/>
          <w:sz w:val="22"/>
        </w:rPr>
        <w:t>Dynamic loan cap: effective maximum is min(friendly_loan_max_usd_per_tx, hedgekx_available_capacity_usd × 0.80). As the open order book deepens post-ICO, the cap rises automatically. No governance intervention needed.</w:t>
      </w:r>
    </w:p>
    <w:p>
      <w:pPr>
        <w:spacing w:before="80" w:after="120"/>
        <w:jc w:val="both"/>
      </w:pPr>
      <w:r>
        <w:rPr>
          <w:rFonts w:ascii="Arial" w:hAnsi="Arial"/>
          <w:sz w:val="22"/>
        </w:rPr>
        <w:t>Reminder email schedule: 3 days before (gentle reminder), 1 day before (clear notice with payment instructions), on due date (final notice with payment link). For loans under 4 days, skip the 3-day reminder. For loans under 2 days, due-date email only. Tone is warm, not alarming. Friendly loans require a live HedgeKX hedge. If HedgeKX is paused, friendly loans are unavailable. This is correct: a loan that cannot be hedged cannot be made.</w:t>
      </w:r>
    </w:p>
    <w:p>
      <w:pPr>
        <w:spacing w:before="0" w:after="80"/>
      </w:pPr>
      <w:r>
        <w:t xml:space="preserve"/>
      </w:r>
    </w:p>
    <w:p>
      <w:r>
        <w:br w:type="page"/>
      </w:r>
    </w:p>
    <w:p>
      <w:r>
        <w:rPr/>
        <w:t>Appendix M — Savings Lock Technical Reference</w:t>
      </w:r>
    </w:p>
    <w:p>
      <w:r>
        <w:rPr>
          <w:rFonts w:ascii="Arial" w:hAnsi="Arial"/>
          <w:sz w:val="22"/>
        </w:rPr>
        <w:t>CreateSavingsLock fields: lock_type SAVINGS, savings_duration_days (1–365), hedgekx_mandate (bool), hedgekx_investable_fraction (max 0.90), auto_renew (bool), savings_reserve_pct (min 0.10). Debits spendable_balance, credits savings_balance. Exempt from auto-sweep and loan obligations. Principal cannot be seized by any protocol action.</w:t>
      </w:r>
    </w:p>
    <w:p>
      <w:r>
        <w:rPr>
          <w:rFonts w:ascii="Arial" w:hAnsi="Arial"/>
          <w:sz w:val="22"/>
        </w:rPr>
        <w:t>XChanConversionLock: lock_type XCHAN_CONVERSION, 60-second duration, created automatically when KX arrives at bridge wallet. Establishes provenance for wKX minting. If mint fails, lock expires and KX returns to sender. Creates permanent DAG record of every XChan conversion.</w:t>
      </w:r>
    </w:p>
    <w:p>
      <w:r>
        <w:rPr>
          <w:rFonts w:ascii="Arial" w:hAnsi="Arial"/>
          <w:sz w:val="22"/>
        </w:rPr>
        <w:t>wKX v3 contract: every mint() requires a valid lock_id (BLAKE3 hash of ChronX DAG transaction) plus node attestation signature. Neither the minting key nor the attestation key alone can mint. burnForMaturity() is called at lock maturity to burn wKX and release the ChronX lock. admin_invalidate() (multi-sig only) marks a lock_id as unredeemable instantly without affecting the underlying savings lock.</w:t>
      </w:r>
    </w:p>
    <w:p>
      <w:r>
        <w:rPr>
          <w:rFonts w:ascii="Arial" w:hAnsi="Arial"/>
          <w:sz w:val="22"/>
        </w:rPr>
        <w:t>Build sequence: Phase 1 (no HSM) — CreateSavingsLock and XChanConversionLock actions in transaction.rs, savings wallet UI, savings_wkx_mint_enabled: false. Phase 2 (YubiHSM arrives) — generate keys on HSM, deploy wKX v3 contract on Base, test end-to-end, enable savings yield. Phase 3 (post-ICO) — open HedgeKX order book, enable friendly loans, raise governance caps.</w:t>
      </w:r>
    </w:p>
    <w:p>
      <w:r>
        <w:rPr>
          <w:rFonts w:ascii="Arial" w:hAnsi="Arial"/>
          <w:b/>
          <w:sz w:val="22"/>
        </w:rPr>
        <w:t>M.6 — The YubiHSM Heartbeat Oracle</w:t>
      </w:r>
    </w:p>
    <w:p>
      <w:r>
        <w:rPr>
          <w:rFonts w:ascii="Arial" w:hAnsi="Arial"/>
          <w:b w:val="0"/>
          <w:sz w:val="22"/>
        </w:rPr>
        <w:t>The YubiHSM 2 FIPS generates a cryptographic sign of life every 30 seconds using a key that never leaves the hardware. This heartbeat is published to the wKX contract on Base via a lightweight relayer on the Mac Mini.</w:t>
      </w:r>
    </w:p>
    <w:p>
      <w:r>
        <w:rPr>
          <w:rFonts w:ascii="Arial" w:hAnsi="Arial"/>
          <w:b w:val="0"/>
          <w:sz w:val="22"/>
        </w:rPr>
        <w:t>The wKX contract enforces: if heartbeat age exceeds 120 seconds, mint() reverts automatically. No governance action required. No human decision needed. The halt is enforced by the contract itself.</w:t>
      </w:r>
    </w:p>
    <w:p>
      <w:r>
        <w:rPr>
          <w:rFonts w:ascii="Arial" w:hAnsi="Arial"/>
          <w:b w:val="0"/>
          <w:sz w:val="22"/>
        </w:rPr>
        <w:t>If the Mac Mini goes offline, the heartbeat stops. Minting halts automatically within 120 seconds. This is a feature, not a bug. A system that stops cleanly is more secure than one that continues operating under uncertain conditions.</w:t>
      </w:r>
    </w:p>
    <w:p>
      <w:r>
        <w:rPr>
          <w:rFonts w:ascii="Arial" w:hAnsi="Arial"/>
          <w:b w:val="0"/>
          <w:sz w:val="22"/>
        </w:rPr>
        <w:t>A thief who steals the YubiHSM faces: a contract that has already halted within 120 seconds, an HSM that is a brick without the PIN, zero ability to generate valid signatures, and zero ability to mint wKX.</w:t>
      </w:r>
    </w:p>
    <w:p>
      <w:r>
        <w:rPr>
          <w:rFonts w:ascii="Arial" w:hAnsi="Arial"/>
          <w:b w:val="0"/>
          <w:sz w:val="22"/>
        </w:rPr>
        <w:t>Existing savings locks are completely unaffected by any halt. They mature on schedule and return principal automatically regardless of the heartbeat status.</w:t>
      </w:r>
    </w:p>
    <w:p>
      <w:r>
        <w:rPr>
          <w:rFonts w:ascii="Arial" w:hAnsi="Arial"/>
          <w:b w:val="0"/>
          <w:sz w:val="22"/>
        </w:rPr>
        <w:t>Security properties with heartbeat oracle active: Steal HSM only → brick without PIN, halt in 120 seconds. Steal server credentials only → no HSM, no signatures. Steal both HSM and PIN → 120-second window, contract halting. DDoS Mac Mini → clean halt, savers unaffected, resumes on reconnect. Compromise Base contract → impossible, immutable once deployed. Compromise ChronX DAG → impossible, append-only, post-quantum. No exchange, bank, or DeFi protocol provides this level of automated security. The halt is not a failure mode. It is the security mechanism.</w:t>
      </w:r>
    </w:p>
    <w:p>
      <w:r>
        <w:rPr>
          <w:rFonts w:ascii="Arial" w:hAnsi="Arial"/>
          <w:b w:val="0"/>
          <w:sz w:val="22"/>
        </w:rPr>
        <w:t>Governance param: hsm_heartbeat_interval_seconds: 30. Governance param: hsm_heartbeat_max_age_seconds: 120.</w:t>
      </w:r>
    </w:p>
    <w:p>
      <w:r>
        <w:rPr>
          <w:rFonts w:ascii="Arial" w:hAnsi="Arial"/>
          <w:sz w:val="22"/>
        </w:rPr>
        <w:t>Appendix N — The Savings Guarantee: Technical and Legal Basis</w:t>
      </w:r>
    </w:p>
    <w:p>
      <w:r>
        <w:rPr>
          <w:rFonts w:ascii="Arial" w:hAnsi="Arial"/>
          <w:sz w:val="22"/>
        </w:rPr>
        <w:t>Why the principal guarantee is absolute: The KX is on the DAG, not in anyone’s custody. The DAG is append-only — no entity can modify a lock. Maturity is time-triggered, not human-triggered. Post-quantum cryptography (CRYSTALS-Dilithium2) protects against computational attacks.</w:t>
      </w:r>
    </w:p>
    <w:p>
      <w:r>
        <w:rPr>
          <w:rFonts w:ascii="Arial" w:hAnsi="Arial"/>
          <w:sz w:val="22"/>
        </w:rPr>
        <w:t>What HedgeKX receives (a mandate, not custody): HedgeKX holds a time-limited permission to mint wKX. HedgeKX never holds the underlying KX. The mandate expires automatically — governance cannot extend it. If the mandate expires without being honored, the ChronX lock releases regardless.</w:t>
      </w:r>
    </w:p>
    <w:p>
      <w:r>
        <w:rPr>
          <w:rFonts w:ascii="Arial" w:hAnsi="Arial"/>
          <w:sz w:val="22"/>
        </w:rPr>
        <w:t>Why wKX minting is not inflation: wKX is 1:1 backed by locked KX. Total KX on ChronX DAG + total wKX on Base = 8,270,000,000 always. wKX is temporary representation, not new supply. At lock maturity: wKX burned, ChronX lock releases — net change: zero.</w:t>
      </w:r>
    </w:p>
    <w:p>
      <w:r>
        <w:rPr>
          <w:rFonts w:ascii="Arial" w:hAnsi="Arial"/>
          <w:sz w:val="22"/>
        </w:rPr>
        <w:t>Why wKX cannot be defaulted on: wKX is a bridge token, not a debt instrument. It does not represent a promise to pay — it represents locked KX. If wKX circulates without a corresponding active lock, it is unredeemable and worthless by contract enforcement. Friendly loan default risk falls on the lender, not the saver. The saver’s principal is protected regardless of what borrowers do.</w:t>
      </w:r>
    </w:p>
    <w:p>
      <w:r>
        <w:rPr>
          <w:rFonts w:ascii="Arial" w:hAnsi="Arial"/>
          <w:sz w:val="22"/>
        </w:rPr>
        <w:t>Comparison to traditional banking: A bank CD protects principal via FDIC (capped, exhaustible, discretionary). ChronX savings protects principal via the DAG (uncapped, inexhaustible, mathematical). Bank savings yield is guaranteed by contract (can default). ChronX yield is market-determined (zero if no market activity, principal unaffected).</w:t>
      </w:r>
    </w:p>
    <w:p>
      <w:r>
        <w:rPr>
          <w:rFonts w:ascii="Arial" w:hAnsi="Arial"/>
          <w:sz w:val="22"/>
        </w:rPr>
        <w:t>Legal note: KX is a utility token. This is not a deposit account, not a security, and not FDIC-insured. The guarantee described is a cryptographic and protocol guarantee, not a legal or financial guarantee under any jurisdiction’s banking law.</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00"/>
      <w:outlineLvl w:val="0"/>
    </w:pPr>
    <w:rPr>
      <w:rFonts w:ascii="Arial" w:cs="Arial" w:eastAsia="Arial" w:hAnsi="Arial"/>
      <w:b/>
      <w:bCs/>
      <w:color w:val="1A1A2E"/>
      <w:sz w:val="36"/>
      <w:szCs w:val="36"/>
    </w:rPr>
  </w:style>
  <w:style w:type="paragraph" w:styleId="Heading2">
    <w:name w:val="Heading 2"/>
    <w:basedOn w:val="Normal"/>
    <w:next w:val="Normal"/>
    <w:qFormat/>
    <w:pPr>
      <w:spacing w:before="360" w:after="160"/>
      <w:outlineLvl w:val="1"/>
    </w:pPr>
    <w:rPr>
      <w:rFonts w:ascii="Arial" w:cs="Arial" w:eastAsia="Arial" w:hAnsi="Arial"/>
      <w:b/>
      <w:bCs/>
      <w:color w:val="2C3E6B"/>
      <w:sz w:val="28"/>
      <w:szCs w:val="28"/>
    </w:rPr>
  </w:style>
  <w:style w:type="paragraph" w:styleId="Heading3">
    <w:name w:val="Heading 3"/>
    <w:basedOn w:val="Normal"/>
    <w:next w:val="Normal"/>
    <w:qFormat/>
    <w:pPr>
      <w:spacing w:before="280" w:after="120"/>
      <w:outlineLvl w:val="2"/>
    </w:pPr>
    <w:rPr>
      <w:rFonts w:ascii="Arial" w:cs="Arial" w:eastAsia="Arial" w:hAnsi="Arial"/>
      <w:b/>
      <w:bCs/>
      <w:color w:val="2C3E6B"/>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2026-03-25T15:59:09.801Z</dcterms:created>
  <dcterms:modified xsi:type="dcterms:W3CDTF">2026-03-25T15:59:09.803Z</dcterms:modified>
</cp:coreProperties>
</file>

<file path=docProps/custom.xml><?xml version="1.0" encoding="utf-8"?>
<Properties xmlns="http://schemas.openxmlformats.org/officeDocument/2006/custom-properties" xmlns:vt="http://schemas.openxmlformats.org/officeDocument/2006/docPropsVTypes"/>
</file>