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b/>
          <w:bCs/>
          <w:color w:val="C9A84C"/>
          <w:sz w:val="72"/>
          <w:szCs w:val="72"/>
        </w:rPr>
        <w:t xml:space="preserve">CHRONX PROTOCOL</w:t>
      </w:r>
    </w:p>
    <w:p>
      <w:pPr>
        <w:spacing w:before="0" w:after="80"/>
        <w:jc w:val="center"/>
      </w:pPr>
      <w:r>
        <w:rPr>
          <w:rFonts w:ascii="Arial" w:cs="Arial" w:eastAsia="Arial" w:hAnsi="Arial"/>
          <w:b/>
          <w:bCs/>
          <w:color w:val="2C3E6B"/>
          <w:sz w:val="40"/>
          <w:szCs w:val="40"/>
        </w:rPr>
        <w:t xml:space="preserve">Whitepaper — Version One</w:t>
      </w:r>
    </w:p>
    <w:p>
      <w:pPr>
        <w:spacing w:before="0" w:after="400"/>
        <w:jc w:val="center"/>
      </w:pPr>
      <w:r>
        <w:rPr>
          <w:rFonts w:ascii="Arial" w:cs="Arial" w:eastAsia="Arial" w:hAnsi="Arial"/>
          <w:i/>
          <w:iCs/>
          <w:color w:val="666666"/>
          <w:sz w:val="28"/>
          <w:szCs w:val="28"/>
        </w:rPr>
        <w:t xml:space="preserve">The Promise Protocol — Genesis Zero</w:t>
      </w:r>
    </w:p>
    <w:p>
      <w:pPr>
        <w:pBdr>
          <w:bottom w:val="single" w:color="C9A84C" w:sz="2" w:space="4"/>
        </w:pBdr>
        <w:spacing w:before="160" w:after="160"/>
      </w:pPr>
      <w:r>
        <w:t xml:space="preserve"/>
      </w:r>
    </w:p>
    <w:p>
      <w:pPr>
        <w:spacing w:before="240" w:after="120"/>
        <w:jc w:val="center"/>
      </w:pPr>
      <w:r>
        <w:rPr>
          <w:rFonts w:ascii="Arial" w:cs="Arial" w:eastAsia="Arial" w:hAnsi="Arial"/>
          <w:color w:val="2C3E6B"/>
          <w:sz w:val="22"/>
          <w:szCs w:val="22"/>
        </w:rPr>
        <w:t xml:space="preserve">Genesis Zero  ·  Post-Quantum Cryptography  ·  Zero Fees</w:t>
      </w:r>
    </w:p>
    <w:p>
      <w:pPr>
        <w:spacing w:before="0" w:after="120"/>
        <w:jc w:val="center"/>
      </w:pPr>
      <w:r>
        <w:rPr>
          <w:rFonts w:ascii="Arial" w:cs="Arial" w:eastAsia="Arial" w:hAnsi="Arial"/>
          <w:b/>
          <w:bCs/>
          <w:color w:val="1A1A2E"/>
          <w:sz w:val="22"/>
          <w:szCs w:val="22"/>
        </w:rPr>
        <w:t xml:space="preserve">ICO: September 22, 2026  ·  $0.00319 per KX</w:t>
      </w:r>
    </w:p>
    <w:p>
      <w:pPr>
        <w:spacing w:before="0" w:after="400"/>
        <w:jc w:val="center"/>
      </w:pPr>
      <w:r>
        <w:rPr>
          <w:rFonts w:ascii="Arial" w:cs="Arial" w:eastAsia="Arial" w:hAnsi="Arial"/>
          <w:color w:val="C9A84C"/>
          <w:sz w:val="22"/>
          <w:szCs w:val="22"/>
        </w:rPr>
        <w:t xml:space="preserve">chronx.io</w:t>
      </w:r>
    </w:p>
    <w:p>
      <w:pPr>
        <w:pBdr>
          <w:bottom w:val="single" w:color="C9A84C" w:sz="2" w:space="4"/>
        </w:pBdr>
        <w:spacing w:before="160" w:after="16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i/>
          <w:iCs/>
          <w:color w:val="666666"/>
          <w:sz w:val="22"/>
          <w:szCs w:val="22"/>
        </w:rPr>
        <w:t xml:space="preserve">“ChronX does not merely record that a promise was made.
ChronX makes the promise inevitable.”</w:t>
      </w:r>
    </w:p>
    <w:p>
      <w:pPr>
        <w:spacing w:before="0" w:after="80"/>
      </w:pPr>
      <w:r>
        <w:t xml:space="preserve"/>
      </w:r>
    </w:p>
    <w:p>
      <w:pPr>
        <w:jc w:val="center"/>
      </w:pPr>
      <w:r>
        <w:rPr>
          <w:rFonts w:ascii="Arial" w:cs="Arial" w:eastAsia="Arial" w:hAnsi="Arial"/>
          <w:color w:val="666666"/>
          <w:sz w:val="20"/>
          <w:szCs w:val="20"/>
        </w:rPr>
        <w:t xml:space="preserve">March 25, 2026</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1. Everything is a Promise</w:t>
      </w:r>
    </w:p>
    <w:p>
      <w:pPr>
        <w:spacing w:before="80" w:after="120"/>
        <w:jc w:val="both"/>
      </w:pPr>
      <w:r>
        <w:rPr>
          <w:rFonts w:ascii="Arial" w:cs="Arial" w:eastAsia="Arial" w:hAnsi="Arial"/>
          <w:sz w:val="22"/>
          <w:szCs w:val="22"/>
        </w:rPr>
        <w:t xml:space="preserve">On ChronX Protocol, everything is a promise.</w:t>
      </w:r>
    </w:p>
    <w:p>
      <w:pPr>
        <w:spacing w:before="80" w:after="120"/>
        <w:jc w:val="both"/>
      </w:pPr>
      <w:r>
        <w:rPr>
          <w:rFonts w:ascii="Arial" w:cs="Arial" w:eastAsia="Arial" w:hAnsi="Arial"/>
          <w:sz w:val="22"/>
          <w:szCs w:val="22"/>
        </w:rPr>
        <w:t xml:space="preserve">A time-locked gift to your daughter on her eighteenth birthday: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120"/>
        <w:jc w:val="both"/>
      </w:pPr>
      <w:r>
        <w:rPr>
          <w:rFonts w:ascii="Arial" w:cs="Arial" w:eastAsia="Arial" w:hAnsi="Arial"/>
          <w:sz w:val="22"/>
          <w:szCs w:val="22"/>
        </w:rPr>
        <w:t xml:space="preserve">One idea. Infinite applications.</w:t>
      </w:r>
    </w:p>
    <w:p>
      <w:pPr>
        <w:spacing w:before="80" w:after="12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120"/>
        <w:jc w:val="both"/>
      </w:pPr>
      <w:r>
        <w:rPr>
          <w:rFonts w:ascii="Arial" w:cs="Arial" w:eastAsia="Arial" w:hAnsi="Arial"/>
          <w:sz w:val="22"/>
          <w:szCs w:val="22"/>
        </w:rPr>
        <w:t xml:space="preserve">The protocol does not judge the wisdom of a promise. It enforces it.</w:t>
      </w:r>
    </w:p>
    <w:p>
      <w:pPr>
        <w:spacing w:before="80" w:after="12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2. The DAG</w:t>
      </w:r>
    </w:p>
    <w:p>
      <w:pPr>
        <w:spacing w:before="80" w:after="12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12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pStyle w:val="Heading2"/>
        <w:spacing w:before="360" w:after="160"/>
      </w:pPr>
      <w:r>
        <w:rPr>
          <w:rFonts w:ascii="Arial" w:cs="Arial" w:eastAsia="Arial" w:hAnsi="Arial"/>
          <w:b/>
          <w:bCs/>
          <w:color w:val="2C3E6B"/>
          <w:sz w:val="28"/>
          <w:szCs w:val="28"/>
        </w:rPr>
        <w:t xml:space="preserve">Why Free Matters</w:t>
      </w:r>
    </w:p>
    <w:p>
      <w:pPr>
        <w:spacing w:before="80" w:after="12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12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pStyle w:val="Heading2"/>
        <w:spacing w:before="360" w:after="160"/>
      </w:pPr>
      <w:r>
        <w:rPr>
          <w:rFonts w:ascii="Arial" w:cs="Arial" w:eastAsia="Arial" w:hAnsi="Arial"/>
          <w:b/>
          <w:bCs/>
          <w:color w:val="2C3E6B"/>
          <w:sz w:val="28"/>
          <w:szCs w:val="28"/>
        </w:rPr>
        <w:t xml:space="preserve">Why Immutability Matters for Promises</w:t>
      </w:r>
    </w:p>
    <w:p>
      <w:pPr>
        <w:spacing w:before="80" w:after="120"/>
        <w:jc w:val="both"/>
      </w:pPr>
      <w:r>
        <w:rPr>
          <w:rFonts w:ascii="Arial" w:cs="Arial" w:eastAsia="Arial" w:hAnsi="Arial"/>
          <w:sz w:val="22"/>
          <w:szCs w:val="22"/>
        </w:rPr>
        <w:t xml:space="preserve">A promise is only as good as the system that enforces it. If a centralized database can be edited, the promise can be edited. ChronX’s DAG is append-only. Once a promise is recorded, it exists forever. The sender cannot take it back (unless they specified a cancellation window). The protocol cannot modify it. The foundation cannot override it.</w:t>
      </w:r>
    </w:p>
    <w:p>
      <w:pPr>
        <w:pStyle w:val="Heading2"/>
        <w:spacing w:before="360" w:after="160"/>
      </w:pPr>
      <w:r>
        <w:rPr>
          <w:rFonts w:ascii="Arial" w:cs="Arial" w:eastAsia="Arial" w:hAnsi="Arial"/>
          <w:b/>
          <w:bCs/>
          <w:color w:val="2C3E6B"/>
          <w:sz w:val="28"/>
          <w:szCs w:val="28"/>
        </w:rPr>
        <w:t xml:space="preserve">KX: The Unit of Account</w:t>
      </w:r>
    </w:p>
    <w:p>
      <w:pPr>
        <w:spacing w:before="80" w:after="12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pStyle w:val="Heading2"/>
        <w:spacing w:before="360" w:after="160"/>
      </w:pPr>
      <w:r>
        <w:rPr>
          <w:rFonts w:ascii="Arial" w:cs="Arial" w:eastAsia="Arial" w:hAnsi="Arial"/>
          <w:b/>
          <w:bCs/>
          <w:color w:val="2C3E6B"/>
          <w:sz w:val="28"/>
          <w:szCs w:val="28"/>
        </w:rPr>
        <w:t xml:space="preserve">Nodes and Security</w:t>
      </w:r>
    </w:p>
    <w:p>
      <w:pPr>
        <w:spacing w:before="80" w:after="12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(20 bits leading zeros) and CRYSTALS-Dilithium2 post-quantum digital signatures. Every wallet is quantum-resistant from day one.</w:t>
      </w:r>
    </w:p>
    <w:p>
      <w:pPr>
        <w:spacing w:before="80" w:after="12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3. Promises in Any Currency</w:t>
      </w:r>
    </w:p>
    <w:p>
      <w:pPr>
        <w:spacing w:before="80" w:after="120"/>
        <w:jc w:val="both"/>
      </w:pPr>
      <w:r>
        <w:rPr>
          <w:rFonts w:ascii="Arial" w:cs="Arial" w:eastAsia="Arial" w:hAnsi="Arial"/>
          <w:sz w:val="22"/>
          <w:szCs w:val="22"/>
        </w:rPr>
        <w:t xml:space="preserve">KX is the reserve. Not necessarily the currency you see.</w:t>
      </w:r>
    </w:p>
    <w:p>
      <w:pPr>
        <w:spacing w:before="80" w:after="12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40" w:after="60"/>
      </w:pPr>
      <w:r>
        <w:rPr>
          <w:rFonts w:ascii="Arial" w:cs="Arial" w:eastAsia="Arial" w:hAnsi="Arial"/>
          <w:color w:val="666666"/>
          <w:sz w:val="18"/>
          <w:szCs w:val="18"/>
        </w:rPr>
        <w:t xml:space="preserve">Governance: pay_as_max_usd = $250 per transaction. Subject to governance adjustment.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5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0" w:after="80"/>
      </w:pPr>
      <w:r>
        <w:t xml:space="preserve"/>
      </w:r>
    </w:p>
    <w:p>
      <w:pPr>
        <w:spacing w:before="80" w:after="12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4. The Essential Protocol Partners</w:t>
      </w:r>
    </w:p>
    <w:p>
      <w:pPr>
        <w:spacing w:before="80" w:after="120"/>
        <w:jc w:val="both"/>
      </w:pPr>
      <w:r>
        <w:rPr>
          <w:rFonts w:ascii="Arial" w:cs="Arial" w:eastAsia="Arial" w:hAnsi="Arial"/>
          <w:sz w:val="22"/>
          <w:szCs w:val="22"/>
        </w:rPr>
        <w:t xml:space="preserve">ChronX is the protocol. Around it, six bonded organizations extend its capabilities into specialized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pStyle w:val="Heading2"/>
        <w:spacing w:before="360" w:after="160"/>
      </w:pPr>
      <w:r>
        <w:rPr>
          <w:rFonts w:ascii="Arial" w:cs="Arial" w:eastAsia="Arial" w:hAnsi="Arial"/>
          <w:b/>
          <w:bCs/>
          <w:color w:val="2C3E6B"/>
          <w:sz w:val="28"/>
          <w:szCs w:val="28"/>
        </w:rPr>
        <w:t xml:space="preserve">4.1 MISAI — The AI Executor</w:t>
      </w:r>
    </w:p>
    <w:p>
      <w:pPr>
        <w:spacing w:before="80" w:after="12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40" w:after="60"/>
      </w:pPr>
      <w:r>
        <w:rPr>
          <w:rFonts w:ascii="Arial" w:cs="Arial" w:eastAsia="Arial" w:hAnsi="Arial"/>
          <w:color w:val="666666"/>
          <w:sz w:val="18"/>
          <w:szCs w:val="18"/>
        </w:rPr>
        <w:t xml:space="preserve">Governance: misai_conservative_batch_only = true. Full autonomous operation requires a governance vote.</w:t>
      </w:r>
    </w:p>
    <w:p>
      <w:pPr>
        <w:pStyle w:val="Heading2"/>
        <w:spacing w:before="360" w:after="160"/>
      </w:pPr>
      <w:r>
        <w:rPr>
          <w:rFonts w:ascii="Arial" w:cs="Arial" w:eastAsia="Arial" w:hAnsi="Arial"/>
          <w:b/>
          <w:bCs/>
          <w:color w:val="2C3E6B"/>
          <w:sz w:val="28"/>
          <w:szCs w:val="28"/>
        </w:rPr>
        <w:t xml:space="preserve">4.2 Verifas — The Human Attestation Layer</w:t>
      </w:r>
    </w:p>
    <w:p>
      <w:pPr>
        <w:spacing w:before="80" w:after="12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pStyle w:val="Heading2"/>
        <w:spacing w:before="360" w:after="160"/>
      </w:pPr>
      <w:r>
        <w:rPr>
          <w:rFonts w:ascii="Arial" w:cs="Arial" w:eastAsia="Arial" w:hAnsi="Arial"/>
          <w:b/>
          <w:bCs/>
          <w:color w:val="2C3E6B"/>
          <w:sz w:val="28"/>
          <w:szCs w:val="28"/>
        </w:rPr>
        <w:t xml:space="preserve">4.3 XChan — The Protocol Exchange</w:t>
      </w:r>
    </w:p>
    <w:p>
      <w:pPr>
        <w:spacing w:before="80" w:after="120"/>
        <w:jc w:val="both"/>
      </w:pPr>
      <w:r>
        <w:rPr>
          <w:rFonts w:ascii="Arial" w:cs="Arial" w:eastAsia="Arial" w:hAnsi="Arial"/>
          <w:sz w:val="22"/>
          <w:szCs w:val="22"/>
        </w:rPr>
        <w:t xml:space="preserve">XChan (xchan.io) is the exchange that powers PAY_AS calculations. XChan provides the price oracle — a 7-day volume-weighted average of KX/USDC trades — that determines how much KX is required to deliver a promised USD amount. XChan also provides direct KX/USDC conversion via wKX on Base chain and Uniswap v3. XChan holds a 10,000,000 KX bond. In the future XChan may license third-party conversion services.</w:t>
      </w:r>
    </w:p>
    <w:p>
      <w:pPr>
        <w:pStyle w:val="Heading2"/>
        <w:spacing w:before="360" w:after="160"/>
      </w:pPr>
      <w:r>
        <w:rPr>
          <w:rFonts w:ascii="Arial" w:cs="Arial" w:eastAsia="Arial" w:hAnsi="Arial"/>
          <w:b/>
          <w:bCs/>
          <w:color w:val="2C3E6B"/>
          <w:sz w:val="28"/>
          <w:szCs w:val="28"/>
        </w:rPr>
        <w:t xml:space="preserve">4.4 HedgeKX — The Hedge Market Platform</w:t>
      </w:r>
    </w:p>
    <w:p>
      <w:pPr>
        <w:spacing w:before="80" w:after="120"/>
        <w:jc w:val="both"/>
      </w:pPr>
      <w:r>
        <w:rPr>
          <w:rFonts w:ascii="Arial" w:cs="Arial" w:eastAsia="Arial" w:hAnsi="Arial"/>
          <w:sz w:val="22"/>
          <w:szCs w:val="22"/>
        </w:rPr>
        <w:t xml:space="preserve">HedgeKX (hedgekx.io) is the platform for bilateral KX/USD hedge instruments. HedgeKX makes zero decisions — it does not price instruments, manage funds, take positions, or guarantee outcomes. It operates an order book where hedgers post offers and promise creators link to them. Settlement is automatic on the DAG. HedgeKX holds a 10,000,000 KX bond.</w:t>
      </w:r>
    </w:p>
    <w:p>
      <w:pPr>
        <w:spacing w:before="80" w:after="120"/>
        <w:jc w:val="both"/>
      </w:pPr>
      <w:r>
        <w:rPr>
          <w:rFonts w:ascii="Arial" w:cs="Arial" w:eastAsia="Arial" w:hAnsi="Arial"/>
          <w:sz w:val="22"/>
          <w:szCs w:val="22"/>
        </w:rPr>
        <w:t xml:space="preserve">Today HedgeKX operates in its founding phase: overnight hedges only, $250 maximum daily exposure, with the founding developer seeding both sides of the market as the first test participant. As the market matures, HedgeKX will expand durations by governance vote, and ultimately transition to an oracle operator and licensing platform for third-party hedge market operators.</w:t>
      </w:r>
    </w:p>
    <w:p>
      <w:pPr>
        <w:spacing w:before="40" w:after="60"/>
      </w:pPr>
      <w:r>
        <w:rPr>
          <w:rFonts w:ascii="Arial" w:cs="Arial" w:eastAsia="Arial" w:hAnsi="Arial"/>
          <w:color w:val="666666"/>
          <w:sz w:val="18"/>
          <w:szCs w:val="18"/>
        </w:rPr>
        <w:t xml:space="preserve">Governance: hedgekx_max_daily_exposure_usd = $250. hedgekx_max_instrument_duration_seconds = 86,400 (24 hours). Both subject to governance expansion.</w:t>
      </w:r>
    </w:p>
    <w:p>
      <w:pPr>
        <w:spacing w:before="40" w:after="60"/>
      </w:pPr>
      <w:r>
        <w:rPr>
          <w:rFonts w:ascii="Arial" w:cs="Arial" w:eastAsia="Arial" w:hAnsi="Arial"/>
          <w:color w:val="666666"/>
          <w:sz w:val="18"/>
          <w:szCs w:val="18"/>
        </w:rPr>
        <w:t xml:space="preserve">Mandate: HedgeKX is a platform only. It does not underwrite, guarantee, or take positions in any instrument. Hedge instruments are bilateral forex contracts between two parties. Loss on a correctly-executed instrument is not fraud. It is the instrument working as designed.</w:t>
      </w:r>
    </w:p>
    <w:p>
      <w:pPr>
        <w:pStyle w:val="Heading2"/>
        <w:spacing w:before="360" w:after="160"/>
      </w:pPr>
      <w:r>
        <w:rPr>
          <w:rFonts w:ascii="Arial" w:cs="Arial" w:eastAsia="Arial" w:hAnsi="Arial"/>
          <w:b/>
          <w:bCs/>
          <w:color w:val="2C3E6B"/>
          <w:sz w:val="28"/>
          <w:szCs w:val="28"/>
        </w:rPr>
        <w:t xml:space="preserve">4.5 CPNX — Identity and Badges</w:t>
      </w:r>
    </w:p>
    <w:p>
      <w:pPr>
        <w:spacing w:before="80" w:after="12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pStyle w:val="Heading2"/>
        <w:spacing w:before="360" w:after="160"/>
      </w:pPr>
      <w:r>
        <w:rPr>
          <w:rFonts w:ascii="Arial" w:cs="Arial" w:eastAsia="Arial" w:hAnsi="Arial"/>
          <w:b/>
          <w:bCs/>
          <w:color w:val="2C3E6B"/>
          <w:sz w:val="28"/>
          <w:szCs w:val="28"/>
        </w:rPr>
        <w:t xml:space="preserve">4.6 KXGC — KX Guarantee Co.</w:t>
      </w:r>
    </w:p>
    <w:p>
      <w:pPr>
        <w:spacing w:before="80" w:after="12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120"/>
        <w:jc w:val="both"/>
      </w:pPr>
      <w:r>
        <w:rPr>
          <w:rFonts w:ascii="Arial" w:cs="Arial" w:eastAsia="Arial" w:hAnsi="Arial"/>
          <w:sz w:val="22"/>
          <w:szCs w:val="22"/>
        </w:rPr>
        <w:t xml:space="preserve">Bond wallet: BqjGDbhzLJJgzpVywRxug4wTa2Qqtwipc1hkcLLJsWzF</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5. Every Promise is Tradeable</w:t>
      </w:r>
    </w:p>
    <w:p>
      <w:pPr>
        <w:spacing w:before="80" w:after="12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40" w:after="60"/>
      </w:pPr>
      <w:r>
        <w:rPr>
          <w:rFonts w:ascii="Arial" w:cs="Arial" w:eastAsia="Arial" w:hAnsi="Arial"/>
          <w:color w:val="666666"/>
          <w:sz w:val="18"/>
          <w:szCs w:val="18"/>
        </w:rPr>
        <w:t xml:space="preserve">Governance: loan_transfer_enabled = false (dormant). Secondary market infrastructure is fully built. Activation requires a Foundation governance vote.</w:t>
      </w:r>
    </w:p>
    <w:p>
      <w:pPr>
        <w:pStyle w:val="Heading2"/>
        <w:spacing w:before="360" w:after="160"/>
      </w:pPr>
      <w:r>
        <w:rPr>
          <w:rFonts w:ascii="Arial" w:cs="Arial" w:eastAsia="Arial" w:hAnsi="Arial"/>
          <w:b/>
          <w:bCs/>
          <w:color w:val="2C3E6B"/>
          <w:sz w:val="28"/>
          <w:szCs w:val="28"/>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Tranching</w:t>
      </w:r>
    </w:p>
    <w:p>
      <w:pPr>
        <w:spacing w:before="80" w:after="12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pStyle w:val="Heading2"/>
        <w:spacing w:before="360" w:after="160"/>
      </w:pPr>
      <w:r>
        <w:rPr>
          <w:rFonts w:ascii="Arial" w:cs="Arial" w:eastAsia="Arial" w:hAnsi="Arial"/>
          <w:b/>
          <w:bCs/>
          <w:color w:val="2C3E6B"/>
          <w:sz w:val="28"/>
          <w:szCs w:val="28"/>
        </w:rPr>
        <w:t xml:space="preserve">Yield and Principal Strips</w:t>
      </w:r>
    </w:p>
    <w:p>
      <w:pPr>
        <w:spacing w:before="80" w:after="12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pStyle w:val="Heading2"/>
        <w:spacing w:before="360" w:after="160"/>
      </w:pPr>
      <w:r>
        <w:rPr>
          <w:rFonts w:ascii="Arial" w:cs="Arial" w:eastAsia="Arial" w:hAnsi="Arial"/>
          <w:b/>
          <w:bCs/>
          <w:color w:val="2C3E6B"/>
          <w:sz w:val="28"/>
          <w:szCs w:val="28"/>
        </w:rPr>
        <w:t xml:space="preserve">Atomic Settlement: T+0</w:t>
      </w:r>
    </w:p>
    <w:p>
      <w:pPr>
        <w:spacing w:before="80" w:after="12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6. The Axioms and Governance</w:t>
      </w:r>
    </w:p>
    <w:p>
      <w:pPr>
        <w:spacing w:before="80" w:after="12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Genesis Zero: final_genesis true</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7. Tokenomics</w:t>
      </w:r>
    </w:p>
    <w:p>
      <w:pPr>
        <w:spacing w:before="80" w:after="120"/>
        <w:jc w:val="both"/>
      </w:pPr>
      <w:r>
        <w:rPr>
          <w:rFonts w:ascii="Arial" w:cs="Arial" w:eastAsia="Arial" w:hAnsi="Arial"/>
          <w:sz w:val="22"/>
          <w:szCs w:val="22"/>
        </w:rPr>
        <w:t xml:space="preserve">Total supply: 8,270,000,000 KX. Fixed forever. No inflation. No minting. No burning.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1500"/>
        <w:gridCol w:w="720"/>
        <w:gridCol w:w="458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72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8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 below.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3.63%</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Faucet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0.036%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tranche of Public Sale deployed as XChan bridge liquidity.</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cpnx.com. Identity risk.</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Treasury and Node Rewards: Harmonic Release</w:t>
      </w:r>
    </w:p>
    <w:p>
      <w:pPr>
        <w:spacing w:before="80" w:after="12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pStyle w:val="Heading2"/>
        <w:spacing w:before="360" w:after="160"/>
      </w:pPr>
      <w:r>
        <w:rPr>
          <w:rFonts w:ascii="Arial" w:cs="Arial" w:eastAsia="Arial" w:hAnsi="Arial"/>
          <w:b/>
          <w:bCs/>
          <w:color w:val="2C3E6B"/>
          <w:sz w:val="28"/>
          <w:szCs w:val="28"/>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28% off ICO</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0" w:after="80"/>
      </w:pPr>
      <w:r>
        <w:t xml:space="preserve"/>
      </w:r>
    </w:p>
    <w:p>
      <w:pPr>
        <w:spacing w:before="80" w:after="12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Version One published.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now</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KXGC Tier 1 admissions. Secondary market activation (loan_transfer_enabled: true by governance vote). OracleTrigger and CompoundAND engine logic.</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A — The Complete Promise Taxonomy</w:t>
      </w:r>
    </w:p>
    <w:p>
      <w:pPr>
        <w:spacing w:before="80" w:after="12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 Instant Transfer (TYPE T)</w:t>
      </w:r>
    </w:p>
    <w:p>
      <w:pPr>
        <w:spacing w:before="80" w:after="120"/>
        <w:jc w:val="both"/>
      </w:pPr>
      <w:r>
        <w:rPr>
          <w:rFonts w:ascii="Arial" w:cs="Arial" w:eastAsia="Arial" w:hAnsi="Arial"/>
          <w:sz w:val="22"/>
          <w:szCs w:val="22"/>
        </w:rPr>
        <w:t xml:space="preserve">Send KX now. Recipient receives immediately upon DAG confirmation. If recipient wallet does not exist, it is auto-created.</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4160"/>
      </w:tblGrid>
      <w:tr>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 (Base58)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 wallet address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in Chronos (1 KX = 1,000,000 Chronos)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Human-readable note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memo_encrypted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true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memo_public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A.2 Time-Locked Promise (TYPE S — Standard)</w:t>
      </w:r>
    </w:p>
    <w:p>
      <w:pPr>
        <w:spacing w:before="80" w:after="120"/>
        <w:jc w:val="both"/>
      </w:pPr>
      <w:r>
        <w:rPr>
          <w:rFonts w:ascii="Arial" w:cs="Arial" w:eastAsia="Arial" w:hAnsi="Arial"/>
          <w:sz w:val="22"/>
          <w:szCs w:val="22"/>
        </w:rPr>
        <w:t xml:space="preserve">A promise to deliver KX at a future date. The KX is locked on the DAG immediately. This is the core instrument of ChronX.</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0" w:after="80"/>
      </w:pPr>
      <w:r>
        <w:t xml:space="preserve"/>
      </w:r>
    </w:p>
    <w:p>
      <w:pPr>
        <w:spacing w:before="80" w:after="120"/>
        <w:jc w:val="both"/>
      </w:pPr>
      <w:r>
        <w:rPr>
          <w:rFonts w:ascii="Arial" w:cs="Arial" w:eastAsia="Arial" w:hAnsi="Arial"/>
          <w:b/>
          <w:bCs/>
          <w:sz w:val="22"/>
          <w:szCs w:val="22"/>
        </w:rPr>
        <w:t xml:space="preserve">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Recipient’s Dilithium2 public key (1312 bytes)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to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unlock_at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 (Unix UTC)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after which recipient may claim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Human-readable note (encrypted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cancellation_window_secs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from creation sender may cancel. None = irrevocable.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 UsdEquivalentAtMaturity,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email_recipient_hash</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BLAKE3 hash of recipient email (for email 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claim_window_secs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to claim before unclaimed_action fires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unclaimed_action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UnclaimedAction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RevertToSender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User-defined labels (max 5, max 32 chars each)</w:t>
            </w:r>
          </w:p>
        </w:tc>
      </w:tr>
    </w:tbl>
    <w:p>
      <w:pPr>
        <w:spacing w:before="0" w:after="80"/>
      </w:pPr>
      <w:r>
        <w:t xml:space="preserve"/>
      </w:r>
    </w:p>
    <w:p>
      <w:pPr>
        <w:spacing w:before="80" w:after="120"/>
        <w:jc w:val="both"/>
      </w:pPr>
      <w:r>
        <w:rPr>
          <w:rFonts w:ascii="Arial" w:cs="Arial" w:eastAsia="Arial" w:hAnsi="Arial"/>
          <w:b/>
          <w:bCs/>
          <w:sz w:val="22"/>
          <w:szCs w:val="22"/>
        </w:rPr>
        <w:t xml:space="preserve">Escalation and attestor protection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that receives escalated claims. For insurance: KXGC bond wallet.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Seconds before escalation executes. Default: 2,592,000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that must attest (0.0–1.0). Overrides min_attestors. Floor: 0.50. Solves dead attestor problem.</w:t>
            </w:r>
          </w:p>
        </w:tc>
      </w:tr>
    </w:tbl>
    <w:p>
      <w:pPr>
        <w:spacing w:before="0" w:after="80"/>
      </w:pPr>
      <w:r>
        <w:t xml:space="preserve"/>
      </w:r>
    </w:p>
    <w:p>
      <w:pPr>
        <w:spacing w:before="80" w:after="120"/>
        <w:jc w:val="both"/>
      </w:pPr>
      <w:r>
        <w:rPr>
          <w:rFonts w:ascii="Arial" w:cs="Arial" w:eastAsia="Arial" w:hAnsi="Arial"/>
          <w:b/>
          <w:bCs/>
          <w:sz w:val="22"/>
          <w:szCs w:val="22"/>
        </w:rPr>
        <w:t xml:space="preserve">Hedge linkage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IDs of hedge instruments that must be Active before this lock activates. PAY_AS enforcement mechanism.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premium on clean expiry (condition never fired). The hedge premium return mechanism.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in Chronos to pay to success_payment_wallet on clean expiry.</w:t>
            </w:r>
          </w:p>
        </w:tc>
      </w:tr>
    </w:tbl>
    <w:p>
      <w:pPr>
        <w:spacing w:before="0" w:after="80"/>
      </w:pPr>
      <w:r>
        <w:t xml:space="preserve"/>
      </w:r>
    </w:p>
    <w:p>
      <w:pPr>
        <w:spacing w:before="80" w:after="120"/>
        <w:jc w:val="both"/>
      </w:pPr>
      <w:r>
        <w:rPr>
          <w:rFonts w:ascii="Arial" w:cs="Arial" w:eastAsia="Arial" w:hAnsi="Arial"/>
          <w:b/>
          <w:bCs/>
          <w:sz w:val="22"/>
          <w:szCs w:val="22"/>
        </w:rPr>
        <w:t xml:space="preserve">Condition type parameters (scaffold — fields stored, engine logic planned):</w:t>
      </w:r>
    </w:p>
    <w:p>
      <w:pPr>
        <w:shd w:fill="FFF3F3" w:val="clear"/>
        <w:spacing w:before="60" w:after="80"/>
      </w:pPr>
      <w:r>
        <w:rPr>
          <w:rFonts w:ascii="Arial" w:cs="Arial" w:eastAsia="Arial" w:hAnsi="Arial"/>
          <w:b/>
          <w:bCs/>
          <w:color w:val="8B0000"/>
          <w:sz w:val="20"/>
          <w:szCs w:val="20"/>
        </w:rPr>
        <w:t xml:space="preserve">⚠ PLANNED — OracleTrigger, CompoundAND, and LinkedSpring condition types. Fields exist in protocol. Engine activation is a future build session.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(default, live), "OracleTrigger" (planned), "CompoundAND" (planned), "LinkedSpring"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oracle_pair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e.g. "KX/USD". Used with OracleTrigger.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 = fires if price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oracle_trigger_direction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"Below" or "Above"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linked_instrument_id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Instrument that must have already fired for LinkedSpring to activate</w:t>
            </w:r>
          </w:p>
        </w:tc>
      </w:tr>
    </w:tbl>
    <w:p>
      <w:pPr>
        <w:spacing w:before="0" w:after="80"/>
      </w:pPr>
      <w:r>
        <w:t xml:space="preserve"/>
      </w:r>
    </w:p>
    <w:p>
      <w:pPr>
        <w:spacing w:before="80" w:after="120"/>
        <w:jc w:val="both"/>
      </w:pPr>
      <w:r>
        <w:rPr>
          <w:rFonts w:ascii="Arial" w:cs="Arial" w:eastAsia="Arial" w:hAnsi="Arial"/>
          <w:b/>
          <w:bCs/>
          <w:sz w:val="22"/>
          <w:szCs w:val="22"/>
        </w:rPr>
        <w:t xml:space="preserve">AI management parameters (TYPE 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 = standard (default), "M" = AI-managed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agent_managed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Option&lt;bool&gt;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true, enables MISAI executor eligibility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investable_fraction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0.0–1.0. Max 0.50 governed by misai_max_investable_fraction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lock_metadata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184-char hex: ephemeral X25519 pubkey (32B) || nonce (12B) || ciphertext (32B) || tag (16B). Encrypts claim secret to MISAI X25519 public key.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risk_level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Option&lt;u32&gt;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1–100. Grantor risk tolerance. Determines MISAI batch assignment.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grantor_intent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Free text investment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grantor_axiom_consent_hash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hash of Axioms VII–XII text. Consent required for TYPE 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backup_executors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 to 3 backup executor public keys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Option&lt;u8&gt;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backup executor agreement count</w:t>
            </w:r>
          </w:p>
        </w:tc>
      </w:tr>
    </w:tbl>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Sender creates TimeLockCreate, signs with Dilithium2 private key, submits via RPC.</w:t>
      </w:r>
    </w:p>
    <w:p>
      <w:pPr>
        <w:pStyle w:val="ListParagraph"/>
        <w:numPr>
          <w:ilvl w:val="0"/>
          <w:numId w:val="2"/>
        </w:numPr>
        <w:spacing w:before="60" w:after="60"/>
      </w:pPr>
      <w:r>
        <w:rPr>
          <w:rFonts w:ascii="Arial" w:cs="Arial" w:eastAsia="Arial" w:hAnsi="Arial"/>
          <w:sz w:val="22"/>
          <w:szCs w:val="22"/>
        </w:rPr>
        <w:t xml:space="preserve">Engine deducts KX from sender. Lock created in timelocks sled tree. Status: Pending.</w:t>
      </w:r>
    </w:p>
    <w:p>
      <w:pPr>
        <w:pStyle w:val="ListParagraph"/>
        <w:numPr>
          <w:ilvl w:val="0"/>
          <w:numId w:val="2"/>
        </w:numPr>
        <w:spacing w:before="60" w:after="60"/>
      </w:pPr>
      <w:r>
        <w:rPr>
          <w:rFonts w:ascii="Arial" w:cs="Arial" w:eastAsia="Arial" w:hAnsi="Arial"/>
          <w:sz w:val="22"/>
          <w:szCs w:val="22"/>
        </w:rPr>
        <w:t xml:space="preserve">After unlock_at: recipient submits TimeLockClaim. KX credited.</w:t>
      </w:r>
    </w:p>
    <w:p>
      <w:pPr>
        <w:pStyle w:val="ListParagraph"/>
        <w:numPr>
          <w:ilvl w:val="0"/>
          <w:numId w:val="2"/>
        </w:numPr>
        <w:spacing w:before="60" w:after="60"/>
      </w:pPr>
      <w:r>
        <w:rPr>
          <w:rFonts w:ascii="Arial" w:cs="Arial" w:eastAsia="Arial" w:hAnsi="Arial"/>
          <w:sz w:val="22"/>
          <w:szCs w:val="22"/>
        </w:rPr>
        <w:t xml:space="preserve">If required_hedge_ids set: lock stays Pending until all linked hedges are Active.</w:t>
      </w:r>
    </w:p>
    <w:p>
      <w:pPr>
        <w:pStyle w:val="ListParagraph"/>
        <w:numPr>
          <w:ilvl w:val="0"/>
          <w:numId w:val="2"/>
        </w:numPr>
        <w:spacing w:before="60" w:after="60"/>
      </w:pPr>
      <w:r>
        <w:rPr>
          <w:rFonts w:ascii="Arial" w:cs="Arial" w:eastAsia="Arial" w:hAnsi="Arial"/>
          <w:sz w:val="22"/>
          <w:szCs w:val="22"/>
        </w:rPr>
        <w:t xml:space="preserve">On expiry without condition firing: success_payment_chronos transferred to success_payment_wallet (hedge premium), then fallback executes.</w:t>
      </w:r>
    </w:p>
    <w:p>
      <w:pPr>
        <w:pStyle w:val="ListParagraph"/>
        <w:numPr>
          <w:ilvl w:val="0"/>
          <w:numId w:val="2"/>
        </w:numPr>
        <w:spacing w:before="60" w:after="60"/>
      </w:pPr>
      <w:r>
        <w:rPr>
          <w:rFonts w:ascii="Arial" w:cs="Arial" w:eastAsia="Arial" w:hAnsi="Arial"/>
          <w:sz w:val="22"/>
          <w:szCs w:val="22"/>
        </w:rPr>
        <w:t xml:space="preserve">Locks &gt;= 1 year: 24-hour cancellation window. Email locks: 72-hour claim window.</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A.3 Email Claim Promise</w:t>
      </w:r>
    </w:p>
    <w:p>
      <w:pPr>
        <w:spacing w:before="80" w:after="12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Send KX to someone without a wallet yet</w:t>
      </w:r>
    </w:p>
    <w:p>
      <w:pPr>
        <w:pStyle w:val="ListParagraph"/>
        <w:numPr>
          <w:ilvl w:val="0"/>
          <w:numId w:val="2"/>
        </w:numPr>
        <w:spacing w:before="60" w:after="60"/>
      </w:pPr>
      <w:r>
        <w:rPr>
          <w:rFonts w:ascii="Arial" w:cs="Arial" w:eastAsia="Arial" w:hAnsi="Arial"/>
          <w:sz w:val="22"/>
          <w:szCs w:val="22"/>
        </w:rPr>
        <w:t xml:space="preserve">Payroll to contractors with email only</w:t>
      </w:r>
    </w:p>
    <w:p>
      <w:pPr>
        <w:pStyle w:val="ListParagraph"/>
        <w:numPr>
          <w:ilvl w:val="0"/>
          <w:numId w:val="2"/>
        </w:numPr>
        <w:spacing w:before="60" w:after="60"/>
      </w:pPr>
      <w:r>
        <w:rPr>
          <w:rFonts w:ascii="Arial" w:cs="Arial" w:eastAsia="Arial" w:hAnsi="Arial"/>
          <w:sz w:val="22"/>
          <w:szCs w:val="22"/>
        </w:rPr>
        <w:t xml:space="preserve">Onboarding: new user’s first KX via email claim</w:t>
      </w:r>
    </w:p>
    <w:p>
      <w:pPr>
        <w:spacing w:before="0" w:after="80"/>
      </w:pPr>
      <w:r>
        <w:t xml:space="preserve"/>
      </w:r>
    </w:p>
    <w:p>
      <w:pPr>
        <w:spacing w:before="80" w:after="120"/>
        <w:jc w:val="both"/>
      </w:pPr>
      <w:r>
        <w:rPr>
          <w:rFonts w:ascii="Arial" w:cs="Arial" w:eastAsia="Arial" w:hAnsi="Arial"/>
          <w:sz w:val="22"/>
          <w:szCs w:val="22"/>
        </w:rPr>
        <w:t xml:space="preserve">Claim window: 72 hours. If unclaimed, funds revert to sender automatically. Verified recipients receive KX automatically via relay wallet — no claim code entry needed.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A.4 Cascade Promise</w:t>
      </w:r>
    </w:p>
    <w:p>
      <w:pPr>
        <w:spacing w:before="80" w:after="12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A.5 PAY_AS Promise</w:t>
      </w:r>
    </w:p>
    <w:p>
      <w:pPr>
        <w:spacing w:before="80" w:after="12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w:t>
      </w:r>
    </w:p>
    <w:p>
      <w:pPr>
        <w:spacing w:before="40" w:after="60"/>
      </w:pPr>
      <w:r>
        <w:rPr>
          <w:rFonts w:ascii="Arial" w:cs="Arial" w:eastAsia="Arial" w:hAnsi="Arial"/>
          <w:color w:val="666666"/>
          <w:sz w:val="18"/>
          <w:szCs w:val="18"/>
        </w:rPr>
        <w:t xml:space="preserve">Current governance cap: pay_as_max_usd = $250 per transaction.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A.6 TYPE M — AI-Managed Promise</w:t>
      </w:r>
    </w:p>
    <w:p>
      <w:pPr>
        <w:spacing w:before="80" w:after="120"/>
        <w:jc w:val="both"/>
      </w:pPr>
      <w:r>
        <w:rPr>
          <w:rFonts w:ascii="Arial" w:cs="Arial" w:eastAsia="Arial" w:hAnsi="Arial"/>
          <w:sz w:val="22"/>
          <w:szCs w:val="22"/>
        </w:rPr>
        <w:t xml:space="preserve">A standard TimeLockCreate with additional fields authorizing MISAI to manage the investable fraction of locked KX per the grantor’s mandate. The grantor never surrenders custody. MISAI only has authority to submit ExecutorWithdraw actions within its mandate, subject to a 24-hour delay (executor_withdraw_delay_seconds = 86,400).</w:t>
      </w:r>
    </w:p>
    <w:p>
      <w:pPr>
        <w:spacing w:before="80" w:after="120"/>
        <w:jc w:val="both"/>
      </w:pPr>
      <w:r>
        <w:rPr>
          <w:rFonts w:ascii="Arial" w:cs="Arial" w:eastAsia="Arial" w:hAnsi="Arial"/>
          <w:sz w:val="22"/>
          <w:szCs w:val="22"/>
        </w:rPr>
        <w:t xml:space="preserve">MISAI commits every decision to the DAG before executing (Axiom VIII). The grantor_axiom_consent_hash field records consent to Axioms VII–XII. Without this hash, a TYPE M lock cannot be created.</w:t>
      </w:r>
    </w:p>
    <w:p>
      <w:pPr>
        <w:spacing w:before="40" w:after="60"/>
      </w:pPr>
      <w:r>
        <w:rPr>
          <w:rFonts w:ascii="Arial" w:cs="Arial" w:eastAsia="Arial" w:hAnsi="Arial"/>
          <w:color w:val="666666"/>
          <w:sz w:val="18"/>
          <w:szCs w:val="18"/>
        </w:rPr>
        <w:t xml:space="preserve">Governance: misai_conservative_batch_only = true. Full autonomous operation requires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A.7 TYPE I — Invoice</w:t>
      </w:r>
    </w:p>
    <w:p>
      <w:pPr>
        <w:spacing w:before="80" w:after="12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Freelancer invoices client</w:t>
      </w:r>
    </w:p>
    <w:p>
      <w:pPr>
        <w:pStyle w:val="ListParagraph"/>
        <w:numPr>
          <w:ilvl w:val="0"/>
          <w:numId w:val="2"/>
        </w:numPr>
        <w:spacing w:before="60" w:after="60"/>
      </w:pPr>
      <w:r>
        <w:rPr>
          <w:rFonts w:ascii="Arial" w:cs="Arial" w:eastAsia="Arial" w:hAnsi="Arial"/>
          <w:sz w:val="22"/>
          <w:szCs w:val="22"/>
        </w:rPr>
        <w:t xml:space="preserve">Subscription billing</w:t>
      </w:r>
    </w:p>
    <w:p>
      <w:pPr>
        <w:pStyle w:val="ListParagraph"/>
        <w:numPr>
          <w:ilvl w:val="0"/>
          <w:numId w:val="2"/>
        </w:numPr>
        <w:spacing w:before="60" w:after="60"/>
      </w:pPr>
      <w:r>
        <w:rPr>
          <w:rFonts w:ascii="Arial" w:cs="Arial" w:eastAsia="Arial" w:hAnsi="Arial"/>
          <w:sz w:val="22"/>
          <w:szCs w:val="22"/>
        </w:rPr>
        <w:t xml:space="preserve">Escrow release trigger</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A.8 TYPE C — Credit Authorization</w:t>
      </w:r>
    </w:p>
    <w:p>
      <w:pPr>
        <w:spacing w:before="80" w:after="120"/>
        <w:jc w:val="both"/>
      </w:pPr>
      <w:r>
        <w:rPr>
          <w:rFonts w:ascii="Arial" w:cs="Arial" w:eastAsia="Arial" w:hAnsi="Arial"/>
          <w:sz w:val="22"/>
          <w:szCs w:val="22"/>
        </w:rPr>
        <w:t xml:space="preserve">A pre-authorized variable draw facility. The grantor authorizes a beneficiary to draw up to a ceiling amount in increments without per-draw approval. Revocable at any time before a draw executes.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authorize supplier to draw up to 50,000 KX over 90 days</w:t>
      </w:r>
    </w:p>
    <w:p>
      <w:pPr>
        <w:pStyle w:val="ListParagraph"/>
        <w:numPr>
          <w:ilvl w:val="0"/>
          <w:numId w:val="2"/>
        </w:numPr>
        <w:spacing w:before="60" w:after="60"/>
      </w:pPr>
      <w:r>
        <w:rPr>
          <w:rFonts w:ascii="Arial" w:cs="Arial" w:eastAsia="Arial" w:hAnsi="Arial"/>
          <w:sz w:val="22"/>
          <w:szCs w:val="22"/>
        </w:rPr>
        <w:t xml:space="preserve">Recurring payments: authorize monthly draws</w:t>
      </w:r>
    </w:p>
    <w:p>
      <w:pPr>
        <w:pStyle w:val="ListParagraph"/>
        <w:numPr>
          <w:ilvl w:val="0"/>
          <w:numId w:val="2"/>
        </w:numPr>
        <w:spacing w:before="60" w:after="60"/>
      </w:pPr>
      <w:r>
        <w:rPr>
          <w:rFonts w:ascii="Arial" w:cs="Arial" w:eastAsia="Arial" w:hAnsi="Arial"/>
          <w:sz w:val="22"/>
          <w:szCs w:val="22"/>
        </w:rPr>
        <w:t xml:space="preserve">Employee expense account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A.9 TYPE Y — Interest-Bearing Deposit</w:t>
      </w:r>
    </w:p>
    <w:p>
      <w:pPr>
        <w:spacing w:before="80" w:after="12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Institutional fixed-return deposit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A.10 TYPE V — Conditional Validity</w:t>
      </w:r>
    </w:p>
    <w:p>
      <w:pPr>
        <w:spacing w:before="80" w:after="12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A.11 TYPE L — Ledger Entry</w:t>
      </w:r>
    </w:p>
    <w:p>
      <w:pPr>
        <w:spacing w:before="80" w:after="120"/>
        <w:jc w:val="both"/>
      </w:pPr>
      <w:r>
        <w:rPr>
          <w:rFonts w:ascii="Arial" w:cs="Arial" w:eastAsia="Arial" w:hAnsi="Arial"/>
          <w:sz w:val="22"/>
          <w:szCs w:val="22"/>
        </w:rPr>
        <w:t xml:space="preserve">A bonded-agent-only signed DAG memo for on-chain identity verification (IdentityVerified, IdentityRevoked), Promise Chain anchors, and protocol attestations. Only wallets registered as bonded verifiers may create TYPE L entries. This is how CPNX records badge issuances on the DAG.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A.12 TYPE G — Wallet Group</w:t>
      </w:r>
    </w:p>
    <w:p>
      <w:pPr>
        <w:spacing w:before="80" w:after="120"/>
        <w:jc w:val="both"/>
      </w:pPr>
      <w:r>
        <w:rPr>
          <w:rFonts w:ascii="Arial" w:cs="Arial" w:eastAsia="Arial" w:hAnsi="Arial"/>
          <w:sz w:val="22"/>
          <w:szCs w:val="22"/>
        </w:rPr>
        <w:t xml:space="preserve">A named group of wallets referenced as a unit. Supports CreateGroup, AddGroupMember, RemoveGroupMember, DissolveGroup, TransferGroupOwnership. Used in TYPE V attestor sets, backup executor lists, and authorized claim sets.</w:t>
      </w:r>
    </w:p>
    <w:p>
      <w:pPr>
        <w:spacing w:before="80" w:after="120"/>
        <w:jc w:val="both"/>
      </w:pPr>
      <w:r>
        <w:rPr>
          <w:rFonts w:ascii="Arial" w:cs="Arial" w:eastAsia="Arial" w:hAnsi="Arial"/>
          <w:sz w:val="22"/>
          <w:szCs w:val="22"/>
        </w:rPr>
        <w:t xml:space="preserve">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A.13 New Action Types (Scaffold — Logic Pending)</w:t>
      </w:r>
    </w:p>
    <w:p>
      <w:pPr>
        <w:shd w:fill="FFF3F3" w:val="clear"/>
        <w:spacing w:before="60" w:after="80"/>
      </w:pPr>
      <w:r>
        <w:rPr>
          <w:rFonts w:ascii="Arial" w:cs="Arial" w:eastAsia="Arial" w:hAnsi="Arial"/>
          <w:b/>
          <w:bCs/>
          <w:color w:val="8B0000"/>
          <w:sz w:val="20"/>
          <w:szCs w:val="20"/>
        </w:rPr>
        <w:t xml:space="preserve">⚠ PLANNED — EscalateConditional, DeclareAttestorFailure, and BondSlashCascade. Fields and storage exist. Full engine logic is a future build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EscalateConditional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Escalates a TYPE V/S lock to a higher authority (court order, dispute, attestor failure). Transfers attestation authority to escalation_wallet.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No automated cascade yet.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DeclareAttestorFailure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or Foundation declares a TYPE G group has failed (arrests, dissolution, bond default). All instruments referencing the group escalate to their escalation_wallet.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Scaffold. Stores record. Automated cascade is a future build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BondSlashCascade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Slashes a Tier 1 bond and optionally transfers obligations to KXGC.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Full obligation transfer logic pending.</w:t>
            </w:r>
          </w:p>
        </w:tc>
      </w:tr>
    </w:tbl>
    <w:p>
      <w:pPr>
        <w:spacing w:before="0" w:after="80"/>
      </w:pPr>
      <w:r>
        <w:t xml:space="preserve"/>
      </w:r>
    </w:p>
    <w:p>
      <w:pPr>
        <w:spacing w:before="80" w:after="120"/>
        <w:jc w:val="both"/>
      </w:pPr>
      <w:r>
        <w:rPr>
          <w:rFonts w:ascii="Arial" w:cs="Arial" w:eastAsia="Arial" w:hAnsi="Arial"/>
          <w:b/>
          <w:bCs/>
          <w:sz w:val="22"/>
          <w:szCs w:val="22"/>
        </w:rPr>
        <w:t xml:space="preserve">EscalateConditional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 being escalated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escalation_type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"CourtOrder", "DisputeFiled", "AttestorIncapacity", "BondSlash"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evidence_hash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of supporting document (court order, arrest record, etc.)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public, immutable. Published on DAG immediately.</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B — Bilateral Promises (Loans)</w:t>
      </w:r>
    </w:p>
    <w:p>
      <w:pPr>
        <w:spacing w:before="80" w:after="12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40" w:after="60"/>
      </w:pPr>
      <w:r>
        <w:rPr>
          <w:rFonts w:ascii="Arial" w:cs="Arial" w:eastAsia="Arial" w:hAnsi="Arial"/>
          <w:color w:val="666666"/>
          <w:sz w:val="18"/>
          <w:szCs w:val="18"/>
        </w:rPr>
        <w:t xml:space="preserve">Governance: loan_transfer_enabled = false (dormant). loan_block_principal_usd = $250 (governance vote needed to raise for institutional issuance).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 Fixed Term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Personal loan: 10,000 KX at 5% for 12 months</w:t>
      </w:r>
    </w:p>
    <w:p>
      <w:pPr>
        <w:pStyle w:val="ListParagraph"/>
        <w:numPr>
          <w:ilvl w:val="0"/>
          <w:numId w:val="2"/>
        </w:numPr>
        <w:spacing w:before="60" w:after="60"/>
      </w:pPr>
      <w:r>
        <w:rPr>
          <w:rFonts w:ascii="Arial" w:cs="Arial" w:eastAsia="Arial" w:hAnsi="Arial"/>
          <w:sz w:val="22"/>
          <w:szCs w:val="22"/>
        </w:rPr>
        <w:t xml:space="preserve">Business term loan: 500,000 KX at 8% for 36 months</w:t>
      </w:r>
    </w:p>
    <w:p>
      <w:pPr>
        <w:pStyle w:val="ListParagraph"/>
        <w:numPr>
          <w:ilvl w:val="0"/>
          <w:numId w:val="2"/>
        </w:numPr>
        <w:spacing w:before="60" w:after="60"/>
      </w:pPr>
      <w:r>
        <w:rPr>
          <w:rFonts w:ascii="Arial" w:cs="Arial" w:eastAsia="Arial" w:hAnsi="Arial"/>
          <w:sz w:val="22"/>
          <w:szCs w:val="22"/>
        </w:rPr>
        <w:t xml:space="preserve">Bridge loan: 100,000 KX at 12% for 90 days, bullet repayment</w:t>
      </w:r>
    </w:p>
    <w:p>
      <w:pPr>
        <w:pStyle w:val="ListParagraph"/>
        <w:numPr>
          <w:ilvl w:val="0"/>
          <w:numId w:val="2"/>
        </w:numPr>
        <w:spacing w:before="60" w:after="60"/>
      </w:pPr>
      <w:r>
        <w:rPr>
          <w:rFonts w:ascii="Arial" w:cs="Arial" w:eastAsia="Arial" w:hAnsi="Arial"/>
          <w:sz w:val="22"/>
          <w:szCs w:val="22"/>
        </w:rPr>
        <w:t xml:space="preserve">Mortgage: 1,000,000 KX at 4% for 30 years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principal_chronos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 amount in Chronos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Fixed(bps) or Variable{spread, cap, floor,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loan_type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LoanType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FixedSchedule (default) or Revolving{...}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payment_stages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Vec&lt;LoanPaymentStage&gt;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Each stage: due_at, amount_kx, pay_as, payment_type,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denomination mode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default_triggers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Vec&lt;DefaultTrigger&gt;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MissedPayment, EscrowShortfall, CollateralUndersecured, 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collateral_lock_id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time-lock used as collateral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prepayment_terms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PrepaymentTerms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Prohibited, AllowedAtPar, AllowedWithPenalty, AllowedWithDiscount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late_fee_schedule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LateFeeSchedule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Flat{fee_kx}, Tiered{stages}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offer_expiry_seconds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long the offer remains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Terms description (encrypted by default)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B.2 Revolving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200,000 KX ceiling, quarterly renewal</w:t>
      </w:r>
    </w:p>
    <w:p>
      <w:pPr>
        <w:pStyle w:val="ListParagraph"/>
        <w:numPr>
          <w:ilvl w:val="0"/>
          <w:numId w:val="2"/>
        </w:numPr>
        <w:spacing w:before="60" w:after="60"/>
      </w:pPr>
      <w:r>
        <w:rPr>
          <w:rFonts w:ascii="Arial" w:cs="Arial" w:eastAsia="Arial" w:hAnsi="Arial"/>
          <w:sz w:val="22"/>
          <w:szCs w:val="22"/>
        </w:rPr>
        <w:t xml:space="preserve">Overdraft facility</w:t>
      </w:r>
    </w:p>
    <w:p>
      <w:pPr>
        <w:pStyle w:val="ListParagraph"/>
        <w:numPr>
          <w:ilvl w:val="0"/>
          <w:numId w:val="2"/>
        </w:numPr>
        <w:spacing w:before="60" w:after="60"/>
      </w:pPr>
      <w:r>
        <w:rPr>
          <w:rFonts w:ascii="Arial" w:cs="Arial" w:eastAsia="Arial" w:hAnsi="Arial"/>
          <w:sz w:val="22"/>
          <w:szCs w:val="22"/>
        </w:rPr>
        <w:t xml:space="preserve">Working capital: seasonal draws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renewal_period_seconds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often the facility renews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rate_cap_per_period_bps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rate per renewal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exit_rights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EitherParty, LenderOnly, BorrowerOnly, MutualConsent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revival_condition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Always, OracleBelow, OracleAbove, CustomAttestation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B.3 Murabaha (Sharia — Fixed Profit)</w:t>
      </w:r>
    </w:p>
    <w:p>
      <w:pPr>
        <w:spacing w:before="80" w:after="120"/>
        <w:jc w:val="both"/>
      </w:pPr>
      <w:r>
        <w:rPr>
          <w:rFonts w:ascii="Arial" w:cs="Arial" w:eastAsia="Arial" w:hAnsi="Arial"/>
          <w:sz w:val="22"/>
          <w:szCs w:val="22"/>
        </w:rPr>
        <w:t xml:space="preserve">Cost-plus financing. Lender purchases asset, sells to buyer at cost plus fixed disclosed profit. No compounding. LoanOffer with interest_rate: Fixed(0), profit added to principal, PrincipalOnly payment stages.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B.4 Qard Hasan (Sharia — Zero Profit)</w:t>
      </w:r>
    </w:p>
    <w:p>
      <w:pPr>
        <w:spacing w:before="80" w:after="120"/>
        <w:jc w:val="both"/>
      </w:pPr>
      <w:r>
        <w:rPr>
          <w:rFonts w:ascii="Arial" w:cs="Arial" w:eastAsia="Arial" w:hAnsi="Arial"/>
          <w:sz w:val="22"/>
          <w:szCs w:val="22"/>
        </w:rPr>
        <w:t xml:space="preserve">Benevolent loan. Borrower repays exactly what was borrowed. LoanOffer with interest_rate: Fixed(0), PrincipalOnly stages totaling exactly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B.5 Negative Rate Loan</w:t>
      </w:r>
    </w:p>
    <w:p>
      <w:pPr>
        <w:spacing w:before="80" w:after="120"/>
        <w:jc w:val="both"/>
      </w:pPr>
      <w:r>
        <w:rPr>
          <w:rFonts w:ascii="Arial" w:cs="Arial" w:eastAsia="Arial" w:hAnsi="Arial"/>
          <w:sz w:val="22"/>
          <w:szCs w:val="22"/>
        </w:rPr>
        <w:t xml:space="preserve">Borrower repays less than borrowed. LoanOffer with interest_rate: Fixed(negative_bps). Payment stages total less than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B.6 Construction Draw Loan</w:t>
      </w:r>
    </w:p>
    <w:p>
      <w:pPr>
        <w:spacing w:before="80" w:after="120"/>
        <w:jc w:val="both"/>
      </w:pPr>
      <w:r>
        <w:rPr>
          <w:rFonts w:ascii="Arial" w:cs="Arial" w:eastAsia="Arial" w:hAnsi="Arial"/>
          <w:sz w:val="22"/>
          <w:szCs w:val="22"/>
        </w:rPr>
        <w:t xml:space="preserve">Disbursed in stages as milestones are completed. Inspector wallet as draw_requestor. DrawRequest actions submitted by inspector. TYPE P-F pool can back the full project amount from day one.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B.7 Balloon Payment Loan</w:t>
      </w:r>
    </w:p>
    <w:p>
      <w:pPr>
        <w:spacing w:before="80" w:after="120"/>
        <w:jc w:val="both"/>
      </w:pPr>
      <w:r>
        <w:rPr>
          <w:rFonts w:ascii="Arial" w:cs="Arial" w:eastAsia="Arial" w:hAnsi="Arial"/>
          <w:sz w:val="22"/>
          <w:szCs w:val="22"/>
        </w:rPr>
        <w:t xml:space="preserve">Small periodic payments followed by large final payment. InterestOnly payment stages except the last, which uses BulletFinal.</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B.8 Structured Settlement (TYPE D)</w:t>
      </w:r>
    </w:p>
    <w:p>
      <w:pPr>
        <w:spacing w:before="80" w:after="120"/>
        <w:jc w:val="both"/>
      </w:pPr>
      <w:r>
        <w:rPr>
          <w:rFonts w:ascii="Arial" w:cs="Arial" w:eastAsia="Arial" w:hAnsi="Arial"/>
          <w:sz w:val="22"/>
          <w:szCs w:val="22"/>
        </w:rPr>
        <w:t xml:space="preserve">Custom irregular payment schedule. May include guaranteed minimums plus contingent amounts. payment_type: Custom on each stage.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B.9 PAY_AS Loan</w:t>
      </w:r>
    </w:p>
    <w:p>
      <w:pPr>
        <w:spacing w:before="80" w:after="12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B.10 Interval Loan</w:t>
      </w:r>
    </w:p>
    <w:p>
      <w:pPr>
        <w:spacing w:before="80" w:after="120"/>
        <w:jc w:val="both"/>
      </w:pPr>
      <w:r>
        <w:rPr>
          <w:rFonts w:ascii="Arial" w:cs="Arial" w:eastAsia="Arial" w:hAnsi="Arial"/>
          <w:sz w:val="22"/>
          <w:szCs w:val="22"/>
        </w:rPr>
        <w:t xml:space="preserve">Regular automated payment intervals. Sweep engine runs every 3,600 seconds checking for due payments. No manual action required.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B.11 Loan Transferability</w:t>
      </w:r>
    </w:p>
    <w:p>
      <w:pPr>
        <w:spacing w:before="40" w:after="60"/>
      </w:pPr>
      <w:r>
        <w:rPr>
          <w:rFonts w:ascii="Arial" w:cs="Arial" w:eastAsia="Arial" w:hAnsi="Arial"/>
          <w:color w:val="666666"/>
          <w:sz w:val="18"/>
          <w:szCs w:val="18"/>
        </w:rPr>
        <w:t xml:space="preserve">Note: loan_transfer_enabled = false (dormant). Activation requires Foundation governance vote post-ICO.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B.12 Loan Tranching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8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min_tranche_face_value_kx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size of each tranche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max_tranches_per_obligation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tranches per parent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min_trancheable_obligation_kx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parent size for tranching</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B.13 Yield and Principal Strips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Claim Type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Receives</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Typical Buyer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principal and interest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investors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YIELD_ONLY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 payments only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Income-seeking investors, pension funds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at 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 managers, hedgers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B.14 Loan Retirement</w:t>
      </w:r>
    </w:p>
    <w:p>
      <w:pPr>
        <w:spacing w:before="80" w:after="120"/>
        <w:jc w:val="both"/>
      </w:pPr>
      <w:r>
        <w:rPr>
          <w:rFonts w:ascii="Arial" w:cs="Arial" w:eastAsia="Arial" w:hAnsi="Arial"/>
          <w:sz w:val="22"/>
          <w:szCs w:val="22"/>
        </w:rPr>
        <w:t xml:space="preserve">Lender retires a portion of an obligation permanently. Parameters: retire_fraction (0.0–1.0), announcement (public, max 512 chars). Applies proportionally across all child tranches.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B.15 Terms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What Is Public</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Who Can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(default)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Existence, payment status, default history. NOT rate, schedule, terms.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 may switch to PUBLIC.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PUBLIC</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Everything: rate, term, schedule, prepayment terms, payment history.</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Either party.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B.16 MISAI as Loan Servicer</w:t>
      </w:r>
    </w:p>
    <w:p>
      <w:pPr>
        <w:spacing w:before="80" w:after="120"/>
        <w:jc w:val="both"/>
      </w:pPr>
      <w:r>
        <w:rPr>
          <w:rFonts w:ascii="Arial" w:cs="Arial" w:eastAsia="Arial" w:hAnsi="Arial"/>
          <w:sz w:val="22"/>
          <w:szCs w:val="22"/>
        </w:rPr>
        <w:t xml:space="preserve">Any loan may designate MISAI as servicer via the servicer_wallet parameter. MISAI monitors the payment schedule, publishes DefaultRecord when payments are missed, and processes LoanCompletion when all stages are paid. Every MISAI action is committed to the DAG before it executes (Axiom VIII).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 wallet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64PXAwjapumXadK4e5Zk7f8zAxhaKwJifSJLHHiRsDKb</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maximum. Can only be lowered by governance.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post-maturity before executor may act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 (24 hours).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B.17 AttestConditional — Partial Release</w:t>
      </w:r>
    </w:p>
    <w:p>
      <w:pPr>
        <w:shd w:fill="FFF3F3" w:val="clear"/>
        <w:spacing w:before="60" w:after="80"/>
      </w:pPr>
      <w:r>
        <w:rPr>
          <w:rFonts w:ascii="Arial" w:cs="Arial" w:eastAsia="Arial" w:hAnsi="Arial"/>
          <w:b/>
          <w:bCs/>
          <w:color w:val="8B0000"/>
          <w:sz w:val="20"/>
          <w:szCs w:val="20"/>
        </w:rPr>
        <w:t xml:space="preserve">⚠ PLANNED — Partial claim release at attestation time. Currently the protocol releases the full amount_chronos when the attestor threshold is met. The ability for attestors to specify a partial release_amount_chronos (e.g. $750,000 on a $1,000,000 policy) requires a dedicated build session. Workaround today: write each policy as multiple smaller TYPE S instruments (e.g. ten $100,000 tranches) so attestors can attest to any multiple of the tranche size.</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C — Conditional Promises (TYPE S Springing Instruments)</w:t>
      </w:r>
    </w:p>
    <w:p>
      <w:pPr>
        <w:spacing w:before="80" w:after="12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C.1 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sender_pubkey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party locking funds (obligor)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recipient_pubkey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party receiving funds if condition met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locked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attestor_pubkeys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Vec&lt;DilithiumPublicKey&gt;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Authorized attestors. Use attestor_group for dynamic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reference a TYPE G Wallet Group instead of inline list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min_attestors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attestations required for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(0.0–1.0). Overrides min_attestors. Recommended for long-horizon instruments.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 (Unix)</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Expiry. If condition unmet, funds return.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fallback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ConditionalFallback</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 Return (refund sender), Escrow (hold)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escalated authority if attestor group fails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before escalation executes after EscalateConditional is submitted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C.2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No human attestor needed for trigger. governance flag: hedgekx_oracle_trigger_enabled.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 KX drops &gt;50% AND a PAY_AS claim has actually fired. governance flag: hedgekx_compound_condition_enabled.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 Used for excess-of-loss hedge tower construction.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C.3 Parametric Insurance (Live Today)</w:t>
      </w:r>
    </w:p>
    <w:p>
      <w:pPr>
        <w:spacing w:before="80" w:after="12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 The homeowner converts at XChan.</w:t>
      </w:r>
    </w:p>
    <w:p>
      <w:pPr>
        <w:spacing w:before="40" w:after="60"/>
      </w:pPr>
      <w:r>
        <w:rPr>
          <w:rFonts w:ascii="Arial" w:cs="Arial" w:eastAsia="Arial" w:hAnsi="Arial"/>
          <w:color w:val="666666"/>
          <w:sz w:val="18"/>
          <w:szCs w:val="18"/>
        </w:rPr>
        <w:t xml:space="preserve">Note on partial claims: full amount releases when attested. Partial release (e.g. $37,500 on a $50,000 policy) requires the tranche workaround (B.17) until AttestConditional partial release is built.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C.4 Performance Bond (Live Today)</w:t>
      </w:r>
    </w:p>
    <w:p>
      <w:pPr>
        <w:spacing w:before="80" w:after="120"/>
        <w:jc w:val="both"/>
      </w:pPr>
      <w:r>
        <w:rPr>
          <w:rFonts w:ascii="Arial" w:cs="Arial" w:eastAsia="Arial" w:hAnsi="Arial"/>
          <w:sz w:val="22"/>
          <w:szCs w:val="22"/>
        </w:rPr>
        <w:t xml:space="preserve">Contractor locks KX against commitment. Client is attestor. On completion, client submits AttestConditional. KX releases to contractor. If contractor fails before valid_until, funds return per fallback setting.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C.5 HedgeKX Overnight Hedge (Live Today)</w:t>
      </w:r>
    </w:p>
    <w:p>
      <w:pPr>
        <w:spacing w:before="80" w:after="120"/>
        <w:jc w:val="both"/>
      </w:pPr>
      <w:r>
        <w:rPr>
          <w:rFonts w:ascii="Arial" w:cs="Arial" w:eastAsia="Arial" w:hAnsi="Arial"/>
          <w:sz w:val="22"/>
          <w:szCs w:val="22"/>
        </w:rPr>
        <w:t xml:space="preserve">A hedger locks KX as collateral against a 24-hour KX/USD position. If the condition (KX drops beyond threshold) is attested by the HedgeKX oracle attestor, KX releases to the pool. If the condition is not triggered before valid_until, success_payment_chronos transfers to success_payment_wallet (the hedge premium return), and remaining KX returns to the hedger.</w:t>
      </w:r>
    </w:p>
    <w:p>
      <w:pPr>
        <w:spacing w:before="40" w:after="60"/>
      </w:pPr>
      <w:r>
        <w:rPr>
          <w:rFonts w:ascii="Arial" w:cs="Arial" w:eastAsia="Arial" w:hAnsi="Arial"/>
          <w:color w:val="666666"/>
          <w:sz w:val="18"/>
          <w:szCs w:val="18"/>
        </w:rPr>
        <w:t xml:space="preserve">Current governance: hedgekx_max_daily_exposure_usd = $250. hedgekx_max_instrument_duration_seconds = 86,400.</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C.6 The Hedge Tower Structure (Partially Live)</w:t>
      </w:r>
    </w:p>
    <w:p>
      <w:pPr>
        <w:spacing w:before="80" w:after="120"/>
        <w:jc w:val="both"/>
      </w:pPr>
      <w:r>
        <w:rPr>
          <w:rFonts w:ascii="Arial" w:cs="Arial" w:eastAsia="Arial" w:hAnsi="Arial"/>
          <w:sz w:val="22"/>
          <w:szCs w:val="22"/>
        </w:rPr>
        <w:t xml:space="preserve">For PAY_AS insurance policies, three hedge layers protect against KX/USD currency conversion risk:</w:t>
      </w:r>
    </w:p>
    <w:p>
      <w:pPr>
        <w:pStyle w:val="ListParagraph"/>
        <w:numPr>
          <w:ilvl w:val="0"/>
          <w:numId w:val="2"/>
        </w:numPr>
        <w:spacing w:before="60" w:after="60"/>
      </w:pPr>
      <w:r>
        <w:rPr>
          <w:rFonts w:ascii="Arial" w:cs="Arial" w:eastAsia="Arial" w:hAnsi="Arial"/>
          <w:sz w:val="22"/>
          <w:szCs w:val="22"/>
        </w:rPr>
        <w:t xml:space="preserve">Layer 0 (Primary, Live): Rolling 30-day hedges covering first 8% of KX depreciation. Daily trance absorbs this loss. Hedgers earn ~1% monthly yield. OracleTrigger condition (planned) will automate this.</w:t>
      </w:r>
    </w:p>
    <w:p>
      <w:pPr>
        <w:pStyle w:val="ListParagraph"/>
        <w:numPr>
          <w:ilvl w:val="0"/>
          <w:numId w:val="2"/>
        </w:numPr>
        <w:spacing w:before="60" w:after="60"/>
      </w:pPr>
      <w:r>
        <w:rPr>
          <w:rFonts w:ascii="Arial" w:cs="Arial" w:eastAsia="Arial" w:hAnsi="Arial"/>
          <w:sz w:val="22"/>
          <w:szCs w:val="22"/>
        </w:rPr>
        <w:t xml:space="preserve">Layer 1 (Excess-of-Loss, Planned): Covers 8–20% depreciation band. 1-year instruments. 12% annual premium. Fires only after Layer 0 has been exhausted. Requires OracleTrigger.</w:t>
      </w:r>
    </w:p>
    <w:p>
      <w:pPr>
        <w:pStyle w:val="ListParagraph"/>
        <w:numPr>
          <w:ilvl w:val="0"/>
          <w:numId w:val="2"/>
        </w:numPr>
        <w:spacing w:before="60" w:after="60"/>
      </w:pPr>
      <w:r>
        <w:rPr>
          <w:rFonts w:ascii="Arial" w:cs="Arial" w:eastAsia="Arial" w:hAnsi="Arial"/>
          <w:sz w:val="22"/>
          <w:szCs w:val="22"/>
        </w:rPr>
        <w:t xml:space="preserve">Layer 2 (Catastrophe, Planned): Covers &gt;20% depreciation AND a PAY_AS claim has actually fired. Compound condition: KX price drop AND LinkedSpring from actual claim.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Why Layer 2 is correctly designed:</w:t>
      </w:r>
    </w:p>
    <w:p>
      <w:pPr>
        <w:spacing w:before="80" w:after="120"/>
        <w:jc w:val="both"/>
      </w:pPr>
      <w:r>
        <w:rPr>
          <w:rFonts w:ascii="Arial" w:cs="Arial" w:eastAsia="Arial" w:hAnsi="Arial"/>
          <w:sz w:val="22"/>
          <w:szCs w:val="22"/>
        </w:rPr>
        <w:t xml:space="preserve">KX could drop 50% due to a protocol incident, but if no covered properties burned during that period, no PAY_AS TYPE S has sprung. Layer 2 never fires. The hedger retains their USDC collateral and all premium income. Their exposure is only to the intersection of KX crash AND actual claim — two independent events that must both occur simultaneously.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C.7 Convertible Note (Live Today)</w:t>
      </w:r>
    </w:p>
    <w:p>
      <w:pPr>
        <w:spacing w:before="80" w:after="120"/>
        <w:jc w:val="both"/>
      </w:pPr>
      <w:r>
        <w:rPr>
          <w:rFonts w:ascii="Arial" w:cs="Arial" w:eastAsia="Arial" w:hAnsi="Arial"/>
          <w:sz w:val="22"/>
          <w:szCs w:val="22"/>
        </w:rPr>
        <w:t xml:space="preserve">Condition: qualifying financing round closes. Obligor records round closure via AttestConditional. KX releases to investors. ChronX enforces the KX release. Equity conversion happens off-chain.</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D — Pool Instruments</w:t>
      </w:r>
    </w:p>
    <w:p>
      <w:pPr>
        <w:pStyle w:val="Heading2"/>
        <w:spacing w:before="360" w:after="160"/>
      </w:pPr>
      <w:r>
        <w:rPr>
          <w:rFonts w:ascii="Arial" w:cs="Arial" w:eastAsia="Arial" w:hAnsi="Arial"/>
          <w:b/>
          <w:bCs/>
          <w:color w:val="2C3E6B"/>
          <w:sz w:val="28"/>
          <w:szCs w:val="28"/>
        </w:rPr>
        <w:t xml:space="preserve">D.1 TYPE P-F — Fully Reserved Pool</w:t>
      </w:r>
    </w:p>
    <w:p>
      <w:pPr>
        <w:spacing w:before="80" w:after="120"/>
        <w:jc w:val="both"/>
      </w:pPr>
      <w:r>
        <w:rPr>
          <w:rFonts w:ascii="Arial" w:cs="Arial" w:eastAsia="Arial" w:hAnsi="Arial"/>
          <w:sz w:val="22"/>
          <w:szCs w:val="22"/>
        </w:rPr>
        <w:t xml:space="preserve">Total reserved must always be &lt;= pool balance. No fractional reserve. No leverage. No access requirements.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Construction escrow: full project amount reserved from day one</w:t>
      </w:r>
    </w:p>
    <w:p>
      <w:pPr>
        <w:pStyle w:val="ListParagraph"/>
        <w:numPr>
          <w:ilvl w:val="0"/>
          <w:numId w:val="2"/>
        </w:numPr>
        <w:spacing w:before="60" w:after="60"/>
      </w:pPr>
      <w:r>
        <w:rPr>
          <w:rFonts w:ascii="Arial" w:cs="Arial" w:eastAsia="Arial" w:hAnsi="Arial"/>
          <w:sz w:val="22"/>
          <w:szCs w:val="22"/>
        </w:rPr>
        <w:t xml:space="preserve">Vesting pool: employee allocations fully backed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D.2 TYPE P-R — Fractional Reserve Pool</w:t>
      </w:r>
    </w:p>
    <w:p>
      <w:pPr>
        <w:spacing w:before="80" w:after="120"/>
        <w:jc w:val="both"/>
      </w:pPr>
      <w:r>
        <w:rPr>
          <w:rFonts w:ascii="Arial" w:cs="Arial" w:eastAsia="Arial" w:hAnsi="Arial"/>
          <w:sz w:val="22"/>
          <w:szCs w:val="22"/>
        </w:rPr>
        <w:t xml:space="preserve">Operates with a coverage ratio. Pool holds less KX than total face value of obligations. coverage_ratio_at_registration is immutable per claimant.</w:t>
      </w:r>
    </w:p>
    <w:p>
      <w:pPr>
        <w:spacing w:before="80" w:after="120"/>
        <w:jc w:val="both"/>
      </w:pPr>
      <w:r>
        <w:rPr>
          <w:rFonts w:ascii="Arial" w:cs="Arial" w:eastAsia="Arial" w:hAnsi="Arial"/>
          <w:b/>
          <w:bCs/>
          <w:sz w:val="22"/>
          <w:szCs w:val="22"/>
        </w:rPr>
        <w:t xml:space="preserve">Access requirements:</w:t>
      </w:r>
    </w:p>
    <w:p>
      <w:pPr>
        <w:pStyle w:val="ListParagraph"/>
        <w:numPr>
          <w:ilvl w:val="0"/>
          <w:numId w:val="2"/>
        </w:numPr>
        <w:spacing w:before="60" w:after="60"/>
      </w:pPr>
      <w:r>
        <w:rPr>
          <w:rFonts w:ascii="Arial" w:cs="Arial" w:eastAsia="Arial" w:hAnsi="Arial"/>
          <w:sz w:val="22"/>
          <w:szCs w:val="22"/>
        </w:rPr>
        <w:t xml:space="preserve">Badge: BANK, INSURANCE, or GOVERNMENT (from CPNX)</w:t>
      </w:r>
    </w:p>
    <w:p>
      <w:pPr>
        <w:pStyle w:val="ListParagraph"/>
        <w:numPr>
          <w:ilvl w:val="0"/>
          <w:numId w:val="2"/>
        </w:numPr>
        <w:spacing w:before="60" w:after="60"/>
      </w:pPr>
      <w:r>
        <w:rPr>
          <w:rFonts w:ascii="Arial" w:cs="Arial" w:eastAsia="Arial" w:hAnsi="Arial"/>
          <w:sz w:val="22"/>
          <w:szCs w:val="22"/>
        </w:rPr>
        <w:t xml:space="preserve">Active TYPE A authority grant (from KXGC)</w:t>
      </w:r>
    </w:p>
    <w:p>
      <w:pPr>
        <w:pStyle w:val="ListParagraph"/>
        <w:numPr>
          <w:ilvl w:val="0"/>
          <w:numId w:val="2"/>
        </w:numPr>
        <w:spacing w:before="60" w:after="60"/>
      </w:pPr>
      <w:r>
        <w:rPr>
          <w:rFonts w:ascii="Arial" w:cs="Arial" w:eastAsia="Arial" w:hAnsi="Arial"/>
          <w:sz w:val="22"/>
          <w:szCs w:val="22"/>
        </w:rPr>
        <w:t xml:space="preserve">type_pr_requires_type_a: true (current governance)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Governance Parameter</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type_pr_eligible_badges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badges to create TYPE P-R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type_pr_requires_type_a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Must have active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badge_pr_check_enabled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check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Investable fraction 0.00.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D.4 TYPE W — Waterfall Routing</w:t>
      </w:r>
    </w:p>
    <w:p>
      <w:pPr>
        <w:spacing w:before="80" w:after="12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E — Bond Instruments (TYPE B)</w:t>
      </w:r>
    </w:p>
    <w:p>
      <w:pPr>
        <w:spacing w:before="80" w:after="120"/>
        <w:jc w:val="both"/>
      </w:pPr>
      <w:r>
        <w:rPr>
          <w:rFonts w:ascii="Arial" w:cs="Arial" w:eastAsia="Arial" w:hAnsi="Arial"/>
          <w:sz w:val="22"/>
          <w:szCs w:val="22"/>
        </w:rPr>
        <w:t xml:space="preserve">Each EPP lends its performance bond to the Foundation. 100-year, 0% interest loan. Foundation holds DrawRequest right.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E.1 B-ISSUE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lender_wallet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EPP bond wallet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borrower_wallet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Foundation wallet (bond holder)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term_years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Fixed(0) always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drawrequest_lock_days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by grantor at issuance. Minimum 30 days.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purpose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text describing bond purpose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E.2 B-DRAWREQUEST</w:t>
      </w:r>
    </w:p>
    <w:p>
      <w:pPr>
        <w:spacing w:before="80" w:after="120"/>
        <w:jc w:val="both"/>
      </w:pPr>
      <w:r>
        <w:rPr>
          <w:rFonts w:ascii="Arial" w:cs="Arial" w:eastAsia="Arial" w:hAnsi="Arial"/>
          <w:sz w:val="22"/>
          <w:szCs w:val="22"/>
        </w:rPr>
        <w:t xml:space="preserve">DrawRequest auto-executes on lock_until. Foundation cannot accelerate. Board cannot override. Published on DAG immediately. Even cancellation requires a new 30-day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(back to EPP) or SLASH (permanent reduction)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reason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immutable, published on DAG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lock_until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Submission timestamp + drawrequest_lock_days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E.3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400"/>
        <w:gridCol w:w="21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2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F — Authority Grants (TYPE A)</w:t>
      </w:r>
    </w:p>
    <w:p>
      <w:pPr>
        <w:spacing w:before="80" w:after="120"/>
        <w:jc w:val="both"/>
      </w:pPr>
      <w:r>
        <w:rPr>
          <w:rFonts w:ascii="Arial" w:cs="Arial" w:eastAsia="Arial" w:hAnsi="Arial"/>
          <w:sz w:val="22"/>
          <w:szCs w:val="22"/>
        </w:rPr>
        <w:t xml:space="preserve">TYPE A grants establish the KXGC reinsurance hierarchy. Parameters flow down but cannot be amplified.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F.1 Complete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grantee_wallet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receiving authority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AuthorityType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Tier1 or Tier2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obligations / KX on deposit. Ceiling: 10.0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fraction MISAI may manage. Ceiling: 0.25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max_obligations_kx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 KX cap regardless of ratio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can_subgrant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grantee may authorize Tier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subgrant_max_coverage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 coverage ratio (&lt;= own)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revocation_notice_seconds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2,592,000 (30 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F.2 Hierarchy Rules</w:t>
      </w:r>
    </w:p>
    <w:p>
      <w:pPr>
        <w:pStyle w:val="ListParagraph"/>
        <w:numPr>
          <w:ilvl w:val="0"/>
          <w:numId w:val="2"/>
        </w:numPr>
        <w:spacing w:before="60" w:after="60"/>
      </w:pPr>
      <w:r>
        <w:rPr>
          <w:rFonts w:ascii="Arial" w:cs="Arial" w:eastAsia="Arial" w:hAnsi="Arial"/>
          <w:sz w:val="22"/>
          <w:szCs w:val="22"/>
        </w:rPr>
        <w:t xml:space="preserve">Tier 1 grant: sender must be KXGC bond wallet.</w:t>
      </w:r>
    </w:p>
    <w:p>
      <w:pPr>
        <w:pStyle w:val="ListParagraph"/>
        <w:numPr>
          <w:ilvl w:val="0"/>
          <w:numId w:val="2"/>
        </w:numPr>
        <w:spacing w:before="60" w:after="60"/>
      </w:pPr>
      <w:r>
        <w:rPr>
          <w:rFonts w:ascii="Arial" w:cs="Arial" w:eastAsia="Arial" w:hAnsi="Arial"/>
          <w:sz w:val="22"/>
          <w:szCs w:val="22"/>
        </w:rPr>
        <w:t xml:space="preserve">Tier 2 grant: sender must have active Tier 1 with can_subgrant: true.</w:t>
      </w:r>
    </w:p>
    <w:p>
      <w:pPr>
        <w:pStyle w:val="ListParagraph"/>
        <w:numPr>
          <w:ilvl w:val="0"/>
          <w:numId w:val="2"/>
        </w:numPr>
        <w:spacing w:before="60" w:after="60"/>
      </w:pPr>
      <w:r>
        <w:rPr>
          <w:rFonts w:ascii="Arial" w:cs="Arial" w:eastAsia="Arial" w:hAnsi="Arial"/>
          <w:sz w:val="22"/>
          <w:szCs w:val="22"/>
        </w:rPr>
        <w:t xml:space="preserve">Sub-grant limits must be &lt;= grantor’s own limits.</w:t>
      </w:r>
    </w:p>
    <w:p>
      <w:pPr>
        <w:pStyle w:val="ListParagraph"/>
        <w:numPr>
          <w:ilvl w:val="0"/>
          <w:numId w:val="2"/>
        </w:numPr>
        <w:spacing w:before="60" w:after="60"/>
      </w:pPr>
      <w:r>
        <w:rPr>
          <w:rFonts w:ascii="Arial" w:cs="Arial" w:eastAsia="Arial" w:hAnsi="Arial"/>
          <w:sz w:val="22"/>
          <w:szCs w:val="22"/>
        </w:rPr>
        <w:t xml:space="preserve">TYPE P-R pool creation requires an active TYPE A grant.</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G — Complete Governance Parameters</w:t>
      </w:r>
    </w:p>
    <w:p>
      <w:pPr>
        <w:spacing w:before="80" w:after="120"/>
        <w:jc w:val="both"/>
      </w:pPr>
      <w:r>
        <w:rPr>
          <w:rFonts w:ascii="Arial" w:cs="Arial" w:eastAsia="Arial" w:hAnsi="Arial"/>
          <w:sz w:val="22"/>
          <w:szCs w:val="22"/>
        </w:rPr>
        <w:t xml:space="preserve">Live values from genesis-params.json as of Genesis Zero. All changes require a Foundation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G.1 Rate Limiting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800"/>
        <w:gridCol w:w="3360"/>
      </w:tblGrid>
      <w:tr>
        <w:tc>
          <w:tcPr>
            <w:tcW w:type="dxa" w:w="3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G.2 Sweep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160"/>
      </w:tblGrid>
      <w:tr>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3,600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G.3 Fees (Immutable)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 fees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Transaction fees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IMMUTABLE — Zero forever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instrument types (I, C, Y, V, L, S, M, 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G.4 Executor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2,592,000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G.5 Loan Safeguards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G.6 PAY_AS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G.7 HedgeKX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 Governance parameter.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24-hour maximum duration. Governance parameter.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type. PLANNED — scaffold only.</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G.8 KXGC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kxgc_bond_wallet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 bond wallet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G.9 MISAI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misai_pool_health_score_enabled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Pool health score publishing.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misai_fair_value_publishing_enabled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fair value publishing. PLANNED.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G.10 TYPE A Bounds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coverage ratio in any TYPE A grant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type_a_max_investable_pct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investable fraction in any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type_a_eligible_badges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 KXGC_TIER1, KXGC_TIER2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 eligible for TYPE A</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G.11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privacy_send_enabled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credit_visibility_enabled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DORMANT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G.12 Emergency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G.13 Planned Governance Parameters (Scaffold)</w:t>
      </w:r>
    </w:p>
    <w:p>
      <w:pPr>
        <w:shd w:fill="FFF3F3" w:val="clear"/>
        <w:spacing w:before="60" w:after="80"/>
      </w:pPr>
      <w:r>
        <w:rPr>
          <w:rFonts w:ascii="Arial" w:cs="Arial" w:eastAsia="Arial" w:hAnsi="Arial"/>
          <w:b/>
          <w:bCs/>
          <w:color w:val="8B0000"/>
          <w:sz w:val="20"/>
          <w:szCs w:val="20"/>
        </w:rPr>
        <w:t xml:space="preserve">⚠ PLANNED — The following parameters exist in genesis-params.json as scaffolds. Engine logic activates in future build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Activates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pool_health_score_enabled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scoring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Automatic oracle-driven TYPE S triggers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compound_condition_enabled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and LinkedSpring condition types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H — Use Case Playbooks</w:t>
      </w:r>
    </w:p>
    <w:p>
      <w:pPr>
        <w:spacing w:before="80" w:after="12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H.1 — I Want to Issue Debt</w:t>
      </w:r>
    </w:p>
    <w:p>
      <w:pPr>
        <w:spacing w:before="80" w:after="120"/>
        <w:jc w:val="both"/>
      </w:pPr>
      <w:r>
        <w:rPr>
          <w:rFonts w:ascii="Arial" w:cs="Arial" w:eastAsia="Arial" w:hAnsi="Arial"/>
          <w:i/>
          <w:iCs/>
          <w:color w:val="666666"/>
          <w:sz w:val="22"/>
          <w:szCs w:val="22"/>
        </w:rPr>
        <w:t xml:space="preserve">Who this is for: corporations, real estate developers, municipalities, private lenders.</w:t>
      </w:r>
    </w:p>
    <w:p>
      <w:pPr>
        <w:spacing w:before="0" w:after="80"/>
      </w:pPr>
      <w:r>
        <w:t xml:space="preserve"/>
      </w:r>
    </w:p>
    <w:p>
      <w:pPr>
        <w:spacing w:before="80" w:after="12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0" w:after="80"/>
      </w:pPr>
      <w:r>
        <w:t xml:space="preserve"/>
      </w:r>
    </w:p>
    <w:p>
      <w:pPr>
        <w:spacing w:before="80" w:after="12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Integrate via RPC at https://api.chronx.io/rpc</w:t>
      </w:r>
    </w:p>
    <w:p>
      <w:pPr>
        <w:pStyle w:val="ListParagraph"/>
        <w:numPr>
          <w:ilvl w:val="0"/>
          <w:numId w:val="2"/>
        </w:numPr>
        <w:spacing w:before="60" w:after="60"/>
      </w:pPr>
      <w:r>
        <w:rPr>
          <w:rFonts w:ascii="Arial" w:cs="Arial" w:eastAsia="Arial" w:hAnsi="Arial"/>
          <w:sz w:val="22"/>
          <w:szCs w:val="22"/>
        </w:rPr>
        <w:t xml:space="preserve">Create LoanOffer with your terms (see Appendix B)</w:t>
      </w:r>
    </w:p>
    <w:p>
      <w:pPr>
        <w:pStyle w:val="ListParagraph"/>
        <w:numPr>
          <w:ilvl w:val="0"/>
          <w:numId w:val="2"/>
        </w:numPr>
        <w:spacing w:before="60" w:after="60"/>
      </w:pPr>
      <w:r>
        <w:rPr>
          <w:rFonts w:ascii="Arial" w:cs="Arial" w:eastAsia="Arial" w:hAnsi="Arial"/>
          <w:sz w:val="22"/>
          <w:szCs w:val="22"/>
        </w:rPr>
        <w:t xml:space="preserve">Counterparty accepts → obligation live on DAG</w:t>
      </w:r>
    </w:p>
    <w:p>
      <w:pPr>
        <w:pStyle w:val="ListParagraph"/>
        <w:numPr>
          <w:ilvl w:val="0"/>
          <w:numId w:val="2"/>
        </w:numPr>
        <w:spacing w:before="60" w:after="60"/>
      </w:pPr>
      <w:r>
        <w:rPr>
          <w:rFonts w:ascii="Arial" w:cs="Arial" w:eastAsia="Arial" w:hAnsi="Arial"/>
          <w:sz w:val="22"/>
          <w:szCs w:val="22"/>
        </w:rPr>
        <w:t xml:space="preserve">Monitor via chronx_getObligationStatus</w:t>
      </w:r>
    </w:p>
    <w:p>
      <w:pPr>
        <w:pStyle w:val="ListParagraph"/>
        <w:numPr>
          <w:ilvl w:val="0"/>
          <w:numId w:val="2"/>
        </w:numPr>
        <w:spacing w:before="60" w:after="60"/>
      </w:pPr>
      <w:r>
        <w:rPr>
          <w:rFonts w:ascii="Arial" w:cs="Arial" w:eastAsia="Arial" w:hAnsi="Arial"/>
          <w:sz w:val="22"/>
          <w:szCs w:val="22"/>
        </w:rPr>
        <w:t xml:space="preserve">Retire portions as you repurchase</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H.2 — I Want to Build a Marketplace</w:t>
      </w:r>
    </w:p>
    <w:p>
      <w:pPr>
        <w:spacing w:before="80" w:after="120"/>
        <w:jc w:val="both"/>
      </w:pPr>
      <w:r>
        <w:rPr>
          <w:rFonts w:ascii="Arial" w:cs="Arial" w:eastAsia="Arial" w:hAnsi="Arial"/>
          <w:i/>
          <w:iCs/>
          <w:color w:val="666666"/>
          <w:sz w:val="22"/>
          <w:szCs w:val="22"/>
        </w:rPr>
        <w:t xml:space="preserve">Who this is for: fintech developers, exchange operators, DeFi builders.</w:t>
      </w:r>
    </w:p>
    <w:p>
      <w:pPr>
        <w:spacing w:before="0" w:after="80"/>
      </w:pPr>
      <w:r>
        <w:t xml:space="preserve"/>
      </w:r>
    </w:p>
    <w:p>
      <w:pPr>
        <w:spacing w:before="80" w:after="120"/>
        <w:jc w:val="both"/>
      </w:pPr>
      <w:r>
        <w:rPr>
          <w:rFonts w:ascii="Arial" w:cs="Arial" w:eastAsia="Arial" w:hAnsi="Arial"/>
          <w:b/>
          <w:bCs/>
          <w:sz w:val="22"/>
          <w:szCs w:val="22"/>
        </w:rPr>
        <w:t xml:space="preserve">Key RPC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chronx_getYieldInputs(obligation_id)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schedule, prepayment terms for pricing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chronx_getObligationsByOwner(wallet)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chronx_getTransferHistory(obligation_id)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provenance chain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chronx_getTranches(parent_id)</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child tranche obligations</w:t>
            </w:r>
          </w:p>
        </w:tc>
      </w:tr>
    </w:tbl>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H.3 — I Want to Rate Loans</w:t>
      </w:r>
    </w:p>
    <w:p>
      <w:pPr>
        <w:spacing w:before="80" w:after="120"/>
        <w:jc w:val="both"/>
      </w:pPr>
      <w:r>
        <w:rPr>
          <w:rFonts w:ascii="Arial" w:cs="Arial" w:eastAsia="Arial" w:hAnsi="Arial"/>
          <w:i/>
          <w:iCs/>
          <w:color w:val="666666"/>
          <w:sz w:val="22"/>
          <w:szCs w:val="22"/>
        </w:rPr>
        <w:t xml:space="preserve">Who this is for: credit rating analysts, risk modelers, financial data companies.</w:t>
      </w:r>
    </w:p>
    <w:p>
      <w:pPr>
        <w:spacing w:before="0" w:after="80"/>
      </w:pPr>
      <w:r>
        <w:t xml:space="preserve"/>
      </w:r>
    </w:p>
    <w:p>
      <w:pPr>
        <w:spacing w:before="80" w:after="12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0" w:after="80"/>
      </w:pPr>
      <w:r>
        <w:t xml:space="preserve"/>
      </w:r>
    </w:p>
    <w:p>
      <w:pPr>
        <w:spacing w:before="80" w:after="120"/>
        <w:jc w:val="both"/>
      </w:pPr>
      <w:r>
        <w:rPr>
          <w:rFonts w:ascii="Arial" w:cs="Arial" w:eastAsia="Arial" w:hAnsi="Arial"/>
          <w:b/>
          <w:bCs/>
          <w:sz w:val="22"/>
          <w:szCs w:val="22"/>
        </w:rPr>
        <w:t xml:space="preserve">Public if terms_visibility: PUBLIC:</w:t>
      </w:r>
    </w:p>
    <w:p>
      <w:pPr>
        <w:pStyle w:val="ListParagraph"/>
        <w:numPr>
          <w:ilvl w:val="0"/>
          <w:numId w:val="2"/>
        </w:numPr>
        <w:spacing w:before="60" w:after="60"/>
      </w:pPr>
      <w:r>
        <w:rPr>
          <w:rFonts w:ascii="Arial" w:cs="Arial" w:eastAsia="Arial" w:hAnsi="Arial"/>
          <w:sz w:val="22"/>
          <w:szCs w:val="22"/>
        </w:rPr>
        <w:t xml:space="preserve">Interest rate, term, payment schedule, prepayment terms, collateral reference</w:t>
      </w:r>
    </w:p>
    <w:p>
      <w:pPr>
        <w:spacing w:before="80" w:after="120"/>
        <w:jc w:val="both"/>
      </w:pPr>
      <w:r>
        <w:rPr>
          <w:rFonts w:ascii="Arial" w:cs="Arial" w:eastAsia="Arial" w:hAnsi="Arial"/>
          <w:sz w:val="22"/>
          <w:szCs w:val="22"/>
        </w:rPr>
        <w:t xml:space="preserve">Ratings live on your platform. The DAG is evidence. Your bond via CPNX is your credibility.</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H.4 — I Have 20 Years of Insurance Experience</w:t>
      </w:r>
    </w:p>
    <w:p>
      <w:pPr>
        <w:spacing w:before="80" w:after="120"/>
        <w:jc w:val="both"/>
      </w:pPr>
      <w:r>
        <w:rPr>
          <w:rFonts w:ascii="Arial" w:cs="Arial" w:eastAsia="Arial" w:hAnsi="Arial"/>
          <w:i/>
          <w:iCs/>
          <w:color w:val="666666"/>
          <w:sz w:val="22"/>
          <w:szCs w:val="22"/>
        </w:rPr>
        <w:t xml:space="preserve">Who this is for: insurance underwriters, surplus lines operators, reinsurance professionals.</w:t>
      </w:r>
    </w:p>
    <w:p>
      <w:pPr>
        <w:spacing w:before="0" w:after="80"/>
      </w:pPr>
      <w:r>
        <w:t xml:space="preserve"/>
      </w:r>
    </w:p>
    <w:p>
      <w:pPr>
        <w:spacing w:before="80" w:after="120"/>
        <w:jc w:val="both"/>
      </w:pPr>
      <w:r>
        <w:rPr>
          <w:rFonts w:ascii="Arial" w:cs="Arial" w:eastAsia="Arial" w:hAnsi="Arial"/>
          <w:b/>
          <w:bCs/>
          <w:sz w:val="22"/>
          <w:szCs w:val="22"/>
        </w:rPr>
        <w:t xml:space="preserve">The situation:</w:t>
      </w:r>
    </w:p>
    <w:p>
      <w:pPr>
        <w:spacing w:before="80" w:after="120"/>
        <w:jc w:val="both"/>
      </w:pPr>
      <w:r>
        <w:rPr>
          <w:rFonts w:ascii="Arial" w:cs="Arial" w:eastAsia="Arial" w:hAnsi="Arial"/>
          <w:sz w:val="22"/>
          <w:szCs w:val="22"/>
        </w:rPr>
        <w:t xml:space="preserve">Major insurers are exiting California. Homeowners with paid-off properties are legally self-insurable. No lender requirement. No mandate. They need coverage. Nobody is offering it. This is the first market.</w:t>
      </w:r>
    </w:p>
    <w:p>
      <w:pPr>
        <w:spacing w:before="0" w:after="80"/>
      </w:pPr>
      <w:r>
        <w:t xml:space="preserve"/>
      </w:r>
    </w:p>
    <w:p>
      <w:pPr>
        <w:spacing w:before="80" w:after="120"/>
        <w:jc w:val="both"/>
      </w:pPr>
      <w:r>
        <w:rPr>
          <w:rFonts w:ascii="Arial" w:cs="Arial" w:eastAsia="Arial" w:hAnsi="Arial"/>
          <w:b/>
          <w:bCs/>
          <w:sz w:val="22"/>
          <w:szCs w:val="22"/>
        </w:rPr>
        <w:t xml:space="preserve">What KXGC provides:</w:t>
      </w:r>
    </w:p>
    <w:p>
      <w:pPr>
        <w:spacing w:before="80" w:after="120"/>
        <w:jc w:val="both"/>
      </w:pPr>
      <w:r>
        <w:rPr>
          <w:rFonts w:ascii="Arial" w:cs="Arial" w:eastAsia="Arial" w:hAnsi="Arial"/>
          <w:sz w:val="22"/>
          <w:szCs w:val="22"/>
        </w:rPr>
        <w:t xml:space="preserve">300,000,000 KX in fully-reserved capital — permanently on the DAG, queryable by anyone. No audit required. No regulatory filing. The DAG is the proof.</w:t>
      </w:r>
    </w:p>
    <w:p>
      <w:pPr>
        <w:spacing w:before="0" w:after="80"/>
      </w:pPr>
      <w:r>
        <w:t xml:space="preserve"/>
      </w:r>
    </w:p>
    <w:p>
      <w:pPr>
        <w:spacing w:before="80" w:after="120"/>
        <w:jc w:val="both"/>
      </w:pPr>
      <w:r>
        <w:rPr>
          <w:rFonts w:ascii="Arial" w:cs="Arial" w:eastAsia="Arial" w:hAnsi="Arial"/>
          <w:b/>
          <w:bCs/>
          <w:sz w:val="22"/>
          <w:szCs w:val="22"/>
        </w:rPr>
        <w:t xml:space="preserve">How to get started:</w:t>
      </w:r>
    </w:p>
    <w:p>
      <w:pPr>
        <w:pStyle w:val="ListParagraph"/>
        <w:numPr>
          <w:ilvl w:val="0"/>
          <w:numId w:val="2"/>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2"/>
        </w:numPr>
        <w:spacing w:before="60" w:after="60"/>
      </w:pPr>
      <w:r>
        <w:rPr>
          <w:rFonts w:ascii="Arial" w:cs="Arial" w:eastAsia="Arial" w:hAnsi="Arial"/>
          <w:sz w:val="22"/>
          <w:szCs w:val="22"/>
        </w:rPr>
        <w:t xml:space="preserve">KXGC issues TYPE A authority grant (coverage ratio, investable pct, subgrant rights)</w:t>
      </w:r>
    </w:p>
    <w:p>
      <w:pPr>
        <w:pStyle w:val="ListParagraph"/>
        <w:numPr>
          <w:ilvl w:val="0"/>
          <w:numId w:val="2"/>
        </w:numPr>
        <w:spacing w:before="60" w:after="60"/>
      </w:pPr>
      <w:r>
        <w:rPr>
          <w:rFonts w:ascii="Arial" w:cs="Arial" w:eastAsia="Arial" w:hAnsi="Arial"/>
          <w:sz w:val="22"/>
          <w:szCs w:val="22"/>
        </w:rPr>
        <w:t xml:space="preserve">Get INSURANCE badge from CPNX (cpnx.com)</w:t>
      </w:r>
    </w:p>
    <w:p>
      <w:pPr>
        <w:pStyle w:val="ListParagraph"/>
        <w:numPr>
          <w:ilvl w:val="0"/>
          <w:numId w:val="2"/>
        </w:numPr>
        <w:spacing w:before="60" w:after="60"/>
      </w:pPr>
      <w:r>
        <w:rPr>
          <w:rFonts w:ascii="Arial" w:cs="Arial" w:eastAsia="Arial" w:hAnsi="Arial"/>
          <w:sz w:val="22"/>
          <w:szCs w:val="22"/>
        </w:rPr>
        <w:t xml:space="preserve">Create TYPE P-R pool with mandatory disclosure_text</w:t>
      </w:r>
    </w:p>
    <w:p>
      <w:pPr>
        <w:pStyle w:val="ListParagraph"/>
        <w:numPr>
          <w:ilvl w:val="0"/>
          <w:numId w:val="2"/>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2"/>
        </w:numPr>
        <w:spacing w:before="60" w:after="60"/>
      </w:pPr>
      <w:r>
        <w:rPr>
          <w:rFonts w:ascii="Arial" w:cs="Arial" w:eastAsia="Arial" w:hAnsi="Arial"/>
          <w:sz w:val="22"/>
          <w:szCs w:val="22"/>
        </w:rPr>
        <w:t xml:space="preserve">Design attestor group as TYPE G with min_attestors_pct (not static wallet addresses)</w:t>
      </w:r>
    </w:p>
    <w:p>
      <w:pPr>
        <w:pStyle w:val="ListParagraph"/>
        <w:numPr>
          <w:ilvl w:val="0"/>
          <w:numId w:val="2"/>
        </w:numPr>
        <w:spacing w:before="60" w:after="60"/>
      </w:pPr>
      <w:r>
        <w:rPr>
          <w:rFonts w:ascii="Arial" w:cs="Arial" w:eastAsia="Arial" w:hAnsi="Arial"/>
          <w:sz w:val="22"/>
          <w:szCs w:val="22"/>
        </w:rPr>
        <w:t xml:space="preserve">KXGC backstops via TYPE W waterfall</w:t>
      </w:r>
    </w:p>
    <w:p>
      <w:pPr>
        <w:spacing w:before="0" w:after="80"/>
      </w:pPr>
      <w:r>
        <w:t xml:space="preserve"/>
      </w:r>
    </w:p>
    <w:p>
      <w:pPr>
        <w:spacing w:before="80" w:after="120"/>
        <w:jc w:val="both"/>
      </w:pPr>
      <w:r>
        <w:rPr>
          <w:rFonts w:ascii="Arial" w:cs="Arial" w:eastAsia="Arial" w:hAnsi="Arial"/>
          <w:b/>
          <w:bCs/>
          <w:sz w:val="22"/>
          <w:szCs w:val="22"/>
        </w:rPr>
        <w:t xml:space="preserve">Regulatory note:</w:t>
      </w:r>
    </w:p>
    <w:p>
      <w:pPr>
        <w:spacing w:before="80" w:after="120"/>
        <w:jc w:val="both"/>
      </w:pPr>
      <w:r>
        <w:rPr>
          <w:rFonts w:ascii="Arial" w:cs="Arial" w:eastAsia="Arial" w:hAnsi="Arial"/>
          <w:sz w:val="22"/>
          <w:szCs w:val="22"/>
        </w:rPr>
        <w:t xml:space="preserve">Homes owned free and clear are legally self-insurable in most US jurisdictions. ChronX TYPE S instruments are conditional payment contracts. Consult qualified legal counsel before operating.</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H.5 — I Want to Write Homeowner Insurance as a Mutual Benefit Company</w:t>
      </w:r>
    </w:p>
    <w:p>
      <w:pPr>
        <w:spacing w:before="80" w:after="120"/>
        <w:jc w:val="both"/>
      </w:pPr>
      <w:r>
        <w:rPr>
          <w:rFonts w:ascii="Arial" w:cs="Arial" w:eastAsia="Arial" w:hAnsi="Arial"/>
          <w:i/>
          <w:iCs/>
          <w:color w:val="666666"/>
          <w:sz w:val="22"/>
          <w:szCs w:val="22"/>
        </w:rPr>
        <w:t xml:space="preserve">Who this is for: founders building a blockchain-native insurance mutual for free-and-clear homeowners.</w:t>
      </w:r>
    </w:p>
    <w:p>
      <w:pPr>
        <w:spacing w:before="0" w:after="80"/>
      </w:pPr>
      <w:r>
        <w:t xml:space="preserve"/>
      </w:r>
    </w:p>
    <w:p>
      <w:pPr>
        <w:spacing w:before="80" w:after="120"/>
        <w:jc w:val="both"/>
      </w:pPr>
      <w:r>
        <w:rPr>
          <w:rFonts w:ascii="Arial" w:cs="Arial" w:eastAsia="Arial" w:hAnsi="Arial"/>
          <w:b/>
          <w:bCs/>
          <w:sz w:val="22"/>
          <w:szCs w:val="22"/>
        </w:rPr>
        <w:t xml:space="preserve">Legal structure:</w:t>
      </w:r>
    </w:p>
    <w:p>
      <w:pPr>
        <w:spacing w:before="80" w:after="12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This is your regulatory argument for operating without a traditional insurance license in early states. Consult a surplus lines attorney before writing policy #1.</w:t>
      </w:r>
    </w:p>
    <w:p>
      <w:pPr>
        <w:spacing w:before="0" w:after="80"/>
      </w:pPr>
      <w:r>
        <w:t xml:space="preserve"/>
      </w:r>
    </w:p>
    <w:p>
      <w:pPr>
        <w:spacing w:before="80" w:after="120"/>
        <w:jc w:val="both"/>
      </w:pPr>
      <w:r>
        <w:rPr>
          <w:rFonts w:ascii="Arial" w:cs="Arial" w:eastAsia="Arial" w:hAnsi="Arial"/>
          <w:b/>
          <w:bCs/>
          <w:sz w:val="22"/>
          <w:szCs w:val="22"/>
        </w:rPr>
        <w:t xml:space="preserve">The complete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 (MISAI executor on claim)</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0" w:after="80"/>
      </w:pPr>
      <w:r>
        <w:t xml:space="preserve"/>
      </w:r>
    </w:p>
    <w:p>
      <w:pPr>
        <w:spacing w:before="80" w:after="120"/>
        <w:jc w:val="both"/>
      </w:pPr>
      <w:r>
        <w:rPr>
          <w:rFonts w:ascii="Arial" w:cs="Arial" w:eastAsia="Arial" w:hAnsi="Arial"/>
          <w:b/>
          <w:bCs/>
          <w:sz w:val="22"/>
          <w:szCs w:val="22"/>
        </w:rPr>
        <w:t xml:space="preserve">Policy instrument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Homeowner receives USD equivalent, not 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G group ID]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Board members. Use min_attestors_pct not static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of current board must agree. Survives member loss.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 wallet. Claims roll up here on attestor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2,592,000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for KXGC to review before executing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0 hedge IDs]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Policy cannot activate without hedge coverage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[hedger wallet]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premium returns here if KX holds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today. OracleTrigger automation is planned.</w:t>
            </w:r>
          </w:p>
        </w:tc>
      </w:tr>
    </w:tbl>
    <w:p>
      <w:pPr>
        <w:spacing w:before="0" w:after="80"/>
      </w:pPr>
      <w:r>
        <w:t xml:space="preserve"/>
      </w:r>
    </w:p>
    <w:p>
      <w:pPr>
        <w:spacing w:before="80" w:after="120"/>
        <w:jc w:val="both"/>
      </w:pPr>
      <w:r>
        <w:rPr>
          <w:rFonts w:ascii="Arial" w:cs="Arial" w:eastAsia="Arial" w:hAnsi="Arial"/>
          <w:b/>
          <w:bCs/>
          <w:sz w:val="22"/>
          <w:szCs w:val="22"/>
        </w:rPr>
        <w:t xml:space="preserve">The hedge tower (Layer 0 live, Layers 1-2 planned):</w:t>
      </w:r>
    </w:p>
    <w:p>
      <w:pPr>
        <w:pStyle w:val="ListParagraph"/>
        <w:numPr>
          <w:ilvl w:val="0"/>
          <w:numId w:val="2"/>
        </w:numPr>
        <w:spacing w:before="60" w:after="60"/>
      </w:pPr>
      <w:r>
        <w:rPr>
          <w:rFonts w:ascii="Arial" w:cs="Arial" w:eastAsia="Arial" w:hAnsi="Arial"/>
          <w:sz w:val="22"/>
          <w:szCs w:val="22"/>
        </w:rPr>
        <w:t xml:space="preserve">Layer 0: Rolling overnight hedges. Hedger absorbs first 8% KX depreciation. Earns ~1% monthly yield. $250 daily cap currently.</w:t>
      </w:r>
    </w:p>
    <w:p>
      <w:pPr>
        <w:pStyle w:val="ListParagraph"/>
        <w:numPr>
          <w:ilvl w:val="0"/>
          <w:numId w:val="2"/>
        </w:numPr>
        <w:spacing w:before="60" w:after="60"/>
      </w:pPr>
      <w:r>
        <w:rPr>
          <w:rFonts w:ascii="Arial" w:cs="Arial" w:eastAsia="Arial" w:hAnsi="Arial"/>
          <w:sz w:val="22"/>
          <w:szCs w:val="22"/>
        </w:rPr>
        <w:t xml:space="preserve">Layer 1 (planned): 1-year instrument. Covers 8-20% depreciation band. 12% annual premium. Fires only after Layer 0 exhausted.</w:t>
      </w:r>
    </w:p>
    <w:p>
      <w:pPr>
        <w:pStyle w:val="ListParagraph"/>
        <w:numPr>
          <w:ilvl w:val="0"/>
          <w:numId w:val="2"/>
        </w:numPr>
        <w:spacing w:before="60" w:after="60"/>
      </w:pPr>
      <w:r>
        <w:rPr>
          <w:rFonts w:ascii="Arial" w:cs="Arial" w:eastAsia="Arial" w:hAnsi="Arial"/>
          <w:sz w:val="22"/>
          <w:szCs w:val="22"/>
        </w:rPr>
        <w:t xml:space="preserve">Layer 2 (planned): Catastrophe layer. Covers &gt;20% depreciation AND a PAY_AS claim has actually fired (CompoundAND condition).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The dead attestor problem — solved:</w:t>
      </w:r>
    </w:p>
    <w:p>
      <w:pPr>
        <w:spacing w:before="80" w:after="120"/>
        <w:jc w:val="both"/>
      </w:pPr>
      <w:r>
        <w:rPr>
          <w:rFonts w:ascii="Arial" w:cs="Arial" w:eastAsia="Arial" w:hAnsi="Arial"/>
          <w:sz w:val="22"/>
          <w:szCs w:val="22"/>
        </w:rPr>
        <w:t xml:space="preserve">Use TYPE G wallet group with min_attestors_pct: 0.60 rather than static addresses. When a board member dies or is incapacitated, submit RemoveGroupMember. The 60% threshold flexes automatically with the current group size. Maintain a group large enough (7+ members) that losing 1-2 never drops you below minimum.</w:t>
      </w:r>
    </w:p>
    <w:p>
      <w:pPr>
        <w:spacing w:before="0" w:after="80"/>
      </w:pPr>
      <w:r>
        <w:t xml:space="preserve"/>
      </w:r>
    </w:p>
    <w:p>
      <w:pPr>
        <w:spacing w:before="80" w:after="120"/>
        <w:jc w:val="both"/>
      </w:pPr>
      <w:r>
        <w:rPr>
          <w:rFonts w:ascii="Arial" w:cs="Arial" w:eastAsia="Arial" w:hAnsi="Arial"/>
          <w:b/>
          <w:bCs/>
          <w:sz w:val="22"/>
          <w:szCs w:val="22"/>
        </w:rPr>
        <w:t xml:space="preserve">Tier 1 fraud / arrest scenario:</w:t>
      </w:r>
    </w:p>
    <w:p>
      <w:pPr>
        <w:spacing w:before="80" w:after="120"/>
        <w:jc w:val="both"/>
      </w:pPr>
      <w:r>
        <w:rPr>
          <w:rFonts w:ascii="Arial" w:cs="Arial" w:eastAsia="Arial" w:hAnsi="Arial"/>
          <w:sz w:val="22"/>
          <w:szCs w:val="22"/>
        </w:rPr>
        <w:t xml:space="preserve">If the Tier 1 operator’s attestor group fails (arrests, dissolution), KXGC or the Foundation submits DeclareAttestorFailure. All policies referencing the failed group escalate automatically to the escalation_wallet (KXGC). KXGC’s DrawRequest against the Tier 1 bond queues simultaneously. Policyholders’ coverage transfers to KXGC. The bond makes the fraud expensive. The protocol makes the coverage transfer automatic.</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H.6 — I Want to Run a Node</w:t>
      </w:r>
    </w:p>
    <w:p>
      <w:pPr>
        <w:spacing w:before="80" w:after="120"/>
        <w:jc w:val="both"/>
      </w:pPr>
      <w:r>
        <w:rPr>
          <w:rFonts w:ascii="Arial" w:cs="Arial" w:eastAsia="Arial" w:hAnsi="Arial"/>
          <w:i/>
          <w:iCs/>
          <w:color w:val="666666"/>
          <w:sz w:val="22"/>
          <w:szCs w:val="22"/>
        </w:rPr>
        <w:t xml:space="preserve">Who this is for: technical operators, infrastructure providers, community participants.</w:t>
      </w:r>
    </w:p>
    <w:p>
      <w:pPr>
        <w:spacing w:before="0" w:after="80"/>
      </w:pPr>
      <w:r>
        <w:t xml:space="preserve"/>
      </w:r>
    </w:p>
    <w:p>
      <w:pPr>
        <w:spacing w:before="80" w:after="120"/>
        <w:jc w:val="both"/>
      </w:pPr>
      <w:r>
        <w:rPr>
          <w:rFonts w:ascii="Arial" w:cs="Arial" w:eastAsia="Arial" w:hAnsi="Arial"/>
          <w:b/>
          <w:bCs/>
          <w:sz w:val="22"/>
          <w:szCs w:val="22"/>
        </w:rPr>
        <w:t xml:space="preserve">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5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modern x86_64 or ARM64</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GB</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 GB recommended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GB SSD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grows with volume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Mbps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Stable uptime more important than speed</w:t>
            </w:r>
          </w:p>
        </w:tc>
      </w:tr>
    </w:tbl>
    <w:p>
      <w:pPr>
        <w:spacing w:before="0" w:after="80"/>
      </w:pPr>
      <w:r>
        <w:t xml:space="preserve"/>
      </w:r>
    </w:p>
    <w:p>
      <w:pPr>
        <w:spacing w:before="80" w:after="120"/>
        <w:jc w:val="both"/>
      </w:pPr>
      <w:r>
        <w:rPr>
          <w:rFonts w:ascii="Arial" w:cs="Arial" w:eastAsia="Arial" w:hAnsi="Arial"/>
          <w:b/>
          <w:bCs/>
          <w:sz w:val="22"/>
          <w:szCs w:val="22"/>
        </w:rPr>
        <w:t xml:space="preserve">What you get from January 1, 2029:</w:t>
      </w:r>
    </w:p>
    <w:p>
      <w:pPr>
        <w:pStyle w:val="ListParagraph"/>
        <w:numPr>
          <w:ilvl w:val="0"/>
          <w:numId w:val="2"/>
        </w:numPr>
        <w:spacing w:before="60" w:after="60"/>
      </w:pPr>
      <w:r>
        <w:rPr>
          <w:rFonts w:ascii="Arial" w:cs="Arial" w:eastAsia="Arial" w:hAnsi="Arial"/>
          <w:sz w:val="22"/>
          <w:szCs w:val="22"/>
        </w:rPr>
        <w:t xml:space="preserve">Proportional share of Node Rewards harmonic release (1,000,000,000 KX over 100 years)</w:t>
      </w:r>
    </w:p>
    <w:p>
      <w:pPr>
        <w:pStyle w:val="ListParagraph"/>
        <w:numPr>
          <w:ilvl w:val="0"/>
          <w:numId w:val="2"/>
        </w:numPr>
        <w:spacing w:before="60" w:after="60"/>
      </w:pPr>
      <w:r>
        <w:rPr>
          <w:rFonts w:ascii="Arial" w:cs="Arial" w:eastAsia="Arial" w:hAnsi="Arial"/>
          <w:sz w:val="22"/>
          <w:szCs w:val="22"/>
        </w:rPr>
        <w:t xml:space="preserve">Year 1 release at ICO price ($0.00319): approximately $2.8M USD distributed across all active operators</w:t>
      </w:r>
    </w:p>
    <w:p>
      <w:pPr>
        <w:spacing w:before="0" w:after="80"/>
      </w:pPr>
      <w:r>
        <w:t xml:space="preserve"/>
      </w:r>
    </w:p>
    <w:p>
      <w:pPr>
        <w:spacing w:before="80" w:after="12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H.7 — I Want to Build an AI Agent on ChronX</w:t>
      </w:r>
    </w:p>
    <w:p>
      <w:pPr>
        <w:spacing w:before="80" w:after="120"/>
        <w:jc w:val="both"/>
      </w:pPr>
      <w:r>
        <w:rPr>
          <w:rFonts w:ascii="Arial" w:cs="Arial" w:eastAsia="Arial" w:hAnsi="Arial"/>
          <w:i/>
          <w:iCs/>
          <w:color w:val="666666"/>
          <w:sz w:val="22"/>
          <w:szCs w:val="22"/>
        </w:rPr>
        <w:t xml:space="preserve">Who this is for: AI developers, quant funds, autonomous agent builders.</w:t>
      </w:r>
    </w:p>
    <w:p>
      <w:pPr>
        <w:spacing w:before="0" w:after="80"/>
      </w:pPr>
      <w:r>
        <w:t xml:space="preserve"/>
      </w:r>
    </w:p>
    <w:p>
      <w:pPr>
        <w:spacing w:before="80" w:after="12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authorizations: pre-authorized draws, no per-transaction approval</w:t>
      </w:r>
    </w:p>
    <w:p>
      <w:pPr>
        <w:spacing w:before="0" w:after="80"/>
      </w:pPr>
      <w:r>
        <w:t xml:space="preserve"/>
      </w:r>
    </w:p>
    <w:p>
      <w:pPr>
        <w:spacing w:before="80" w:after="120"/>
        <w:jc w:val="both"/>
      </w:pPr>
      <w:r>
        <w:rPr>
          <w:rFonts w:ascii="Arial" w:cs="Arial" w:eastAsia="Arial" w:hAnsi="Arial"/>
          <w:b/>
          <w:bCs/>
          <w:sz w:val="22"/>
          <w:szCs w:val="22"/>
        </w:rPr>
        <w:t xml:space="preserve">Key RPC methods for agent builders: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Discover TYPE M locks available for management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X25519 public key for lock_metadata encryption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chronx_getAgentCustodyRecord(lock_id)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 state for a specific lock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chronx_getAxiomConsent(lock_id, party)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axiom consent on a lock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chronx_getAgentHistory(agent_wallet)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decision history</w:t>
            </w:r>
          </w:p>
        </w:tc>
      </w:tr>
    </w:tbl>
    <w:p>
      <w:pPr>
        <w:spacing w:before="0" w:after="80"/>
      </w:pPr>
      <w:r>
        <w:t xml:space="preserve"/>
      </w:r>
    </w:p>
    <w:p>
      <w:pPr>
        <w:spacing w:before="80" w:after="120"/>
        <w:jc w:val="both"/>
      </w:pPr>
      <w:r>
        <w:rPr>
          <w:rFonts w:ascii="Arial" w:cs="Arial" w:eastAsia="Arial" w:hAnsi="Arial"/>
          <w:b/>
          <w:bCs/>
          <w:sz w:val="22"/>
          <w:szCs w:val="22"/>
        </w:rPr>
        <w:t xml:space="preserve">Current governance constraints:</w:t>
      </w:r>
    </w:p>
    <w:p>
      <w:pPr>
        <w:pStyle w:val="ListParagraph"/>
        <w:numPr>
          <w:ilvl w:val="0"/>
          <w:numId w:val="2"/>
        </w:numPr>
        <w:spacing w:before="60" w:after="60"/>
      </w:pPr>
      <w:r>
        <w:rPr>
          <w:rFonts w:ascii="Arial" w:cs="Arial" w:eastAsia="Arial" w:hAnsi="Arial"/>
          <w:sz w:val="22"/>
          <w:szCs w:val="22"/>
        </w:rPr>
        <w:t xml:space="preserve">misai_conservative_batch_only: true — batch-only mode, full autonomy requires governance vote</w:t>
      </w:r>
    </w:p>
    <w:p>
      <w:pPr>
        <w:pStyle w:val="ListParagraph"/>
        <w:numPr>
          <w:ilvl w:val="0"/>
          <w:numId w:val="2"/>
        </w:numPr>
        <w:spacing w:before="60" w:after="60"/>
      </w:pPr>
      <w:r>
        <w:rPr>
          <w:rFonts w:ascii="Arial" w:cs="Arial" w:eastAsia="Arial" w:hAnsi="Arial"/>
          <w:sz w:val="22"/>
          <w:szCs w:val="22"/>
        </w:rPr>
        <w:t xml:space="preserve">misai_max_investable_fraction: 0.50 — max 50% of any lock</w:t>
      </w:r>
    </w:p>
    <w:p>
      <w:pPr>
        <w:pStyle w:val="ListParagraph"/>
        <w:numPr>
          <w:ilvl w:val="0"/>
          <w:numId w:val="2"/>
        </w:numPr>
        <w:spacing w:before="60" w:after="60"/>
      </w:pPr>
      <w:r>
        <w:rPr>
          <w:rFonts w:ascii="Arial" w:cs="Arial" w:eastAsia="Arial" w:hAnsi="Arial"/>
          <w:sz w:val="22"/>
          <w:szCs w:val="22"/>
        </w:rPr>
        <w:t xml:space="preserve">executor_withdraw_delay_seconds: 86,400 — 24-hour delay</w:t>
      </w:r>
    </w:p>
    <w:p>
      <w:pPr>
        <w:spacing w:before="40" w:after="60"/>
      </w:pPr>
      <w:r>
        <w:rPr>
          <w:rFonts w:ascii="Arial" w:cs="Arial" w:eastAsia="Arial" w:hAnsi="Arial"/>
          <w:color w:val="666666"/>
          <w:sz w:val="18"/>
          <w:szCs w:val="18"/>
        </w:rPr>
        <w:t xml:space="preserve">Contact: contact@misai.io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H.8 — I Want to Hedge KX/USD Exposure</w:t>
      </w:r>
    </w:p>
    <w:p>
      <w:pPr>
        <w:spacing w:before="80" w:after="120"/>
        <w:jc w:val="both"/>
      </w:pPr>
      <w:r>
        <w:rPr>
          <w:rFonts w:ascii="Arial" w:cs="Arial" w:eastAsia="Arial" w:hAnsi="Arial"/>
          <w:i/>
          <w:iCs/>
          <w:color w:val="666666"/>
          <w:sz w:val="22"/>
          <w:szCs w:val="22"/>
        </w:rPr>
        <w:t xml:space="preserve">Who this is for: KX holders who want USD stability, insurance mutuals needing currency risk coverage, long-horizon promise creators.</w:t>
      </w:r>
    </w:p>
    <w:p>
      <w:pPr>
        <w:spacing w:before="0" w:after="80"/>
      </w:pPr>
      <w:r>
        <w:t xml:space="preserve"/>
      </w:r>
    </w:p>
    <w:p>
      <w:pPr>
        <w:spacing w:before="80" w:after="120"/>
        <w:jc w:val="both"/>
      </w:pPr>
      <w:r>
        <w:rPr>
          <w:rFonts w:ascii="Arial" w:cs="Arial" w:eastAsia="Arial" w:hAnsi="Arial"/>
          <w:b/>
          <w:bCs/>
          <w:sz w:val="22"/>
          <w:szCs w:val="22"/>
        </w:rPr>
        <w:t xml:space="preserve">What a hedge instrument is:</w:t>
      </w:r>
    </w:p>
    <w:p>
      <w:pPr>
        <w:spacing w:before="80" w:after="12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 not insurance risk, not claims risk, not fraud risk. A hedger who loses money on a correctly-executed instrument has no claim against HedgeKX or any other party. The instrument executed as designed.</w:t>
      </w:r>
    </w:p>
    <w:p>
      <w:pPr>
        <w:spacing w:before="0" w:after="80"/>
      </w:pPr>
      <w:r>
        <w:t xml:space="preserve"/>
      </w:r>
    </w:p>
    <w:p>
      <w:pPr>
        <w:spacing w:before="80" w:after="120"/>
        <w:jc w:val="both"/>
      </w:pPr>
      <w:r>
        <w:rPr>
          <w:rFonts w:ascii="Arial" w:cs="Arial" w:eastAsia="Arial" w:hAnsi="Arial"/>
          <w:b/>
          <w:bCs/>
          <w:sz w:val="22"/>
          <w:szCs w:val="22"/>
        </w:rPr>
        <w:t xml:space="preserve">Available instrument types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success_payment_wallet: your USDC wallet for premium return if condition never fires</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0" w:after="80"/>
      </w:pPr>
      <w:r>
        <w:t xml:space="preserve"/>
      </w:r>
    </w:p>
    <w:p>
      <w:pPr>
        <w:spacing w:before="80" w:after="120"/>
        <w:jc w:val="both"/>
      </w:pPr>
      <w:r>
        <w:rPr>
          <w:rFonts w:ascii="Arial" w:cs="Arial" w:eastAsia="Arial" w:hAnsi="Arial"/>
          <w:b/>
          <w:bCs/>
          <w:sz w:val="22"/>
          <w:szCs w:val="22"/>
        </w:rPr>
        <w:t xml:space="preserve">Planned instrument types:</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 (no human attestor needed)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(8-20%, &gt;20% bands) as CompoundAND and LinkedSpring are built</w:t>
      </w:r>
    </w:p>
    <w:p>
      <w:pPr>
        <w:spacing w:before="0" w:after="80"/>
      </w:pPr>
      <w:r>
        <w:t xml:space="preserve"/>
      </w:r>
    </w:p>
    <w:p>
      <w:pPr>
        <w:spacing w:before="80" w:after="120"/>
        <w:jc w:val="both"/>
      </w:pPr>
      <w:r>
        <w:rPr>
          <w:rFonts w:ascii="Arial" w:cs="Arial" w:eastAsia="Arial" w:hAnsi="Arial"/>
          <w:b/>
          <w:bCs/>
          <w:sz w:val="22"/>
          <w:szCs w:val="22"/>
        </w:rPr>
        <w:t xml:space="preserve">How to post an offer on HedgeKX:</w:t>
      </w:r>
    </w:p>
    <w:p>
      <w:pPr>
        <w:pStyle w:val="ListParagraph"/>
        <w:numPr>
          <w:ilvl w:val="0"/>
          <w:numId w:val="2"/>
        </w:numPr>
        <w:spacing w:before="60" w:after="60"/>
      </w:pPr>
      <w:r>
        <w:rPr>
          <w:rFonts w:ascii="Arial" w:cs="Arial" w:eastAsia="Arial" w:hAnsi="Arial"/>
          <w:sz w:val="22"/>
          <w:szCs w:val="22"/>
        </w:rPr>
        <w:t xml:space="preserve">Create a TYPE S instrument with your threshold (e.g. oracle_trigger_threshold: 0.92 for 8% protection)</w:t>
      </w:r>
    </w:p>
    <w:p>
      <w:pPr>
        <w:pStyle w:val="ListParagraph"/>
        <w:numPr>
          <w:ilvl w:val="0"/>
          <w:numId w:val="2"/>
        </w:numPr>
        <w:spacing w:before="60" w:after="60"/>
      </w:pPr>
      <w:r>
        <w:rPr>
          <w:rFonts w:ascii="Arial" w:cs="Arial" w:eastAsia="Arial" w:hAnsi="Arial"/>
          <w:sz w:val="22"/>
          <w:szCs w:val="22"/>
        </w:rPr>
        <w:t xml:space="preserve">Set valid_until to your chosen duration</w:t>
      </w:r>
    </w:p>
    <w:p>
      <w:pPr>
        <w:pStyle w:val="ListParagraph"/>
        <w:numPr>
          <w:ilvl w:val="0"/>
          <w:numId w:val="2"/>
        </w:numPr>
        <w:spacing w:before="60" w:after="60"/>
      </w:pPr>
      <w:r>
        <w:rPr>
          <w:rFonts w:ascii="Arial" w:cs="Arial" w:eastAsia="Arial" w:hAnsi="Arial"/>
          <w:sz w:val="22"/>
          <w:szCs w:val="22"/>
        </w:rPr>
        <w:t xml:space="preserve">Set success_payment_wallet to receive premium if condition never fires</w:t>
      </w:r>
    </w:p>
    <w:p>
      <w:pPr>
        <w:pStyle w:val="ListParagraph"/>
        <w:numPr>
          <w:ilvl w:val="0"/>
          <w:numId w:val="2"/>
        </w:numPr>
        <w:spacing w:before="60" w:after="60"/>
      </w:pPr>
      <w:r>
        <w:rPr>
          <w:rFonts w:ascii="Arial" w:cs="Arial" w:eastAsia="Arial" w:hAnsi="Arial"/>
          <w:sz w:val="22"/>
          <w:szCs w:val="22"/>
        </w:rPr>
        <w:t xml:space="preserve">Post instrument ID to HedgeKX order book</w:t>
      </w:r>
    </w:p>
    <w:p>
      <w:pPr>
        <w:pStyle w:val="ListParagraph"/>
        <w:numPr>
          <w:ilvl w:val="0"/>
          <w:numId w:val="2"/>
        </w:numPr>
        <w:spacing w:before="60" w:after="60"/>
      </w:pPr>
      <w:r>
        <w:rPr>
          <w:rFonts w:ascii="Arial" w:cs="Arial" w:eastAsia="Arial" w:hAnsi="Arial"/>
          <w:sz w:val="22"/>
          <w:szCs w:val="22"/>
        </w:rPr>
        <w:t xml:space="preserve">Promise creator links your instrument ID in their required_hedge_ids field</w:t>
      </w:r>
    </w:p>
    <w:p>
      <w:pPr>
        <w:spacing w:before="0" w:after="80"/>
      </w:pPr>
      <w:r>
        <w:t xml:space="preserve"/>
      </w:r>
    </w:p>
    <w:p>
      <w:pPr>
        <w:spacing w:before="80" w:after="120"/>
        <w:jc w:val="both"/>
      </w:pPr>
      <w:r>
        <w:rPr>
          <w:rFonts w:ascii="Arial" w:cs="Arial" w:eastAsia="Arial" w:hAnsi="Arial"/>
          <w:b/>
          <w:bCs/>
          <w:sz w:val="22"/>
          <w:szCs w:val="22"/>
        </w:rPr>
        <w:t xml:space="preserve">Long-horizon PAY_AS hedging (Bob’s 20-year promise to Mary):</w:t>
      </w:r>
    </w:p>
    <w:p>
      <w:pPr>
        <w:spacing w:before="80" w:after="120"/>
        <w:jc w:val="both"/>
      </w:pPr>
      <w:r>
        <w:rPr>
          <w:rFonts w:ascii="Arial" w:cs="Arial" w:eastAsia="Arial" w:hAnsi="Arial"/>
          <w:sz w:val="22"/>
          <w:szCs w:val="22"/>
        </w:rPr>
        <w:t xml:space="preserve">Certain PAY_AS promises — those guaranteed to execute — require a different hedging approach than contingent insurance instruments. The hedge_requirement field supports three modes:</w:t>
      </w:r>
    </w:p>
    <w:p>
      <w:pPr>
        <w:pStyle w:val="ListParagraph"/>
        <w:numPr>
          <w:ilvl w:val="0"/>
          <w:numId w:val="2"/>
        </w:numPr>
        <w:spacing w:before="60" w:after="60"/>
      </w:pPr>
      <w:r>
        <w:rPr>
          <w:rFonts w:ascii="Arial" w:cs="Arial" w:eastAsia="Arial" w:hAnsi="Arial"/>
          <w:sz w:val="22"/>
          <w:szCs w:val="22"/>
        </w:rPr>
        <w:t xml:space="preserve">Static: specific hedge instrument IDs linked at creation. Best for short-term instruments.</w:t>
      </w:r>
    </w:p>
    <w:p>
      <w:pPr>
        <w:pStyle w:val="ListParagraph"/>
        <w:numPr>
          <w:ilvl w:val="0"/>
          <w:numId w:val="2"/>
        </w:numPr>
        <w:spacing w:before="60" w:after="60"/>
      </w:pPr>
      <w:r>
        <w:rPr>
          <w:rFonts w:ascii="Arial" w:cs="Arial" w:eastAsia="Arial" w:hAnsi="Arial"/>
          <w:sz w:val="22"/>
          <w:szCs w:val="22"/>
        </w:rPr>
        <w:t xml:space="preserve">Dynamic: MISAI-managed pool backstop. Pool aggregates risk across many promises. Hedgers enter and exit on 30-day windows. MISAI sources replacements as hedges expire. Best for long-horizon promises.</w:t>
      </w:r>
    </w:p>
    <w:p>
      <w:pPr>
        <w:pStyle w:val="ListParagraph"/>
        <w:numPr>
          <w:ilvl w:val="0"/>
          <w:numId w:val="2"/>
        </w:numPr>
        <w:spacing w:before="60" w:after="60"/>
      </w:pPr>
      <w:r>
        <w:rPr>
          <w:rFonts w:ascii="Arial" w:cs="Arial" w:eastAsia="Arial" w:hAnsi="Arial"/>
          <w:sz w:val="22"/>
          <w:szCs w:val="22"/>
        </w:rPr>
        <w:t xml:space="preserve">None: grantor accepts KX/USD conversion risk at maturity. Valid choice if grantor believes KX will appreciate.</w:t>
      </w:r>
    </w:p>
    <w:p>
      <w:pPr>
        <w:spacing w:before="40" w:after="60"/>
      </w:pPr>
      <w:r>
        <w:rPr>
          <w:rFonts w:ascii="Arial" w:cs="Arial" w:eastAsia="Arial" w:hAnsi="Arial"/>
          <w:color w:val="666666"/>
          <w:sz w:val="18"/>
          <w:szCs w:val="18"/>
        </w:rPr>
        <w:t xml:space="preserve">Contact: contact@hedgekx.io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H.9 — I Want to Use Verifas for Long-Horizon Delivery</w:t>
      </w:r>
    </w:p>
    <w:p>
      <w:pPr>
        <w:spacing w:before="80" w:after="120"/>
        <w:jc w:val="both"/>
      </w:pPr>
      <w:r>
        <w:rPr>
          <w:rFonts w:ascii="Arial" w:cs="Arial" w:eastAsia="Arial" w:hAnsi="Arial"/>
          <w:i/>
          <w:iCs/>
          <w:color w:val="666666"/>
          <w:sz w:val="22"/>
          <w:szCs w:val="22"/>
        </w:rPr>
        <w:t xml:space="preserve">Who this is for: estate planners, trust attorneys, family offices, anyone making promises that outlast contact information.</w:t>
      </w:r>
    </w:p>
    <w:p>
      <w:pPr>
        <w:spacing w:before="0" w:after="80"/>
      </w:pPr>
      <w:r>
        <w:t xml:space="preserve"/>
      </w:r>
    </w:p>
    <w:p>
      <w:pPr>
        <w:spacing w:before="80" w:after="12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w:t>
      </w:r>
    </w:p>
    <w:p>
      <w:pPr>
        <w:spacing w:before="0" w:after="80"/>
      </w:pPr>
      <w:r>
        <w:t xml:space="preserve"/>
      </w:r>
    </w:p>
    <w:p>
      <w:pPr>
        <w:spacing w:before="80" w:after="120"/>
        <w:jc w:val="both"/>
      </w:pPr>
      <w:r>
        <w:rPr>
          <w:rFonts w:ascii="Arial" w:cs="Arial" w:eastAsia="Arial" w:hAnsi="Arial"/>
          <w:b/>
          <w:bCs/>
          <w:sz w:val="22"/>
          <w:szCs w:val="22"/>
        </w:rPr>
        <w:t xml:space="preserve">How to attach a beneficiary package:</w:t>
      </w:r>
    </w:p>
    <w:p>
      <w:pPr>
        <w:pStyle w:val="ListParagraph"/>
        <w:numPr>
          <w:ilvl w:val="0"/>
          <w:numId w:val="2"/>
        </w:numPr>
        <w:spacing w:before="60" w:after="60"/>
      </w:pPr>
      <w:r>
        <w:rPr>
          <w:rFonts w:ascii="Arial" w:cs="Arial" w:eastAsia="Arial" w:hAnsi="Arial"/>
          <w:sz w:val="22"/>
          <w:szCs w:val="22"/>
        </w:rPr>
        <w:t xml:space="preserve">When creating TimeLockCreate with unlock_at &gt; 365 days, include beneficiary_package</w:t>
      </w:r>
    </w:p>
    <w:p>
      <w:pPr>
        <w:pStyle w:val="ListParagraph"/>
        <w:numPr>
          <w:ilvl w:val="0"/>
          <w:numId w:val="2"/>
        </w:numPr>
        <w:spacing w:before="60" w:after="60"/>
      </w:pPr>
      <w:r>
        <w:rPr>
          <w:rFonts w:ascii="Arial" w:cs="Arial" w:eastAsia="Arial" w:hAnsi="Arial"/>
          <w:sz w:val="22"/>
          <w:szCs w:val="22"/>
        </w:rPr>
        <w:t xml:space="preserve">Encrypt the package to Verifas’s HSM public key (from Verifas API)</w:t>
      </w:r>
    </w:p>
    <w:p>
      <w:pPr>
        <w:pStyle w:val="ListParagraph"/>
        <w:numPr>
          <w:ilvl w:val="0"/>
          <w:numId w:val="2"/>
        </w:numPr>
        <w:spacing w:before="60" w:after="60"/>
      </w:pPr>
      <w:r>
        <w:rPr>
          <w:rFonts w:ascii="Arial" w:cs="Arial" w:eastAsia="Arial" w:hAnsi="Arial"/>
          <w:sz w:val="22"/>
          <w:szCs w:val="22"/>
        </w:rPr>
        <w:t xml:space="preserve">Package contents: beneficiary type (email / person / organization), identifier, domicile at creation</w:t>
      </w:r>
    </w:p>
    <w:p>
      <w:pPr>
        <w:spacing w:before="0" w:after="80"/>
      </w:pPr>
      <w:r>
        <w:t xml:space="preserve"/>
      </w:r>
    </w:p>
    <w:p>
      <w:pPr>
        <w:spacing w:before="80" w:after="120"/>
        <w:jc w:val="both"/>
      </w:pPr>
      <w:r>
        <w:rPr>
          <w:rFonts w:ascii="Arial" w:cs="Arial" w:eastAsia="Arial" w:hAnsi="Arial"/>
          <w:b/>
          <w:bCs/>
          <w:sz w:val="22"/>
          <w:szCs w:val="22"/>
        </w:rPr>
        <w:t xml:space="preserve">What happens at maturity:</w:t>
      </w:r>
    </w:p>
    <w:p>
      <w:pPr>
        <w:pStyle w:val="ListParagraph"/>
        <w:numPr>
          <w:ilvl w:val="0"/>
          <w:numId w:val="2"/>
        </w:numPr>
        <w:spacing w:before="60" w:after="60"/>
      </w:pPr>
      <w:r>
        <w:rPr>
          <w:rFonts w:ascii="Arial" w:cs="Arial" w:eastAsia="Arial" w:hAnsi="Arial"/>
          <w:sz w:val="22"/>
          <w:szCs w:val="22"/>
        </w:rPr>
        <w:t xml:space="preserve">Lock matures. Recipient has 90 days to self-claim.</w:t>
      </w:r>
    </w:p>
    <w:p>
      <w:pPr>
        <w:pStyle w:val="ListParagraph"/>
        <w:numPr>
          <w:ilvl w:val="0"/>
          <w:numId w:val="2"/>
        </w:numPr>
        <w:spacing w:before="60" w:after="60"/>
      </w:pPr>
      <w:r>
        <w:rPr>
          <w:rFonts w:ascii="Arial" w:cs="Arial" w:eastAsia="Arial" w:hAnsi="Arial"/>
          <w:sz w:val="22"/>
          <w:szCs w:val="22"/>
        </w:rPr>
        <w:t xml:space="preserve">Day 91: Verifas attestors begin beneficiary location process</w:t>
      </w:r>
    </w:p>
    <w:p>
      <w:pPr>
        <w:pStyle w:val="ListParagraph"/>
        <w:numPr>
          <w:ilvl w:val="0"/>
          <w:numId w:val="2"/>
        </w:numPr>
        <w:spacing w:before="60" w:after="60"/>
      </w:pPr>
      <w:r>
        <w:rPr>
          <w:rFonts w:ascii="Arial" w:cs="Arial" w:eastAsia="Arial" w:hAnsi="Arial"/>
          <w:sz w:val="22"/>
          <w:szCs w:val="22"/>
        </w:rPr>
        <w:t xml:space="preserve">Attestor confirms identity via IdentityVerified TYPE L entry on DAG</w:t>
      </w:r>
    </w:p>
    <w:p>
      <w:pPr>
        <w:pStyle w:val="ListParagraph"/>
        <w:numPr>
          <w:ilvl w:val="0"/>
          <w:numId w:val="2"/>
        </w:numPr>
        <w:spacing w:before="60" w:after="60"/>
      </w:pPr>
      <w:r>
        <w:rPr>
          <w:rFonts w:ascii="Arial" w:cs="Arial" w:eastAsia="Arial" w:hAnsi="Arial"/>
          <w:sz w:val="22"/>
          <w:szCs w:val="22"/>
        </w:rPr>
        <w:t xml:space="preserve">Claim executes. KX delivered.</w:t>
      </w:r>
    </w:p>
    <w:p>
      <w:pPr>
        <w:pStyle w:val="ListParagraph"/>
        <w:numPr>
          <w:ilvl w:val="0"/>
          <w:numId w:val="2"/>
        </w:numPr>
        <w:spacing w:before="60" w:after="60"/>
      </w:pPr>
      <w:r>
        <w:rPr>
          <w:rFonts w:ascii="Arial" w:cs="Arial" w:eastAsia="Arial" w:hAnsi="Arial"/>
          <w:sz w:val="22"/>
          <w:szCs w:val="22"/>
        </w:rPr>
        <w:t xml:space="preserve">If unclaimed at maturity + 100 years: KX transfers to Humanity Stake</w:t>
      </w:r>
    </w:p>
    <w:p>
      <w:pPr>
        <w:spacing w:before="0" w:after="80"/>
      </w:pPr>
      <w:r>
        <w:t xml:space="preserve"/>
      </w:r>
    </w:p>
    <w:p>
      <w:pPr>
        <w:spacing w:before="80" w:after="120"/>
        <w:jc w:val="both"/>
      </w:pPr>
      <w:r>
        <w:rPr>
          <w:rFonts w:ascii="Arial" w:cs="Arial" w:eastAsia="Arial" w:hAnsi="Arial"/>
          <w:b/>
          <w:bCs/>
          <w:sz w:val="22"/>
          <w:szCs w:val="22"/>
        </w:rPr>
        <w:t xml:space="preserve">Sign of Life:</w:t>
      </w:r>
    </w:p>
    <w:p>
      <w:pPr>
        <w:spacing w:before="80" w:after="120"/>
        <w:jc w:val="both"/>
      </w:pPr>
      <w:r>
        <w:rPr>
          <w:rFonts w:ascii="Arial" w:cs="Arial" w:eastAsia="Arial" w:hAnsi="Arial"/>
          <w:sz w:val="22"/>
          <w:szCs w:val="22"/>
        </w:rPr>
        <w:t xml:space="preserve">Set sign_of_life_interval_days for very long-horizon promises. If grantor fails to attest within interval + 90-day grace period, funds transfer to guardian_pubkey. This is the protocol’s dead-man switch.</w:t>
      </w:r>
    </w:p>
    <w:p>
      <w:pPr>
        <w:spacing w:before="40" w:after="60"/>
      </w:pPr>
      <w:r>
        <w:rPr>
          <w:rFonts w:ascii="Arial" w:cs="Arial" w:eastAsia="Arial" w:hAnsi="Arial"/>
          <w:color w:val="666666"/>
          <w:sz w:val="18"/>
          <w:szCs w:val="18"/>
        </w:rPr>
        <w:t xml:space="preserve">Contact: contact@verifas.io</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I — RPC Method Reference</w:t>
      </w:r>
    </w:p>
    <w:p>
      <w:pPr>
        <w:spacing w:before="80" w:after="12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40" w:after="60"/>
      </w:pPr>
      <w:r>
        <w:rPr>
          <w:rFonts w:ascii="Arial" w:cs="Arial" w:eastAsia="Arial" w:hAnsi="Arial"/>
          <w:color w:val="666666"/>
          <w:sz w:val="18"/>
          <w:szCs w:val="18"/>
        </w:rPr>
        <w:t xml:space="preserve">Note: rpc.chronx.io is a legacy alias. Always use https://api.chronx.io/rpc.</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 from genesis-params.json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3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Time-Lock and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chronx_getEscalationStatus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conditional_id: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 record if exists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chronx_getAttestorFailures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DeclareAttestorFailure records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chronx_getAffectedPolicies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group_id: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referencing this group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with required_hedge_ids referencing this pool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chronx_getLinkedSpringStatus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instrument_id: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linked instrument has fired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chronx_getPoolHealthScore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health score (null until MISAI populates)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Transfer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Option&lt;RpcDetailedTx&gt;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vertex by TxId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chronx_getRecentTransactionsDetailed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limit: u32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Vec&lt;RpcDetailedTx&gt;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Recent transactions with type classification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chronx_getIncomingTransfers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Vec&lt;RpcIncomingTransfer&gt;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transfer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chronx_getOutgoingTransfers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Vec&lt;RpcOutgoingTransfer&gt;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Outgoing transfer history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Loan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chronx_getLoanOffers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loan offers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 if filed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chronx_getYieldInputs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obligation_id: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schedule, prepayment terms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Payment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chronx_getOpenInvoices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Vec&lt;RpcInvoiceRecord&gt;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invoices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chronx_getOpenCredits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Vec&lt;RpcCreditRecord&gt;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credit authorizations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Identity, Badges,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chronx_getIdentityHistory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Vec&lt;RpcLedgerEntryRecord&gt;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identity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 balance, obligations, capacity, warning level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AI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AI agents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chronx_getAgentCustodyRecord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Option&lt;RpcAgentCustodyRecord&gt;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 custody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agent_wallet: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Vec&lt;RpcAgentCustodyRecord&gt;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activity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party_type: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Option&lt;RpcAxiomConsentRecord&gt;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Axiom consent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X25519 public key for lock_metadata encryption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Delivery, Network, and HedgeKX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chronx_getVerifierRegistry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Vec&lt;RpcVerifierRecord&gt;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verifiers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chronx_getSignOfLifeStatus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Option&lt;RpcSignOfLifeRecord&gt;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Sign of Life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chronx_getNetworkInfo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RpcNetworkInfo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Peer count, node version, uptime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chronx_getHumanityStakeBalance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RpcHumanityStakeBalance</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 balance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group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0" w:after="80"/>
      </w:pPr>
      <w:r>
        <w:t xml:space="preserve"/>
      </w:r>
    </w:p>
    <w:p>
      <w:pPr>
        <w:spacing w:before="80" w:after="120"/>
        <w:jc w:val="both"/>
      </w:pPr>
      <w:r>
        <w:rPr>
          <w:rFonts w:ascii="Arial" w:cs="Arial" w:eastAsia="Arial" w:hAnsi="Arial"/>
          <w:b/>
          <w:bCs/>
          <w:sz w:val="22"/>
          <w:szCs w:val="22"/>
        </w:rPr>
        <w:t xml:space="preserve">Example request:</w:t>
      </w:r>
    </w:p>
    <w:p>
      <w:pPr>
        <w:spacing w:before="40" w:after="40"/>
      </w:pPr>
      <w:r>
        <w:rPr>
          <w:rFonts w:ascii="Courier New" w:cs="Courier New" w:eastAsia="Courier New" w:hAnsi="Courier New"/>
          <w:color w:val="666666"/>
          <w:sz w:val="18"/>
          <w:szCs w:val="18"/>
        </w:rPr>
        <w:t xml:space="preserve">{ "jsonrpc": "2.0", "method": "chronx_getBalance", "params": ["BqjGDbhzLJJgzpVywRxug4wTa2Qqtwipc1hkcLLJsWzF"], "id": 1 }</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J — The Axioms (Complete)</w:t>
      </w:r>
    </w:p>
    <w:p>
      <w:pPr>
        <w:spacing w:before="80" w:after="12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final_genesis: true means</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K — CPNX Badge System</w:t>
      </w:r>
    </w:p>
    <w:p>
      <w:pPr>
        <w:spacing w:before="80" w:after="12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K.1 Badge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00"/>
        <w:gridCol w:w="29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INSURANCE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K.2 Badge Lifecycle</w:t>
      </w:r>
    </w:p>
    <w:p>
      <w:pPr>
        <w:spacing w:before="80" w:after="120"/>
        <w:jc w:val="both"/>
      </w:pPr>
      <w:r>
        <w:rPr>
          <w:rFonts w:ascii="Arial" w:cs="Arial" w:eastAsia="Arial" w:hAnsi="Arial"/>
          <w:b/>
          <w:bCs/>
          <w:sz w:val="22"/>
          <w:szCs w:val="22"/>
        </w:rPr>
        <w:t xml:space="preserve">Application:</w:t>
      </w:r>
    </w:p>
    <w:p>
      <w:pPr>
        <w:pStyle w:val="ListParagraph"/>
        <w:numPr>
          <w:ilvl w:val="0"/>
          <w:numId w:val="2"/>
        </w:numPr>
        <w:spacing w:before="60" w:after="60"/>
      </w:pPr>
      <w:r>
        <w:rPr>
          <w:rFonts w:ascii="Arial" w:cs="Arial" w:eastAsia="Arial" w:hAnsi="Arial"/>
          <w:sz w:val="22"/>
          <w:szCs w:val="22"/>
        </w:rPr>
        <w:t xml:space="preserve">Submit at cpnx.com</w:t>
      </w:r>
    </w:p>
    <w:p>
      <w:pPr>
        <w:pStyle w:val="ListParagraph"/>
        <w:numPr>
          <w:ilvl w:val="0"/>
          <w:numId w:val="2"/>
        </w:numPr>
        <w:spacing w:before="60" w:after="60"/>
      </w:pPr>
      <w:r>
        <w:rPr>
          <w:rFonts w:ascii="Arial" w:cs="Arial" w:eastAsia="Arial" w:hAnsi="Arial"/>
          <w:sz w:val="22"/>
          <w:szCs w:val="22"/>
        </w:rPr>
        <w:t xml:space="preserve">CPNX reviews independently and performs verification</w:t>
      </w:r>
    </w:p>
    <w:p>
      <w:pPr>
        <w:pStyle w:val="ListParagraph"/>
        <w:numPr>
          <w:ilvl w:val="0"/>
          <w:numId w:val="2"/>
        </w:numPr>
        <w:spacing w:before="60" w:after="60"/>
      </w:pPr>
      <w:r>
        <w:rPr>
          <w:rFonts w:ascii="Arial" w:cs="Arial" w:eastAsia="Arial" w:hAnsi="Arial"/>
          <w:sz w:val="22"/>
          <w:szCs w:val="22"/>
        </w:rPr>
        <w:t xml:space="preserve">CPNX submits TYPE L IdentityVerified entry to ChronX DAG using CPNX bond wallet</w:t>
      </w:r>
    </w:p>
    <w:p>
      <w:pPr>
        <w:pStyle w:val="ListParagraph"/>
        <w:numPr>
          <w:ilvl w:val="0"/>
          <w:numId w:val="2"/>
        </w:numPr>
        <w:spacing w:before="60" w:after="60"/>
      </w:pPr>
      <w:r>
        <w:rPr>
          <w:rFonts w:ascii="Arial" w:cs="Arial" w:eastAsia="Arial" w:hAnsi="Arial"/>
          <w:sz w:val="22"/>
          <w:szCs w:val="22"/>
        </w:rPr>
        <w:t xml:space="preserve">Badge appears in wallet UI and queryable via RPC</w:t>
      </w:r>
    </w:p>
    <w:p>
      <w:pPr>
        <w:spacing w:before="0" w:after="80"/>
      </w:pPr>
      <w:r>
        <w:t xml:space="preserve"/>
      </w:r>
    </w:p>
    <w:p>
      <w:pPr>
        <w:spacing w:before="80" w:after="120"/>
        <w:jc w:val="both"/>
      </w:pPr>
      <w:r>
        <w:rPr>
          <w:rFonts w:ascii="Arial" w:cs="Arial" w:eastAsia="Arial" w:hAnsi="Arial"/>
          <w:b/>
          <w:bCs/>
          <w:sz w:val="22"/>
          <w:szCs w:val="22"/>
        </w:rPr>
        <w:t xml:space="preserve">Revocation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disambiguation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fraud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K.3 Developer Integration</w:t>
      </w:r>
    </w:p>
    <w:p>
      <w:pPr>
        <w:pStyle w:val="ListParagraph"/>
        <w:numPr>
          <w:ilvl w:val="0"/>
          <w:numId w:val="2"/>
        </w:numPr>
        <w:spacing w:before="60" w:after="60"/>
      </w:pPr>
      <w:r>
        <w:rPr>
          <w:rFonts w:ascii="Arial" w:cs="Arial" w:eastAsia="Arial" w:hAnsi="Arial"/>
          <w:sz w:val="22"/>
          <w:szCs w:val="22"/>
        </w:rPr>
        <w:t xml:space="preserve">Public API: GET https://api.chronx.io/wallet/badges/:wallet_address</w:t>
      </w:r>
    </w:p>
    <w:p>
      <w:pPr>
        <w:pStyle w:val="ListParagraph"/>
        <w:numPr>
          <w:ilvl w:val="0"/>
          <w:numId w:val="2"/>
        </w:numPr>
        <w:spacing w:before="60" w:after="60"/>
      </w:pPr>
      <w:r>
        <w:rPr>
          <w:rFonts w:ascii="Arial" w:cs="Arial" w:eastAsia="Arial" w:hAnsi="Arial"/>
          <w:sz w:val="22"/>
          <w:szCs w:val="22"/>
        </w:rPr>
        <w:t xml:space="preserve">Returns: [{badge_type, color, issued_by, expires_at}]</w:t>
      </w:r>
    </w:p>
    <w:p>
      <w:pPr>
        <w:pStyle w:val="ListParagraph"/>
        <w:numPr>
          <w:ilvl w:val="0"/>
          <w:numId w:val="2"/>
        </w:numPr>
        <w:spacing w:before="60" w:after="60"/>
      </w:pPr>
      <w:r>
        <w:rPr>
          <w:rFonts w:ascii="Arial" w:cs="Arial" w:eastAsia="Arial" w:hAnsi="Arial"/>
          <w:sz w:val="22"/>
          <w:szCs w:val="22"/>
        </w:rPr>
        <w:t xml:space="preserve">RPC: chronx_getVerifiedIdentity(wallet_b58) — latest identity record</w:t>
      </w:r>
    </w:p>
    <w:p>
      <w:pPr>
        <w:pStyle w:val="ListParagraph"/>
        <w:numPr>
          <w:ilvl w:val="0"/>
          <w:numId w:val="2"/>
        </w:numPr>
        <w:spacing w:before="60" w:after="60"/>
      </w:pPr>
      <w:r>
        <w:rPr>
          <w:rFonts w:ascii="Arial" w:cs="Arial" w:eastAsia="Arial" w:hAnsi="Arial"/>
          <w:sz w:val="22"/>
          <w:szCs w:val="22"/>
        </w:rPr>
        <w:t xml:space="preserve">Expired badges automatically filtered from API responses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K.4 CPNX Bond and Accountability</w:t>
      </w:r>
    </w:p>
    <w:p>
      <w:pPr>
        <w:spacing w:before="80" w:after="12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L — HedgeKX Complete Reference</w:t>
      </w:r>
    </w:p>
    <w:p>
      <w:pPr>
        <w:spacing w:before="80" w:after="120"/>
        <w:jc w:val="both"/>
      </w:pPr>
      <w:r>
        <w:rPr>
          <w:rFonts w:ascii="Arial" w:cs="Arial" w:eastAsia="Arial" w:hAnsi="Arial"/>
          <w:sz w:val="22"/>
          <w:szCs w:val="22"/>
        </w:rPr>
        <w:t xml:space="preserve">HedgeKX is an Essential Protocol Partner and bilateral hedge instrument platform. This appendix is the complete technical reference for HedgeKX participants, instrument designers, and developers.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L.1 Mandate</w:t>
      </w:r>
    </w:p>
    <w:p>
      <w:pPr>
        <w:spacing w:before="80" w:after="120"/>
        <w:jc w:val="both"/>
      </w:pPr>
      <w:r>
        <w:rPr>
          <w:rFonts w:ascii="Arial" w:cs="Arial" w:eastAsia="Arial" w:hAnsi="Arial"/>
          <w:sz w:val="22"/>
          <w:szCs w:val="22"/>
        </w:rPr>
        <w:t xml:space="preserve">HedgeKX does exactly three things:</w:t>
      </w:r>
    </w:p>
    <w:p>
      <w:pPr>
        <w:pStyle w:val="ListParagraph"/>
        <w:numPr>
          <w:ilvl w:val="0"/>
          <w:numId w:val="2"/>
        </w:numPr>
        <w:spacing w:before="60" w:after="60"/>
      </w:pPr>
      <w:r>
        <w:rPr>
          <w:rFonts w:ascii="Arial" w:cs="Arial" w:eastAsia="Arial" w:hAnsi="Arial"/>
          <w:sz w:val="22"/>
          <w:szCs w:val="22"/>
        </w:rPr>
        <w:t xml:space="preserve">Operates a read-only order book where hedgers post available instruments and promise creators find coverage</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0" w:after="80"/>
      </w:pPr>
      <w:r>
        <w:t xml:space="preserve"/>
      </w:r>
    </w:p>
    <w:p>
      <w:pPr>
        <w:spacing w:before="80" w:after="120"/>
        <w:jc w:val="both"/>
      </w:pPr>
      <w:r>
        <w:rPr>
          <w:rFonts w:ascii="Arial" w:cs="Arial" w:eastAsia="Arial" w:hAnsi="Arial"/>
          <w:sz w:val="22"/>
          <w:szCs w:val="22"/>
        </w:rPr>
        <w:t xml:space="preserve">HedgeKX does not hold funds. Does not price instruments. Does not take positions. Does not manage pools. Does not guarantee outcomes. Does not make any decision about any instrument. Every hedge instrument is a bilateral contract between two wallets. HedgeKX is the venue, not the party.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L.2 Current Governance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PLANNED.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L.3 Standard Overnight Hedge Instrument</w:t>
      </w:r>
    </w:p>
    <w:p>
      <w:pPr>
        <w:spacing w:before="80" w:after="120"/>
        <w:jc w:val="both"/>
      </w:pPr>
      <w:r>
        <w:rPr>
          <w:rFonts w:ascii="Arial" w:cs="Arial" w:eastAsia="Arial" w:hAnsi="Arial"/>
          <w:sz w:val="22"/>
          <w:szCs w:val="22"/>
        </w:rPr>
        <w:t xml:space="preserve">The standard TYPE S overnight hedge instrument. Both parties use this template. HedgeKX publishes it. Governance approves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0" w:after="80"/>
      </w:pPr>
      <w:r>
        <w:t xml:space="preserve"/>
      </w:r>
    </w:p>
    <w:p>
      <w:pPr>
        <w:spacing w:before="80" w:after="120"/>
        <w:jc w:val="both"/>
      </w:pPr>
      <w:r>
        <w:rPr>
          <w:rFonts w:ascii="Arial" w:cs="Arial" w:eastAsia="Arial" w:hAnsi="Arial"/>
          <w:b/>
          <w:bCs/>
          <w:sz w:val="22"/>
          <w:szCs w:val="22"/>
        </w:rPr>
        <w:t xml:space="preserve">What happens on clean expiry (condition never fired):</w:t>
      </w:r>
    </w:p>
    <w:p>
      <w:pPr>
        <w:pStyle w:val="ListParagraph"/>
        <w:numPr>
          <w:ilvl w:val="0"/>
          <w:numId w:val="2"/>
        </w:numPr>
        <w:spacing w:before="60" w:after="60"/>
      </w:pPr>
      <w:r>
        <w:rPr>
          <w:rFonts w:ascii="Arial" w:cs="Arial" w:eastAsia="Arial" w:hAnsi="Arial"/>
          <w:sz w:val="22"/>
          <w:szCs w:val="22"/>
        </w:rPr>
        <w:t xml:space="preserve">success_payment_chronos transfers to success_payment_wallet (hedger receives premium)</w:t>
      </w:r>
    </w:p>
    <w:p>
      <w:pPr>
        <w:pStyle w:val="ListParagraph"/>
        <w:numPr>
          <w:ilvl w:val="0"/>
          <w:numId w:val="2"/>
        </w:numPr>
        <w:spacing w:before="60" w:after="60"/>
      </w:pPr>
      <w:r>
        <w:rPr>
          <w:rFonts w:ascii="Arial" w:cs="Arial" w:eastAsia="Arial" w:hAnsi="Arial"/>
          <w:sz w:val="22"/>
          <w:szCs w:val="22"/>
        </w:rPr>
        <w:t xml:space="preserve">Remaining locked KX returns to hedger via fallback: Return</w:t>
      </w:r>
    </w:p>
    <w:p>
      <w:pPr>
        <w:pStyle w:val="ListParagraph"/>
        <w:numPr>
          <w:ilvl w:val="0"/>
          <w:numId w:val="2"/>
        </w:numPr>
        <w:spacing w:before="60" w:after="60"/>
      </w:pPr>
      <w:r>
        <w:rPr>
          <w:rFonts w:ascii="Arial" w:cs="Arial" w:eastAsia="Arial" w:hAnsi="Arial"/>
          <w:sz w:val="22"/>
          <w:szCs w:val="22"/>
        </w:rPr>
        <w:t xml:space="preserve">Instrument closes. Both parties have fulfilled their obligations.</w:t>
      </w:r>
    </w:p>
    <w:p>
      <w:pPr>
        <w:spacing w:before="0" w:after="80"/>
      </w:pPr>
      <w:r>
        <w:t xml:space="preserve"/>
      </w:r>
    </w:p>
    <w:p>
      <w:pPr>
        <w:spacing w:before="80" w:after="120"/>
        <w:jc w:val="both"/>
      </w:pPr>
      <w:r>
        <w:rPr>
          <w:rFonts w:ascii="Arial" w:cs="Arial" w:eastAsia="Arial" w:hAnsi="Arial"/>
          <w:b/>
          <w:bCs/>
          <w:sz w:val="22"/>
          <w:szCs w:val="22"/>
        </w:rPr>
        <w:t xml:space="preserve">What happens when condition fires:</w:t>
      </w:r>
    </w:p>
    <w:p>
      <w:pPr>
        <w:pStyle w:val="ListParagraph"/>
        <w:numPr>
          <w:ilvl w:val="0"/>
          <w:numId w:val="2"/>
        </w:numPr>
        <w:spacing w:before="60" w:after="60"/>
      </w:pPr>
      <w:r>
        <w:rPr>
          <w:rFonts w:ascii="Arial" w:cs="Arial" w:eastAsia="Arial" w:hAnsi="Arial"/>
          <w:sz w:val="22"/>
          <w:szCs w:val="22"/>
        </w:rPr>
        <w:t xml:space="preserve">HedgeKX oracle attestor submits AttestConditional</w:t>
      </w:r>
    </w:p>
    <w:p>
      <w:pPr>
        <w:pStyle w:val="ListParagraph"/>
        <w:numPr>
          <w:ilvl w:val="0"/>
          <w:numId w:val="2"/>
        </w:numPr>
        <w:spacing w:before="60" w:after="60"/>
      </w:pPr>
      <w:r>
        <w:rPr>
          <w:rFonts w:ascii="Arial" w:cs="Arial" w:eastAsia="Arial" w:hAnsi="Arial"/>
          <w:sz w:val="22"/>
          <w:szCs w:val="22"/>
        </w:rPr>
        <w:t xml:space="preserve">Protocol releases locked KX to recipient (the pool or promise creator)</w:t>
      </w:r>
    </w:p>
    <w:p>
      <w:pPr>
        <w:pStyle w:val="ListParagraph"/>
        <w:numPr>
          <w:ilvl w:val="0"/>
          <w:numId w:val="2"/>
        </w:numPr>
        <w:spacing w:before="60" w:after="60"/>
      </w:pPr>
      <w:r>
        <w:rPr>
          <w:rFonts w:ascii="Arial" w:cs="Arial" w:eastAsia="Arial" w:hAnsi="Arial"/>
          <w:sz w:val="22"/>
          <w:szCs w:val="22"/>
        </w:rPr>
        <w:t xml:space="preserve">success_payment does NOT execute (condition fired, premium is forfeit)</w:t>
      </w:r>
    </w:p>
    <w:p>
      <w:pPr>
        <w:pStyle w:val="ListParagraph"/>
        <w:numPr>
          <w:ilvl w:val="0"/>
          <w:numId w:val="2"/>
        </w:numPr>
        <w:spacing w:before="60" w:after="60"/>
      </w:pPr>
      <w:r>
        <w:rPr>
          <w:rFonts w:ascii="Arial" w:cs="Arial" w:eastAsia="Arial" w:hAnsi="Arial"/>
          <w:sz w:val="22"/>
          <w:szCs w:val="22"/>
        </w:rPr>
        <w:t xml:space="preserve">Instrument closes.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L.4 The Hedge Tower (Insurance Use Case)</w:t>
      </w:r>
    </w:p>
    <w:p>
      <w:pPr>
        <w:spacing w:before="80" w:after="120"/>
        <w:jc w:val="both"/>
      </w:pPr>
      <w:r>
        <w:rPr>
          <w:rFonts w:ascii="Arial" w:cs="Arial" w:eastAsia="Arial" w:hAnsi="Arial"/>
          <w:sz w:val="22"/>
          <w:szCs w:val="22"/>
        </w:rPr>
        <w:t xml:space="preserve">For PAY_AS insurance pools, three independent hedge layers protect against KX/USD conversion risk. Each layer is a separate TYPE S instrument between different parties. MISAI monitors coverage and sources replacements.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200"/>
        <w:gridCol w:w="1000"/>
        <w:gridCol w:w="25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~1%/month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year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~12%/year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0" w:after="80"/>
      </w:pPr>
      <w:r>
        <w:t xml:space="preserve"/>
      </w:r>
    </w:p>
    <w:p>
      <w:pPr>
        <w:spacing w:before="80" w:after="120"/>
        <w:jc w:val="both"/>
      </w:pPr>
      <w:r>
        <w:rPr>
          <w:rFonts w:ascii="Arial" w:cs="Arial" w:eastAsia="Arial" w:hAnsi="Arial"/>
          <w:b/>
          <w:bCs/>
          <w:sz w:val="22"/>
          <w:szCs w:val="22"/>
        </w:rPr>
        <w:t xml:space="preserve">Layer 2 design insight:</w:t>
      </w:r>
    </w:p>
    <w:p>
      <w:pPr>
        <w:spacing w:before="80" w:after="120"/>
        <w:jc w:val="both"/>
      </w:pPr>
      <w:r>
        <w:rPr>
          <w:rFonts w:ascii="Arial" w:cs="Arial" w:eastAsia="Arial" w:hAnsi="Arial"/>
          <w:sz w:val="22"/>
          <w:szCs w:val="22"/>
        </w:rPr>
        <w:t xml:space="preserve">Layer 2 fires ONLY if KX drops more than 20% AND a PAY_AS claim has actually been attested. These are independent events. KX may drop 50% due to a market incident but if no covered properties suffered losses, Layer 2 never fires. The hedger retains their collateral and all premium income. Their exposure is strictly to the intersection of catastrophic KX crash and actual claim events.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L.5 PAY_AS Long-Horizon Hedging</w:t>
      </w:r>
    </w:p>
    <w:p>
      <w:pPr>
        <w:spacing w:before="80" w:after="120"/>
        <w:jc w:val="both"/>
      </w:pPr>
      <w:r>
        <w:rPr>
          <w:rFonts w:ascii="Arial" w:cs="Arial" w:eastAsia="Arial" w:hAnsi="Arial"/>
          <w:sz w:val="22"/>
          <w:szCs w:val="22"/>
        </w:rPr>
        <w:t xml:space="preserve">Certain PAY_AS promises — those guaranteed to execute, like Bob’s 20-year promise to Mary — require a different approach than contingent insurance instruments. The hedge_requirement field supports three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L.6 HedgeKX Evolution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Founder as sole test participant. SingleAttestation condition type.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2</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4</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L.7 Liability and Disclosure</w:t>
      </w:r>
    </w:p>
    <w:p>
      <w:pPr>
        <w:spacing w:before="80" w:after="12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w:t>
      </w:r>
    </w:p>
    <w:p>
      <w:pPr>
        <w:pStyle w:val="ListParagraph"/>
        <w:numPr>
          <w:ilvl w:val="0"/>
          <w:numId w:val="2"/>
        </w:numPr>
        <w:spacing w:before="60" w:after="60"/>
      </w:pPr>
      <w:r>
        <w:rPr>
          <w:rFonts w:ascii="Arial" w:cs="Arial" w:eastAsia="Arial" w:hAnsi="Arial"/>
          <w:sz w:val="22"/>
          <w:szCs w:val="22"/>
        </w:rPr>
        <w:t xml:space="preserve">This instrument will pay out if the specified condition is met. A payout is the instrument working as designed.</w:t>
      </w:r>
    </w:p>
    <w:p>
      <w:pPr>
        <w:pStyle w:val="ListParagraph"/>
        <w:numPr>
          <w:ilvl w:val="0"/>
          <w:numId w:val="2"/>
        </w:numPr>
        <w:spacing w:before="60" w:after="60"/>
      </w:pPr>
      <w:r>
        <w:rPr>
          <w:rFonts w:ascii="Arial" w:cs="Arial" w:eastAsia="Arial" w:hAnsi="Arial"/>
          <w:sz w:val="22"/>
          <w:szCs w:val="22"/>
        </w:rPr>
        <w:t xml:space="preserve">Loss on a correctly-executed hedge instrument is not fraud, misrepresentation, or failure by any party.</w:t>
      </w:r>
    </w:p>
    <w:p>
      <w:pPr>
        <w:pStyle w:val="ListParagraph"/>
        <w:numPr>
          <w:ilvl w:val="0"/>
          <w:numId w:val="2"/>
        </w:numPr>
        <w:spacing w:before="60" w:after="60"/>
      </w:pPr>
      <w:r>
        <w:rPr>
          <w:rFonts w:ascii="Arial" w:cs="Arial" w:eastAsia="Arial" w:hAnsi="Arial"/>
          <w:sz w:val="22"/>
          <w:szCs w:val="22"/>
        </w:rPr>
        <w:t xml:space="preserve">HedgeKX is a platform operator. It is not a party to this instrument. It does not guarantee any outcome.</w:t>
      </w:r>
    </w:p>
    <w:p>
      <w:pPr>
        <w:pStyle w:val="ListParagraph"/>
        <w:numPr>
          <w:ilvl w:val="0"/>
          <w:numId w:val="2"/>
        </w:numPr>
        <w:spacing w:before="60" w:after="60"/>
      </w:pPr>
      <w:r>
        <w:rPr>
          <w:rFonts w:ascii="Arial" w:cs="Arial" w:eastAsia="Arial" w:hAnsi="Arial"/>
          <w:sz w:val="22"/>
          <w:szCs w:val="22"/>
        </w:rPr>
        <w:t xml:space="preserve">Maximum loss is the amount committed. This is known and agreed to at creation.</w:t>
      </w:r>
    </w:p>
    <w:p>
      <w:pPr>
        <w:spacing w:before="0" w:after="80"/>
      </w:pPr>
      <w:r>
        <w:t xml:space="preserve"/>
      </w:r>
    </w:p>
    <w:p>
      <w:pPr>
        <w:spacing w:before="80" w:after="120"/>
        <w:jc w:val="both"/>
      </w:pPr>
      <w:r>
        <w:rPr>
          <w:rFonts w:ascii="Arial" w:cs="Arial" w:eastAsia="Arial" w:hAnsi="Arial"/>
          <w:sz w:val="22"/>
          <w:szCs w:val="22"/>
        </w:rPr>
        <w:t xml:space="preserve">All hedge instrument terms, trigger conditions, oracle sources, and payout histories are permanently recorded on the ChronX DAG and publicly queryable. This immutable record is the complete defense against any claim of misrepresentation. The instrument executed as written. The chain proves it.</w:t>
      </w:r>
    </w:p>
    <w:p>
      <w:pPr>
        <w:spacing w:before="0" w:after="80"/>
      </w:pPr>
      <w:r>
        <w:t xml:space="preserve"/>
      </w:r>
    </w:p>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C3E6B"/>
      <w:sz w:val="28"/>
      <w:szCs w:val="28"/>
    </w:rPr>
  </w:style>
  <w:style w:type="paragraph" w:styleId="Heading3">
    <w:name w:val="Heading 3"/>
    <w:basedOn w:val="Normal"/>
    <w:next w:val="Normal"/>
    <w:qFormat/>
    <w:pPr>
      <w:spacing w:before="280" w:after="120"/>
      <w:outlineLvl w:val="2"/>
    </w:pPr>
    <w:rPr>
      <w:rFonts w:ascii="Arial" w:cs="Arial" w:eastAsia="Arial" w:hAnsi="Arial"/>
      <w:b/>
      <w:bCs/>
      <w:color w:val="2C3E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2026-03-25T15:59:09.801Z</dcterms:created>
  <dcterms:modified xsi:type="dcterms:W3CDTF">2026-03-25T15:59:09.803Z</dcterms:modified>
</cp:coreProperties>
</file>

<file path=docProps/custom.xml><?xml version="1.0" encoding="utf-8"?>
<Properties xmlns="http://schemas.openxmlformats.org/officeDocument/2006/custom-properties" xmlns:vt="http://schemas.openxmlformats.org/officeDocument/2006/docPropsVTypes"/>
</file>