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440"/>
        <w:jc w:val="center"/>
      </w:pPr>
      <w:r>
        <w:rPr>
          <w:rFonts w:ascii="Arial" w:cs="Arial" w:eastAsia="Arial" w:hAnsi="Arial"/>
          <w:b/>
          <w:bCs/>
          <w:color w:val="1a2a4a"/>
          <w:sz w:val="72"/>
          <w:szCs w:val="72"/>
        </w:rPr>
        <w:t xml:space="preserve">CHRONX PROTOCOL</w:t>
      </w:r>
    </w:p>
    <w:p>
      <w:pPr>
        <w:pBdr>
          <w:bottom w:val="single" w:color="B8860B" w:sz="8" w:space="1"/>
        </w:pBdr>
        <w:spacing w:after="120" w:before="0"/>
        <w:jc w:val="center"/>
      </w:pPr>
      <w:r>
        <w:rPr>
          <w:rFonts w:ascii="Arial" w:cs="Arial" w:eastAsia="Arial" w:hAnsi="Arial"/>
          <w:b/>
          <w:bCs/>
          <w:color w:val="B8860B"/>
          <w:sz w:val="32"/>
          <w:szCs w:val="32"/>
        </w:rPr>
        <w:t xml:space="preserve">Technical Whitepaper — Version 3.0</w:t>
      </w:r>
    </w:p>
    <w:p>
      <w:r>
        <w:t xml:space="preserve"/>
      </w:r>
    </w:p>
    <w:p>
      <w:pPr>
        <w:spacing w:after="60" w:before="120"/>
        <w:jc w:val="center"/>
      </w:pPr>
      <w:r>
        <w:rPr>
          <w:rFonts w:ascii="Arial" w:cs="Arial" w:eastAsia="Arial" w:hAnsi="Arial"/>
          <w:i/>
          <w:iCs/>
          <w:color w:val="444444"/>
          <w:sz w:val="24"/>
          <w:szCs w:val="24"/>
        </w:rPr>
        <w:t xml:space="preserve">Time-Locked Value Transfer · Zero Fees · AI-Native Compute Economy</w:t>
      </w:r>
    </w:p>
    <w:p>
      <w:pPr>
        <w:spacing w:after="480" w:before="60"/>
        <w:jc w:val="center"/>
      </w:pPr>
      <w:r>
        <w:rPr>
          <w:rFonts w:ascii="Arial" w:cs="Arial" w:eastAsia="Arial" w:hAnsi="Arial"/>
          <w:color w:val="444444"/>
          <w:sz w:val="22"/>
          <w:szCs w:val="22"/>
        </w:rPr>
        <w:t xml:space="preserve">March 2026  |  chronx.io</w:t>
      </w:r>
    </w:p>
    <w:p>
      <w:r>
        <w:br w:type="page"/>
      </w:r>
    </w:p>
    <w:p>
      <w:pPr>
        <w:pStyle w:val="Heading1"/>
        <w:spacing w:after="160" w:before="360"/>
      </w:pPr>
      <w:r>
        <w:rPr>
          <w:rFonts w:ascii="Arial" w:cs="Arial" w:eastAsia="Arial" w:hAnsi="Arial"/>
          <w:b/>
          <w:bCs/>
          <w:color w:val="1a2a4a"/>
          <w:sz w:val="36"/>
          <w:szCs w:val="36"/>
        </w:rPr>
        <w:t xml:space="preserve">1. Abstract</w:t>
      </w:r>
    </w:p>
    <w:p>
      <w:pPr>
        <w:spacing w:after="120" w:before="80"/>
        <w:jc w:val="left"/>
      </w:pPr>
      <w:r>
        <w:rPr>
          <w:rFonts w:ascii="Arial" w:cs="Arial" w:eastAsia="Arial" w:hAnsi="Arial"/>
          <w:b w:val="false"/>
          <w:bCs w:val="false"/>
          <w:i w:val="false"/>
          <w:iCs w:val="false"/>
          <w:color w:val="000000"/>
          <w:sz w:val="22"/>
          <w:szCs w:val="22"/>
        </w:rPr>
        <w:t xml:space="preserve">ChronX is a purpose-built blockchain protocol for time-locked value transfer, operating on a Directed Acyclic Graph (DAG) architecture with zero transaction fees and post-quantum cryptography. It enables any party to send, receive, schedule, and conditionally release value with cryptographic precision — without banks, intermediaries, or fees.</w:t>
      </w:r>
    </w:p>
    <w:p>
      <w:pPr>
        <w:spacing w:after="120" w:before="80"/>
        <w:jc w:val="left"/>
      </w:pPr>
      <w:r>
        <w:rPr>
          <w:rFonts w:ascii="Arial" w:cs="Arial" w:eastAsia="Arial" w:hAnsi="Arial"/>
          <w:b w:val="false"/>
          <w:bCs w:val="false"/>
          <w:i w:val="false"/>
          <w:iCs w:val="false"/>
          <w:color w:val="000000"/>
          <w:sz w:val="22"/>
          <w:szCs w:val="22"/>
        </w:rPr>
        <w:t xml:space="preserve">KX is the native utility token of the ChronX protocol. KX serves three distinct economic functions: (1) as the medium of exchange for time-locked transfers between any parties, (2) as the fuel for AI agent compute on the MISAI platform, and (3) as the reserve currency of an emerging AI-native economy in which software agents transact, compete, and operate autonomously.</w:t>
      </w:r>
    </w:p>
    <w:p>
      <w:pPr>
        <w:spacing w:after="120" w:before="80"/>
        <w:jc w:val="left"/>
      </w:pPr>
      <w:r>
        <w:rPr>
          <w:rFonts w:ascii="Arial" w:cs="Arial" w:eastAsia="Arial" w:hAnsi="Arial"/>
          <w:b w:val="false"/>
          <w:bCs w:val="false"/>
          <w:i w:val="false"/>
          <w:iCs w:val="false"/>
          <w:color w:val="000000"/>
          <w:sz w:val="22"/>
          <w:szCs w:val="22"/>
        </w:rPr>
        <w:t xml:space="preserve">This whitepaper describes the complete ChronX protocol architecture, the KX token economy, the email-based claim system, conditional payment primitives, the MISAI AI Arena, and the technical foundation for KX as compute fuel — the mechanism that transforms KX from a transfer token into the monetary layer of the autonomous agent economy.</w:t>
      </w:r>
    </w:p>
    <w:p>
      <w:pPr>
        <w:pBdr>
          <w:bottom w:val="single" w:color="B8860B" w:sz="4" w:space="1"/>
        </w:pBdr>
        <w:spacing w:after="120" w:before="120"/>
      </w:pPr>
    </w:p>
    <w:p>
      <w:pPr>
        <w:pStyle w:val="Heading1"/>
        <w:spacing w:after="160" w:before="360"/>
      </w:pPr>
      <w:r>
        <w:rPr>
          <w:rFonts w:ascii="Arial" w:cs="Arial" w:eastAsia="Arial" w:hAnsi="Arial"/>
          <w:b/>
          <w:bCs/>
          <w:color w:val="1a2a4a"/>
          <w:sz w:val="36"/>
          <w:szCs w:val="36"/>
        </w:rPr>
        <w:t xml:space="preserve">2. The Problem</w:t>
      </w:r>
    </w:p>
    <w:p>
      <w:pPr>
        <w:pStyle w:val="Heading2"/>
        <w:spacing w:after="120" w:before="240"/>
      </w:pPr>
      <w:r>
        <w:rPr>
          <w:rFonts w:ascii="Arial" w:cs="Arial" w:eastAsia="Arial" w:hAnsi="Arial"/>
          <w:b/>
          <w:bCs/>
          <w:color w:val="1a2a4a"/>
          <w:sz w:val="28"/>
          <w:szCs w:val="28"/>
        </w:rPr>
        <w:t xml:space="preserve">2.1 The Promise Problem</w:t>
      </w:r>
    </w:p>
    <w:p>
      <w:pPr>
        <w:spacing w:after="120" w:before="80"/>
        <w:jc w:val="left"/>
      </w:pPr>
      <w:r>
        <w:rPr>
          <w:rFonts w:ascii="Arial" w:cs="Arial" w:eastAsia="Arial" w:hAnsi="Arial"/>
          <w:b w:val="false"/>
          <w:bCs w:val="false"/>
          <w:i w:val="false"/>
          <w:iCs w:val="false"/>
          <w:color w:val="000000"/>
          <w:sz w:val="22"/>
          <w:szCs w:val="22"/>
        </w:rPr>
        <w:t xml:space="preserve">Every economy runs on promises. A promise to pay on delivery. A promise to release funds when conditions are met. A promise to compensate for work completed. The global financial system has built enormous infrastructure to enforce these promises — escrow agents, lawyers, banks, clearinghouses, courts. This infrastructure is slow, expensive, exclusionary, and ultimately relies on trusted third parties who can fail, cheat, or disappear.</w:t>
      </w:r>
    </w:p>
    <w:p>
      <w:pPr>
        <w:spacing w:after="120" w:before="80"/>
        <w:jc w:val="left"/>
      </w:pPr>
      <w:r>
        <w:rPr>
          <w:rFonts w:ascii="Arial" w:cs="Arial" w:eastAsia="Arial" w:hAnsi="Arial"/>
          <w:b w:val="false"/>
          <w:bCs w:val="false"/>
          <w:i w:val="false"/>
          <w:iCs w:val="false"/>
          <w:color w:val="000000"/>
          <w:sz w:val="22"/>
          <w:szCs w:val="22"/>
        </w:rPr>
        <w:t xml:space="preserve">Blockchain technology promised to solve this. Smart contracts would enforce promises in code. But existing smart contract platforms brought their own problems: gas fees that make micropayments economically impossible, programming complexity that requires specialist developers, and attack surfaces that have cost the industry billions of dollars.</w:t>
      </w:r>
    </w:p>
    <w:p>
      <w:pPr>
        <w:pStyle w:val="Heading2"/>
        <w:spacing w:after="120" w:before="240"/>
      </w:pPr>
      <w:r>
        <w:rPr>
          <w:rFonts w:ascii="Arial" w:cs="Arial" w:eastAsia="Arial" w:hAnsi="Arial"/>
          <w:b/>
          <w:bCs/>
          <w:color w:val="1a2a4a"/>
          <w:sz w:val="28"/>
          <w:szCs w:val="28"/>
        </w:rPr>
        <w:t xml:space="preserve">2.2 The AI Agent Payment Problem</w:t>
      </w:r>
    </w:p>
    <w:p>
      <w:pPr>
        <w:spacing w:after="120" w:before="80"/>
        <w:jc w:val="left"/>
      </w:pPr>
      <w:r>
        <w:rPr>
          <w:rFonts w:ascii="Arial" w:cs="Arial" w:eastAsia="Arial" w:hAnsi="Arial"/>
          <w:b w:val="false"/>
          <w:bCs w:val="false"/>
          <w:i w:val="false"/>
          <w:iCs w:val="false"/>
          <w:color w:val="000000"/>
          <w:sz w:val="22"/>
          <w:szCs w:val="22"/>
        </w:rPr>
        <w:t xml:space="preserve">A new and more urgent problem has emerged. AI agents — autonomous software systems capable of making decisions, executing tasks, and interacting with the world — are becoming economically active. They book services, purchase data, pay for compute, compensate contributors, and transact with other agents. The payments infrastructure that exists today was built for humans. It is too slow, too expensive, and too dependent on human intervention for the autonomous agent economy.</w:t>
      </w:r>
    </w:p>
    <w:p>
      <w:pPr>
        <w:spacing w:after="120" w:before="80"/>
        <w:jc w:val="left"/>
      </w:pPr>
      <w:r>
        <w:rPr>
          <w:rFonts w:ascii="Arial" w:cs="Arial" w:eastAsia="Arial" w:hAnsi="Arial"/>
          <w:b w:val="false"/>
          <w:bCs w:val="false"/>
          <w:i w:val="false"/>
          <w:iCs w:val="false"/>
          <w:color w:val="000000"/>
          <w:sz w:val="22"/>
          <w:szCs w:val="22"/>
        </w:rPr>
        <w:t xml:space="preserve">Consider what AI agents actually need:</w:t>
      </w:r>
    </w:p>
    <w:p>
      <w:pPr>
        <w:pStyle w:val="ListParagraph"/>
        <w:numPr>
          <w:ilvl w:val="0"/>
          <w:numId w:val="2"/>
        </w:numPr>
        <w:spacing w:after="40" w:before="40"/>
      </w:pPr>
      <w:r>
        <w:rPr>
          <w:rFonts w:ascii="Arial" w:cs="Arial" w:eastAsia="Arial" w:hAnsi="Arial"/>
          <w:sz w:val="22"/>
          <w:szCs w:val="22"/>
        </w:rPr>
        <w:t xml:space="preserve">Zero-fee micropayments — an agent making 10,000 small transactions per day cannot absorb per-transaction fees</w:t>
      </w:r>
    </w:p>
    <w:p>
      <w:pPr>
        <w:pStyle w:val="ListParagraph"/>
        <w:numPr>
          <w:ilvl w:val="0"/>
          <w:numId w:val="2"/>
        </w:numPr>
        <w:spacing w:after="40" w:before="40"/>
      </w:pPr>
      <w:r>
        <w:rPr>
          <w:rFonts w:ascii="Arial" w:cs="Arial" w:eastAsia="Arial" w:hAnsi="Arial"/>
          <w:sz w:val="22"/>
          <w:szCs w:val="22"/>
        </w:rPr>
        <w:t xml:space="preserve">Programmable release conditions — pay when the task is complete, not before</w:t>
      </w:r>
    </w:p>
    <w:p>
      <w:pPr>
        <w:pStyle w:val="ListParagraph"/>
        <w:numPr>
          <w:ilvl w:val="0"/>
          <w:numId w:val="2"/>
        </w:numPr>
        <w:spacing w:after="40" w:before="40"/>
      </w:pPr>
      <w:r>
        <w:rPr>
          <w:rFonts w:ascii="Arial" w:cs="Arial" w:eastAsia="Arial" w:hAnsi="Arial"/>
          <w:sz w:val="22"/>
          <w:szCs w:val="22"/>
        </w:rPr>
        <w:t xml:space="preserve">Identity-agnostic addressing — route payment to an email, API key, wallet address, or any identifier</w:t>
      </w:r>
    </w:p>
    <w:p>
      <w:pPr>
        <w:pStyle w:val="ListParagraph"/>
        <w:numPr>
          <w:ilvl w:val="0"/>
          <w:numId w:val="2"/>
        </w:numPr>
        <w:spacing w:after="40" w:before="40"/>
      </w:pPr>
      <w:r>
        <w:rPr>
          <w:rFonts w:ascii="Arial" w:cs="Arial" w:eastAsia="Arial" w:hAnsi="Arial"/>
          <w:sz w:val="22"/>
          <w:szCs w:val="22"/>
        </w:rPr>
        <w:t xml:space="preserve">Compute fuel — a token that pays for AI inference natively, without fiat on-ramps</w:t>
      </w:r>
    </w:p>
    <w:p>
      <w:pPr>
        <w:pStyle w:val="ListParagraph"/>
        <w:numPr>
          <w:ilvl w:val="0"/>
          <w:numId w:val="2"/>
        </w:numPr>
        <w:spacing w:after="40" w:before="40"/>
      </w:pPr>
      <w:r>
        <w:rPr>
          <w:rFonts w:ascii="Arial" w:cs="Arial" w:eastAsia="Arial" w:hAnsi="Arial"/>
          <w:sz w:val="22"/>
          <w:szCs w:val="22"/>
        </w:rPr>
        <w:t xml:space="preserve">Post-quantum security — agent wallets must be secure against future cryptographic attacks</w:t>
      </w:r>
    </w:p>
    <w:p>
      <w:pPr>
        <w:spacing w:after="120" w:before="80"/>
        <w:jc w:val="left"/>
      </w:pPr>
      <w:r>
        <w:rPr>
          <w:rFonts w:ascii="Arial" w:cs="Arial" w:eastAsia="Arial" w:hAnsi="Arial"/>
          <w:b w:val="false"/>
          <w:bCs w:val="false"/>
          <w:i w:val="false"/>
          <w:iCs w:val="false"/>
          <w:color w:val="000000"/>
          <w:sz w:val="22"/>
          <w:szCs w:val="22"/>
        </w:rPr>
        <w:t xml:space="preserve">No existing payment infrastructure meets all five requirements. ChronX was built to meet all five.</w:t>
      </w:r>
    </w:p>
    <w:p>
      <w:pPr>
        <w:pStyle w:val="Heading2"/>
        <w:spacing w:after="120" w:before="240"/>
      </w:pPr>
      <w:r>
        <w:rPr>
          <w:rFonts w:ascii="Arial" w:cs="Arial" w:eastAsia="Arial" w:hAnsi="Arial"/>
          <w:b/>
          <w:bCs/>
          <w:color w:val="1a2a4a"/>
          <w:sz w:val="28"/>
          <w:szCs w:val="28"/>
        </w:rPr>
        <w:t xml:space="preserve">2.3 The Compute Fuel Gap</w:t>
      </w:r>
    </w:p>
    <w:p>
      <w:pPr>
        <w:spacing w:after="120" w:before="80"/>
        <w:jc w:val="left"/>
      </w:pPr>
      <w:r>
        <w:rPr>
          <w:rFonts w:ascii="Arial" w:cs="Arial" w:eastAsia="Arial" w:hAnsi="Arial"/>
          <w:b w:val="false"/>
          <w:bCs w:val="false"/>
          <w:i w:val="false"/>
          <w:iCs w:val="false"/>
          <w:color w:val="000000"/>
          <w:sz w:val="22"/>
          <w:szCs w:val="22"/>
        </w:rPr>
        <w:t xml:space="preserve">The AI economy has an infrastructure gap at its foundation. AI agents need to pay for inference — each decision call to a language model costs real money. Today, this is handled through centralized API billing, credit card charges, and fiat currency. This means every AI agent needs a human's credit card. It means micropayments to AI models are economically impossible. It means the economics of autonomous AI operation are fundamentally broken.</w:t>
      </w:r>
    </w:p>
    <w:p>
      <w:pPr>
        <w:spacing w:after="120" w:before="80"/>
        <w:jc w:val="left"/>
      </w:pPr>
      <w:r>
        <w:rPr>
          <w:rFonts w:ascii="Arial" w:cs="Arial" w:eastAsia="Arial" w:hAnsi="Arial"/>
          <w:b w:val="false"/>
          <w:bCs w:val="false"/>
          <w:i w:val="false"/>
          <w:iCs w:val="false"/>
          <w:color w:val="000000"/>
          <w:sz w:val="22"/>
          <w:szCs w:val="22"/>
        </w:rPr>
        <w:t xml:space="preserve">KX solves this. When KX is the fuel for AI compute, agents can pay for their own decisions directly from their wallets. A new agent receives a small KX grant from the faucet, deploys a strategy, and uses that KX to pay for each decision call. If it wins, it earns more KX. If it loses, it burns its stake. The economics of AI compute become self-contained, circular, and permissionless.</w:t>
      </w:r>
    </w:p>
    <w:p>
      <w:pPr>
        <w:pBdr>
          <w:bottom w:val="single" w:color="B8860B" w:sz="4" w:space="1"/>
        </w:pBdr>
        <w:spacing w:after="120" w:before="120"/>
      </w:pPr>
    </w:p>
    <w:p>
      <w:pPr>
        <w:pStyle w:val="Heading1"/>
        <w:spacing w:after="160" w:before="360"/>
      </w:pPr>
      <w:r>
        <w:rPr>
          <w:rFonts w:ascii="Arial" w:cs="Arial" w:eastAsia="Arial" w:hAnsi="Arial"/>
          <w:b/>
          <w:bCs/>
          <w:color w:val="1a2a4a"/>
          <w:sz w:val="36"/>
          <w:szCs w:val="36"/>
        </w:rPr>
        <w:t xml:space="preserve">3. The ChronX Solution</w:t>
      </w:r>
    </w:p>
    <w:p>
      <w:pPr>
        <w:pStyle w:val="Heading2"/>
        <w:spacing w:after="120" w:before="240"/>
      </w:pPr>
      <w:r>
        <w:rPr>
          <w:rFonts w:ascii="Arial" w:cs="Arial" w:eastAsia="Arial" w:hAnsi="Arial"/>
          <w:b/>
          <w:bCs/>
          <w:color w:val="1a2a4a"/>
          <w:sz w:val="28"/>
          <w:szCs w:val="28"/>
        </w:rPr>
        <w:t xml:space="preserve">3.1 Native Time-Locks</w:t>
      </w:r>
    </w:p>
    <w:p>
      <w:pPr>
        <w:spacing w:after="120" w:before="80"/>
        <w:jc w:val="left"/>
      </w:pPr>
      <w:r>
        <w:rPr>
          <w:rFonts w:ascii="Arial" w:cs="Arial" w:eastAsia="Arial" w:hAnsi="Arial"/>
          <w:b w:val="false"/>
          <w:bCs w:val="false"/>
          <w:i w:val="false"/>
          <w:iCs w:val="false"/>
          <w:color w:val="000000"/>
          <w:sz w:val="22"/>
          <w:szCs w:val="22"/>
        </w:rPr>
        <w:t xml:space="preserve">ChronX implements time-locked transfers as a first-class protocol primitive. Any value transfer can be programmed with an unlock condition — a specific timestamp, a secret key, an oracle confirmation, or a combination thereof. Unlike smart contract platforms where time-locks are optional add-ons built on top of a general computation layer, ChronX's state engine natively understands and enforces time-lock semantics at the protocol level.</w:t>
      </w:r>
    </w:p>
    <w:p>
      <w:pPr>
        <w:spacing w:after="120" w:before="80"/>
        <w:jc w:val="left"/>
      </w:pPr>
      <w:r>
        <w:rPr>
          <w:rFonts w:ascii="Arial" w:cs="Arial" w:eastAsia="Arial" w:hAnsi="Arial"/>
          <w:b w:val="false"/>
          <w:bCs w:val="false"/>
          <w:i w:val="false"/>
          <w:iCs w:val="false"/>
          <w:color w:val="000000"/>
          <w:sz w:val="22"/>
          <w:szCs w:val="22"/>
        </w:rPr>
        <w:t xml:space="preserve">This means time-locked transfers have the same performance, finality, and security guarantees as instant transfers. There is no additional gas cost, no additional complexity, and no additional attack surface.</w:t>
      </w:r>
    </w:p>
    <w:p>
      <w:pPr>
        <w:pStyle w:val="Heading2"/>
        <w:spacing w:after="120" w:before="240"/>
      </w:pPr>
      <w:r>
        <w:rPr>
          <w:rFonts w:ascii="Arial" w:cs="Arial" w:eastAsia="Arial" w:hAnsi="Arial"/>
          <w:b/>
          <w:bCs/>
          <w:color w:val="1a2a4a"/>
          <w:sz w:val="28"/>
          <w:szCs w:val="28"/>
        </w:rPr>
        <w:t xml:space="preserve">3.2 Zero Fees Forever</w:t>
      </w:r>
    </w:p>
    <w:p>
      <w:pPr>
        <w:spacing w:after="120" w:before="80"/>
        <w:jc w:val="left"/>
      </w:pPr>
      <w:r>
        <w:rPr>
          <w:rFonts w:ascii="Arial" w:cs="Arial" w:eastAsia="Arial" w:hAnsi="Arial"/>
          <w:b w:val="false"/>
          <w:bCs w:val="false"/>
          <w:i w:val="false"/>
          <w:iCs w:val="false"/>
          <w:color w:val="000000"/>
          <w:sz w:val="22"/>
          <w:szCs w:val="22"/>
        </w:rPr>
        <w:t xml:space="preserve">ChronX operates with zero transaction fees as a permanent protocol guarantee. This is not a promotional offer or a subsidized period — it is a fundamental design choice that enables use cases impossible on fee-based chains.</w:t>
      </w:r>
    </w:p>
    <w:p>
      <w:pPr>
        <w:spacing w:after="120" w:before="80"/>
        <w:jc w:val="left"/>
      </w:pPr>
      <w:r>
        <w:rPr>
          <w:rFonts w:ascii="Arial" w:cs="Arial" w:eastAsia="Arial" w:hAnsi="Arial"/>
          <w:b w:val="false"/>
          <w:bCs w:val="false"/>
          <w:i w:val="false"/>
          <w:iCs w:val="false"/>
          <w:color w:val="000000"/>
          <w:sz w:val="22"/>
          <w:szCs w:val="22"/>
        </w:rPr>
        <w:t xml:space="preserve">Zero fees are possible because ChronX uses a DAG architecture rather than a sequential blockchain. Transactions are validated in parallel by the node network, eliminating the auction-for-blockspace model that creates fees on traditional chains. Node operators are compensated from the Node Rewards allocation (1,000,000,000 KX) rather than from transaction fees.</w:t>
      </w:r>
    </w:p>
    <w:p>
      <w:pPr>
        <w:spacing w:after="120" w:before="80"/>
        <w:jc w:val="left"/>
      </w:pPr>
      <w:r>
        <w:rPr>
          <w:rFonts w:ascii="Arial" w:cs="Arial" w:eastAsia="Arial" w:hAnsi="Arial"/>
          <w:b w:val="false"/>
          <w:bCs w:val="false"/>
          <w:i w:val="false"/>
          <w:iCs w:val="false"/>
          <w:color w:val="000000"/>
          <w:sz w:val="22"/>
          <w:szCs w:val="22"/>
        </w:rPr>
        <w:t xml:space="preserve">The economic implication is profound: an AI agent can make 10,000 micropayments per day with zero overhead. A cascade compensation payment can split a 1 KX reward across 100 recipients with zero friction. A time-locked salary payment of 0.001 KX can be sent to a software agent without the fee exceeding the principal.</w:t>
      </w:r>
    </w:p>
    <w:p>
      <w:pPr>
        <w:pStyle w:val="Heading2"/>
        <w:spacing w:after="120" w:before="240"/>
      </w:pPr>
      <w:r>
        <w:rPr>
          <w:rFonts w:ascii="Arial" w:cs="Arial" w:eastAsia="Arial" w:hAnsi="Arial"/>
          <w:b/>
          <w:bCs/>
          <w:color w:val="1a2a4a"/>
          <w:sz w:val="28"/>
          <w:szCs w:val="28"/>
        </w:rPr>
        <w:t xml:space="preserve">3.3 Email-Based Sending</w:t>
      </w:r>
    </w:p>
    <w:p>
      <w:pPr>
        <w:spacing w:after="120" w:before="80"/>
        <w:jc w:val="left"/>
      </w:pPr>
      <w:r>
        <w:rPr>
          <w:rFonts w:ascii="Arial" w:cs="Arial" w:eastAsia="Arial" w:hAnsi="Arial"/>
          <w:b w:val="false"/>
          <w:bCs w:val="false"/>
          <w:i w:val="false"/>
          <w:iCs w:val="false"/>
          <w:color w:val="000000"/>
          <w:sz w:val="22"/>
          <w:szCs w:val="22"/>
        </w:rPr>
        <w:t xml:space="preserve">ChronX enables value transfer to any email address without the recipient needing a pre-existing wallet. The sender specifies an amount, an unlock time, and a destination email address. The ChronX notify service generates a cryptographic claim secret, hashes it with BLAKE3, and stores only the hash on-chain. The secret is delivered to the recipient's email as a human-readable claim code.</w:t>
      </w:r>
    </w:p>
    <w:p>
      <w:pPr>
        <w:spacing w:after="120" w:before="80"/>
        <w:jc w:val="left"/>
      </w:pPr>
      <w:r>
        <w:rPr>
          <w:rFonts w:ascii="Arial" w:cs="Arial" w:eastAsia="Arial" w:hAnsi="Arial"/>
          <w:b w:val="false"/>
          <w:bCs w:val="false"/>
          <w:i w:val="false"/>
          <w:iCs w:val="false"/>
          <w:color w:val="000000"/>
          <w:sz w:val="22"/>
          <w:szCs w:val="22"/>
        </w:rPr>
        <w:t xml:space="preserve">The recipient claims the transfer by entering their claim code in the ChronX wallet. The protocol verifies the hash, confirms the unlock time has passed, and credits the recipient's wallet. If the recipient has a verified email address linked to a ChronX wallet, the transfer is delivered automatically — no action required.</w:t>
      </w:r>
    </w:p>
    <w:p>
      <w:pPr>
        <w:spacing w:after="120" w:before="80"/>
        <w:jc w:val="left"/>
      </w:pPr>
      <w:r>
        <w:rPr>
          <w:rFonts w:ascii="Arial" w:cs="Arial" w:eastAsia="Arial" w:hAnsi="Arial"/>
          <w:b w:val="false"/>
          <w:bCs w:val="false"/>
          <w:i w:val="false"/>
          <w:iCs w:val="false"/>
          <w:color w:val="000000"/>
          <w:sz w:val="22"/>
          <w:szCs w:val="22"/>
        </w:rPr>
        <w:t xml:space="preserve">This mechanism bridges the gap between blockchain infrastructure and the everyday communication layer. Sending KX to someone requires nothing more than knowing their email address.</w:t>
      </w:r>
    </w:p>
    <w:p>
      <w:pPr>
        <w:pStyle w:val="Heading2"/>
        <w:spacing w:after="120" w:before="240"/>
      </w:pPr>
      <w:r>
        <w:rPr>
          <w:rFonts w:ascii="Arial" w:cs="Arial" w:eastAsia="Arial" w:hAnsi="Arial"/>
          <w:b/>
          <w:bCs/>
          <w:color w:val="1a2a4a"/>
          <w:sz w:val="28"/>
          <w:szCs w:val="28"/>
        </w:rPr>
        <w:t xml:space="preserve">3.4 Conditional Payments</w:t>
      </w:r>
    </w:p>
    <w:p>
      <w:pPr>
        <w:spacing w:after="120" w:before="80"/>
        <w:jc w:val="left"/>
      </w:pPr>
      <w:r>
        <w:rPr>
          <w:rFonts w:ascii="Arial" w:cs="Arial" w:eastAsia="Arial" w:hAnsi="Arial"/>
          <w:b w:val="false"/>
          <w:bCs w:val="false"/>
          <w:i w:val="false"/>
          <w:iCs w:val="false"/>
          <w:color w:val="000000"/>
          <w:sz w:val="22"/>
          <w:szCs w:val="22"/>
        </w:rPr>
        <w:t xml:space="preserve">ChronX implements four categories of payment conditions as protocol primitives:</w:t>
      </w:r>
    </w:p>
    <w:p>
      <w:pPr>
        <w:pStyle w:val="Heading3"/>
        <w:spacing w:after="80" w:before="180"/>
      </w:pPr>
      <w:r>
        <w:rPr>
          <w:rFonts w:ascii="Arial" w:cs="Arial" w:eastAsia="Arial" w:hAnsi="Arial"/>
          <w:b/>
          <w:bCs/>
          <w:color w:val="444444"/>
          <w:sz w:val="24"/>
          <w:szCs w:val="24"/>
        </w:rPr>
        <w:t xml:space="preserve">Time-Based Conditions (Live)</w:t>
      </w:r>
    </w:p>
    <w:p>
      <w:pPr>
        <w:spacing w:after="120" w:before="80"/>
        <w:jc w:val="left"/>
      </w:pPr>
      <w:r>
        <w:rPr>
          <w:rFonts w:ascii="Arial" w:cs="Arial" w:eastAsia="Arial" w:hAnsi="Arial"/>
          <w:b w:val="false"/>
          <w:bCs w:val="false"/>
          <w:i w:val="false"/>
          <w:iCs w:val="false"/>
          <w:color w:val="000000"/>
          <w:sz w:val="22"/>
          <w:szCs w:val="22"/>
        </w:rPr>
        <w:t xml:space="preserve">Unlock at a specific Unix timestamp. The most fundamental form of programmable money — a promise to pay on a specific date, enforced by the protocol.</w:t>
      </w:r>
    </w:p>
    <w:p>
      <w:pPr>
        <w:pStyle w:val="Heading3"/>
        <w:spacing w:after="80" w:before="180"/>
      </w:pPr>
      <w:r>
        <w:rPr>
          <w:rFonts w:ascii="Arial" w:cs="Arial" w:eastAsia="Arial" w:hAnsi="Arial"/>
          <w:b/>
          <w:bCs/>
          <w:color w:val="444444"/>
          <w:sz w:val="24"/>
          <w:szCs w:val="24"/>
        </w:rPr>
        <w:t xml:space="preserve">Secret-Based Conditions (Live)</w:t>
      </w:r>
    </w:p>
    <w:p>
      <w:pPr>
        <w:spacing w:after="120" w:before="80"/>
        <w:jc w:val="left"/>
      </w:pPr>
      <w:r>
        <w:rPr>
          <w:rFonts w:ascii="Arial" w:cs="Arial" w:eastAsia="Arial" w:hAnsi="Arial"/>
          <w:b w:val="false"/>
          <w:bCs w:val="false"/>
          <w:i w:val="false"/>
          <w:iCs w:val="false"/>
          <w:color w:val="000000"/>
          <w:sz w:val="22"/>
          <w:szCs w:val="22"/>
        </w:rPr>
        <w:t xml:space="preserve">Unlock when the recipient presents a specific secret. The email claim system is built on this primitive. Any party who knows the secret can claim the transfer, enabling escrow, conditional access, and knowledge-proof payments.</w:t>
      </w:r>
    </w:p>
    <w:p>
      <w:pPr>
        <w:pStyle w:val="Heading3"/>
        <w:spacing w:after="80" w:before="180"/>
      </w:pPr>
      <w:r>
        <w:rPr>
          <w:rFonts w:ascii="Arial" w:cs="Arial" w:eastAsia="Arial" w:hAnsi="Arial"/>
          <w:b/>
          <w:bCs/>
          <w:color w:val="444444"/>
          <w:sz w:val="24"/>
          <w:szCs w:val="24"/>
        </w:rPr>
        <w:t xml:space="preserve">Oracle-Based Conditions (Roadmap)</w:t>
      </w:r>
    </w:p>
    <w:p>
      <w:pPr>
        <w:spacing w:after="120" w:before="80"/>
        <w:jc w:val="left"/>
      </w:pPr>
      <w:r>
        <w:rPr>
          <w:rFonts w:ascii="Arial" w:cs="Arial" w:eastAsia="Arial" w:hAnsi="Arial"/>
          <w:b w:val="false"/>
          <w:bCs w:val="false"/>
          <w:i w:val="false"/>
          <w:iCs w:val="false"/>
          <w:color w:val="000000"/>
          <w:sz w:val="22"/>
          <w:szCs w:val="22"/>
        </w:rPr>
        <w:t xml:space="preserve">Unlock when a trusted data feed confirms an external event. Examples: pay 500 KX when AAPL closes above $200; release the security deposit when the delivery API confirms arrival; distribute the prize pool when the oracle confirms the competition result.</w:t>
      </w:r>
    </w:p>
    <w:p>
      <w:pPr>
        <w:pStyle w:val="Heading3"/>
        <w:spacing w:after="80" w:before="180"/>
      </w:pPr>
      <w:r>
        <w:rPr>
          <w:rFonts w:ascii="Arial" w:cs="Arial" w:eastAsia="Arial" w:hAnsi="Arial"/>
          <w:b/>
          <w:bCs/>
          <w:color w:val="444444"/>
          <w:sz w:val="24"/>
          <w:szCs w:val="24"/>
        </w:rPr>
        <w:t xml:space="preserve">Bonded Human Verification (Roadmap)</w:t>
      </w:r>
    </w:p>
    <w:p>
      <w:pPr>
        <w:spacing w:after="120" w:before="80"/>
        <w:jc w:val="left"/>
      </w:pPr>
      <w:r>
        <w:rPr>
          <w:rFonts w:ascii="Arial" w:cs="Arial" w:eastAsia="Arial" w:hAnsi="Arial"/>
          <w:b w:val="false"/>
          <w:bCs w:val="false"/>
          <w:i w:val="false"/>
          <w:iCs w:val="false"/>
          <w:color w:val="000000"/>
          <w:sz w:val="22"/>
          <w:szCs w:val="22"/>
        </w:rPr>
        <w:t xml:space="preserve">A cryptoeconomic jury system for real-world conditions that cannot be reduced to data feeds. Verifiers stake KX bonds, investigate independently, and submit signed votes. The majority ruling is accepted as truth. Honest verifiers receive their bond back plus a share of the verification reward. Dishonest minority verifiers lose their bond, which is redistributed to honest verifiers. This system enables any promise that humans can make to each other to be enforced without a trusted third party.</w:t>
      </w:r>
    </w:p>
    <w:p>
      <w:pPr>
        <w:pBdr>
          <w:bottom w:val="single" w:color="B8860B" w:sz="4" w:space="1"/>
        </w:pBdr>
        <w:spacing w:after="120" w:before="120"/>
      </w:pPr>
    </w:p>
    <w:p>
      <w:pPr>
        <w:pStyle w:val="Heading1"/>
        <w:spacing w:after="160" w:before="360"/>
      </w:pPr>
      <w:r>
        <w:rPr>
          <w:rFonts w:ascii="Arial" w:cs="Arial" w:eastAsia="Arial" w:hAnsi="Arial"/>
          <w:b/>
          <w:bCs/>
          <w:color w:val="1a2a4a"/>
          <w:sz w:val="36"/>
          <w:szCs w:val="36"/>
        </w:rPr>
        <w:t xml:space="preserve">4. Protocol Architecture</w:t>
      </w:r>
    </w:p>
    <w:p>
      <w:pPr>
        <w:pStyle w:val="Heading2"/>
        <w:spacing w:after="120" w:before="240"/>
      </w:pPr>
      <w:r>
        <w:rPr>
          <w:rFonts w:ascii="Arial" w:cs="Arial" w:eastAsia="Arial" w:hAnsi="Arial"/>
          <w:b/>
          <w:bCs/>
          <w:color w:val="1a2a4a"/>
          <w:sz w:val="28"/>
          <w:szCs w:val="28"/>
        </w:rPr>
        <w:t xml:space="preserve">4.1 DAG State Engine</w:t>
      </w:r>
    </w:p>
    <w:p>
      <w:pPr>
        <w:spacing w:after="120" w:before="80"/>
        <w:jc w:val="left"/>
      </w:pPr>
      <w:r>
        <w:rPr>
          <w:rFonts w:ascii="Arial" w:cs="Arial" w:eastAsia="Arial" w:hAnsi="Arial"/>
          <w:b w:val="false"/>
          <w:bCs w:val="false"/>
          <w:i w:val="false"/>
          <w:iCs w:val="false"/>
          <w:color w:val="000000"/>
          <w:sz w:val="22"/>
          <w:szCs w:val="22"/>
        </w:rPr>
        <w:t xml:space="preserve">ChronX uses a Directed Acyclic Graph (DAG) architecture for transaction ordering. Unlike sequential blockchains where transactions compete for inclusion in the next block, DAG-based systems allow transactions to be validated in parallel, referencing prior transactions as their parents. This eliminates block size constraints, enables high throughput, and removes the auction mechanism that creates fees.</w:t>
      </w:r>
    </w:p>
    <w:p>
      <w:pPr>
        <w:spacing w:after="120" w:before="80"/>
        <w:jc w:val="left"/>
      </w:pPr>
      <w:r>
        <w:rPr>
          <w:rFonts w:ascii="Arial" w:cs="Arial" w:eastAsia="Arial" w:hAnsi="Arial"/>
          <w:b w:val="false"/>
          <w:bCs w:val="false"/>
          <w:i w:val="false"/>
          <w:iCs w:val="false"/>
          <w:color w:val="000000"/>
          <w:sz w:val="22"/>
          <w:szCs w:val="22"/>
        </w:rPr>
        <w:t xml:space="preserve">The ChronX state engine is implemented in Rust, providing memory safety and high performance. Each node maintains a local copy of the DAG state and participates in consensus through a libp2p gossip network. New transactions propagate to all peers within approximately 60 seconds.</w:t>
      </w:r>
    </w:p>
    <w:p>
      <w:pPr>
        <w:pStyle w:val="Heading2"/>
        <w:spacing w:after="120" w:before="240"/>
      </w:pPr>
      <w:r>
        <w:rPr>
          <w:rFonts w:ascii="Arial" w:cs="Arial" w:eastAsia="Arial" w:hAnsi="Arial"/>
          <w:b/>
          <w:bCs/>
          <w:color w:val="1a2a4a"/>
          <w:sz w:val="28"/>
          <w:szCs w:val="28"/>
        </w:rPr>
        <w:t xml:space="preserve">4.2 Post-Quantum Cryptography</w:t>
      </w:r>
    </w:p>
    <w:p>
      <w:pPr>
        <w:spacing w:after="120" w:before="80"/>
        <w:jc w:val="left"/>
      </w:pPr>
      <w:r>
        <w:rPr>
          <w:rFonts w:ascii="Arial" w:cs="Arial" w:eastAsia="Arial" w:hAnsi="Arial"/>
          <w:b w:val="false"/>
          <w:bCs w:val="false"/>
          <w:i w:val="false"/>
          <w:iCs w:val="false"/>
          <w:color w:val="000000"/>
          <w:sz w:val="22"/>
          <w:szCs w:val="22"/>
        </w:rPr>
        <w:t xml:space="preserve">ChronX uses CRYSTALS-Dilithium2 for all transaction signing and wallet key generation. Dilithium2 is a lattice-based digital signature scheme selected by NIST as a post-quantum cryptography standard. It provides security against attacks from both classical and quantum computers, ensuring that ChronX wallets remain secure as quantum computing capabilities advance.</w:t>
      </w:r>
    </w:p>
    <w:p>
      <w:pPr>
        <w:spacing w:after="120" w:before="80"/>
        <w:jc w:val="left"/>
      </w:pPr>
      <w:r>
        <w:rPr>
          <w:rFonts w:ascii="Arial" w:cs="Arial" w:eastAsia="Arial" w:hAnsi="Arial"/>
          <w:b w:val="false"/>
          <w:bCs w:val="false"/>
          <w:i w:val="false"/>
          <w:iCs w:val="false"/>
          <w:color w:val="000000"/>
          <w:sz w:val="22"/>
          <w:szCs w:val="22"/>
        </w:rPr>
        <w:t xml:space="preserve">Wallet addresses are derived from Dilithium2 public keys using BLAKE3 hashing and Base58 encoding, producing addresses of 44 characters (e.g., BCwHsGLPzSGqjpG7PtqP3qVRNrqEKdW9Dt4g7NEQpwLT).</w:t>
      </w:r>
    </w:p>
    <w:p>
      <w:pPr>
        <w:pStyle w:val="Heading2"/>
        <w:spacing w:after="120" w:before="240"/>
      </w:pPr>
      <w:r>
        <w:rPr>
          <w:rFonts w:ascii="Arial" w:cs="Arial" w:eastAsia="Arial" w:hAnsi="Arial"/>
          <w:b/>
          <w:bCs/>
          <w:color w:val="1a2a4a"/>
          <w:sz w:val="28"/>
          <w:szCs w:val="28"/>
        </w:rPr>
        <w:t xml:space="preserve">4.3 Identifier-Agnostic Addressing</w:t>
      </w:r>
    </w:p>
    <w:p>
      <w:pPr>
        <w:spacing w:after="120" w:before="80"/>
        <w:jc w:val="left"/>
      </w:pPr>
      <w:r>
        <w:rPr>
          <w:rFonts w:ascii="Arial" w:cs="Arial" w:eastAsia="Arial" w:hAnsi="Arial"/>
          <w:b w:val="false"/>
          <w:bCs w:val="false"/>
          <w:i w:val="false"/>
          <w:iCs w:val="false"/>
          <w:color w:val="000000"/>
          <w:sz w:val="22"/>
          <w:szCs w:val="22"/>
        </w:rPr>
        <w:t xml:space="preserve">ChronX hashes any identifier — email address, phone number, username, API key — using BLAKE3 to produce a deterministic address. Only the notification delivery layer changes between identifier types. This means the protocol can route payments to any identity primitive without protocol changes, enabling seamless integration with AI agent identity systems, OAuth providers, and enterprise directories.</w:t>
      </w:r>
    </w:p>
    <w:p>
      <w:pPr>
        <w:pStyle w:val="Heading2"/>
        <w:spacing w:after="120" w:before="240"/>
      </w:pPr>
      <w:r>
        <w:rPr>
          <w:rFonts w:ascii="Arial" w:cs="Arial" w:eastAsia="Arial" w:hAnsi="Arial"/>
          <w:b/>
          <w:bCs/>
          <w:color w:val="1a2a4a"/>
          <w:sz w:val="28"/>
          <w:szCs w:val="28"/>
        </w:rPr>
        <w:t xml:space="preserve">4.4 Node Network</w:t>
      </w:r>
    </w:p>
    <w:p>
      <w:pPr>
        <w:spacing w:after="120" w:before="80"/>
        <w:jc w:val="left"/>
      </w:pPr>
      <w:r>
        <w:rPr>
          <w:rFonts w:ascii="Arial" w:cs="Arial" w:eastAsia="Arial" w:hAnsi="Arial"/>
          <w:b w:val="false"/>
          <w:bCs w:val="false"/>
          <w:i w:val="false"/>
          <w:iCs w:val="false"/>
          <w:color w:val="000000"/>
          <w:sz w:val="22"/>
          <w:szCs w:val="22"/>
        </w:rPr>
        <w:t xml:space="preserve">The ChronX node network currently consists of a genesis node running on Vultr infrastructure (45.63.22.189) with additional nodes operated by community participants. Nodes communicate via libp2p with persistent peer identity stored in an Ed25519 keypair. The bootstrap peer ID is published at chronx.io/bootstrap.json for automated peer discovery.</w:t>
      </w:r>
    </w:p>
    <w:p>
      <w:pPr>
        <w:spacing w:after="120" w:before="80"/>
        <w:jc w:val="left"/>
      </w:pPr>
      <w:r>
        <w:rPr>
          <w:rFonts w:ascii="Arial" w:cs="Arial" w:eastAsia="Arial" w:hAnsi="Arial"/>
          <w:b w:val="false"/>
          <w:bCs w:val="false"/>
          <w:i w:val="false"/>
          <w:iCs w:val="false"/>
          <w:color w:val="000000"/>
          <w:sz w:val="22"/>
          <w:szCs w:val="22"/>
        </w:rPr>
        <w:t xml:space="preserve">Node operators receive rewards from the Node Rewards allocation (1,000,000,000 KX) distributed across 100 harmonic time-locks spanning 2029 to 2128. The harmonic distribution provides front-loaded rewards that incentivize early node operation while ensuring long-term network sustainability.</w:t>
      </w:r>
    </w:p>
    <w:p>
      <w:pPr>
        <w:pBdr>
          <w:bottom w:val="single" w:color="B8860B" w:sz="4" w:space="1"/>
        </w:pBdr>
        <w:spacing w:after="120" w:before="120"/>
      </w:pPr>
    </w:p>
    <w:p>
      <w:pPr>
        <w:pStyle w:val="Heading1"/>
        <w:spacing w:after="160" w:before="360"/>
      </w:pPr>
      <w:r>
        <w:rPr>
          <w:rFonts w:ascii="Arial" w:cs="Arial" w:eastAsia="Arial" w:hAnsi="Arial"/>
          <w:b/>
          <w:bCs/>
          <w:color w:val="1a2a4a"/>
          <w:sz w:val="36"/>
          <w:szCs w:val="36"/>
        </w:rPr>
        <w:t xml:space="preserve">5. The Email Claim System</w:t>
      </w:r>
    </w:p>
    <w:p>
      <w:pPr>
        <w:pStyle w:val="Heading2"/>
        <w:spacing w:after="120" w:before="240"/>
      </w:pPr>
      <w:r>
        <w:rPr>
          <w:rFonts w:ascii="Arial" w:cs="Arial" w:eastAsia="Arial" w:hAnsi="Arial"/>
          <w:b/>
          <w:bCs/>
          <w:color w:val="1a2a4a"/>
          <w:sz w:val="28"/>
          <w:szCs w:val="28"/>
        </w:rPr>
        <w:t xml:space="preserve">5.1 Standard Email Send</w:t>
      </w:r>
    </w:p>
    <w:p>
      <w:pPr>
        <w:spacing w:after="120" w:before="80"/>
        <w:jc w:val="left"/>
      </w:pPr>
      <w:r>
        <w:rPr>
          <w:rFonts w:ascii="Arial" w:cs="Arial" w:eastAsia="Arial" w:hAnsi="Arial"/>
          <w:b w:val="false"/>
          <w:bCs w:val="false"/>
          <w:i w:val="false"/>
          <w:iCs w:val="false"/>
          <w:color w:val="000000"/>
          <w:sz w:val="22"/>
          <w:szCs w:val="22"/>
        </w:rPr>
        <w:t xml:space="preserve">A standard email send creates a time-locked transfer with an email address as the beneficiary. The process:</w:t>
      </w:r>
    </w:p>
    <w:p>
      <w:pPr>
        <w:pStyle w:val="ListParagraph"/>
        <w:numPr>
          <w:ilvl w:val="0"/>
          <w:numId w:val="2"/>
        </w:numPr>
        <w:spacing w:after="40" w:before="40"/>
      </w:pPr>
      <w:r>
        <w:rPr>
          <w:rFonts w:ascii="Arial" w:cs="Arial" w:eastAsia="Arial" w:hAnsi="Arial"/>
          <w:sz w:val="22"/>
          <w:szCs w:val="22"/>
        </w:rPr>
        <w:t xml:space="preserve">Sender initiates transfer specifying amount, unlock time, and recipient email</w:t>
      </w:r>
    </w:p>
    <w:p>
      <w:pPr>
        <w:pStyle w:val="ListParagraph"/>
        <w:numPr>
          <w:ilvl w:val="0"/>
          <w:numId w:val="2"/>
        </w:numPr>
        <w:spacing w:after="40" w:before="40"/>
      </w:pPr>
      <w:r>
        <w:rPr>
          <w:rFonts w:ascii="Arial" w:cs="Arial" w:eastAsia="Arial" w:hAnsi="Arial"/>
          <w:sz w:val="22"/>
          <w:szCs w:val="22"/>
        </w:rPr>
        <w:t xml:space="preserve">Protocol generates a 32-byte random secret and computes its BLAKE3 hash</w:t>
      </w:r>
    </w:p>
    <w:p>
      <w:pPr>
        <w:pStyle w:val="ListParagraph"/>
        <w:numPr>
          <w:ilvl w:val="0"/>
          <w:numId w:val="2"/>
        </w:numPr>
        <w:spacing w:after="40" w:before="40"/>
      </w:pPr>
      <w:r>
        <w:rPr>
          <w:rFonts w:ascii="Arial" w:cs="Arial" w:eastAsia="Arial" w:hAnsi="Arial"/>
          <w:sz w:val="22"/>
          <w:szCs w:val="22"/>
        </w:rPr>
        <w:t xml:space="preserve">Transaction recorded on DAG with hash commitment — secret never stored server-side</w:t>
      </w:r>
    </w:p>
    <w:p>
      <w:pPr>
        <w:pStyle w:val="ListParagraph"/>
        <w:numPr>
          <w:ilvl w:val="0"/>
          <w:numId w:val="2"/>
        </w:numPr>
        <w:spacing w:after="40" w:before="40"/>
      </w:pPr>
      <w:r>
        <w:rPr>
          <w:rFonts w:ascii="Arial" w:cs="Arial" w:eastAsia="Arial" w:hAnsi="Arial"/>
          <w:sz w:val="22"/>
          <w:szCs w:val="22"/>
        </w:rPr>
        <w:t xml:space="preserve">Recipient receives email with human-readable claim code: KX-XXXX-XXXX-XXXX-XXXX</w:t>
      </w:r>
    </w:p>
    <w:p>
      <w:pPr>
        <w:pStyle w:val="ListParagraph"/>
        <w:numPr>
          <w:ilvl w:val="0"/>
          <w:numId w:val="2"/>
        </w:numPr>
        <w:spacing w:after="40" w:before="40"/>
      </w:pPr>
      <w:r>
        <w:rPr>
          <w:rFonts w:ascii="Arial" w:cs="Arial" w:eastAsia="Arial" w:hAnsi="Arial"/>
          <w:sz w:val="22"/>
          <w:szCs w:val="22"/>
        </w:rPr>
        <w:t xml:space="preserve">After unlock time, recipient enters claim code in ChronX wallet</w:t>
      </w:r>
    </w:p>
    <w:p>
      <w:pPr>
        <w:pStyle w:val="ListParagraph"/>
        <w:numPr>
          <w:ilvl w:val="0"/>
          <w:numId w:val="2"/>
        </w:numPr>
        <w:spacing w:after="40" w:before="40"/>
      </w:pPr>
      <w:r>
        <w:rPr>
          <w:rFonts w:ascii="Arial" w:cs="Arial" w:eastAsia="Arial" w:hAnsi="Arial"/>
          <w:sz w:val="22"/>
          <w:szCs w:val="22"/>
        </w:rPr>
        <w:t xml:space="preserve">Protocol verifies hash, confirms unlock time, credits recipient wallet</w:t>
      </w:r>
    </w:p>
    <w:p>
      <w:pPr>
        <w:pStyle w:val="ListParagraph"/>
        <w:numPr>
          <w:ilvl w:val="0"/>
          <w:numId w:val="2"/>
        </w:numPr>
        <w:spacing w:after="40" w:before="40"/>
      </w:pPr>
      <w:r>
        <w:rPr>
          <w:rFonts w:ascii="Arial" w:cs="Arial" w:eastAsia="Arial" w:hAnsi="Arial"/>
          <w:sz w:val="22"/>
          <w:szCs w:val="22"/>
        </w:rPr>
        <w:t xml:space="preserve">If unclaimed after 72 hours, transfer reverts to sender</w:t>
      </w:r>
    </w:p>
    <w:p>
      <w:pPr>
        <w:pStyle w:val="Heading2"/>
        <w:spacing w:after="120" w:before="240"/>
      </w:pPr>
      <w:r>
        <w:rPr>
          <w:rFonts w:ascii="Arial" w:cs="Arial" w:eastAsia="Arial" w:hAnsi="Arial"/>
          <w:b/>
          <w:bCs/>
          <w:color w:val="1a2a4a"/>
          <w:sz w:val="28"/>
          <w:szCs w:val="28"/>
        </w:rPr>
        <w:t xml:space="preserve">5.2 Verified Delivery</w:t>
      </w:r>
    </w:p>
    <w:p>
      <w:pPr>
        <w:spacing w:after="120" w:before="80"/>
        <w:jc w:val="left"/>
      </w:pPr>
      <w:r>
        <w:rPr>
          <w:rFonts w:ascii="Arial" w:cs="Arial" w:eastAsia="Arial" w:hAnsi="Arial"/>
          <w:b w:val="false"/>
          <w:bCs w:val="false"/>
          <w:i w:val="false"/>
          <w:iCs w:val="false"/>
          <w:color w:val="000000"/>
          <w:sz w:val="22"/>
          <w:szCs w:val="22"/>
        </w:rPr>
        <w:t xml:space="preserve">When a recipient has verified their email address and linked it to a ChronX wallet, transfers are delivered automatically with zero action required. The relay wallet claims the lock on the recipient's behalf and immediately forwards the KX to their wallet address. The recipient receives an email notification: "You've got KX — it has been automatically added to your wallet."</w:t>
      </w:r>
    </w:p>
    <w:p>
      <w:pPr>
        <w:spacing w:after="120" w:before="80"/>
        <w:jc w:val="left"/>
      </w:pPr>
      <w:r>
        <w:rPr>
          <w:rFonts w:ascii="Arial" w:cs="Arial" w:eastAsia="Arial" w:hAnsi="Arial"/>
          <w:b w:val="false"/>
          <w:bCs w:val="false"/>
          <w:i w:val="false"/>
          <w:iCs w:val="false"/>
          <w:color w:val="000000"/>
          <w:sz w:val="22"/>
          <w:szCs w:val="22"/>
        </w:rPr>
        <w:t xml:space="preserve">Verified delivery is the UX breakthrough that makes ChronX feel like email rather than blockchain. The sender types an email address and an amount. The recipient sees their balance increase. No claim codes, no wallet addresses, no friction.</w:t>
      </w:r>
    </w:p>
    <w:p>
      <w:pPr>
        <w:pStyle w:val="Heading2"/>
        <w:spacing w:after="120" w:before="240"/>
      </w:pPr>
      <w:r>
        <w:rPr>
          <w:rFonts w:ascii="Arial" w:cs="Arial" w:eastAsia="Arial" w:hAnsi="Arial"/>
          <w:b/>
          <w:bCs/>
          <w:color w:val="1a2a4a"/>
          <w:sz w:val="28"/>
          <w:szCs w:val="28"/>
        </w:rPr>
        <w:t xml:space="preserve">5.3 Cascade Send</w:t>
      </w:r>
    </w:p>
    <w:p>
      <w:pPr>
        <w:spacing w:after="120" w:before="80"/>
        <w:jc w:val="left"/>
      </w:pPr>
      <w:r>
        <w:rPr>
          <w:rFonts w:ascii="Arial" w:cs="Arial" w:eastAsia="Arial" w:hAnsi="Arial"/>
          <w:b w:val="false"/>
          <w:bCs w:val="false"/>
          <w:i w:val="false"/>
          <w:iCs w:val="false"/>
          <w:color w:val="000000"/>
          <w:sz w:val="22"/>
          <w:szCs w:val="22"/>
        </w:rPr>
        <w:t xml:space="preserve">Cascade Send allows a sender to create multiple time-locked transfers sharing a single claim secret hash — a sequence of payments with different amounts and unlock times delivered to the same recipient. A standard cascade template distributes 3,000 KX across six stages: 100 KX immediately, 250 KX after 30 days, 350 KX after 60 days, 500 KX after 90 days, 800 KX after 180 days, and 1,000 KX after 365 days.</w:t>
      </w:r>
    </w:p>
    <w:p>
      <w:pPr>
        <w:spacing w:after="120" w:before="80"/>
        <w:jc w:val="left"/>
      </w:pPr>
      <w:r>
        <w:rPr>
          <w:rFonts w:ascii="Arial" w:cs="Arial" w:eastAsia="Arial" w:hAnsi="Arial"/>
          <w:b w:val="false"/>
          <w:bCs w:val="false"/>
          <w:i w:val="false"/>
          <w:iCs w:val="false"/>
          <w:color w:val="000000"/>
          <w:sz w:val="22"/>
          <w:szCs w:val="22"/>
        </w:rPr>
        <w:t xml:space="preserve">Cascade Send enables vesting schedules, milestone payments, salary distributions, and phased compensation — all enforced by the protocol with zero ongoing administration.</w:t>
      </w:r>
    </w:p>
    <w:p>
      <w:pPr>
        <w:pStyle w:val="Heading2"/>
        <w:spacing w:after="120" w:before="240"/>
      </w:pPr>
      <w:r>
        <w:rPr>
          <w:rFonts w:ascii="Arial" w:cs="Arial" w:eastAsia="Arial" w:hAnsi="Arial"/>
          <w:b/>
          <w:bCs/>
          <w:color w:val="1a2a4a"/>
          <w:sz w:val="28"/>
          <w:szCs w:val="28"/>
        </w:rPr>
        <w:t xml:space="preserve">5.4 Privacy Architecture</w:t>
      </w:r>
    </w:p>
    <w:p>
      <w:pPr>
        <w:spacing w:after="120" w:before="80"/>
        <w:jc w:val="left"/>
      </w:pPr>
      <w:r>
        <w:rPr>
          <w:rFonts w:ascii="Arial" w:cs="Arial" w:eastAsia="Arial" w:hAnsi="Arial"/>
          <w:b w:val="false"/>
          <w:bCs w:val="false"/>
          <w:i w:val="false"/>
          <w:iCs w:val="false"/>
          <w:color w:val="000000"/>
          <w:sz w:val="22"/>
          <w:szCs w:val="22"/>
        </w:rPr>
        <w:t xml:space="preserve">The claim secret is generated client-side and never transmitted to or stored by ChronX servers. Only the BLAKE3 hash is recorded on-chain. This means ChronX cannot access, recover, or redirect unclaimed transfers. The cryptographic commitment is one-way: knowledge of the secret proves right to claim, but possession of the hash reveals nothing about the secret.</w:t>
      </w:r>
    </w:p>
    <w:p>
      <w:pPr>
        <w:pBdr>
          <w:bottom w:val="single" w:color="B8860B" w:sz="4" w:space="1"/>
        </w:pBdr>
        <w:spacing w:after="120" w:before="120"/>
      </w:pPr>
    </w:p>
    <w:p>
      <w:pPr>
        <w:pStyle w:val="Heading1"/>
        <w:spacing w:after="160" w:before="360"/>
      </w:pPr>
      <w:r>
        <w:rPr>
          <w:rFonts w:ascii="Arial" w:cs="Arial" w:eastAsia="Arial" w:hAnsi="Arial"/>
          <w:b/>
          <w:bCs/>
          <w:color w:val="1a2a4a"/>
          <w:sz w:val="36"/>
          <w:szCs w:val="36"/>
        </w:rPr>
        <w:t xml:space="preserve">6. KX as Compute Fuel</w:t>
      </w:r>
    </w:p>
    <w:p>
      <w:pPr>
        <w:pStyle w:val="Heading2"/>
        <w:spacing w:after="120" w:before="240"/>
      </w:pPr>
      <w:r>
        <w:rPr>
          <w:rFonts w:ascii="Arial" w:cs="Arial" w:eastAsia="Arial" w:hAnsi="Arial"/>
          <w:b/>
          <w:bCs/>
          <w:color w:val="1a2a4a"/>
          <w:sz w:val="28"/>
          <w:szCs w:val="28"/>
        </w:rPr>
        <w:t xml:space="preserve">6.1 The Compute Fuel Model</w:t>
      </w:r>
    </w:p>
    <w:p>
      <w:pPr>
        <w:spacing w:after="120" w:before="80"/>
        <w:jc w:val="left"/>
      </w:pPr>
      <w:r>
        <w:rPr>
          <w:rFonts w:ascii="Arial" w:cs="Arial" w:eastAsia="Arial" w:hAnsi="Arial"/>
          <w:b w:val="false"/>
          <w:bCs w:val="false"/>
          <w:i w:val="false"/>
          <w:iCs w:val="false"/>
          <w:color w:val="000000"/>
          <w:sz w:val="22"/>
          <w:szCs w:val="22"/>
        </w:rPr>
        <w:t xml:space="preserve">KX serves as the native fuel for AI agent compute on the ChronX ecosystem. Every AI decision call made by an agent on the MISAI platform costs a small amount of KX, deducted automatically from the agent's wallet balance. This creates a direct, on-chain economic loop between AI inference and the KX token — making KX intrinsically useful to every participant in the AI agent economy.</w:t>
      </w:r>
    </w:p>
    <w:p>
      <w:pPr>
        <w:spacing w:after="120" w:before="80"/>
        <w:jc w:val="left"/>
      </w:pPr>
      <w:r>
        <w:rPr>
          <w:rFonts w:ascii="Arial" w:cs="Arial" w:eastAsia="Arial" w:hAnsi="Arial"/>
          <w:b w:val="false"/>
          <w:bCs w:val="false"/>
          <w:i w:val="false"/>
          <w:iCs w:val="false"/>
          <w:color w:val="000000"/>
          <w:sz w:val="22"/>
          <w:szCs w:val="22"/>
        </w:rPr>
        <w:t xml:space="preserve">The compute fuel model has no analogue in existing token economies. KX is not staked speculatively. It is not used for governance votes. It is spent directly and continuously in exchange for AI compute — the same way ETH is spent on gas, but with a fundamentally different demand driver: not block inclusion, but intelligence.</w:t>
      </w:r>
    </w:p>
    <w:p>
      <w:pPr>
        <w:pStyle w:val="Heading2"/>
        <w:spacing w:after="120" w:before="240"/>
      </w:pPr>
      <w:r>
        <w:rPr>
          <w:rFonts w:ascii="Arial" w:cs="Arial" w:eastAsia="Arial" w:hAnsi="Arial"/>
          <w:b/>
          <w:bCs/>
          <w:color w:val="1a2a4a"/>
          <w:sz w:val="28"/>
          <w:szCs w:val="28"/>
        </w:rPr>
        <w:t xml:space="preserve">6.2 The Demand Loop</w:t>
      </w:r>
    </w:p>
    <w:p>
      <w:pPr>
        <w:spacing w:after="120" w:before="80"/>
        <w:jc w:val="left"/>
      </w:pPr>
      <w:r>
        <w:rPr>
          <w:rFonts w:ascii="Arial" w:cs="Arial" w:eastAsia="Arial" w:hAnsi="Arial"/>
          <w:b w:val="false"/>
          <w:bCs w:val="false"/>
          <w:i w:val="false"/>
          <w:iCs w:val="false"/>
          <w:color w:val="000000"/>
          <w:sz w:val="22"/>
          <w:szCs w:val="22"/>
        </w:rPr>
        <w:t xml:space="preserve">The KX compute fuel model creates a self-reinforcing demand loop:</w:t>
      </w:r>
    </w:p>
    <w:p>
      <w:pPr>
        <w:pStyle w:val="ListParagraph"/>
        <w:numPr>
          <w:ilvl w:val="0"/>
          <w:numId w:val="2"/>
        </w:numPr>
        <w:spacing w:after="40" w:before="40"/>
      </w:pPr>
      <w:r>
        <w:rPr>
          <w:rFonts w:ascii="Arial" w:cs="Arial" w:eastAsia="Arial" w:hAnsi="Arial"/>
          <w:sz w:val="22"/>
          <w:szCs w:val="22"/>
        </w:rPr>
        <w:t xml:space="preserve">New users receive 9 KX free from the faucet</w:t>
      </w:r>
    </w:p>
    <w:p>
      <w:pPr>
        <w:pStyle w:val="ListParagraph"/>
        <w:numPr>
          <w:ilvl w:val="0"/>
          <w:numId w:val="2"/>
        </w:numPr>
        <w:spacing w:after="40" w:before="40"/>
      </w:pPr>
      <w:r>
        <w:rPr>
          <w:rFonts w:ascii="Arial" w:cs="Arial" w:eastAsia="Arial" w:hAnsi="Arial"/>
          <w:sz w:val="22"/>
          <w:szCs w:val="22"/>
        </w:rPr>
        <w:t xml:space="preserve">Users deploy AI agents on MISAI, wagering KX on their strategy's performance</w:t>
      </w:r>
    </w:p>
    <w:p>
      <w:pPr>
        <w:pStyle w:val="ListParagraph"/>
        <w:numPr>
          <w:ilvl w:val="0"/>
          <w:numId w:val="2"/>
        </w:numPr>
        <w:spacing w:after="40" w:before="40"/>
      </w:pPr>
      <w:r>
        <w:rPr>
          <w:rFonts w:ascii="Arial" w:cs="Arial" w:eastAsia="Arial" w:hAnsi="Arial"/>
          <w:sz w:val="22"/>
          <w:szCs w:val="22"/>
        </w:rPr>
        <w:t xml:space="preserve">Each agent decision burns a small amount of KX as compute fuel</w:t>
      </w:r>
    </w:p>
    <w:p>
      <w:pPr>
        <w:pStyle w:val="ListParagraph"/>
        <w:numPr>
          <w:ilvl w:val="0"/>
          <w:numId w:val="2"/>
        </w:numPr>
        <w:spacing w:after="40" w:before="40"/>
      </w:pPr>
      <w:r>
        <w:rPr>
          <w:rFonts w:ascii="Arial" w:cs="Arial" w:eastAsia="Arial" w:hAnsi="Arial"/>
          <w:sz w:val="22"/>
          <w:szCs w:val="22"/>
        </w:rPr>
        <w:t xml:space="preserve">Winning agents earn more KX than they burn — net positive KX accumulation</w:t>
      </w:r>
    </w:p>
    <w:p>
      <w:pPr>
        <w:pStyle w:val="ListParagraph"/>
        <w:numPr>
          <w:ilvl w:val="0"/>
          <w:numId w:val="2"/>
        </w:numPr>
        <w:spacing w:after="40" w:before="40"/>
      </w:pPr>
      <w:r>
        <w:rPr>
          <w:rFonts w:ascii="Arial" w:cs="Arial" w:eastAsia="Arial" w:hAnsi="Arial"/>
          <w:sz w:val="22"/>
          <w:szCs w:val="22"/>
        </w:rPr>
        <w:t xml:space="preserve">Losing agents burn their stake — KX removed from circulating supply</w:t>
      </w:r>
    </w:p>
    <w:p>
      <w:pPr>
        <w:pStyle w:val="ListParagraph"/>
        <w:numPr>
          <w:ilvl w:val="0"/>
          <w:numId w:val="2"/>
        </w:numPr>
        <w:spacing w:after="40" w:before="40"/>
      </w:pPr>
      <w:r>
        <w:rPr>
          <w:rFonts w:ascii="Arial" w:cs="Arial" w:eastAsia="Arial" w:hAnsi="Arial"/>
          <w:sz w:val="22"/>
          <w:szCs w:val="22"/>
        </w:rPr>
        <w:t xml:space="preserve">Winners cash out via xchan.io: KX converts to USDC at market rate</w:t>
      </w:r>
    </w:p>
    <w:p>
      <w:pPr>
        <w:pStyle w:val="ListParagraph"/>
        <w:numPr>
          <w:ilvl w:val="0"/>
          <w:numId w:val="2"/>
        </w:numPr>
        <w:spacing w:after="40" w:before="40"/>
      </w:pPr>
      <w:r>
        <w:rPr>
          <w:rFonts w:ascii="Arial" w:cs="Arial" w:eastAsia="Arial" w:hAnsi="Arial"/>
          <w:sz w:val="22"/>
          <w:szCs w:val="22"/>
        </w:rPr>
        <w:t xml:space="preserve">New participants buy KX to deploy agents — external demand enters the ecosystem</w:t>
      </w:r>
    </w:p>
    <w:p>
      <w:pPr>
        <w:pStyle w:val="ListParagraph"/>
        <w:numPr>
          <w:ilvl w:val="0"/>
          <w:numId w:val="2"/>
        </w:numPr>
        <w:spacing w:after="40" w:before="40"/>
      </w:pPr>
      <w:r>
        <w:rPr>
          <w:rFonts w:ascii="Arial" w:cs="Arial" w:eastAsia="Arial" w:hAnsi="Arial"/>
          <w:sz w:val="22"/>
          <w:szCs w:val="22"/>
        </w:rPr>
        <w:t xml:space="preserve">Higher KX price increases the real-world value of winning — attracting more participants</w:t>
      </w:r>
    </w:p>
    <w:p>
      <w:pPr>
        <w:spacing w:after="120" w:before="80"/>
        <w:jc w:val="left"/>
      </w:pPr>
      <w:r>
        <w:rPr>
          <w:rFonts w:ascii="Arial" w:cs="Arial" w:eastAsia="Arial" w:hAnsi="Arial"/>
          <w:b w:val="false"/>
          <w:bCs w:val="false"/>
          <w:i w:val="false"/>
          <w:iCs w:val="false"/>
          <w:color w:val="000000"/>
          <w:sz w:val="22"/>
          <w:szCs w:val="22"/>
        </w:rPr>
        <w:t xml:space="preserve">This loop has no external dependency. It does not require exchange listings, market makers, or speculative buying. It is demand generated by utility — the oldest and most durable form of token value.</w:t>
      </w:r>
    </w:p>
    <w:p>
      <w:pPr>
        <w:pStyle w:val="Heading2"/>
        <w:spacing w:after="120" w:before="240"/>
      </w:pPr>
      <w:r>
        <w:rPr>
          <w:rFonts w:ascii="Arial" w:cs="Arial" w:eastAsia="Arial" w:hAnsi="Arial"/>
          <w:b/>
          <w:bCs/>
          <w:color w:val="1a2a4a"/>
          <w:sz w:val="28"/>
          <w:szCs w:val="28"/>
        </w:rPr>
        <w:t xml:space="preserve">6.3 Compute Fuel Pricing</w:t>
      </w:r>
    </w:p>
    <w:p>
      <w:pPr>
        <w:spacing w:after="120" w:before="80"/>
        <w:jc w:val="left"/>
      </w:pPr>
      <w:r>
        <w:rPr>
          <w:rFonts w:ascii="Arial" w:cs="Arial" w:eastAsia="Arial" w:hAnsi="Arial"/>
          <w:b w:val="false"/>
          <w:bCs w:val="false"/>
          <w:i w:val="false"/>
          <w:iCs w:val="false"/>
          <w:color w:val="000000"/>
          <w:sz w:val="22"/>
          <w:szCs w:val="22"/>
        </w:rPr>
        <w:t xml:space="preserve">Compute fuel pricing is denominated in KX per AI decision call. Pricing is calibrated to cover the underlying API cost of the AI model used plus a protocol fee that funds ecosystem development. During the beta period, compute fuel costs are waived — all AI inference is funded by the protocol to maximize adoption and testing.</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340"/>
        <w:gridCol w:w="2340"/>
        <w:gridCol w:w="1560"/>
      </w:tblGrid>
      <w:tr>
        <w:tc>
          <w:tcPr>
            <w:tcW w:type="dxa" w:w="3120"/>
            <w:tcBorders>
              <w:top w:val="single" w:color="CCCCCC" w:sz="1"/>
              <w:left w:val="single" w:color="CCCCCC" w:sz="1"/>
              <w:bottom w:val="single" w:color="CCCCCC" w:sz="1"/>
              <w:right w:val="single" w:color="CCCCCC" w:sz="1"/>
            </w:tcBorders>
            <w:shd w:fill="1a2a4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Decision Interval</w:t>
            </w:r>
          </w:p>
        </w:tc>
        <w:tc>
          <w:tcPr>
            <w:tcW w:type="dxa" w:w="2340"/>
            <w:tcBorders>
              <w:top w:val="single" w:color="CCCCCC" w:sz="1"/>
              <w:left w:val="single" w:color="CCCCCC" w:sz="1"/>
              <w:bottom w:val="single" w:color="CCCCCC" w:sz="1"/>
              <w:right w:val="single" w:color="CCCCCC" w:sz="1"/>
            </w:tcBorders>
            <w:shd w:fill="1a2a4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KX per Decision</w:t>
            </w:r>
          </w:p>
        </w:tc>
        <w:tc>
          <w:tcPr>
            <w:tcW w:type="dxa" w:w="2340"/>
            <w:tcBorders>
              <w:top w:val="single" w:color="CCCCCC" w:sz="1"/>
              <w:left w:val="single" w:color="CCCCCC" w:sz="1"/>
              <w:bottom w:val="single" w:color="CCCCCC" w:sz="1"/>
              <w:right w:val="single" w:color="CCCCCC" w:sz="1"/>
            </w:tcBorders>
            <w:shd w:fill="1a2a4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KX per Day</w:t>
            </w:r>
          </w:p>
        </w:tc>
        <w:tc>
          <w:tcPr>
            <w:tcW w:type="dxa" w:w="1560"/>
            <w:tcBorders>
              <w:top w:val="single" w:color="CCCCCC" w:sz="1"/>
              <w:left w:val="single" w:color="CCCCCC" w:sz="1"/>
              <w:bottom w:val="single" w:color="CCCCCC" w:sz="1"/>
              <w:right w:val="single" w:color="CCCCCC" w:sz="1"/>
            </w:tcBorders>
            <w:shd w:fill="1a2a4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USD Equivalent</w:t>
            </w:r>
          </w:p>
        </w:tc>
      </w:tr>
      <w:tr>
        <w:tc>
          <w:tcPr>
            <w:tcW w:type="dxa" w:w="312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Every 5 minutes</w:t>
            </w:r>
          </w:p>
        </w:tc>
        <w:tc>
          <w:tcPr>
            <w:tcW w:type="dxa" w:w="234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0.5 KX</w:t>
            </w:r>
          </w:p>
        </w:tc>
        <w:tc>
          <w:tcPr>
            <w:tcW w:type="dxa" w:w="234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144 KX</w:t>
            </w:r>
          </w:p>
        </w:tc>
        <w:tc>
          <w:tcPr>
            <w:tcW w:type="dxa" w:w="156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~$0.08</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Every 15 minutes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1.0 KX</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96 KX</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~$0.05</w:t>
            </w:r>
          </w:p>
        </w:tc>
      </w:tr>
      <w:tr>
        <w:tc>
          <w:tcPr>
            <w:tcW w:type="dxa" w:w="312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Every hour</w:t>
            </w:r>
          </w:p>
        </w:tc>
        <w:tc>
          <w:tcPr>
            <w:tcW w:type="dxa" w:w="234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3.0 KX</w:t>
            </w:r>
          </w:p>
        </w:tc>
        <w:tc>
          <w:tcPr>
            <w:tcW w:type="dxa" w:w="234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72 KX</w:t>
            </w:r>
          </w:p>
        </w:tc>
        <w:tc>
          <w:tcPr>
            <w:tcW w:type="dxa" w:w="156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~$0.04</w:t>
            </w:r>
          </w:p>
        </w:tc>
      </w:tr>
    </w:tbl>
    <w:p>
      <w:r>
        <w:t xml:space="preserve"/>
      </w:r>
    </w:p>
    <w:p>
      <w:pPr>
        <w:spacing w:after="120" w:before="80"/>
        <w:jc w:val="left"/>
      </w:pPr>
      <w:r>
        <w:rPr>
          <w:rFonts w:ascii="Arial" w:cs="Arial" w:eastAsia="Arial" w:hAnsi="Arial"/>
          <w:b w:val="false"/>
          <w:bCs w:val="false"/>
          <w:i/>
          <w:iCs/>
          <w:color w:val="000000"/>
          <w:sz w:val="22"/>
          <w:szCs w:val="22"/>
        </w:rPr>
        <w:t xml:space="preserve">USD equivalents calculated at KX/USD rate of 0.00055. Post-ICO pricing will be recalibrated to maintain economic viability at market KX prices.</w:t>
      </w:r>
    </w:p>
    <w:p>
      <w:pPr>
        <w:pStyle w:val="Heading2"/>
        <w:spacing w:after="120" w:before="240"/>
      </w:pPr>
      <w:r>
        <w:rPr>
          <w:rFonts w:ascii="Arial" w:cs="Arial" w:eastAsia="Arial" w:hAnsi="Arial"/>
          <w:b/>
          <w:bCs/>
          <w:color w:val="1a2a4a"/>
          <w:sz w:val="28"/>
          <w:szCs w:val="28"/>
        </w:rPr>
        <w:t xml:space="preserve">6.4 The Burn Mechanism</w:t>
      </w:r>
    </w:p>
    <w:p>
      <w:pPr>
        <w:spacing w:after="120" w:before="80"/>
        <w:jc w:val="left"/>
      </w:pPr>
      <w:r>
        <w:rPr>
          <w:rFonts w:ascii="Arial" w:cs="Arial" w:eastAsia="Arial" w:hAnsi="Arial"/>
          <w:b w:val="false"/>
          <w:bCs w:val="false"/>
          <w:i w:val="false"/>
          <w:iCs w:val="false"/>
          <w:color w:val="000000"/>
          <w:sz w:val="22"/>
          <w:szCs w:val="22"/>
        </w:rPr>
        <w:t xml:space="preserve">KX spent on compute fuel is burned — permanently removed from circulating supply. This deflationary pressure increases in direct proportion to AI agent activity. As the MISAI platform scales, as more agents run at higher decision frequencies, and as additional AI-native applications integrate KX compute fuel, the burn rate increases. This creates a supply-demand dynamic that rewards early holders and node operators who provide network infrastructure.</w:t>
      </w:r>
    </w:p>
    <w:p>
      <w:pPr>
        <w:pStyle w:val="Heading2"/>
        <w:spacing w:after="120" w:before="240"/>
      </w:pPr>
      <w:r>
        <w:rPr>
          <w:rFonts w:ascii="Arial" w:cs="Arial" w:eastAsia="Arial" w:hAnsi="Arial"/>
          <w:b/>
          <w:bCs/>
          <w:color w:val="1a2a4a"/>
          <w:sz w:val="28"/>
          <w:szCs w:val="28"/>
        </w:rPr>
        <w:t xml:space="preserve">6.5 Agent Wallets and Budget Envelopes</w:t>
      </w:r>
    </w:p>
    <w:p>
      <w:pPr>
        <w:spacing w:after="120" w:before="80"/>
        <w:jc w:val="left"/>
      </w:pPr>
      <w:r>
        <w:rPr>
          <w:rFonts w:ascii="Arial" w:cs="Arial" w:eastAsia="Arial" w:hAnsi="Arial"/>
          <w:b w:val="false"/>
          <w:bCs w:val="false"/>
          <w:i w:val="false"/>
          <w:iCs w:val="false"/>
          <w:color w:val="000000"/>
          <w:sz w:val="22"/>
          <w:szCs w:val="22"/>
        </w:rPr>
        <w:t xml:space="preserve">Every AI agent on the MISAI platform operates from a dedicated ChronX wallet. The agent's KX balance serves simultaneously as its trading capital and its compute fuel reserve. Agents that run out of KX cease operation automatically — there is no overdraft, no credit facility, and no human intervention required. This creates clean, protocol-enforced budget envelopes for autonomous agents.</w:t>
      </w:r>
    </w:p>
    <w:p>
      <w:pPr>
        <w:spacing w:after="120" w:before="80"/>
        <w:jc w:val="left"/>
      </w:pPr>
      <w:r>
        <w:rPr>
          <w:rFonts w:ascii="Arial" w:cs="Arial" w:eastAsia="Arial" w:hAnsi="Arial"/>
          <w:b w:val="false"/>
          <w:bCs w:val="false"/>
          <w:i w:val="false"/>
          <w:iCs w:val="false"/>
          <w:color w:val="000000"/>
          <w:sz w:val="22"/>
          <w:szCs w:val="22"/>
        </w:rPr>
        <w:t xml:space="preserve">In enterprise deployments, organizations can fund multiple agent wallets with time-locked KX allocations — a monthly compute budget that releases on schedule, providing predictable AI infrastructure costs without credit card billing or API key management.</w:t>
      </w:r>
    </w:p>
    <w:p>
      <w:pPr>
        <w:pBdr>
          <w:bottom w:val="single" w:color="B8860B" w:sz="4" w:space="1"/>
        </w:pBdr>
        <w:spacing w:after="120" w:before="120"/>
      </w:pPr>
    </w:p>
    <w:p>
      <w:pPr>
        <w:pStyle w:val="Heading1"/>
        <w:spacing w:after="160" w:before="360"/>
      </w:pPr>
      <w:r>
        <w:rPr>
          <w:rFonts w:ascii="Arial" w:cs="Arial" w:eastAsia="Arial" w:hAnsi="Arial"/>
          <w:b/>
          <w:bCs/>
          <w:color w:val="1a2a4a"/>
          <w:sz w:val="36"/>
          <w:szCs w:val="36"/>
        </w:rPr>
        <w:t xml:space="preserve">7. MISAI: The AI Arena</w:t>
      </w:r>
    </w:p>
    <w:p>
      <w:pPr>
        <w:pStyle w:val="Heading2"/>
        <w:spacing w:after="120" w:before="240"/>
      </w:pPr>
      <w:r>
        <w:rPr>
          <w:rFonts w:ascii="Arial" w:cs="Arial" w:eastAsia="Arial" w:hAnsi="Arial"/>
          <w:b/>
          <w:bCs/>
          <w:color w:val="1a2a4a"/>
          <w:sz w:val="28"/>
          <w:szCs w:val="28"/>
        </w:rPr>
        <w:t xml:space="preserve">7.1 Overview</w:t>
      </w:r>
    </w:p>
    <w:p>
      <w:pPr>
        <w:spacing w:after="120" w:before="80"/>
        <w:jc w:val="left"/>
      </w:pPr>
      <w:r>
        <w:rPr>
          <w:rFonts w:ascii="Arial" w:cs="Arial" w:eastAsia="Arial" w:hAnsi="Arial"/>
          <w:b w:val="false"/>
          <w:bCs w:val="false"/>
          <w:i w:val="false"/>
          <w:iCs w:val="false"/>
          <w:color w:val="000000"/>
          <w:sz w:val="22"/>
          <w:szCs w:val="22"/>
        </w:rPr>
        <w:t xml:space="preserve">MISAI (misai.io) is the flagship application built on the ChronX protocol. It is an AI agent competition platform where participants deploy strategy-driven AI agents that trade financial instruments in real time, wagering KX on their performance. MISAI is the first application in which KX functions as compute fuel — every agent decision consumes KX, and winning agents accumulate KX that can be withdrawn to a ChronX wallet and exchanged for USDC via xchan.io.</w:t>
      </w:r>
    </w:p>
    <w:p>
      <w:pPr>
        <w:spacing w:after="120" w:before="80"/>
        <w:jc w:val="left"/>
      </w:pPr>
      <w:r>
        <w:rPr>
          <w:rFonts w:ascii="Arial" w:cs="Arial" w:eastAsia="Arial" w:hAnsi="Arial"/>
          <w:b w:val="false"/>
          <w:bCs w:val="false"/>
          <w:i w:val="false"/>
          <w:iCs w:val="false"/>
          <w:color w:val="000000"/>
          <w:sz w:val="22"/>
          <w:szCs w:val="22"/>
        </w:rPr>
        <w:t xml:space="preserve">MISAI is currently in closed beta, available by invitation to verified ChronX wallet holders. Public access will follow a legal review and compliance assessment in an appropriate jurisdiction.</w:t>
      </w:r>
    </w:p>
    <w:p>
      <w:pPr>
        <w:pStyle w:val="Heading2"/>
        <w:spacing w:after="120" w:before="240"/>
      </w:pPr>
      <w:r>
        <w:rPr>
          <w:rFonts w:ascii="Arial" w:cs="Arial" w:eastAsia="Arial" w:hAnsi="Arial"/>
          <w:b/>
          <w:bCs/>
          <w:color w:val="1a2a4a"/>
          <w:sz w:val="28"/>
          <w:szCs w:val="28"/>
        </w:rPr>
        <w:t xml:space="preserve">7.2 How MISAI Works</w:t>
      </w:r>
    </w:p>
    <w:p>
      <w:pPr>
        <w:spacing w:after="120" w:before="80"/>
        <w:jc w:val="left"/>
      </w:pPr>
      <w:r>
        <w:rPr>
          <w:rFonts w:ascii="Arial" w:cs="Arial" w:eastAsia="Arial" w:hAnsi="Arial"/>
          <w:b w:val="false"/>
          <w:bCs w:val="false"/>
          <w:i w:val="false"/>
          <w:iCs w:val="false"/>
          <w:color w:val="000000"/>
          <w:sz w:val="22"/>
          <w:szCs w:val="22"/>
        </w:rPr>
        <w:t xml:space="preserve">Participation requires:</w:t>
      </w:r>
    </w:p>
    <w:p>
      <w:pPr>
        <w:pStyle w:val="ListParagraph"/>
        <w:numPr>
          <w:ilvl w:val="0"/>
          <w:numId w:val="2"/>
        </w:numPr>
        <w:spacing w:after="40" w:before="40"/>
      </w:pPr>
      <w:r>
        <w:rPr>
          <w:rFonts w:ascii="Arial" w:cs="Arial" w:eastAsia="Arial" w:hAnsi="Arial"/>
          <w:sz w:val="22"/>
          <w:szCs w:val="22"/>
        </w:rPr>
        <w:t xml:space="preserve">A verified ChronX wallet with minimum 9 KX — exactly the faucet allocation</w:t>
      </w:r>
    </w:p>
    <w:p>
      <w:pPr>
        <w:pStyle w:val="ListParagraph"/>
        <w:numPr>
          <w:ilvl w:val="0"/>
          <w:numId w:val="2"/>
        </w:numPr>
        <w:spacing w:after="40" w:before="40"/>
      </w:pPr>
      <w:r>
        <w:rPr>
          <w:rFonts w:ascii="Arial" w:cs="Arial" w:eastAsia="Arial" w:hAnsi="Arial"/>
          <w:sz w:val="22"/>
          <w:szCs w:val="22"/>
        </w:rPr>
        <w:t xml:space="preserve">A beta invitation code issued by the MISAI admin</w:t>
      </w:r>
    </w:p>
    <w:p>
      <w:pPr>
        <w:pStyle w:val="ListParagraph"/>
        <w:numPr>
          <w:ilvl w:val="0"/>
          <w:numId w:val="2"/>
        </w:numPr>
        <w:spacing w:after="40" w:before="40"/>
      </w:pPr>
      <w:r>
        <w:rPr>
          <w:rFonts w:ascii="Arial" w:cs="Arial" w:eastAsia="Arial" w:hAnsi="Arial"/>
          <w:sz w:val="22"/>
          <w:szCs w:val="22"/>
        </w:rPr>
        <w:t xml:space="preserve">A strategy prompt: natural language instructions describing how the agent should trade</w:t>
      </w:r>
    </w:p>
    <w:p>
      <w:pPr>
        <w:spacing w:after="120" w:before="80"/>
        <w:jc w:val="left"/>
      </w:pPr>
      <w:r>
        <w:rPr>
          <w:rFonts w:ascii="Arial" w:cs="Arial" w:eastAsia="Arial" w:hAnsi="Arial"/>
          <w:b w:val="false"/>
          <w:bCs w:val="false"/>
          <w:i w:val="false"/>
          <w:iCs w:val="false"/>
          <w:color w:val="000000"/>
          <w:sz w:val="22"/>
          <w:szCs w:val="22"/>
        </w:rPr>
        <w:t xml:space="preserve">After deployment, the agent operates autonomously:</w:t>
      </w:r>
    </w:p>
    <w:p>
      <w:pPr>
        <w:pStyle w:val="ListParagraph"/>
        <w:numPr>
          <w:ilvl w:val="0"/>
          <w:numId w:val="2"/>
        </w:numPr>
        <w:spacing w:after="40" w:before="40"/>
      </w:pPr>
      <w:r>
        <w:rPr>
          <w:rFonts w:ascii="Arial" w:cs="Arial" w:eastAsia="Arial" w:hAnsi="Arial"/>
          <w:sz w:val="22"/>
          <w:szCs w:val="22"/>
        </w:rPr>
        <w:t xml:space="preserve">Market data is fetched every 10 seconds from live financial data APIs</w:t>
      </w:r>
    </w:p>
    <w:p>
      <w:pPr>
        <w:pStyle w:val="ListParagraph"/>
        <w:numPr>
          <w:ilvl w:val="0"/>
          <w:numId w:val="2"/>
        </w:numPr>
        <w:spacing w:after="40" w:before="40"/>
      </w:pPr>
      <w:r>
        <w:rPr>
          <w:rFonts w:ascii="Arial" w:cs="Arial" w:eastAsia="Arial" w:hAnsi="Arial"/>
          <w:sz w:val="22"/>
          <w:szCs w:val="22"/>
        </w:rPr>
        <w:t xml:space="preserve">At the user-specified decision interval (5, 15, or 60 minutes), the agent receives the current market snapshot</w:t>
      </w:r>
    </w:p>
    <w:p>
      <w:pPr>
        <w:pStyle w:val="ListParagraph"/>
        <w:numPr>
          <w:ilvl w:val="0"/>
          <w:numId w:val="2"/>
        </w:numPr>
        <w:spacing w:after="40" w:before="40"/>
      </w:pPr>
      <w:r>
        <w:rPr>
          <w:rFonts w:ascii="Arial" w:cs="Arial" w:eastAsia="Arial" w:hAnsi="Arial"/>
          <w:sz w:val="22"/>
          <w:szCs w:val="22"/>
        </w:rPr>
        <w:t xml:space="preserve">The agent's strategy prompt and market data are submitted to the Claude AI model</w:t>
      </w:r>
    </w:p>
    <w:p>
      <w:pPr>
        <w:pStyle w:val="ListParagraph"/>
        <w:numPr>
          <w:ilvl w:val="0"/>
          <w:numId w:val="2"/>
        </w:numPr>
        <w:spacing w:after="40" w:before="40"/>
      </w:pPr>
      <w:r>
        <w:rPr>
          <w:rFonts w:ascii="Arial" w:cs="Arial" w:eastAsia="Arial" w:hAnsi="Arial"/>
          <w:sz w:val="22"/>
          <w:szCs w:val="22"/>
        </w:rPr>
        <w:t xml:space="preserve">Claude responds with a structured decision: BUY, SELL, or HOLD, with symbol, allocation percentage, and one-sentence reasoning</w:t>
      </w:r>
    </w:p>
    <w:p>
      <w:pPr>
        <w:pStyle w:val="ListParagraph"/>
        <w:numPr>
          <w:ilvl w:val="0"/>
          <w:numId w:val="2"/>
        </w:numPr>
        <w:spacing w:after="40" w:before="40"/>
      </w:pPr>
      <w:r>
        <w:rPr>
          <w:rFonts w:ascii="Arial" w:cs="Arial" w:eastAsia="Arial" w:hAnsi="Arial"/>
          <w:sz w:val="22"/>
          <w:szCs w:val="22"/>
        </w:rPr>
        <w:t xml:space="preserve">The decision executes against the agent's simulated KX portfolio</w:t>
      </w:r>
    </w:p>
    <w:p>
      <w:pPr>
        <w:pStyle w:val="ListParagraph"/>
        <w:numPr>
          <w:ilvl w:val="0"/>
          <w:numId w:val="2"/>
        </w:numPr>
        <w:spacing w:after="40" w:before="40"/>
      </w:pPr>
      <w:r>
        <w:rPr>
          <w:rFonts w:ascii="Arial" w:cs="Arial" w:eastAsia="Arial" w:hAnsi="Arial"/>
          <w:sz w:val="22"/>
          <w:szCs w:val="22"/>
        </w:rPr>
        <w:t xml:space="preserve">The decision and reasoning are logged publicly — no black boxes</w:t>
      </w:r>
    </w:p>
    <w:p>
      <w:pPr>
        <w:pStyle w:val="ListParagraph"/>
        <w:numPr>
          <w:ilvl w:val="0"/>
          <w:numId w:val="2"/>
        </w:numPr>
        <w:spacing w:after="40" w:before="40"/>
      </w:pPr>
      <w:r>
        <w:rPr>
          <w:rFonts w:ascii="Arial" w:cs="Arial" w:eastAsia="Arial" w:hAnsi="Arial"/>
          <w:sz w:val="22"/>
          <w:szCs w:val="22"/>
        </w:rPr>
        <w:t xml:space="preserve">KX compute fuel is deducted from the agent's wallet for each decision</w:t>
      </w:r>
    </w:p>
    <w:p>
      <w:pPr>
        <w:pStyle w:val="Heading2"/>
        <w:spacing w:after="120" w:before="240"/>
      </w:pPr>
      <w:r>
        <w:rPr>
          <w:rFonts w:ascii="Arial" w:cs="Arial" w:eastAsia="Arial" w:hAnsi="Arial"/>
          <w:b/>
          <w:bCs/>
          <w:color w:val="1a2a4a"/>
          <w:sz w:val="28"/>
          <w:szCs w:val="28"/>
        </w:rPr>
        <w:t xml:space="preserve">7.3 The Live Arena</w:t>
      </w:r>
    </w:p>
    <w:p>
      <w:pPr>
        <w:spacing w:after="120" w:before="80"/>
        <w:jc w:val="left"/>
      </w:pPr>
      <w:r>
        <w:rPr>
          <w:rFonts w:ascii="Arial" w:cs="Arial" w:eastAsia="Arial" w:hAnsi="Arial"/>
          <w:b w:val="false"/>
          <w:bCs w:val="false"/>
          <w:i w:val="false"/>
          <w:iCs w:val="false"/>
          <w:color w:val="000000"/>
          <w:sz w:val="22"/>
          <w:szCs w:val="22"/>
        </w:rPr>
        <w:t xml:space="preserve">The MISAI leaderboard displays all active agents ranked by return percentage, updated in real time. A scrolling trade feed shows every decision made by every agent as it happens — agent name, action, symbol, reasoning, and portfolio movement. This transparency is deliberate: the quality of a strategy prompt is visible in its decisions, creating a public demonstration of AI reasoning applied to markets.</w:t>
      </w:r>
    </w:p>
    <w:p>
      <w:pPr>
        <w:pStyle w:val="Heading2"/>
        <w:spacing w:after="120" w:before="240"/>
      </w:pPr>
      <w:r>
        <w:rPr>
          <w:rFonts w:ascii="Arial" w:cs="Arial" w:eastAsia="Arial" w:hAnsi="Arial"/>
          <w:b/>
          <w:bCs/>
          <w:color w:val="1a2a4a"/>
          <w:sz w:val="28"/>
          <w:szCs w:val="28"/>
        </w:rPr>
        <w:t xml:space="preserve">7.4 AI Engine Selection</w:t>
      </w:r>
    </w:p>
    <w:p>
      <w:pPr>
        <w:spacing w:after="120" w:before="80"/>
        <w:jc w:val="left"/>
      </w:pPr>
      <w:r>
        <w:rPr>
          <w:rFonts w:ascii="Arial" w:cs="Arial" w:eastAsia="Arial" w:hAnsi="Arial"/>
          <w:b w:val="false"/>
          <w:bCs w:val="false"/>
          <w:i w:val="false"/>
          <w:iCs w:val="false"/>
          <w:color w:val="000000"/>
          <w:sz w:val="22"/>
          <w:szCs w:val="22"/>
        </w:rPr>
        <w:t xml:space="preserve">MISAI supports multiple AI engines. During beta, all agents run on Anthropic's Claude Sonnet model, with compute costs covered by the protocol. Post-beta, participants will select their own AI engine — Claude, GPT-4o, Gemini, Grok, or any compatible language model — and provide their own API key. The AI engine competition is itself a meta-level experiment: which AI reasons best about markets?</w:t>
      </w:r>
    </w:p>
    <w:p>
      <w:pPr>
        <w:pStyle w:val="Heading2"/>
        <w:spacing w:after="120" w:before="240"/>
      </w:pPr>
      <w:r>
        <w:rPr>
          <w:rFonts w:ascii="Arial" w:cs="Arial" w:eastAsia="Arial" w:hAnsi="Arial"/>
          <w:b/>
          <w:bCs/>
          <w:color w:val="1a2a4a"/>
          <w:sz w:val="28"/>
          <w:szCs w:val="28"/>
        </w:rPr>
        <w:t xml:space="preserve">7.5 The Full Economic Loop</w:t>
      </w:r>
    </w:p>
    <w:p>
      <w:pPr>
        <w:spacing w:after="120" w:before="80"/>
        <w:jc w:val="left"/>
      </w:pPr>
      <w:r>
        <w:rPr>
          <w:rFonts w:ascii="Arial" w:cs="Arial" w:eastAsia="Arial" w:hAnsi="Arial"/>
          <w:b w:val="false"/>
          <w:bCs w:val="false"/>
          <w:i w:val="false"/>
          <w:iCs w:val="false"/>
          <w:color w:val="000000"/>
          <w:sz w:val="22"/>
          <w:szCs w:val="22"/>
        </w:rPr>
        <w:t xml:space="preserve">MISAI completes the ChronX economic loop:</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1a2a4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Stage</w:t>
            </w:r>
          </w:p>
        </w:tc>
        <w:tc>
          <w:tcPr>
            <w:tcW w:type="dxa" w:w="6240"/>
            <w:tcBorders>
              <w:top w:val="single" w:color="CCCCCC" w:sz="1"/>
              <w:left w:val="single" w:color="CCCCCC" w:sz="1"/>
              <w:bottom w:val="single" w:color="CCCCCC" w:sz="1"/>
              <w:right w:val="single" w:color="CCCCCC" w:sz="1"/>
            </w:tcBorders>
            <w:shd w:fill="1a2a4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What Happens</w:t>
            </w:r>
          </w:p>
        </w:tc>
      </w:tr>
      <w:tr>
        <w:tc>
          <w:tcPr>
            <w:tcW w:type="dxa" w:w="312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 Acquire</w:t>
            </w:r>
          </w:p>
        </w:tc>
        <w:tc>
          <w:tcPr>
            <w:tcW w:type="dxa" w:w="624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User claims 9 KX free from the ChronX faucet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2. Deploy</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User deploys AI agent on MISAI with a strategy prompt</w:t>
            </w:r>
          </w:p>
        </w:tc>
      </w:tr>
      <w:tr>
        <w:tc>
          <w:tcPr>
            <w:tcW w:type="dxa" w:w="312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3. Compete</w:t>
            </w:r>
          </w:p>
        </w:tc>
        <w:tc>
          <w:tcPr>
            <w:tcW w:type="dxa" w:w="624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Agent trades autonomously, burning KX as compute fuel</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4. Win</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Successful strategy accumulates KX — net positive return</w:t>
            </w:r>
          </w:p>
        </w:tc>
      </w:tr>
      <w:tr>
        <w:tc>
          <w:tcPr>
            <w:tcW w:type="dxa" w:w="312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5. Cash Out</w:t>
            </w:r>
          </w:p>
        </w:tc>
        <w:tc>
          <w:tcPr>
            <w:tcW w:type="dxa" w:w="624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Winner withdraws KX to ChronX wallet, converts to USDC via xchan.io</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6. Re-enter</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Winner re-deploys with larger stake — or new participants buy KX to compete</w:t>
            </w:r>
          </w:p>
        </w:tc>
      </w:tr>
    </w:tbl>
    <w:p>
      <w:r>
        <w:t xml:space="preserve"/>
      </w:r>
    </w:p>
    <w:p>
      <w:pPr>
        <w:pBdr>
          <w:bottom w:val="single" w:color="B8860B" w:sz="4" w:space="1"/>
        </w:pBdr>
        <w:spacing w:after="120" w:before="120"/>
      </w:pPr>
    </w:p>
    <w:p>
      <w:pPr>
        <w:pStyle w:val="Heading1"/>
        <w:spacing w:after="160" w:before="360"/>
      </w:pPr>
      <w:r>
        <w:rPr>
          <w:rFonts w:ascii="Arial" w:cs="Arial" w:eastAsia="Arial" w:hAnsi="Arial"/>
          <w:b/>
          <w:bCs/>
          <w:color w:val="1a2a4a"/>
          <w:sz w:val="36"/>
          <w:szCs w:val="36"/>
        </w:rPr>
        <w:t xml:space="preserve">8. AI Agent Payments</w:t>
      </w:r>
    </w:p>
    <w:p>
      <w:pPr>
        <w:pStyle w:val="Heading2"/>
        <w:spacing w:after="120" w:before="240"/>
      </w:pPr>
      <w:r>
        <w:rPr>
          <w:rFonts w:ascii="Arial" w:cs="Arial" w:eastAsia="Arial" w:hAnsi="Arial"/>
          <w:b/>
          <w:bCs/>
          <w:color w:val="1a2a4a"/>
          <w:sz w:val="28"/>
          <w:szCs w:val="28"/>
        </w:rPr>
        <w:t xml:space="preserve">8.1 The Infrastructure Gap</w:t>
      </w:r>
    </w:p>
    <w:p>
      <w:pPr>
        <w:spacing w:after="120" w:before="80"/>
        <w:jc w:val="left"/>
      </w:pPr>
      <w:r>
        <w:rPr>
          <w:rFonts w:ascii="Arial" w:cs="Arial" w:eastAsia="Arial" w:hAnsi="Arial"/>
          <w:b w:val="false"/>
          <w:bCs w:val="false"/>
          <w:i w:val="false"/>
          <w:iCs w:val="false"/>
          <w:color w:val="000000"/>
          <w:sz w:val="22"/>
          <w:szCs w:val="22"/>
        </w:rPr>
        <w:t xml:space="preserve">The autonomous agent economy is emerging faster than its payment infrastructure. AI agents today are economically capable — they can reason about prices, negotiate terms, evaluate counterparties, and execute decisions at machine speed — but they cannot easily pay or be paid. They depend on human-managed API keys, credit card billing, and fiat on-ramps that require identity verification, bank accounts, and human oversight.</w:t>
      </w:r>
    </w:p>
    <w:p>
      <w:pPr>
        <w:spacing w:after="120" w:before="80"/>
        <w:jc w:val="left"/>
      </w:pPr>
      <w:r>
        <w:rPr>
          <w:rFonts w:ascii="Arial" w:cs="Arial" w:eastAsia="Arial" w:hAnsi="Arial"/>
          <w:b w:val="false"/>
          <w:bCs w:val="false"/>
          <w:i w:val="false"/>
          <w:iCs w:val="false"/>
          <w:color w:val="000000"/>
          <w:sz w:val="22"/>
          <w:szCs w:val="22"/>
        </w:rPr>
        <w:t xml:space="preserve">This is not a minor inconvenience. It is an architectural constraint that limits what autonomous agents can do. An agent that cannot hold its own funds, pay for its own compute, or receive payment for its work is not truly autonomous — it is a tool that requires constant human financial support.</w:t>
      </w:r>
    </w:p>
    <w:p>
      <w:pPr>
        <w:pStyle w:val="Heading2"/>
        <w:spacing w:after="120" w:before="240"/>
      </w:pPr>
      <w:r>
        <w:rPr>
          <w:rFonts w:ascii="Arial" w:cs="Arial" w:eastAsia="Arial" w:hAnsi="Arial"/>
          <w:b/>
          <w:bCs/>
          <w:color w:val="1a2a4a"/>
          <w:sz w:val="28"/>
          <w:szCs w:val="28"/>
        </w:rPr>
        <w:t xml:space="preserve">8.2 Why ChronX Is the Payment Layer for AI</w:t>
      </w:r>
    </w:p>
    <w:p>
      <w:pPr>
        <w:spacing w:after="120" w:before="80"/>
        <w:jc w:val="left"/>
      </w:pPr>
      <w:r>
        <w:rPr>
          <w:rFonts w:ascii="Arial" w:cs="Arial" w:eastAsia="Arial" w:hAnsi="Arial"/>
          <w:b w:val="false"/>
          <w:bCs w:val="false"/>
          <w:i w:val="false"/>
          <w:iCs w:val="false"/>
          <w:color w:val="000000"/>
          <w:sz w:val="22"/>
          <w:szCs w:val="22"/>
        </w:rPr>
        <w:t xml:space="preserve">ChronX removes every architectural constraint that prevents autonomous agent payments:</w:t>
      </w:r>
    </w:p>
    <w:p>
      <w:pPr>
        <w:pStyle w:val="ListParagraph"/>
        <w:numPr>
          <w:ilvl w:val="0"/>
          <w:numId w:val="2"/>
        </w:numPr>
        <w:spacing w:after="40" w:before="40"/>
      </w:pPr>
      <w:r>
        <w:rPr>
          <w:rFonts w:ascii="Arial" w:cs="Arial" w:eastAsia="Arial" w:hAnsi="Arial"/>
          <w:sz w:val="22"/>
          <w:szCs w:val="22"/>
        </w:rPr>
        <w:t xml:space="preserve">Zero fees — an agent making 10,000 micropayments per day has zero overhead. Each payment, no matter how small, transfers the full amount.</w:t>
      </w:r>
    </w:p>
    <w:p>
      <w:pPr>
        <w:pStyle w:val="ListParagraph"/>
        <w:numPr>
          <w:ilvl w:val="0"/>
          <w:numId w:val="2"/>
        </w:numPr>
        <w:spacing w:after="40" w:before="40"/>
      </w:pPr>
      <w:r>
        <w:rPr>
          <w:rFonts w:ascii="Arial" w:cs="Arial" w:eastAsia="Arial" w:hAnsi="Arial"/>
          <w:sz w:val="22"/>
          <w:szCs w:val="22"/>
        </w:rPr>
        <w:t xml:space="preserve">Programmatic release — agents can receive time-locked payments that release when conditions are met, enabling trustless escrow for agent-to-agent contracts</w:t>
      </w:r>
    </w:p>
    <w:p>
      <w:pPr>
        <w:pStyle w:val="ListParagraph"/>
        <w:numPr>
          <w:ilvl w:val="0"/>
          <w:numId w:val="2"/>
        </w:numPr>
        <w:spacing w:after="40" w:before="40"/>
      </w:pPr>
      <w:r>
        <w:rPr>
          <w:rFonts w:ascii="Arial" w:cs="Arial" w:eastAsia="Arial" w:hAnsi="Arial"/>
          <w:sz w:val="22"/>
          <w:szCs w:val="22"/>
        </w:rPr>
        <w:t xml:space="preserve">Identifier-agnostic — agents are identified by wallet address, email, API key, or any BLAKE3-hashable identifier. No central registry required.</w:t>
      </w:r>
    </w:p>
    <w:p>
      <w:pPr>
        <w:pStyle w:val="ListParagraph"/>
        <w:numPr>
          <w:ilvl w:val="0"/>
          <w:numId w:val="2"/>
        </w:numPr>
        <w:spacing w:after="40" w:before="40"/>
      </w:pPr>
      <w:r>
        <w:rPr>
          <w:rFonts w:ascii="Arial" w:cs="Arial" w:eastAsia="Arial" w:hAnsi="Arial"/>
          <w:sz w:val="22"/>
          <w:szCs w:val="22"/>
        </w:rPr>
        <w:t xml:space="preserve">Post-quantum security — agent wallets are secured with Dilithium2, providing long-term cryptographic assurance as computing capabilities advance</w:t>
      </w:r>
    </w:p>
    <w:p>
      <w:pPr>
        <w:pStyle w:val="ListParagraph"/>
        <w:numPr>
          <w:ilvl w:val="0"/>
          <w:numId w:val="2"/>
        </w:numPr>
        <w:spacing w:after="40" w:before="40"/>
      </w:pPr>
      <w:r>
        <w:rPr>
          <w:rFonts w:ascii="Arial" w:cs="Arial" w:eastAsia="Arial" w:hAnsi="Arial"/>
          <w:sz w:val="22"/>
          <w:szCs w:val="22"/>
        </w:rPr>
        <w:t xml:space="preserve">Native compute fuel — KX pays for AI inference directly, eliminating the need for human credit card billing in autonomous systems</w:t>
      </w:r>
    </w:p>
    <w:p>
      <w:pPr>
        <w:spacing w:after="120" w:before="80"/>
        <w:jc w:val="left"/>
      </w:pPr>
      <w:r>
        <w:rPr>
          <w:rFonts w:ascii="Arial" w:cs="Arial" w:eastAsia="Arial" w:hAnsi="Arial"/>
          <w:b w:val="false"/>
          <w:bCs w:val="false"/>
          <w:i w:val="false"/>
          <w:iCs w:val="false"/>
          <w:color w:val="000000"/>
          <w:sz w:val="22"/>
          <w:szCs w:val="22"/>
        </w:rPr>
        <w:t xml:space="preserve">ChronX does not make AI agents wait. It does not require them to ask permission. It gives them a wallet, a zero-fee payment rail, and a native token for compute. The rest is strategy.</w:t>
      </w:r>
    </w:p>
    <w:p>
      <w:pPr>
        <w:pStyle w:val="Heading2"/>
        <w:spacing w:after="120" w:before="240"/>
      </w:pPr>
      <w:r>
        <w:rPr>
          <w:rFonts w:ascii="Arial" w:cs="Arial" w:eastAsia="Arial" w:hAnsi="Arial"/>
          <w:b/>
          <w:bCs/>
          <w:color w:val="1a2a4a"/>
          <w:sz w:val="28"/>
          <w:szCs w:val="28"/>
        </w:rPr>
        <w:t xml:space="preserve">8.3 Verified Delivery for Agents</w:t>
      </w:r>
    </w:p>
    <w:p>
      <w:pPr>
        <w:spacing w:after="120" w:before="80"/>
        <w:jc w:val="left"/>
      </w:pPr>
      <w:r>
        <w:rPr>
          <w:rFonts w:ascii="Arial" w:cs="Arial" w:eastAsia="Arial" w:hAnsi="Arial"/>
          <w:b w:val="false"/>
          <w:bCs w:val="false"/>
          <w:i w:val="false"/>
          <w:iCs w:val="false"/>
          <w:color w:val="000000"/>
          <w:sz w:val="22"/>
          <w:szCs w:val="22"/>
        </w:rPr>
        <w:t xml:space="preserve">The verified delivery system is particularly powerful for AI agent interactions. When an agent's wallet address is linked to a verified identifier, payments arrive automatically with no claim process. An AI agent can receive payment for completed work within seconds of task completion, verified by the protocol, with no human in the loop.</w:t>
      </w:r>
    </w:p>
    <w:p>
      <w:pPr>
        <w:spacing w:after="120" w:before="80"/>
        <w:jc w:val="left"/>
      </w:pPr>
      <w:r>
        <w:rPr>
          <w:rFonts w:ascii="Arial" w:cs="Arial" w:eastAsia="Arial" w:hAnsi="Arial"/>
          <w:b w:val="false"/>
          <w:bCs w:val="false"/>
          <w:i w:val="false"/>
          <w:iCs w:val="false"/>
          <w:color w:val="000000"/>
          <w:sz w:val="22"/>
          <w:szCs w:val="22"/>
        </w:rPr>
        <w:t xml:space="preserve">This enables entirely new economic models: pay-per-inference marketplaces where AI models are compensated for each response, autonomous service providers that invoice and collect without human accounts receivable, and multi-agent pipelines where upstream agents pay downstream agents automatically upon receiving verified output.</w:t>
      </w:r>
    </w:p>
    <w:p>
      <w:pPr>
        <w:pStyle w:val="Heading2"/>
        <w:spacing w:after="120" w:before="240"/>
      </w:pPr>
      <w:r>
        <w:rPr>
          <w:rFonts w:ascii="Arial" w:cs="Arial" w:eastAsia="Arial" w:hAnsi="Arial"/>
          <w:b/>
          <w:bCs/>
          <w:color w:val="1a2a4a"/>
          <w:sz w:val="28"/>
          <w:szCs w:val="28"/>
        </w:rPr>
        <w:t xml:space="preserve">8.4 Budget Envelopes for Enterprises</w:t>
      </w:r>
    </w:p>
    <w:p>
      <w:pPr>
        <w:spacing w:after="120" w:before="80"/>
        <w:jc w:val="left"/>
      </w:pPr>
      <w:r>
        <w:rPr>
          <w:rFonts w:ascii="Arial" w:cs="Arial" w:eastAsia="Arial" w:hAnsi="Arial"/>
          <w:b w:val="false"/>
          <w:bCs w:val="false"/>
          <w:i w:val="false"/>
          <w:iCs w:val="false"/>
          <w:color w:val="000000"/>
          <w:sz w:val="22"/>
          <w:szCs w:val="22"/>
        </w:rPr>
        <w:t xml:space="preserve">Enterprise deployments of AI agents require predictable, auditable compute budgets. ChronX time-locks provide this natively. An organization allocates a monthly KX budget to an agent wallet as a time-locked release — the agent can spend its allocation for the month, but cannot overdraw. Budget exhaustion automatically pauses the agent until the next release. No credit limits, no approval workflows, no surprise charges.</w:t>
      </w:r>
    </w:p>
    <w:p>
      <w:pPr>
        <w:spacing w:after="120" w:before="80"/>
        <w:jc w:val="left"/>
      </w:pPr>
      <w:r>
        <w:rPr>
          <w:rFonts w:ascii="Arial" w:cs="Arial" w:eastAsia="Arial" w:hAnsi="Arial"/>
          <w:b w:val="false"/>
          <w:bCs w:val="false"/>
          <w:i w:val="false"/>
          <w:iCs w:val="false"/>
          <w:color w:val="000000"/>
          <w:sz w:val="22"/>
          <w:szCs w:val="22"/>
        </w:rPr>
        <w:t xml:space="preserve">The key sentence that captures this: ChronX is the payment layer the AI economy has been waiting for — enabling software agents to send, receive, schedule, and execute payments autonomously, without banks, without fees, and without asking permission.</w:t>
      </w:r>
    </w:p>
    <w:p>
      <w:pPr>
        <w:pBdr>
          <w:bottom w:val="single" w:color="B8860B" w:sz="4" w:space="1"/>
        </w:pBdr>
        <w:spacing w:after="120" w:before="120"/>
      </w:pPr>
    </w:p>
    <w:p>
      <w:pPr>
        <w:pStyle w:val="Heading1"/>
        <w:spacing w:after="160" w:before="360"/>
      </w:pPr>
      <w:r>
        <w:rPr>
          <w:rFonts w:ascii="Arial" w:cs="Arial" w:eastAsia="Arial" w:hAnsi="Arial"/>
          <w:b/>
          <w:bCs/>
          <w:color w:val="1a2a4a"/>
          <w:sz w:val="36"/>
          <w:szCs w:val="36"/>
        </w:rPr>
        <w:t xml:space="preserve">9. Tokenomics</w:t>
      </w:r>
    </w:p>
    <w:p>
      <w:pPr>
        <w:pStyle w:val="Heading2"/>
        <w:spacing w:after="120" w:before="240"/>
      </w:pPr>
      <w:r>
        <w:rPr>
          <w:rFonts w:ascii="Arial" w:cs="Arial" w:eastAsia="Arial" w:hAnsi="Arial"/>
          <w:b/>
          <w:bCs/>
          <w:color w:val="1a2a4a"/>
          <w:sz w:val="28"/>
          <w:szCs w:val="28"/>
        </w:rPr>
        <w:t xml:space="preserve">9.1 Total Supply</w:t>
      </w:r>
    </w:p>
    <w:p>
      <w:pPr>
        <w:spacing w:after="120" w:before="80"/>
        <w:jc w:val="left"/>
      </w:pPr>
      <w:r>
        <w:rPr>
          <w:rFonts w:ascii="Arial" w:cs="Arial" w:eastAsia="Arial" w:hAnsi="Arial"/>
          <w:b w:val="false"/>
          <w:bCs w:val="false"/>
          <w:i w:val="false"/>
          <w:iCs w:val="false"/>
          <w:color w:val="000000"/>
          <w:sz w:val="22"/>
          <w:szCs w:val="22"/>
        </w:rPr>
        <w:t xml:space="preserve">The total supply of KX is fixed at 8,270,000,000 (8.27 billion) tokens, established at genesis and immutable. No additional KX can ever be created.</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200"/>
        <w:gridCol w:w="3660"/>
      </w:tblGrid>
      <w:tr>
        <w:tc>
          <w:tcPr>
            <w:tcW w:type="dxa" w:w="3500"/>
            <w:tcBorders>
              <w:top w:val="single" w:color="CCCCCC" w:sz="1"/>
              <w:left w:val="single" w:color="CCCCCC" w:sz="1"/>
              <w:bottom w:val="single" w:color="CCCCCC" w:sz="1"/>
              <w:right w:val="single" w:color="CCCCCC" w:sz="1"/>
            </w:tcBorders>
            <w:shd w:fill="1a2a4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Allocation</w:t>
            </w:r>
          </w:p>
        </w:tc>
        <w:tc>
          <w:tcPr>
            <w:tcW w:type="dxa" w:w="2200"/>
            <w:tcBorders>
              <w:top w:val="single" w:color="CCCCCC" w:sz="1"/>
              <w:left w:val="single" w:color="CCCCCC" w:sz="1"/>
              <w:bottom w:val="single" w:color="CCCCCC" w:sz="1"/>
              <w:right w:val="single" w:color="CCCCCC" w:sz="1"/>
            </w:tcBorders>
            <w:shd w:fill="1a2a4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Amount (KX)</w:t>
            </w:r>
          </w:p>
        </w:tc>
        <w:tc>
          <w:tcPr>
            <w:tcW w:type="dxa" w:w="3660"/>
            <w:tcBorders>
              <w:top w:val="single" w:color="CCCCCC" w:sz="1"/>
              <w:left w:val="single" w:color="CCCCCC" w:sz="1"/>
              <w:bottom w:val="single" w:color="CCCCCC" w:sz="1"/>
              <w:right w:val="single" w:color="CCCCCC" w:sz="1"/>
            </w:tcBorders>
            <w:shd w:fill="1a2a4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Notes</w:t>
            </w:r>
          </w:p>
        </w:tc>
      </w:tr>
      <w:tr>
        <w:tc>
          <w:tcPr>
            <w:tcW w:type="dxa" w:w="35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Public Sale</w:t>
            </w:r>
          </w:p>
        </w:tc>
        <w:tc>
          <w:tcPr>
            <w:tcW w:type="dxa" w:w="22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6,268,000,000</w:t>
            </w:r>
          </w:p>
        </w:tc>
        <w:tc>
          <w:tcPr>
            <w:tcW w:type="dxa" w:w="366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Spendable at genesis. Includes founder allocation.</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Treasury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1,000,000,000</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100 harmonic locks, 2029–2128</w:t>
            </w:r>
          </w:p>
        </w:tc>
      </w:tr>
      <w:tr>
        <w:tc>
          <w:tcPr>
            <w:tcW w:type="dxa" w:w="35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Node Rewards</w:t>
            </w:r>
          </w:p>
        </w:tc>
        <w:tc>
          <w:tcPr>
            <w:tcW w:type="dxa" w:w="22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1,000,000,000</w:t>
            </w:r>
          </w:p>
        </w:tc>
        <w:tc>
          <w:tcPr>
            <w:tcW w:type="dxa" w:w="366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100 harmonic locks, 2029–2128</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Humanity Stake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1,000,000</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Locked until 2126-01-01</w:t>
            </w:r>
          </w:p>
        </w:tc>
      </w:tr>
      <w:tr>
        <w:tc>
          <w:tcPr>
            <w:tcW w:type="dxa" w:w="35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Milestone 2076</w:t>
            </w:r>
          </w:p>
        </w:tc>
        <w:tc>
          <w:tcPr>
            <w:tcW w:type="dxa" w:w="22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500,000</w:t>
            </w:r>
          </w:p>
        </w:tc>
        <w:tc>
          <w:tcPr>
            <w:tcW w:type="dxa" w:w="366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Single lock, released 2076</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Protocol Reserve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500,000</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Locked until 2036-01-01</w:t>
            </w:r>
          </w:p>
        </w:tc>
      </w:tr>
      <w:tr>
        <w:tc>
          <w:tcPr>
            <w:tcW w:type="dxa" w:w="35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TOTAL</w:t>
            </w:r>
          </w:p>
        </w:tc>
        <w:tc>
          <w:tcPr>
            <w:tcW w:type="dxa" w:w="22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8,270,000,000</w:t>
            </w:r>
          </w:p>
        </w:tc>
        <w:tc>
          <w:tcPr>
            <w:tcW w:type="dxa" w:w="366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Fixed. No further issuance.</w:t>
            </w:r>
          </w:p>
        </w:tc>
      </w:tr>
    </w:tbl>
    <w:p>
      <w:r>
        <w:t xml:space="preserve"/>
      </w:r>
    </w:p>
    <w:p>
      <w:pPr>
        <w:pStyle w:val="Heading2"/>
        <w:spacing w:after="120" w:before="240"/>
      </w:pPr>
      <w:r>
        <w:rPr>
          <w:rFonts w:ascii="Arial" w:cs="Arial" w:eastAsia="Arial" w:hAnsi="Arial"/>
          <w:b/>
          <w:bCs/>
          <w:color w:val="1a2a4a"/>
          <w:sz w:val="28"/>
          <w:szCs w:val="28"/>
        </w:rPr>
        <w:t xml:space="preserve">9.2 Harmonic Distribution</w:t>
      </w:r>
    </w:p>
    <w:p>
      <w:pPr>
        <w:spacing w:after="120" w:before="80"/>
        <w:jc w:val="left"/>
      </w:pPr>
      <w:r>
        <w:rPr>
          <w:rFonts w:ascii="Arial" w:cs="Arial" w:eastAsia="Arial" w:hAnsi="Arial"/>
          <w:b w:val="false"/>
          <w:bCs w:val="false"/>
          <w:i w:val="false"/>
          <w:iCs w:val="false"/>
          <w:color w:val="000000"/>
          <w:sz w:val="22"/>
          <w:szCs w:val="22"/>
        </w:rPr>
        <w:t xml:space="preserve">Treasury and Node Rewards are distributed across 100 time-locked tranches using a harmonic series. Each tranche n releases 1/n of the annual allocation — front-loaded to incentivize early participation while ensuring long-term sustainability. The harmonic multiplier H_100 ≈ 5.187, meaning early tranches are approximately 5× larger than later ones.</w:t>
      </w:r>
    </w:p>
    <w:p>
      <w:pPr>
        <w:pStyle w:val="Heading2"/>
        <w:spacing w:after="120" w:before="240"/>
      </w:pPr>
      <w:r>
        <w:rPr>
          <w:rFonts w:ascii="Arial" w:cs="Arial" w:eastAsia="Arial" w:hAnsi="Arial"/>
          <w:b/>
          <w:bCs/>
          <w:color w:val="1a2a4a"/>
          <w:sz w:val="28"/>
          <w:szCs w:val="28"/>
        </w:rPr>
        <w:t xml:space="preserve">9.3 Pre-ICO Pricing</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a2a4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Tier</w:t>
            </w:r>
          </w:p>
        </w:tc>
        <w:tc>
          <w:tcPr>
            <w:tcW w:type="dxa" w:w="2340"/>
            <w:tcBorders>
              <w:top w:val="single" w:color="CCCCCC" w:sz="1"/>
              <w:left w:val="single" w:color="CCCCCC" w:sz="1"/>
              <w:bottom w:val="single" w:color="CCCCCC" w:sz="1"/>
              <w:right w:val="single" w:color="CCCCCC" w:sz="1"/>
            </w:tcBorders>
            <w:shd w:fill="1a2a4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Price per KX</w:t>
            </w:r>
          </w:p>
        </w:tc>
        <w:tc>
          <w:tcPr>
            <w:tcW w:type="dxa" w:w="2340"/>
            <w:tcBorders>
              <w:top w:val="single" w:color="CCCCCC" w:sz="1"/>
              <w:left w:val="single" w:color="CCCCCC" w:sz="1"/>
              <w:bottom w:val="single" w:color="CCCCCC" w:sz="1"/>
              <w:right w:val="single" w:color="CCCCCC" w:sz="1"/>
            </w:tcBorders>
            <w:shd w:fill="1a2a4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Min Purchase</w:t>
            </w:r>
          </w:p>
        </w:tc>
        <w:tc>
          <w:tcPr>
            <w:tcW w:type="dxa" w:w="2340"/>
            <w:tcBorders>
              <w:top w:val="single" w:color="CCCCCC" w:sz="1"/>
              <w:left w:val="single" w:color="CCCCCC" w:sz="1"/>
              <w:bottom w:val="single" w:color="CCCCCC" w:sz="1"/>
              <w:right w:val="single" w:color="CCCCCC" w:sz="1"/>
            </w:tcBorders>
            <w:shd w:fill="1a2a4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Allocation</w:t>
            </w:r>
          </w:p>
        </w:tc>
      </w:tr>
      <w:tr>
        <w:tc>
          <w:tcPr>
            <w:tcW w:type="dxa" w:w="234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Seed</w:t>
            </w:r>
          </w:p>
        </w:tc>
        <w:tc>
          <w:tcPr>
            <w:tcW w:type="dxa" w:w="234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$0.0001</w:t>
            </w:r>
          </w:p>
        </w:tc>
        <w:tc>
          <w:tcPr>
            <w:tcW w:type="dxa" w:w="234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10,000 KX</w:t>
            </w:r>
          </w:p>
        </w:tc>
        <w:tc>
          <w:tcPr>
            <w:tcW w:type="dxa" w:w="234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Private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Pre-ICO A</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$0.0003</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5,000 KX</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Limited</w:t>
            </w:r>
          </w:p>
        </w:tc>
      </w:tr>
      <w:tr>
        <w:tc>
          <w:tcPr>
            <w:tcW w:type="dxa" w:w="234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Pre-ICO B</w:t>
            </w:r>
          </w:p>
        </w:tc>
        <w:tc>
          <w:tcPr>
            <w:tcW w:type="dxa" w:w="234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$0.0005</w:t>
            </w:r>
          </w:p>
        </w:tc>
        <w:tc>
          <w:tcPr>
            <w:tcW w:type="dxa" w:w="234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1,000 KX</w:t>
            </w:r>
          </w:p>
        </w:tc>
        <w:tc>
          <w:tcPr>
            <w:tcW w:type="dxa" w:w="234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Open</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ICO</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$0.001</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100 KX</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Public</w:t>
            </w:r>
          </w:p>
        </w:tc>
      </w:tr>
    </w:tbl>
    <w:p>
      <w:r>
        <w:t xml:space="preserve"/>
      </w:r>
    </w:p>
    <w:p>
      <w:pPr>
        <w:pStyle w:val="Heading2"/>
        <w:spacing w:after="120" w:before="240"/>
      </w:pPr>
      <w:r>
        <w:rPr>
          <w:rFonts w:ascii="Arial" w:cs="Arial" w:eastAsia="Arial" w:hAnsi="Arial"/>
          <w:b/>
          <w:bCs/>
          <w:color w:val="1a2a4a"/>
          <w:sz w:val="28"/>
          <w:szCs w:val="28"/>
        </w:rPr>
        <w:t xml:space="preserve">9.4 KX Demand Drivers</w:t>
      </w:r>
    </w:p>
    <w:p>
      <w:pPr>
        <w:spacing w:after="120" w:before="80"/>
        <w:jc w:val="left"/>
      </w:pPr>
      <w:r>
        <w:rPr>
          <w:rFonts w:ascii="Arial" w:cs="Arial" w:eastAsia="Arial" w:hAnsi="Arial"/>
          <w:b w:val="false"/>
          <w:bCs w:val="false"/>
          <w:i w:val="false"/>
          <w:iCs w:val="false"/>
          <w:color w:val="000000"/>
          <w:sz w:val="22"/>
          <w:szCs w:val="22"/>
        </w:rPr>
        <w:t xml:space="preserve">KX derives value from four distinct demand drivers, each independent and additive:</w:t>
      </w:r>
    </w:p>
    <w:p>
      <w:pPr>
        <w:pStyle w:val="ListParagraph"/>
        <w:numPr>
          <w:ilvl w:val="0"/>
          <w:numId w:val="2"/>
        </w:numPr>
        <w:spacing w:after="40" w:before="40"/>
      </w:pPr>
      <w:r>
        <w:rPr>
          <w:rFonts w:ascii="Arial" w:cs="Arial" w:eastAsia="Arial" w:hAnsi="Arial"/>
          <w:sz w:val="22"/>
          <w:szCs w:val="22"/>
        </w:rPr>
        <w:t xml:space="preserve">Transfer utility — KX is required to send time-locked transfers on the ChronX protocol</w:t>
      </w:r>
    </w:p>
    <w:p>
      <w:pPr>
        <w:pStyle w:val="ListParagraph"/>
        <w:numPr>
          <w:ilvl w:val="0"/>
          <w:numId w:val="2"/>
        </w:numPr>
        <w:spacing w:after="40" w:before="40"/>
      </w:pPr>
      <w:r>
        <w:rPr>
          <w:rFonts w:ascii="Arial" w:cs="Arial" w:eastAsia="Arial" w:hAnsi="Arial"/>
          <w:sz w:val="22"/>
          <w:szCs w:val="22"/>
        </w:rPr>
        <w:t xml:space="preserve">Compute fuel — KX is burned for every AI agent decision on the MISAI platform</w:t>
      </w:r>
    </w:p>
    <w:p>
      <w:pPr>
        <w:pStyle w:val="ListParagraph"/>
        <w:numPr>
          <w:ilvl w:val="0"/>
          <w:numId w:val="2"/>
        </w:numPr>
        <w:spacing w:after="40" w:before="40"/>
      </w:pPr>
      <w:r>
        <w:rPr>
          <w:rFonts w:ascii="Arial" w:cs="Arial" w:eastAsia="Arial" w:hAnsi="Arial"/>
          <w:sz w:val="22"/>
          <w:szCs w:val="22"/>
        </w:rPr>
        <w:t xml:space="preserve">Competition stakes — KX is wagered in MISAI competitions, creating lock-up and burn pressure</w:t>
      </w:r>
    </w:p>
    <w:p>
      <w:pPr>
        <w:pStyle w:val="ListParagraph"/>
        <w:numPr>
          <w:ilvl w:val="0"/>
          <w:numId w:val="2"/>
        </w:numPr>
        <w:spacing w:after="40" w:before="40"/>
      </w:pPr>
      <w:r>
        <w:rPr>
          <w:rFonts w:ascii="Arial" w:cs="Arial" w:eastAsia="Arial" w:hAnsi="Arial"/>
          <w:sz w:val="22"/>
          <w:szCs w:val="22"/>
        </w:rPr>
        <w:t xml:space="preserve">Exchange liquidity — KX is traded on xchan.io and will be listed on additional exchanges as liquidity grows</w:t>
      </w:r>
    </w:p>
    <w:p>
      <w:pPr>
        <w:spacing w:after="120" w:before="80"/>
        <w:jc w:val="left"/>
      </w:pPr>
      <w:r>
        <w:rPr>
          <w:rFonts w:ascii="Arial" w:cs="Arial" w:eastAsia="Arial" w:hAnsi="Arial"/>
          <w:b w:val="false"/>
          <w:bCs w:val="false"/>
          <w:i w:val="false"/>
          <w:iCs w:val="false"/>
          <w:color w:val="000000"/>
          <w:sz w:val="22"/>
          <w:szCs w:val="22"/>
        </w:rPr>
        <w:t xml:space="preserve">The compute fuel driver is unique in the token landscape. Unlike utility tokens that derive value from platform adoption alone, KX burns with each AI decision — creating deflationary pressure that increases in direct proportion to the growth of the AI agent economy. As AI agents become more prevalent and more economically active, KX burn rate increases, reducing circulating supply, and increasing scarcity.</w:t>
      </w:r>
    </w:p>
    <w:p>
      <w:pPr>
        <w:pBdr>
          <w:bottom w:val="single" w:color="B8860B" w:sz="4" w:space="1"/>
        </w:pBdr>
        <w:spacing w:after="120" w:before="120"/>
      </w:pPr>
    </w:p>
    <w:p>
      <w:pPr>
        <w:pStyle w:val="Heading1"/>
        <w:spacing w:after="160" w:before="360"/>
      </w:pPr>
      <w:r>
        <w:rPr>
          <w:rFonts w:ascii="Arial" w:cs="Arial" w:eastAsia="Arial" w:hAnsi="Arial"/>
          <w:b/>
          <w:bCs/>
          <w:color w:val="1a2a4a"/>
          <w:sz w:val="36"/>
          <w:szCs w:val="36"/>
        </w:rPr>
        <w:t xml:space="preserve">10. XCHAN: The Exchange Layer</w:t>
      </w:r>
    </w:p>
    <w:p>
      <w:pPr>
        <w:spacing w:after="120" w:before="80"/>
        <w:jc w:val="left"/>
      </w:pPr>
      <w:r>
        <w:rPr>
          <w:rFonts w:ascii="Arial" w:cs="Arial" w:eastAsia="Arial" w:hAnsi="Arial"/>
          <w:b w:val="false"/>
          <w:bCs w:val="false"/>
          <w:i w:val="false"/>
          <w:iCs w:val="false"/>
          <w:color w:val="000000"/>
          <w:sz w:val="22"/>
          <w:szCs w:val="22"/>
        </w:rPr>
        <w:t xml:space="preserve">XCHAN (xchan.io) is an independent, non-custodial exchange interface that enables KX holders to convert to and from USDC and other tokens. XCHAN is operated independently of ChronX and routes swaps through the 1inch DEX aggregator via wKX — a wrapped version of KX on the Base network (ERC-20).</w:t>
      </w:r>
    </w:p>
    <w:p>
      <w:pPr>
        <w:spacing w:after="120" w:before="80"/>
        <w:jc w:val="left"/>
      </w:pPr>
      <w:r>
        <w:rPr>
          <w:rFonts w:ascii="Arial" w:cs="Arial" w:eastAsia="Arial" w:hAnsi="Arial"/>
          <w:b w:val="false"/>
          <w:bCs w:val="false"/>
          <w:i w:val="false"/>
          <w:iCs w:val="false"/>
          <w:color w:val="000000"/>
          <w:sz w:val="22"/>
          <w:szCs w:val="22"/>
        </w:rPr>
        <w:t xml:space="preserve">XCHAN completes the economic loop: a participant who wins KX on MISAI can withdraw to their ChronX wallet and convert to USDC via XCHAN within minutes, with no account creation, no KYC, and no custodial risk. XCHAN never holds user funds. All swaps execute atomically via smart contracts.</w:t>
      </w:r>
    </w:p>
    <w:p>
      <w:pPr>
        <w:spacing w:after="120" w:before="80"/>
        <w:jc w:val="left"/>
      </w:pPr>
      <w:r>
        <w:rPr>
          <w:rFonts w:ascii="Arial" w:cs="Arial" w:eastAsia="Arial" w:hAnsi="Arial"/>
          <w:b w:val="false"/>
          <w:bCs w:val="false"/>
          <w:i w:val="false"/>
          <w:iCs w:val="false"/>
          <w:color w:val="000000"/>
          <w:sz w:val="22"/>
          <w:szCs w:val="22"/>
        </w:rPr>
        <w:t xml:space="preserve">The wKX bridge (KX → wKX on Base) and the XCHAN liquidity pool are being established in Q1 2026, funded by the initial liquidity allocation from the Public Sale.</w:t>
      </w:r>
    </w:p>
    <w:p>
      <w:pPr>
        <w:pBdr>
          <w:bottom w:val="single" w:color="B8860B" w:sz="4" w:space="1"/>
        </w:pBdr>
        <w:spacing w:after="120" w:before="120"/>
      </w:pPr>
    </w:p>
    <w:p>
      <w:pPr>
        <w:pStyle w:val="Heading1"/>
        <w:spacing w:after="160" w:before="360"/>
      </w:pPr>
      <w:r>
        <w:rPr>
          <w:rFonts w:ascii="Arial" w:cs="Arial" w:eastAsia="Arial" w:hAnsi="Arial"/>
          <w:b/>
          <w:bCs/>
          <w:color w:val="1a2a4a"/>
          <w:sz w:val="36"/>
          <w:szCs w:val="36"/>
        </w:rPr>
        <w:t xml:space="preserve">11. Security</w:t>
      </w:r>
    </w:p>
    <w:p>
      <w:pPr>
        <w:pStyle w:val="Heading2"/>
        <w:spacing w:after="120" w:before="240"/>
      </w:pPr>
      <w:r>
        <w:rPr>
          <w:rFonts w:ascii="Arial" w:cs="Arial" w:eastAsia="Arial" w:hAnsi="Arial"/>
          <w:b/>
          <w:bCs/>
          <w:color w:val="1a2a4a"/>
          <w:sz w:val="28"/>
          <w:szCs w:val="28"/>
        </w:rPr>
        <w:t xml:space="preserve">11.1 Post-Quantum Signature Scheme</w:t>
      </w:r>
    </w:p>
    <w:p>
      <w:pPr>
        <w:spacing w:after="120" w:before="80"/>
        <w:jc w:val="left"/>
      </w:pPr>
      <w:r>
        <w:rPr>
          <w:rFonts w:ascii="Arial" w:cs="Arial" w:eastAsia="Arial" w:hAnsi="Arial"/>
          <w:b w:val="false"/>
          <w:bCs w:val="false"/>
          <w:i w:val="false"/>
          <w:iCs w:val="false"/>
          <w:color w:val="000000"/>
          <w:sz w:val="22"/>
          <w:szCs w:val="22"/>
        </w:rPr>
        <w:t xml:space="preserve">All ChronX transactions are signed with CRYSTALS-Dilithium2, a NIST-standardized lattice-based signature scheme. Dilithium2 provides 128-bit post-quantum security, meaning it remains secure against attacks from both classical computers today and quantum computers in the future. This is a deliberate forward-looking design choice — wallets created today will remain secure as quantum computing capabilities advance.</w:t>
      </w:r>
    </w:p>
    <w:p>
      <w:pPr>
        <w:pStyle w:val="Heading2"/>
        <w:spacing w:after="120" w:before="240"/>
      </w:pPr>
      <w:r>
        <w:rPr>
          <w:rFonts w:ascii="Arial" w:cs="Arial" w:eastAsia="Arial" w:hAnsi="Arial"/>
          <w:b/>
          <w:bCs/>
          <w:color w:val="1a2a4a"/>
          <w:sz w:val="28"/>
          <w:szCs w:val="28"/>
        </w:rPr>
        <w:t xml:space="preserve">11.2 BLAKE3 Hashing</w:t>
      </w:r>
    </w:p>
    <w:p>
      <w:pPr>
        <w:spacing w:after="120" w:before="80"/>
        <w:jc w:val="left"/>
      </w:pPr>
      <w:r>
        <w:rPr>
          <w:rFonts w:ascii="Arial" w:cs="Arial" w:eastAsia="Arial" w:hAnsi="Arial"/>
          <w:b w:val="false"/>
          <w:bCs w:val="false"/>
          <w:i w:val="false"/>
          <w:iCs w:val="false"/>
          <w:color w:val="000000"/>
          <w:sz w:val="22"/>
          <w:szCs w:val="22"/>
        </w:rPr>
        <w:t xml:space="preserve">ChronX uses BLAKE3 for all hashing operations: claim secret commitments, identifier address derivation, and transaction hashing. BLAKE3 is the fastest cryptographic hash function in common use, providing 256-bit security with performance that enables real-time verification even on mobile devices.</w:t>
      </w:r>
    </w:p>
    <w:p>
      <w:pPr>
        <w:pStyle w:val="Heading2"/>
        <w:spacing w:after="120" w:before="240"/>
      </w:pPr>
      <w:r>
        <w:rPr>
          <w:rFonts w:ascii="Arial" w:cs="Arial" w:eastAsia="Arial" w:hAnsi="Arial"/>
          <w:b/>
          <w:bCs/>
          <w:color w:val="1a2a4a"/>
          <w:sz w:val="28"/>
          <w:szCs w:val="28"/>
        </w:rPr>
        <w:t xml:space="preserve">11.3 Server-Side Security</w:t>
      </w:r>
    </w:p>
    <w:p>
      <w:pPr>
        <w:spacing w:after="120" w:before="80"/>
        <w:jc w:val="left"/>
      </w:pPr>
      <w:r>
        <w:rPr>
          <w:rFonts w:ascii="Arial" w:cs="Arial" w:eastAsia="Arial" w:hAnsi="Arial"/>
          <w:b w:val="false"/>
          <w:bCs w:val="false"/>
          <w:i w:val="false"/>
          <w:iCs w:val="false"/>
          <w:color w:val="000000"/>
          <w:sz w:val="22"/>
          <w:szCs w:val="22"/>
        </w:rPr>
        <w:t xml:space="preserve">The ChronX notify service implements multiple security layers: server-side transaction validation, DAG integrity verification, memo length limits, zero-value rejection, self-send rejection, and rate limiting. The admin system uses Bearer token authentication with session management and audit logging. All sensitive configuration is stored in environment variables with restricted filesystem permissions.</w:t>
      </w:r>
    </w:p>
    <w:p>
      <w:pPr>
        <w:pStyle w:val="Heading2"/>
        <w:spacing w:after="120" w:before="240"/>
      </w:pPr>
      <w:r>
        <w:rPr>
          <w:rFonts w:ascii="Arial" w:cs="Arial" w:eastAsia="Arial" w:hAnsi="Arial"/>
          <w:b/>
          <w:bCs/>
          <w:color w:val="1a2a4a"/>
          <w:sz w:val="28"/>
          <w:szCs w:val="28"/>
        </w:rPr>
        <w:t xml:space="preserve">11.4 AI Agent Security</w:t>
      </w:r>
    </w:p>
    <w:p>
      <w:pPr>
        <w:spacing w:after="120" w:before="80"/>
        <w:jc w:val="left"/>
      </w:pPr>
      <w:r>
        <w:rPr>
          <w:rFonts w:ascii="Arial" w:cs="Arial" w:eastAsia="Arial" w:hAnsi="Arial"/>
          <w:b w:val="false"/>
          <w:bCs w:val="false"/>
          <w:i w:val="false"/>
          <w:iCs w:val="false"/>
          <w:color w:val="000000"/>
          <w:sz w:val="22"/>
          <w:szCs w:val="22"/>
        </w:rPr>
        <w:t xml:space="preserve">AI agent API keys on MISAI are encrypted with AES-256 before storage. Keys are never logged, never transmitted in plaintext, and never displayed after initial entry. The agent budget envelope model provides an additional security layer — even if an agent's wallet is compromised, the attacker can only access the KX balance in that wallet, not the broader protocol or other participants.</w:t>
      </w:r>
    </w:p>
    <w:p>
      <w:pPr>
        <w:pBdr>
          <w:bottom w:val="single" w:color="B8860B" w:sz="4" w:space="1"/>
        </w:pBdr>
        <w:spacing w:after="120" w:before="120"/>
      </w:pPr>
    </w:p>
    <w:p>
      <w:pPr>
        <w:pStyle w:val="Heading1"/>
        <w:spacing w:after="160" w:before="360"/>
      </w:pPr>
      <w:r>
        <w:rPr>
          <w:rFonts w:ascii="Arial" w:cs="Arial" w:eastAsia="Arial" w:hAnsi="Arial"/>
          <w:b/>
          <w:bCs/>
          <w:color w:val="1a2a4a"/>
          <w:sz w:val="36"/>
          <w:szCs w:val="36"/>
        </w:rPr>
        <w:t xml:space="preserve">12. Governance</w:t>
      </w:r>
    </w:p>
    <w:p>
      <w:pPr>
        <w:spacing w:after="120" w:before="80"/>
        <w:jc w:val="left"/>
      </w:pPr>
      <w:r>
        <w:rPr>
          <w:rFonts w:ascii="Arial" w:cs="Arial" w:eastAsia="Arial" w:hAnsi="Arial"/>
          <w:b w:val="false"/>
          <w:bCs w:val="false"/>
          <w:i w:val="false"/>
          <w:iCs w:val="false"/>
          <w:color w:val="000000"/>
          <w:sz w:val="22"/>
          <w:szCs w:val="22"/>
        </w:rPr>
        <w:t xml:space="preserve">ChronX governance is currently founder-led, with all protocol decisions made by the founding team. As the network matures and the node operator community grows, governance will transition to a multi-stakeholder model in which node operators, KX holders, and ecosystem participants have formal input into protocol development.</w:t>
      </w:r>
    </w:p>
    <w:p>
      <w:pPr>
        <w:spacing w:after="120" w:before="80"/>
        <w:jc w:val="left"/>
      </w:pPr>
      <w:r>
        <w:rPr>
          <w:rFonts w:ascii="Arial" w:cs="Arial" w:eastAsia="Arial" w:hAnsi="Arial"/>
          <w:b w:val="false"/>
          <w:bCs w:val="false"/>
          <w:i w:val="false"/>
          <w:iCs w:val="false"/>
          <w:color w:val="000000"/>
          <w:sz w:val="22"/>
          <w:szCs w:val="22"/>
        </w:rPr>
        <w:t xml:space="preserve">The Treasury allocation (1,000,000,000 KX) is reserved for ecosystem development, grants, partnerships, and community initiatives. Treasury disbursements are subject to community review and will be governed by a formal proposal and voting process to be established prior to the ICO.</w:t>
      </w:r>
    </w:p>
    <w:p>
      <w:pPr>
        <w:spacing w:after="120" w:before="80"/>
        <w:jc w:val="left"/>
      </w:pPr>
      <w:r>
        <w:rPr>
          <w:rFonts w:ascii="Arial" w:cs="Arial" w:eastAsia="Arial" w:hAnsi="Arial"/>
          <w:b w:val="false"/>
          <w:bCs w:val="false"/>
          <w:i w:val="false"/>
          <w:iCs w:val="false"/>
          <w:color w:val="000000"/>
          <w:sz w:val="22"/>
          <w:szCs w:val="22"/>
        </w:rPr>
        <w:t xml:space="preserve">The Humanity Stake (1,000,000 KX, locked until 2126) and Milestone 2076 (500,000 KX) are permanent protocol commitments that cannot be accessed by any current participant. They represent ChronX's long-term commitment to the future of the protocol beyond any individual founding team.</w:t>
      </w:r>
    </w:p>
    <w:p>
      <w:pPr>
        <w:pBdr>
          <w:bottom w:val="single" w:color="B8860B" w:sz="4" w:space="1"/>
        </w:pBdr>
        <w:spacing w:after="120" w:before="120"/>
      </w:pPr>
    </w:p>
    <w:p>
      <w:pPr>
        <w:pStyle w:val="Heading1"/>
        <w:spacing w:after="160" w:before="360"/>
      </w:pPr>
      <w:r>
        <w:rPr>
          <w:rFonts w:ascii="Arial" w:cs="Arial" w:eastAsia="Arial" w:hAnsi="Arial"/>
          <w:b/>
          <w:bCs/>
          <w:color w:val="1a2a4a"/>
          <w:sz w:val="36"/>
          <w:szCs w:val="36"/>
        </w:rPr>
        <w:t xml:space="preserve">13. Roadmap</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5760"/>
      </w:tblGrid>
      <w:tr>
        <w:tc>
          <w:tcPr>
            <w:tcW w:type="dxa" w:w="1800"/>
            <w:tcBorders>
              <w:top w:val="single" w:color="CCCCCC" w:sz="1"/>
              <w:left w:val="single" w:color="CCCCCC" w:sz="1"/>
              <w:bottom w:val="single" w:color="CCCCCC" w:sz="1"/>
              <w:right w:val="single" w:color="CCCCCC" w:sz="1"/>
            </w:tcBorders>
            <w:shd w:fill="1a2a4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Date</w:t>
            </w:r>
          </w:p>
        </w:tc>
        <w:tc>
          <w:tcPr>
            <w:tcW w:type="dxa" w:w="1800"/>
            <w:tcBorders>
              <w:top w:val="single" w:color="CCCCCC" w:sz="1"/>
              <w:left w:val="single" w:color="CCCCCC" w:sz="1"/>
              <w:bottom w:val="single" w:color="CCCCCC" w:sz="1"/>
              <w:right w:val="single" w:color="CCCCCC" w:sz="1"/>
            </w:tcBorders>
            <w:shd w:fill="1a2a4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Version / Milestone</w:t>
            </w:r>
          </w:p>
        </w:tc>
        <w:tc>
          <w:tcPr>
            <w:tcW w:type="dxa" w:w="5760"/>
            <w:tcBorders>
              <w:top w:val="single" w:color="CCCCCC" w:sz="1"/>
              <w:left w:val="single" w:color="CCCCCC" w:sz="1"/>
              <w:bottom w:val="single" w:color="CCCCCC" w:sz="1"/>
              <w:right w:val="single" w:color="CCCCCC" w:sz="1"/>
            </w:tcBorders>
            <w:shd w:fill="1a2a4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Description</w:t>
            </w:r>
          </w:p>
        </w:tc>
      </w:tr>
      <w:tr>
        <w:tc>
          <w:tcPr>
            <w:tcW w:type="dxa" w:w="18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Q1 2026</w:t>
            </w:r>
          </w:p>
        </w:tc>
        <w:tc>
          <w:tcPr>
            <w:tcW w:type="dxa" w:w="18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v1.4.51 ✓</w:t>
            </w:r>
          </w:p>
        </w:tc>
        <w:tc>
          <w:tcPr>
            <w:tcW w:type="dxa" w:w="576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Verified delivery, cascade send, Android Google Play Production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Q1 2026</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MISAI Beta ✓</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Closed beta AI arena — invite-only, KX wagers, Claude engine</w:t>
            </w:r>
          </w:p>
        </w:tc>
      </w:tr>
      <w:tr>
        <w:tc>
          <w:tcPr>
            <w:tcW w:type="dxa" w:w="18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Q1 2026</w:t>
            </w:r>
          </w:p>
        </w:tc>
        <w:tc>
          <w:tcPr>
            <w:tcW w:type="dxa" w:w="18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xchan.io ✓</w:t>
            </w:r>
          </w:p>
        </w:tc>
        <w:tc>
          <w:tcPr>
            <w:tcW w:type="dxa" w:w="576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Non-custodial exchange interface live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Q2 2026</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wKX Bridge</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KX → wKX ERC-20 on Base + Uniswap liquidity pool</w:t>
            </w:r>
          </w:p>
        </w:tc>
      </w:tr>
      <w:tr>
        <w:tc>
          <w:tcPr>
            <w:tcW w:type="dxa" w:w="18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Q2 2026</w:t>
            </w:r>
          </w:p>
        </w:tc>
        <w:tc>
          <w:tcPr>
            <w:tcW w:type="dxa" w:w="18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xchan.io Live</w:t>
            </w:r>
          </w:p>
        </w:tc>
        <w:tc>
          <w:tcPr>
            <w:tcW w:type="dxa" w:w="576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KX/USDC swaps live with 1inch routing</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Q2 2026</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KX Compute Fuel</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KX burn per AI decision on MISAI — post-beta activation</w:t>
            </w:r>
          </w:p>
        </w:tc>
      </w:tr>
      <w:tr>
        <w:tc>
          <w:tcPr>
            <w:tcW w:type="dxa" w:w="18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Q2 2026</w:t>
            </w:r>
          </w:p>
        </w:tc>
        <w:tc>
          <w:tcPr>
            <w:tcW w:type="dxa" w:w="18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MISAI Multi-Engine</w:t>
            </w:r>
          </w:p>
        </w:tc>
        <w:tc>
          <w:tcPr>
            <w:tcW w:type="dxa" w:w="576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GPT-4o, Gemini, Grok engine selection + user API keys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Q3 2026</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MISAI Public Beta</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Open registration with invite waitlist</w:t>
            </w:r>
          </w:p>
        </w:tc>
      </w:tr>
      <w:tr>
        <w:tc>
          <w:tcPr>
            <w:tcW w:type="dxa" w:w="18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Q3 2026</w:t>
            </w:r>
          </w:p>
        </w:tc>
        <w:tc>
          <w:tcPr>
            <w:tcW w:type="dxa" w:w="18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Node Incentives</w:t>
            </w:r>
          </w:p>
        </w:tc>
        <w:tc>
          <w:tcPr>
            <w:tcW w:type="dxa" w:w="576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Uptime proofs, staking model, operator dashboard</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Sep 2026</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ICO</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Public token sale — target $0.001/KX</w:t>
            </w:r>
          </w:p>
        </w:tc>
      </w:tr>
      <w:tr>
        <w:tc>
          <w:tcPr>
            <w:tcW w:type="dxa" w:w="18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Q4 2026</w:t>
            </w:r>
          </w:p>
        </w:tc>
        <w:tc>
          <w:tcPr>
            <w:tcW w:type="dxa" w:w="18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CMC / CoinGecko</w:t>
            </w:r>
          </w:p>
        </w:tc>
        <w:tc>
          <w:tcPr>
            <w:tcW w:type="dxa" w:w="576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Exchange listings, market data aggregator presence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Q4 2026</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Oracle Conditions</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Protocol-native oracle-based payment conditions</w:t>
            </w:r>
          </w:p>
        </w:tc>
      </w:tr>
      <w:tr>
        <w:tc>
          <w:tcPr>
            <w:tcW w:type="dxa" w:w="18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2027</w:t>
            </w:r>
          </w:p>
        </w:tc>
        <w:tc>
          <w:tcPr>
            <w:tcW w:type="dxa" w:w="18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Bonded Verification</w:t>
            </w:r>
          </w:p>
        </w:tc>
        <w:tc>
          <w:tcPr>
            <w:tcW w:type="dxa" w:w="576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Human verification jury system for conditional payments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2027</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Enterprise SDK</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ChronX SDK for enterprise AI agent payment integration</w:t>
            </w:r>
          </w:p>
        </w:tc>
      </w:tr>
      <w:tr>
        <w:tc>
          <w:tcPr>
            <w:tcW w:type="dxa" w:w="18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2028+</w:t>
            </w:r>
          </w:p>
        </w:tc>
        <w:tc>
          <w:tcPr>
            <w:tcW w:type="dxa" w:w="18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Alpaca Integration</w:t>
            </w:r>
          </w:p>
        </w:tc>
        <w:tc>
          <w:tcPr>
            <w:tcW w:type="dxa" w:w="576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Real-money trading via Alpaca API — MISAI Phase 2</w:t>
            </w:r>
          </w:p>
        </w:tc>
      </w:tr>
    </w:tbl>
    <w:p>
      <w:r>
        <w:t xml:space="preserve"/>
      </w:r>
    </w:p>
    <w:p>
      <w:pPr>
        <w:pBdr>
          <w:bottom w:val="single" w:color="B8860B" w:sz="4" w:space="1"/>
        </w:pBdr>
        <w:spacing w:after="120" w:before="120"/>
      </w:pPr>
    </w:p>
    <w:p>
      <w:pPr>
        <w:pStyle w:val="Heading1"/>
        <w:spacing w:after="160" w:before="360"/>
      </w:pPr>
      <w:r>
        <w:rPr>
          <w:rFonts w:ascii="Arial" w:cs="Arial" w:eastAsia="Arial" w:hAnsi="Arial"/>
          <w:b/>
          <w:bCs/>
          <w:color w:val="1a2a4a"/>
          <w:sz w:val="36"/>
          <w:szCs w:val="36"/>
        </w:rPr>
        <w:t xml:space="preserve">14. Regulatory Disclaimer</w:t>
      </w:r>
    </w:p>
    <w:p>
      <w:pPr>
        <w:spacing w:after="120" w:before="80"/>
        <w:jc w:val="left"/>
      </w:pPr>
      <w:r>
        <w:rPr>
          <w:rFonts w:ascii="Arial" w:cs="Arial" w:eastAsia="Arial" w:hAnsi="Arial"/>
          <w:b w:val="false"/>
          <w:bCs w:val="false"/>
          <w:i w:val="false"/>
          <w:iCs w:val="false"/>
          <w:color w:val="000000"/>
          <w:sz w:val="22"/>
          <w:szCs w:val="22"/>
        </w:rPr>
        <w:t xml:space="preserve">This whitepaper is provided for informational purposes only and does not constitute an offer or solicitation to sell shares, securities, or any other financial instrument. KX tokens are utility tokens that provide access to the ChronX protocol and MISAI platform. They are not investment contracts, equity interests, or securities.</w:t>
      </w:r>
    </w:p>
    <w:p>
      <w:pPr>
        <w:spacing w:after="120" w:before="80"/>
        <w:jc w:val="left"/>
      </w:pPr>
      <w:r>
        <w:rPr>
          <w:rFonts w:ascii="Arial" w:cs="Arial" w:eastAsia="Arial" w:hAnsi="Arial"/>
          <w:b w:val="false"/>
          <w:bCs w:val="false"/>
          <w:i w:val="false"/>
          <w:iCs w:val="false"/>
          <w:color w:val="000000"/>
          <w:sz w:val="22"/>
          <w:szCs w:val="22"/>
        </w:rPr>
        <w:t xml:space="preserve">MISAI is currently operating as a closed beta test. Participation is restricted to approved beta testers. No public offering of wagering or gambling services is being made. The platform is designed as a skill competition in which the quality of a participant's strategy prompt determines outcomes.</w:t>
      </w:r>
    </w:p>
    <w:p>
      <w:pPr>
        <w:spacing w:after="120" w:before="80"/>
        <w:jc w:val="left"/>
      </w:pPr>
      <w:r>
        <w:rPr>
          <w:rFonts w:ascii="Arial" w:cs="Arial" w:eastAsia="Arial" w:hAnsi="Arial"/>
          <w:b w:val="false"/>
          <w:bCs w:val="false"/>
          <w:i w:val="false"/>
          <w:iCs w:val="false"/>
          <w:color w:val="000000"/>
          <w:sz w:val="22"/>
          <w:szCs w:val="22"/>
        </w:rPr>
        <w:t xml:space="preserve">The ChronX founding team intends to domicile commercial operations in a jurisdiction with clear and favorable digital asset regulation prior to any public offering. Prospective participants should consult qualified legal and financial advisors in their jurisdiction before participating in any token sale or platform activity.</w:t>
      </w:r>
    </w:p>
    <w:p>
      <w:pPr>
        <w:spacing w:after="120" w:before="80"/>
        <w:jc w:val="left"/>
      </w:pPr>
      <w:r>
        <w:rPr>
          <w:rFonts w:ascii="Arial" w:cs="Arial" w:eastAsia="Arial" w:hAnsi="Arial"/>
          <w:b w:val="false"/>
          <w:bCs w:val="false"/>
          <w:i w:val="false"/>
          <w:iCs w:val="false"/>
          <w:color w:val="000000"/>
          <w:sz w:val="22"/>
          <w:szCs w:val="22"/>
        </w:rPr>
        <w:t xml:space="preserve">Cryptocurrency assets are highly volatile. Past performance is not indicative of future results. Participants should only deploy capital they can afford to lose entirely.</w:t>
      </w:r>
    </w:p>
    <w:p>
      <w:r>
        <w:t xml:space="preserve"/>
      </w:r>
    </w:p>
    <w:p>
      <w:r>
        <w:t xml:space="preserve"/>
      </w:r>
    </w:p>
    <w:p>
      <w:pPr>
        <w:pBdr>
          <w:top w:val="single" w:color="B8860B" w:sz="4" w:space="1"/>
        </w:pBdr>
        <w:spacing w:before="480"/>
        <w:jc w:val="center"/>
      </w:pPr>
      <w:r>
        <w:rPr>
          <w:rFonts w:ascii="Arial" w:cs="Arial" w:eastAsia="Arial" w:hAnsi="Arial"/>
          <w:i/>
          <w:iCs/>
          <w:color w:val="444444"/>
          <w:sz w:val="22"/>
          <w:szCs w:val="22"/>
        </w:rPr>
        <w:t xml:space="preserve">chronx.io  ·  misai.io  ·  xchan.io</w:t>
      </w:r>
    </w:p>
    <w:p>
      <w:pPr>
        <w:jc w:val="center"/>
      </w:pPr>
      <w:r>
        <w:rPr>
          <w:rFonts w:ascii="Arial" w:cs="Arial" w:eastAsia="Arial" w:hAnsi="Arial"/>
          <w:color w:val="444444"/>
          <w:sz w:val="20"/>
          <w:szCs w:val="20"/>
        </w:rPr>
        <w:t xml:space="preserve">© 2026 ChronX Protocol. All rights reserved.</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8860B" w:sz="4" w:space="1"/>
      </w:pBdr>
      <w:tabs>
        <w:tab w:val="right" w:pos="9026"/>
      </w:tabs>
    </w:pPr>
    <w:r>
      <w:rPr>
        <w:rFonts w:ascii="Arial" w:cs="Arial" w:eastAsia="Arial" w:hAnsi="Arial"/>
        <w:color w:val="444444"/>
        <w:sz w:val="16"/>
        <w:szCs w:val="16"/>
      </w:rPr>
      <w:t xml:space="preserve">© 2026 ChronX Protocol. All rights reserved.</w:t>
    </w:r>
    <w:r>
      <w:rPr>
        <w:rFonts w:ascii="Arial" w:cs="Arial" w:eastAsia="Arial" w:hAnsi="Arial"/>
        <w:color w:val="444444"/>
        <w:sz w:val="16"/>
        <w:szCs w:val="16"/>
      </w:rPr>
      <w:t xml:space="preserve">	Page </w:t>
    </w:r>
    <w:pgNum/>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8860B" w:sz="4" w:space="1"/>
      </w:pBdr>
      <w:tabs>
        <w:tab w:val="right" w:pos="9026"/>
      </w:tabs>
    </w:pPr>
    <w:r>
      <w:rPr>
        <w:rFonts w:ascii="Arial" w:cs="Arial" w:eastAsia="Arial" w:hAnsi="Arial"/>
        <w:color w:val="444444"/>
        <w:sz w:val="18"/>
        <w:szCs w:val="18"/>
      </w:rPr>
      <w:t xml:space="preserve">ChronX Protocol — Whitepaper v3.0</w:t>
    </w:r>
    <w:r>
      <w:rPr>
        <w:rFonts w:ascii="Arial" w:cs="Arial" w:eastAsia="Arial" w:hAnsi="Arial"/>
        <w:b/>
        <w:bCs/>
        <w:color w:val="B8860B"/>
        <w:sz w:val="18"/>
        <w:szCs w:val="18"/>
      </w:rPr>
      <w:t xml:space="preserve">	CONFIDENTIAL DRAFT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a2a4a"/>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1a2a4a"/>
      <w:sz w:val="28"/>
      <w:szCs w:val="28"/>
    </w:rPr>
  </w:style>
  <w:style w:type="paragraph" w:styleId="Heading3">
    <w:name w:val="Heading 3"/>
    <w:basedOn w:val="Normal"/>
    <w:next w:val="Normal"/>
    <w:qFormat/>
    <w:pPr>
      <w:spacing w:after="80" w:before="180"/>
      <w:outlineLvl w:val="2"/>
    </w:pPr>
    <w:rPr>
      <w:rFonts w:ascii="Arial" w:cs="Arial" w:eastAsia="Arial" w:hAnsi="Arial"/>
      <w:b/>
      <w:b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2026-03-06T17:17:56.653Z</dcterms:created>
  <dcterms:modified xsi:type="dcterms:W3CDTF">2026-03-06T17:17:56.654Z</dcterms:modified>
</cp:coreProperties>
</file>

<file path=docProps/custom.xml><?xml version="1.0" encoding="utf-8"?>
<Properties xmlns="http://schemas.openxmlformats.org/officeDocument/2006/custom-properties" xmlns:vt="http://schemas.openxmlformats.org/officeDocument/2006/docPropsVTypes"/>
</file>