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C9A84C"/>
          <w:sz w:val="72"/>
          <w:szCs w:val="72"/>
        </w:rPr>
        <w:t xml:space="preserve">CHRONX</w:t>
      </w:r>
    </w:p>
    <w:p>
      <w:pPr>
        <w:spacing w:after="160" w:before="0"/>
        <w:jc w:val="center"/>
      </w:pPr>
      <w:r>
        <w:rPr>
          <w:rFonts w:ascii="Arial" w:cs="Arial" w:eastAsia="Arial" w:hAnsi="Arial"/>
          <w:b/>
          <w:bCs/>
          <w:color w:val="1F3864"/>
          <w:sz w:val="40"/>
          <w:szCs w:val="40"/>
        </w:rPr>
        <w:t xml:space="preserve">WHITEPAPER</w:t>
      </w:r>
    </w:p>
    <w:p>
      <w:pPr>
        <w:spacing w:after="160" w:before="0"/>
        <w:jc w:val="center"/>
      </w:pPr>
      <w:r>
        <w:rPr>
          <w:rFonts w:ascii="Arial" w:cs="Arial" w:eastAsia="Arial" w:hAnsi="Arial"/>
          <w:color w:val="666666"/>
          <w:sz w:val="24"/>
          <w:szCs w:val="24"/>
        </w:rPr>
        <w:t xml:space="preserve">Version 2.5  │  March 2026</w:t>
      </w:r>
    </w:p>
    <w:p>
      <w:pPr>
        <w:spacing w:after="80" w:before="80"/>
        <w:jc w:val="center"/>
      </w:pPr>
      <w:r>
        <w:rPr>
          <w:rFonts w:ascii="Arial" w:cs="Arial" w:eastAsia="Arial" w:hAnsi="Arial"/>
          <w:b/>
          <w:bCs/>
          <w:color w:val="333333"/>
          <w:sz w:val="28"/>
          <w:szCs w:val="28"/>
        </w:rPr>
        <w:t xml:space="preserve">The Future Payment Protocol</w:t>
      </w:r>
    </w:p>
    <w:p>
      <w:pPr>
        <w:spacing w:after="80" w:before="0"/>
      </w:pPr>
      <w:r>
        <w:t xml:space="preserve"/>
      </w:r>
    </w:p>
    <w:p>
      <w:pPr>
        <w:spacing w:after="80" w:before="0"/>
        <w:jc w:val="center"/>
      </w:pPr>
      <w:r>
        <w:rPr>
          <w:rFonts w:ascii="Arial" w:cs="Arial" w:eastAsia="Arial" w:hAnsi="Arial"/>
          <w:i/>
          <w:iCs/>
          <w:sz w:val="24"/>
          <w:szCs w:val="24"/>
        </w:rPr>
        <w:t xml:space="preserve">Lock funds for yourself or anyone else — up to a century in the future.</w:t>
      </w:r>
    </w:p>
    <w:p>
      <w:pPr>
        <w:spacing w:after="80" w:before="0"/>
        <w:jc w:val="center"/>
      </w:pPr>
      <w:r>
        <w:rPr>
          <w:rFonts w:ascii="Arial" w:cs="Arial" w:eastAsia="Arial" w:hAnsi="Arial"/>
          <w:i/>
          <w:iCs/>
          <w:sz w:val="24"/>
          <w:szCs w:val="24"/>
        </w:rPr>
        <w:t xml:space="preserve">Tamper-proof, quantum-resistant, fully transparent.</w:t>
      </w:r>
    </w:p>
    <w:p>
      <w:pPr>
        <w:spacing w:after="80" w:before="0"/>
        <w:jc w:val="center"/>
      </w:pPr>
      <w:r>
        <w:rPr>
          <w:rFonts w:ascii="Arial" w:cs="Arial" w:eastAsia="Arial" w:hAnsi="Arial"/>
          <w:i/>
          <w:iCs/>
          <w:sz w:val="24"/>
          <w:szCs w:val="24"/>
        </w:rPr>
        <w:t xml:space="preserve">No willpower required.</w:t>
      </w:r>
    </w:p>
    <w:p>
      <w:pPr>
        <w:spacing w:after="80" w:before="0"/>
      </w:pPr>
      <w:r>
        <w:t xml:space="preserve"/>
      </w:r>
    </w:p>
    <w:p>
      <w:pPr>
        <w:spacing w:after="80" w:before="0"/>
        <w:jc w:val="center"/>
      </w:pPr>
      <w:r>
        <w:rPr>
          <w:rFonts w:ascii="Arial" w:cs="Arial" w:eastAsia="Arial" w:hAnsi="Arial"/>
          <w:color w:val="888888"/>
          <w:sz w:val="22"/>
          <w:szCs w:val="22"/>
        </w:rPr>
        <w:t xml:space="preserve">chronx.io  •  github.com/Counselco/chronx</w:t>
      </w:r>
    </w:p>
    <w:p>
      <w:pPr>
        <w:pBdr>
          <w:bottom w:val="single" w:color="C9A84C" w:sz="4" w:space="1"/>
        </w:pBdr>
        <w:spacing w:after="160" w:before="160"/>
      </w:pPr>
      <w:r>
        <w:t xml:space="preserve"/>
      </w:r>
    </w:p>
    <w:p>
      <w:pPr>
        <w:pStyle w:val="Heading1"/>
        <w:spacing w:after="160" w:before="400"/>
      </w:pPr>
      <w:r>
        <w:rPr>
          <w:rFonts w:ascii="Arial" w:cs="Arial" w:eastAsia="Arial" w:hAnsi="Arial"/>
          <w:b/>
          <w:bCs/>
          <w:color w:val="1F3864"/>
          <w:sz w:val="32"/>
          <w:szCs w:val="32"/>
        </w:rPr>
        <w:t xml:space="preserve">Abstract</w:t>
      </w:r>
    </w:p>
    <w:p>
      <w:pPr>
        <w:spacing w:after="160" w:before="0"/>
        <w:jc w:val="both"/>
      </w:pPr>
      <w:r>
        <w:rPr>
          <w:rFonts w:ascii="Arial" w:cs="Arial" w:eastAsia="Arial" w:hAnsi="Arial"/>
          <w:sz w:val="24"/>
          <w:szCs w:val="24"/>
        </w:rPr>
        <w:t xml:space="preserve">ChronX is a purpose-built blockchain protocol for future payments — the first chain where time-locked value transfer is a first-class primitive, not an afterthought. Its central innovation is the native time-lock: an on-chain promise to deliver funds at a future date, enforced by the protocol itself, requiring no custodian, no lawyer, and no trust in any third party.</w:t>
      </w:r>
    </w:p>
    <w:p>
      <w:pPr>
        <w:spacing w:after="160" w:before="0"/>
        <w:jc w:val="both"/>
      </w:pPr>
      <w:r>
        <w:rPr>
          <w:rFonts w:ascii="Arial" w:cs="Arial" w:eastAsia="Arial" w:hAnsi="Arial"/>
          <w:sz w:val="24"/>
          <w:szCs w:val="24"/>
        </w:rPr>
        <w:t xml:space="preserve">Built on post-quantum cryptography (CRYSTALS-Dilithium2) and powered by proof-of-work consensus over a directed acyclic graph (DAG), ChronX enables anyone to lock funds for themselves or a named recipient, with a guaranteed automatic release at a user-specified date. No bank. No committee. No willpower required.</w:t>
      </w:r>
    </w:p>
    <w:p>
      <w:pPr>
        <w:spacing w:after="160" w:before="0"/>
        <w:jc w:val="both"/>
      </w:pPr>
      <w:r>
        <w:rPr>
          <w:rFonts w:ascii="Arial" w:cs="Arial" w:eastAsia="Arial" w:hAnsi="Arial"/>
          <w:sz w:val="24"/>
          <w:szCs w:val="24"/>
        </w:rPr>
        <w:t xml:space="preserve">ChronX is completely free to use. There are no transaction fees, no gas fees, and no hidden costs of any kind. Every KX sent is received in full. The only cost is the proof-of-work computation performed locally by the sender’s device — typically 10–60 seconds of CPU time. No fees. Ever.</w:t>
      </w:r>
    </w:p>
    <w:p>
      <w:pPr>
        <w:spacing w:after="160" w:before="0"/>
        <w:jc w:val="both"/>
      </w:pPr>
      <w:r>
        <w:rPr>
          <w:rFonts w:ascii="Arial" w:cs="Arial" w:eastAsia="Arial" w:hAnsi="Arial"/>
          <w:sz w:val="24"/>
          <w:szCs w:val="24"/>
        </w:rPr>
        <w:t xml:space="preserve">ChronX is also the first blockchain designed from genesis to solve the hardest problem in long-horizon value transfer: what happens when a recipient cannot claim directly? Through a native, versioned claims resolution framework — built into the protocol at genesis — ChronX handles lost keys, changed identities, deceased recipients, and ambiguous beneficiary specifications through an incentivized system of bonded third-party agents, without ever requiring a hard fork.</w:t>
      </w:r>
    </w:p>
    <w:p>
      <w:pPr>
        <w:pBdr>
          <w:bottom w:val="single" w:color="C9A84C" w:sz="4" w:space="1"/>
        </w:pBdr>
        <w:spacing w:after="160" w:before="160"/>
      </w:pPr>
      <w:r>
        <w:t xml:space="preserve"/>
      </w:r>
    </w:p>
    <w:p>
      <w:pPr>
        <w:pStyle w:val="Heading1"/>
        <w:spacing w:after="160" w:before="400"/>
      </w:pPr>
      <w:r>
        <w:rPr>
          <w:rFonts w:ascii="Arial" w:cs="Arial" w:eastAsia="Arial" w:hAnsi="Arial"/>
          <w:b/>
          <w:bCs/>
          <w:color w:val="1F3864"/>
          <w:sz w:val="32"/>
          <w:szCs w:val="32"/>
        </w:rPr>
        <w:t xml:space="preserve">1. The Problem: Value Has No Future Tense</w:t>
      </w:r>
    </w:p>
    <w:p>
      <w:pPr>
        <w:spacing w:after="160" w:before="0"/>
        <w:jc w:val="both"/>
      </w:pPr>
      <w:r>
        <w:rPr>
          <w:rFonts w:ascii="Arial" w:cs="Arial" w:eastAsia="Arial" w:hAnsi="Arial"/>
          <w:sz w:val="24"/>
          <w:szCs w:val="24"/>
        </w:rPr>
        <w:t xml:space="preserve">Modern finance has mastered the present. Bank transfers settle in seconds. Crypto transactions confirm in minutes. Yet one fundamental capability remains poorly served across both traditional and decentralized finance: the durable, enforceable, human-proof transfer of value to the future.</w:t>
      </w:r>
    </w:p>
    <w:p>
      <w:pPr>
        <w:pStyle w:val="Heading2"/>
        <w:spacing w:after="120" w:before="280"/>
      </w:pPr>
      <w:r>
        <w:rPr>
          <w:rFonts w:ascii="Arial" w:cs="Arial" w:eastAsia="Arial" w:hAnsi="Arial"/>
          <w:b/>
          <w:bCs/>
          <w:color w:val="2E5090"/>
          <w:sz w:val="26"/>
          <w:szCs w:val="26"/>
        </w:rPr>
        <w:t xml:space="preserve">1.1 A Story Every Parent Understands</w:t>
      </w:r>
    </w:p>
    <w:p>
      <w:pPr>
        <w:spacing w:after="160" w:before="0"/>
        <w:jc w:val="both"/>
      </w:pPr>
      <w:r>
        <w:rPr>
          <w:rFonts w:ascii="Arial" w:cs="Arial" w:eastAsia="Arial" w:hAnsi="Arial"/>
          <w:sz w:val="24"/>
          <w:szCs w:val="24"/>
        </w:rPr>
        <w:t xml:space="preserve">Imagine you want to give your newborn child 10,000 KX to be available on their 18th birthday in 2044. Your child doesn’t have a wallet. They don’t have a private key. They don’t even have a name registered on any blockchain. And in 18 years, the private key you create today may be lost, stolen, or forgotten. The wallet software may no longer exist. You may not be alive to help them claim it.</w:t>
      </w:r>
    </w:p>
    <w:p>
      <w:pPr>
        <w:spacing w:after="160" w:before="0"/>
        <w:jc w:val="both"/>
      </w:pPr>
      <w:r>
        <w:rPr>
          <w:rFonts w:ascii="Arial" w:cs="Arial" w:eastAsia="Arial" w:hAnsi="Arial"/>
          <w:sz w:val="24"/>
          <w:szCs w:val="24"/>
        </w:rPr>
        <w:t xml:space="preserve">This is not a hypothetical edge case. This is the reality of every long-horizon value commitment ever attempted on a blockchain — and no existing protocol has a native answer to it. ChronX does.</w:t>
      </w:r>
    </w:p>
    <w:p>
      <w:pPr>
        <w:pStyle w:val="Heading2"/>
        <w:spacing w:after="120" w:before="280"/>
      </w:pPr>
      <w:r>
        <w:rPr>
          <w:rFonts w:ascii="Arial" w:cs="Arial" w:eastAsia="Arial" w:hAnsi="Arial"/>
          <w:b/>
          <w:bCs/>
          <w:color w:val="2E5090"/>
          <w:sz w:val="26"/>
          <w:szCs w:val="26"/>
        </w:rPr>
        <w:t xml:space="preserve">1.2 What a Future Payment Actually Requires</w:t>
      </w:r>
    </w:p>
    <w:p>
      <w:pPr>
        <w:spacing w:after="160" w:before="0"/>
        <w:jc w:val="both"/>
      </w:pPr>
      <w:r>
        <w:rPr>
          <w:rFonts w:ascii="Arial" w:cs="Arial" w:eastAsia="Arial" w:hAnsi="Arial"/>
          <w:sz w:val="24"/>
          <w:szCs w:val="24"/>
        </w:rPr>
        <w:t xml:space="preserve">A future payment is not simply a scheduled transfer. It is a commitment that must survive: the recipient losing their wallet or private key; identity drift across decades; legal and jurisdictional change; adversarial conditions; protocol upgrades and technological shifts across generations; the death of the sender before the unlock date; and a recipient who does not yet have — and may never have had — a blockchain wallet.</w:t>
      </w:r>
    </w:p>
    <w:p>
      <w:pPr>
        <w:spacing w:after="160" w:before="0"/>
        <w:jc w:val="both"/>
      </w:pPr>
      <w:r>
        <w:rPr>
          <w:rFonts w:ascii="Arial" w:cs="Arial" w:eastAsia="Arial" w:hAnsi="Arial"/>
          <w:sz w:val="24"/>
          <w:szCs w:val="24"/>
        </w:rPr>
        <w:t xml:space="preserve">Traditional instruments for future-committed value — wills, trusts, escrow accounts, annuities — all rely on centralized custodians, courts, or discretionary human intermediaries. They are opaque, expensive, slow, and geographically bounded. They fail silently when institutions collapse, jurisdictions change, or gatekeepers act in self-interest.</w:t>
      </w:r>
    </w:p>
    <w:p>
      <w:pPr>
        <w:pStyle w:val="Heading2"/>
        <w:spacing w:after="120" w:before="280"/>
      </w:pPr>
      <w:r>
        <w:rPr>
          <w:rFonts w:ascii="Arial" w:cs="Arial" w:eastAsia="Arial" w:hAnsi="Arial"/>
          <w:b/>
          <w:bCs/>
          <w:color w:val="2E5090"/>
          <w:sz w:val="26"/>
          <w:szCs w:val="26"/>
        </w:rPr>
        <w:t xml:space="preserve">1.3 Why Existing Crypto Hasn’t Solved This</w:t>
      </w:r>
    </w:p>
    <w:p>
      <w:pPr>
        <w:spacing w:after="160" w:before="0"/>
        <w:jc w:val="both"/>
      </w:pPr>
      <w:r>
        <w:rPr>
          <w:rFonts w:ascii="Arial" w:cs="Arial" w:eastAsia="Arial" w:hAnsi="Arial"/>
          <w:sz w:val="24"/>
          <w:szCs w:val="24"/>
        </w:rPr>
        <w:t xml:space="preserve">Existing blockchain solutions treat timelocks as a bolt-on feature — a scripting primitive layered onto a general-purpose chain. Bitcoin’s CLTV and Ethereum’s smart contract timelocks are capable in the hands of developers, but they expose ordinary users to complexity, gas fee unpredictability, smart contract risk, and critically — no solution whatsoever for the scenario every non-technical user will eventually face: “I specified a recipient, and now they can’t claim it.”</w:t>
      </w:r>
    </w:p>
    <w:p>
      <w:pPr>
        <w:spacing w:after="160" w:before="0"/>
        <w:jc w:val="both"/>
      </w:pPr>
      <w:r>
        <w:rPr>
          <w:rFonts w:ascii="Arial" w:cs="Arial" w:eastAsia="Arial" w:hAnsi="Arial"/>
          <w:sz w:val="24"/>
          <w:szCs w:val="24"/>
        </w:rPr>
        <w:t xml:space="preserve">ChronX is built differently. Future payment is not a feature — it is the protocol’s core identity. The claims resolution framework that handles lost keys, changed identities, and absent recipients is not a roadmap item. It is designed into the protocol at genesis, with all necessary data structures in place from block zero.</w:t>
      </w:r>
    </w:p>
    <w:p>
      <w:pPr>
        <w:pStyle w:val="Heading1"/>
        <w:spacing w:after="160" w:before="400"/>
      </w:pPr>
      <w:r>
        <w:rPr>
          <w:rFonts w:ascii="Arial" w:cs="Arial" w:eastAsia="Arial" w:hAnsi="Arial"/>
          <w:b/>
          <w:bCs/>
          <w:color w:val="1F3864"/>
          <w:sz w:val="32"/>
          <w:szCs w:val="32"/>
        </w:rPr>
        <w:t xml:space="preserve">2. The Solution: ChronX Protocol</w:t>
      </w:r>
    </w:p>
    <w:p>
      <w:pPr>
        <w:spacing w:after="160" w:before="0"/>
        <w:jc w:val="both"/>
      </w:pPr>
      <w:r>
        <w:rPr>
          <w:rFonts w:ascii="Arial" w:cs="Arial" w:eastAsia="Arial" w:hAnsi="Arial"/>
          <w:sz w:val="24"/>
          <w:szCs w:val="24"/>
        </w:rPr>
        <w:t xml:space="preserve">ChronX introduces a dedicated blockchain where time-locked value transfer is the primary use case. The protocol provides atomic, tamper-proof time-locks with guaranteed release, post-quantum security for longevity across decades, and a native claims resolution system designed to handle the full complexity of real-world future payments.</w:t>
      </w:r>
    </w:p>
    <w:p>
      <w:pPr>
        <w:pStyle w:val="Heading2"/>
        <w:spacing w:after="120" w:before="280"/>
      </w:pPr>
      <w:r>
        <w:rPr>
          <w:rFonts w:ascii="Arial" w:cs="Arial" w:eastAsia="Arial" w:hAnsi="Arial"/>
          <w:b/>
          <w:bCs/>
          <w:color w:val="2E5090"/>
          <w:sz w:val="26"/>
          <w:szCs w:val="26"/>
        </w:rPr>
        <w:t xml:space="preserve">2.1 Core Value Proposition</w:t>
      </w:r>
    </w:p>
    <w:p>
      <w:pPr>
        <w:spacing w:after="160" w:before="0"/>
        <w:jc w:val="both"/>
      </w:pPr>
      <w:r>
        <w:rPr>
          <w:rFonts w:ascii="Arial" w:cs="Arial" w:eastAsia="Arial" w:hAnsi="Arial"/>
          <w:sz w:val="24"/>
          <w:szCs w:val="24"/>
        </w:rPr>
        <w:t xml:space="preserve">ChronX is immediately useful for: savings discipline — lock funds you don’t want to touch until a future date; gifts for children — send KX to a minor that unlocks on their 18th birthday, even before they have a wallet; inheritance-style transfers — direct value to a named recipient after a specified date; deferred compensation — programmable vesting without smart contract complexity; institutional escrow — policy-controlled future payments with full audit trails; email-based gifts — send KX to an email address, recipient claims by downloading a wallet and entering a secure claim code; and recurring installments — multiple locks at regular intervals for structured future payments.</w:t>
      </w:r>
    </w:p>
    <w:p>
      <w:pPr>
        <w:pStyle w:val="Heading2"/>
        <w:spacing w:after="120" w:before="280"/>
      </w:pPr>
      <w:r>
        <w:rPr>
          <w:rFonts w:ascii="Arial" w:cs="Arial" w:eastAsia="Arial" w:hAnsi="Arial"/>
          <w:b/>
          <w:bCs/>
          <w:color w:val="2E5090"/>
          <w:sz w:val="26"/>
          <w:szCs w:val="26"/>
        </w:rPr>
        <w:t xml:space="preserve">2.2 How Time-Locks Work</w:t>
      </w:r>
    </w:p>
    <w:p>
      <w:pPr>
        <w:spacing w:after="160" w:before="0"/>
        <w:jc w:val="both"/>
      </w:pPr>
      <w:r>
        <w:rPr>
          <w:rFonts w:ascii="Arial" w:cs="Arial" w:eastAsia="Arial" w:hAnsi="Arial"/>
          <w:sz w:val="24"/>
          <w:szCs w:val="24"/>
        </w:rPr>
        <w:t xml:space="preserve">A ChronX time-lock is an on-chain record containing the sender’s account, the recipient’s public key (or email hash for email-based locks), the KX amount, and the unlock timestamp in UTC. Once created, the lock is immutable. The underlying funds cannot be moved until the blockchain’s internal clock passes the unlock date, at which point the recipient may claim the funds by providing a valid post-quantum signature.</w:t>
      </w:r>
    </w:p>
    <w:p>
      <w:pPr>
        <w:spacing w:after="160" w:before="0"/>
        <w:jc w:val="both"/>
      </w:pPr>
      <w:r>
        <w:rPr>
          <w:rFonts w:ascii="Arial" w:cs="Arial" w:eastAsia="Arial" w:hAnsi="Arial"/>
          <w:sz w:val="24"/>
          <w:szCs w:val="24"/>
        </w:rPr>
        <w:t xml:space="preserve">All timestamps in ChronX are UTC (Coordinated Universal Time) — baked into the protocol at the most fundamental level. Every lock, every transaction, every genesis allocation uses UTC Unix timestamps. There is no timezone ambiguity possible at the protocol level, which is critical for legal precision in multi-jurisdiction long-horizon commitments.</w:t>
      </w:r>
    </w:p>
    <w:p>
      <w:pPr>
        <w:pStyle w:val="Heading2"/>
        <w:spacing w:after="120" w:before="280"/>
      </w:pPr>
      <w:r>
        <w:rPr>
          <w:rFonts w:ascii="Arial" w:cs="Arial" w:eastAsia="Arial" w:hAnsi="Arial"/>
          <w:b/>
          <w:bCs/>
          <w:color w:val="2E5090"/>
          <w:sz w:val="26"/>
          <w:szCs w:val="26"/>
        </w:rPr>
        <w:t xml:space="preserve">2.3 Zero Fees — Forever</w:t>
      </w:r>
    </w:p>
    <w:p>
      <w:pPr>
        <w:spacing w:after="160" w:before="0"/>
        <w:jc w:val="both"/>
      </w:pPr>
      <w:r>
        <w:rPr>
          <w:rFonts w:ascii="Arial" w:cs="Arial" w:eastAsia="Arial" w:hAnsi="Arial"/>
          <w:sz w:val="24"/>
          <w:szCs w:val="24"/>
        </w:rPr>
        <w:t xml:space="preserve">ChronX charges no transaction fees of any kind. No gas. No network fees. No miner fees. No hidden costs. Every single KX you send is received in full by the recipient. This is not a promotional offer or a temporary subsidy — it is a permanent, foundational design choice baked into the protocol.</w:t>
      </w:r>
    </w:p>
    <w:p>
      <w:pPr>
        <w:spacing w:after="160" w:before="0"/>
        <w:jc w:val="both"/>
      </w:pPr>
      <w:r>
        <w:rPr>
          <w:rFonts w:ascii="Arial" w:cs="Arial" w:eastAsia="Arial" w:hAnsi="Arial"/>
          <w:sz w:val="24"/>
          <w:szCs w:val="24"/>
        </w:rPr>
        <w:t xml:space="preserve">Most blockchains charge fees because miners or validators need economic incentive to process transactions. ChronX solves this differently: the sender’s own device performs proof-of-work computation (typically 10–60 seconds of CPU time) before submitting a transaction. The computational cost replaces the monetary fee. There is no fee pool, no fee market, and no mechanism by which fees could ever be introduced without a complete protocol redesign.</w:t>
      </w:r>
    </w:p>
    <w:p>
      <w:pPr>
        <w:spacing w:after="160" w:before="0"/>
        <w:jc w:val="both"/>
      </w:pPr>
      <w:r>
        <w:rPr>
          <w:rFonts w:ascii="Arial" w:cs="Arial" w:eastAsia="Arial" w:hAnsi="Arial"/>
          <w:sz w:val="24"/>
          <w:szCs w:val="24"/>
        </w:rPr>
        <w:t xml:space="preserve">For a protocol designed around long-horizon human promises — gifts to children, inheritance transfers, deferred payments — zero fees are not just a feature. They are a moral requirement. A promise to a child should not cost $50 to make.</w:t>
      </w:r>
    </w:p>
    <w:p>
      <w:pPr>
        <w:pStyle w:val="Heading1"/>
        <w:spacing w:after="160" w:before="400"/>
      </w:pPr>
      <w:r>
        <w:rPr>
          <w:rFonts w:ascii="Arial" w:cs="Arial" w:eastAsia="Arial" w:hAnsi="Arial"/>
          <w:b/>
          <w:bCs/>
          <w:color w:val="1F3864"/>
          <w:sz w:val="32"/>
          <w:szCs w:val="32"/>
        </w:rPr>
        <w:t xml:space="preserve">3. Technical Architecture</w:t>
      </w:r>
    </w:p>
    <w:p>
      <w:pPr>
        <w:spacing w:after="160" w:before="0"/>
        <w:jc w:val="both"/>
      </w:pPr>
      <w:r>
        <w:rPr>
          <w:rFonts w:ascii="Arial" w:cs="Arial" w:eastAsia="Arial" w:hAnsi="Arial"/>
          <w:sz w:val="24"/>
          <w:szCs w:val="24"/>
        </w:rPr>
        <w:t xml:space="preserve">ChronX is implemented entirely in Rust — chosen for its memory safety guarantees, deterministic performance, and suitability for long-running infrastructure. The protocol is minimal and purpose-built: no extraneous features that expand the attack surface beyond what future payments require.</w:t>
      </w:r>
    </w:p>
    <w:p>
      <w:pPr>
        <w:pStyle w:val="Heading2"/>
        <w:spacing w:after="120" w:before="280"/>
      </w:pPr>
      <w:r>
        <w:rPr>
          <w:rFonts w:ascii="Arial" w:cs="Arial" w:eastAsia="Arial" w:hAnsi="Arial"/>
          <w:b/>
          <w:bCs/>
          <w:color w:val="2E5090"/>
          <w:sz w:val="26"/>
          <w:szCs w:val="26"/>
        </w:rPr>
        <w:t xml:space="preserve">3.1 Post-Quantum Cryptography: Dilithium2</w:t>
      </w:r>
    </w:p>
    <w:p>
      <w:pPr>
        <w:spacing w:after="160" w:before="0"/>
        <w:jc w:val="both"/>
      </w:pPr>
      <w:r>
        <w:rPr>
          <w:rFonts w:ascii="Arial" w:cs="Arial" w:eastAsia="Arial" w:hAnsi="Arial"/>
          <w:sz w:val="24"/>
          <w:szCs w:val="24"/>
        </w:rPr>
        <w:t xml:space="preserve">Every account on ChronX is secured by CRYSTALS-Dilithium2, a lattice-based digital signature scheme selected by NIST as a post-quantum cryptography standard (FIPS 204). Classical blockchain signatures (ECDSA, EdDSA) are vulnerable to a sufficiently powerful quantum computer running Shor’s algorithm. For a protocol designed to hold value for decades, this is not a theoretical risk — it is a planning requirement.</w:t>
      </w:r>
    </w:p>
    <w:p>
      <w:pPr>
        <w:spacing w:after="160" w:before="0"/>
        <w:jc w:val="both"/>
      </w:pPr>
      <w:r>
        <w:rPr>
          <w:rFonts w:ascii="Arial" w:cs="Arial" w:eastAsia="Arial" w:hAnsi="Arial"/>
          <w:sz w:val="24"/>
          <w:szCs w:val="24"/>
        </w:rPr>
        <w:t xml:space="preserve">Dilithium2 provides 128-bit post-quantum security with public keys of 1,312 bytes and signatures of 2,420 bytes. The larger key sizes are a deliberate tradeoff: ChronX accepts greater on-chain storage in exchange for cryptographic durability measured not in years but in generations.</w:t>
      </w:r>
    </w:p>
    <w:p>
      <w:pPr>
        <w:pStyle w:val="Heading2"/>
        <w:spacing w:after="120" w:before="280"/>
      </w:pPr>
      <w:r>
        <w:rPr>
          <w:rFonts w:ascii="Arial" w:cs="Arial" w:eastAsia="Arial" w:hAnsi="Arial"/>
          <w:b/>
          <w:bCs/>
          <w:color w:val="2E5090"/>
          <w:sz w:val="26"/>
          <w:szCs w:val="26"/>
        </w:rPr>
        <w:t xml:space="preserve">3.2 Consensus: Proof of Work over a DAG</w:t>
      </w:r>
    </w:p>
    <w:p>
      <w:pPr>
        <w:spacing w:after="160" w:before="0"/>
        <w:jc w:val="both"/>
      </w:pPr>
      <w:r>
        <w:rPr>
          <w:rFonts w:ascii="Arial" w:cs="Arial" w:eastAsia="Arial" w:hAnsi="Arial"/>
          <w:sz w:val="24"/>
          <w:szCs w:val="24"/>
        </w:rPr>
        <w:t xml:space="preserve">ChronX uses a directed acyclic graph (DAG) structure with proof-of-work per vertex at a difficulty of 20 leading zero bits in SHA3-256. Rather than a single linear chain, each transaction vertex references prior vertices, enabling parallel transaction processing while maintaining a fully auditable, append-only history.</w:t>
      </w:r>
    </w:p>
    <w:p>
      <w:pPr>
        <w:spacing w:after="160" w:before="0"/>
        <w:jc w:val="both"/>
      </w:pPr>
      <w:r>
        <w:rPr>
          <w:rFonts w:ascii="Arial" w:cs="Arial" w:eastAsia="Arial" w:hAnsi="Arial"/>
          <w:sz w:val="24"/>
          <w:szCs w:val="24"/>
        </w:rPr>
        <w:t xml:space="preserve">PoW was chosen over proof-of-stake for its simplicity, its absence of staking-based centralization risk, and its suitability for a chain where transaction volume is expected to be moderate and security derives from computational commitment rather than capital lock-up.</w:t>
      </w:r>
    </w:p>
    <w:p>
      <w:pPr>
        <w:pStyle w:val="Heading2"/>
        <w:spacing w:after="120" w:before="280"/>
      </w:pPr>
      <w:r>
        <w:rPr>
          <w:rFonts w:ascii="Arial" w:cs="Arial" w:eastAsia="Arial" w:hAnsi="Arial"/>
          <w:b/>
          <w:bCs/>
          <w:color w:val="2E5090"/>
          <w:sz w:val="26"/>
          <w:szCs w:val="26"/>
        </w:rPr>
        <w:t xml:space="preserve">3.3 Storage and State</w:t>
      </w:r>
    </w:p>
    <w:p>
      <w:pPr>
        <w:spacing w:after="160" w:before="0"/>
        <w:jc w:val="both"/>
      </w:pPr>
      <w:r>
        <w:rPr>
          <w:rFonts w:ascii="Arial" w:cs="Arial" w:eastAsia="Arial" w:hAnsi="Arial"/>
          <w:sz w:val="24"/>
          <w:szCs w:val="24"/>
        </w:rPr>
        <w:t xml:space="preserve">Chain state is managed via sled, an embedded key-value store optimized for low-latency reads and crash safety. Account balances, time-lock records, and chain metadata are stored in a structured, append-friendly format. The state database is designed to remain queryable and auditable without external indexing infrastructure.</w:t>
      </w:r>
    </w:p>
    <w:p>
      <w:pPr>
        <w:pStyle w:val="Heading2"/>
        <w:spacing w:after="120" w:before="280"/>
      </w:pPr>
      <w:r>
        <w:rPr>
          <w:rFonts w:ascii="Arial" w:cs="Arial" w:eastAsia="Arial" w:hAnsi="Arial"/>
          <w:b/>
          <w:bCs/>
          <w:color w:val="2E5090"/>
          <w:sz w:val="26"/>
          <w:szCs w:val="26"/>
        </w:rPr>
        <w:t xml:space="preserve">3.4 Networking: libp2p</w:t>
      </w:r>
    </w:p>
    <w:p>
      <w:pPr>
        <w:spacing w:after="160" w:before="0"/>
        <w:jc w:val="both"/>
      </w:pPr>
      <w:r>
        <w:rPr>
          <w:rFonts w:ascii="Arial" w:cs="Arial" w:eastAsia="Arial" w:hAnsi="Arial"/>
          <w:sz w:val="24"/>
          <w:szCs w:val="24"/>
        </w:rPr>
        <w:t xml:space="preserve">Node-to-node communication is handled by libp2p — the same peer-to-peer networking stack used by IPFS, Ethereum 2.0, and Filecoin. ChronX nodes discover peers, propagate transactions, and synchronize chain state using libp2p’s Kademlia DHT and gossip protocols. The network is permissionless — anyone may run a node.</w:t>
      </w:r>
    </w:p>
    <w:p>
      <w:pPr>
        <w:spacing w:after="160" w:before="0"/>
        <w:jc w:val="both"/>
      </w:pPr>
      <w:r>
        <w:rPr>
          <w:rFonts w:ascii="Arial" w:cs="Arial" w:eastAsia="Arial" w:hAnsi="Arial"/>
          <w:sz w:val="24"/>
          <w:szCs w:val="24"/>
        </w:rPr>
        <w:t xml:space="preserve">The ChronX network has a permanent bootstrap node at:</w:t>
      </w:r>
    </w:p>
    <w:p>
      <w:pPr>
        <w:spacing w:after="80" w:before="80"/>
        <w:ind w:left="720"/>
      </w:pPr>
      <w:r>
        <w:rPr>
          <w:rFonts w:ascii="Courier New" w:cs="Courier New" w:eastAsia="Courier New" w:hAnsi="Courier New"/>
          <w:color w:val="1F3864"/>
          <w:sz w:val="20"/>
          <w:szCs w:val="20"/>
        </w:rPr>
        <w:t xml:space="preserve">/ip4/45.63.22.189/tcp/30303/p2p/&lt;BOOTSTRAP_PEER_ID&gt;</w:t>
      </w:r>
    </w:p>
    <w:p>
      <w:pPr>
        <w:spacing w:after="160" w:before="0"/>
        <w:jc w:val="both"/>
      </w:pPr>
      <w:r>
        <w:rPr>
          <w:rFonts w:ascii="Arial" w:cs="Arial" w:eastAsia="Arial" w:hAnsi="Arial"/>
          <w:sz w:val="24"/>
          <w:szCs w:val="24"/>
        </w:rPr>
        <w:t xml:space="preserve">New nodes connect to this stable anchor on first launch and discover the full peer network automatically. The bootstrap peer ID is also published at chronx.io/bootstrap.json for programmatic lookup.</w:t>
      </w:r>
    </w:p>
    <w:p>
      <w:pPr>
        <w:pStyle w:val="Heading2"/>
        <w:spacing w:after="120" w:before="280"/>
      </w:pPr>
      <w:r>
        <w:rPr>
          <w:rFonts w:ascii="Arial" w:cs="Arial" w:eastAsia="Arial" w:hAnsi="Arial"/>
          <w:b/>
          <w:bCs/>
          <w:color w:val="2E5090"/>
          <w:sz w:val="26"/>
          <w:szCs w:val="26"/>
        </w:rPr>
        <w:t xml:space="preserve">3.5 JSON-RPC Interface</w:t>
      </w:r>
    </w:p>
    <w:p>
      <w:pPr>
        <w:spacing w:after="160" w:before="0"/>
        <w:jc w:val="both"/>
      </w:pPr>
      <w:r>
        <w:rPr>
          <w:rFonts w:ascii="Arial" w:cs="Arial" w:eastAsia="Arial" w:hAnsi="Arial"/>
          <w:sz w:val="24"/>
          <w:szCs w:val="24"/>
        </w:rPr>
        <w:t xml:space="preserve">The ChronX node exposes a JSON-RPC 2.0 interface at port 8545 with CORS enabled for browser clients. All methods are prefixed chronx_. The public RPC endpoint is available at rpc.chronx.io.</w:t>
      </w:r>
    </w:p>
    <w:p>
      <w:pPr>
        <w:pStyle w:val="Heading2"/>
        <w:spacing w:after="120" w:before="280"/>
      </w:pPr>
      <w:r>
        <w:rPr>
          <w:rFonts w:ascii="Arial" w:cs="Arial" w:eastAsia="Arial" w:hAnsi="Arial"/>
          <w:b/>
          <w:bCs/>
          <w:color w:val="2E5090"/>
          <w:sz w:val="26"/>
          <w:szCs w:val="26"/>
        </w:rPr>
        <w:t xml:space="preserve">3.6 Units and Denomination</w:t>
      </w:r>
    </w:p>
    <w:p>
      <w:pPr>
        <w:spacing w:after="160" w:before="0"/>
        <w:jc w:val="both"/>
      </w:pPr>
      <w:r>
        <w:rPr>
          <w:rFonts w:ascii="Arial" w:cs="Arial" w:eastAsia="Arial" w:hAnsi="Arial"/>
          <w:sz w:val="24"/>
          <w:szCs w:val="24"/>
        </w:rPr>
        <w:t xml:space="preserve">The native currency of ChronX is KX. The base unit is the grain, where 1 KX = 1,000,000 grains (10⁶). This provides fine-grained precision for small transactions while keeping user-facing amounts readable at scale. All on-chain values are stored and transmitted in grains; wallets display amounts in KX with up to 6 decimal places.</w:t>
      </w:r>
    </w:p>
    <w:p>
      <w:pPr>
        <w:pStyle w:val="Heading1"/>
        <w:spacing w:after="160" w:before="400"/>
      </w:pPr>
      <w:r>
        <w:rPr>
          <w:rFonts w:ascii="Arial" w:cs="Arial" w:eastAsia="Arial" w:hAnsi="Arial"/>
          <w:b/>
          <w:bCs/>
          <w:color w:val="1F3864"/>
          <w:sz w:val="32"/>
          <w:szCs w:val="32"/>
        </w:rPr>
        <w:t xml:space="preserve">4. Tokenomics</w:t>
      </w:r>
    </w:p>
    <w:p>
      <w:pPr>
        <w:spacing w:after="160" w:before="0"/>
        <w:jc w:val="both"/>
      </w:pPr>
      <w:r>
        <w:rPr>
          <w:rFonts w:ascii="Arial" w:cs="Arial" w:eastAsia="Arial" w:hAnsi="Arial"/>
          <w:sz w:val="24"/>
          <w:szCs w:val="24"/>
        </w:rPr>
        <w:t xml:space="preserve">ChronX has a fixed total supply of 8,270,000,000 KX, allocated at genesis with no inflation mechanism. The supply is permanent and immutable — it cannot be increased by any governance action, protocol upgrade, or administrative decision.</w:t>
      </w:r>
    </w:p>
    <w:p>
      <w:pPr>
        <w:spacing w:after="160" w:before="0"/>
        <w:jc w:val="both"/>
      </w:pPr>
      <w:r>
        <w:rPr>
          <w:rFonts w:ascii="Arial" w:cs="Arial" w:eastAsia="Arial" w:hAnsi="Arial"/>
          <w:i/>
          <w:iCs/>
          <w:color w:val="444444"/>
          <w:sz w:val="24"/>
          <w:szCs w:val="24"/>
        </w:rPr>
        <w:t xml:space="preserve">8,270,000,000 KX — A supply sized for humanity, matched to the world population on January 1, 2026. Not a round number chosen for aesthetics — a population number chosen for meaning.</w:t>
      </w:r>
    </w:p>
    <w:p>
      <w:pPr>
        <w:spacing w:after="80" w:before="0"/>
      </w:pPr>
      <w:r>
        <w:t xml:space="preserve"/>
      </w:r>
    </w:p>
    <w:p>
      <w:pPr>
        <w:pStyle w:val="Heading2"/>
        <w:spacing w:after="120" w:before="280"/>
      </w:pPr>
      <w:r>
        <w:rPr>
          <w:rFonts w:ascii="Arial" w:cs="Arial" w:eastAsia="Arial" w:hAnsi="Arial"/>
          <w:b/>
          <w:bCs/>
          <w:color w:val="2E5090"/>
          <w:sz w:val="26"/>
          <w:szCs w:val="26"/>
        </w:rPr>
        <w:t xml:space="preserve">4.1 Supply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400"/>
        <w:gridCol w:w="2960"/>
      </w:tblGrid>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Allocation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KX Amount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 Supply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Lock Condition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Public Sale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6,268,000,000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75.79%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Spendable at genesis</w:t>
            </w:r>
          </w:p>
        </w:tc>
      </w:tr>
      <w:tr>
        <w:tc>
          <w:tcPr>
            <w:tcW w:type="dxa" w:w="23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Treasury</w:t>
            </w:r>
          </w:p>
        </w:tc>
        <w:tc>
          <w:tcPr>
            <w:tcW w:type="dxa" w:w="23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1,000,000,000</w:t>
            </w:r>
          </w:p>
        </w:tc>
        <w:tc>
          <w:tcPr>
            <w:tcW w:type="dxa" w:w="23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12.09%</w:t>
            </w:r>
          </w:p>
        </w:tc>
        <w:tc>
          <w:tcPr>
            <w:tcW w:type="dxa" w:w="23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100 annual locks, 2029–2128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Node Rewards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1,000,000,000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12.09%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 annual locks, 2029–2128</w:t>
            </w:r>
          </w:p>
        </w:tc>
      </w:tr>
      <w:tr>
        <w:tc>
          <w:tcPr>
            <w:tcW w:type="dxa" w:w="23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Humanity Stake</w:t>
            </w:r>
          </w:p>
        </w:tc>
        <w:tc>
          <w:tcPr>
            <w:tcW w:type="dxa" w:w="23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1,000,000</w:t>
            </w:r>
          </w:p>
        </w:tc>
        <w:tc>
          <w:tcPr>
            <w:tcW w:type="dxa" w:w="23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0.012%</w:t>
            </w:r>
          </w:p>
        </w:tc>
        <w:tc>
          <w:tcPr>
            <w:tcW w:type="dxa" w:w="23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Locked until 2126-01-01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Milestone 2076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500,000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0.006%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Locked until 2076-01-01</w:t>
            </w:r>
          </w:p>
        </w:tc>
      </w:tr>
      <w:tr>
        <w:tc>
          <w:tcPr>
            <w:tcW w:type="dxa" w:w="23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Protocol Reserve</w:t>
            </w:r>
          </w:p>
        </w:tc>
        <w:tc>
          <w:tcPr>
            <w:tcW w:type="dxa" w:w="23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500,000</w:t>
            </w:r>
          </w:p>
        </w:tc>
        <w:tc>
          <w:tcPr>
            <w:tcW w:type="dxa" w:w="23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0.006%</w:t>
            </w:r>
          </w:p>
        </w:tc>
        <w:tc>
          <w:tcPr>
            <w:tcW w:type="dxa" w:w="23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Locked until 2036-01-01</w:t>
            </w:r>
          </w:p>
        </w:tc>
      </w:tr>
    </w:tbl>
    <w:p>
      <w:pPr>
        <w:spacing w:after="80" w:before="0"/>
      </w:pPr>
      <w:r>
        <w:t xml:space="preserve"/>
      </w:r>
    </w:p>
    <w:p>
      <w:pPr>
        <w:spacing w:after="160" w:before="0"/>
        <w:jc w:val="both"/>
      </w:pPr>
      <w:r>
        <w:rPr>
          <w:rFonts w:ascii="Arial" w:cs="Arial" w:eastAsia="Arial" w:hAnsi="Arial"/>
          <w:sz w:val="24"/>
          <w:szCs w:val="24"/>
        </w:rPr>
        <w:t xml:space="preserve">For transparency: the founding developer holds 100,000,000 KX (approximately 1.21% of total supply), drawn from the public sale allocation and disclosed at genesis. No additional founder allocation exists beyond this disclosed amount.</w:t>
      </w:r>
    </w:p>
    <w:p>
      <w:pPr>
        <w:pStyle w:val="Heading2"/>
        <w:spacing w:after="120" w:before="280"/>
      </w:pPr>
      <w:r>
        <w:rPr>
          <w:rFonts w:ascii="Arial" w:cs="Arial" w:eastAsia="Arial" w:hAnsi="Arial"/>
          <w:b/>
          <w:bCs/>
          <w:color w:val="2E5090"/>
          <w:sz w:val="26"/>
          <w:szCs w:val="26"/>
        </w:rPr>
        <w:t xml:space="preserve">4.2 Treasury</w:t>
      </w:r>
    </w:p>
    <w:p>
      <w:pPr>
        <w:spacing w:after="160" w:before="0"/>
        <w:jc w:val="both"/>
      </w:pPr>
      <w:r>
        <w:rPr>
          <w:rFonts w:ascii="Arial" w:cs="Arial" w:eastAsia="Arial" w:hAnsi="Arial"/>
          <w:sz w:val="24"/>
          <w:szCs w:val="24"/>
        </w:rPr>
        <w:t xml:space="preserve">1,000,000,000 KX is allocated to the treasury across 100 annual time-locks following a harmonic series release schedule (proportional to 1/k, where k is the release number). The first treasury release occurs on January 1, 2029 — three years after genesis — giving the ecosystem time to mature before protocol funding begins. Year 1 releases approximately 192,775,636 KX; each subsequent year releases less, ensuring the treasury remains productive across the full 100-year arc.</w:t>
      </w:r>
    </w:p>
    <w:p>
      <w:pPr>
        <w:pStyle w:val="Heading2"/>
        <w:spacing w:after="120" w:before="280"/>
      </w:pPr>
      <w:r>
        <w:rPr>
          <w:rFonts w:ascii="Arial" w:cs="Arial" w:eastAsia="Arial" w:hAnsi="Arial"/>
          <w:b/>
          <w:bCs/>
          <w:color w:val="2E5090"/>
          <w:sz w:val="26"/>
          <w:szCs w:val="26"/>
        </w:rPr>
        <w:t xml:space="preserve">4.3 Node Rewards</w:t>
      </w:r>
    </w:p>
    <w:p>
      <w:pPr>
        <w:spacing w:after="160" w:before="0"/>
        <w:jc w:val="both"/>
      </w:pPr>
      <w:r>
        <w:rPr>
          <w:rFonts w:ascii="Arial" w:cs="Arial" w:eastAsia="Arial" w:hAnsi="Arial"/>
          <w:sz w:val="24"/>
          <w:szCs w:val="24"/>
        </w:rPr>
        <w:t xml:space="preserve">1,000,000,000 KX (12.09% of total supply) is permanently allocated to a Node Rewards pool, distributed across 100 annual time-locks following the same harmonic series as the Treasury. The first release occurs on January 1, 2029; the final release on January 1, 2128.</w:t>
      </w:r>
    </w:p>
    <w:p>
      <w:pPr>
        <w:spacing w:after="160" w:before="0"/>
        <w:jc w:val="both"/>
      </w:pPr>
      <w:r>
        <w:rPr>
          <w:rFonts w:ascii="Arial" w:cs="Arial" w:eastAsia="Arial" w:hAnsi="Arial"/>
          <w:sz w:val="24"/>
          <w:szCs w:val="24"/>
        </w:rPr>
        <w:t xml:space="preserve">These rewards are protocol-enforced at genesis. No committee, no governance vote, and no human discretion can alter the schedule or the total amount. The Node Rewards pool exists to sustain a decentralized operator network for the full century-long life of the protocol, without relying on inflation or post-genesis token minting.</w:t>
      </w:r>
    </w:p>
    <w:p>
      <w:pPr>
        <w:spacing w:after="160" w:before="0"/>
        <w:jc w:val="both"/>
      </w:pPr>
      <w:r>
        <w:rPr>
          <w:rFonts w:ascii="Arial" w:cs="Arial" w:eastAsia="Arial" w:hAnsi="Arial"/>
          <w:sz w:val="24"/>
          <w:szCs w:val="24"/>
        </w:rPr>
        <w:t xml:space="preserve">The exact distribution mechanism — uptime proofs, staking, or other qualification criteria — will be defined and published before the first release date in 2029.</w:t>
      </w:r>
    </w:p>
    <w:p>
      <w:pPr>
        <w:pStyle w:val="Heading2"/>
        <w:spacing w:after="120" w:before="280"/>
      </w:pPr>
      <w:r>
        <w:rPr>
          <w:rFonts w:ascii="Arial" w:cs="Arial" w:eastAsia="Arial" w:hAnsi="Arial"/>
          <w:b/>
          <w:bCs/>
          <w:color w:val="2E5090"/>
          <w:sz w:val="26"/>
          <w:szCs w:val="26"/>
        </w:rPr>
        <w:t xml:space="preserve">4.4 Humanity Stake</w:t>
      </w:r>
    </w:p>
    <w:p>
      <w:pPr>
        <w:spacing w:after="160" w:before="0"/>
        <w:jc w:val="both"/>
      </w:pPr>
      <w:r>
        <w:rPr>
          <w:rFonts w:ascii="Arial" w:cs="Arial" w:eastAsia="Arial" w:hAnsi="Arial"/>
          <w:sz w:val="24"/>
          <w:szCs w:val="24"/>
        </w:rPr>
        <w:t xml:space="preserve">1,000,000 KX is locked until January 1, 2126 — a symbolic and functional demonstration of ChronX’s core capability. This is a 100-year time-lock created at genesis, visible on-chain to anyone, redeemable by no one alive today. ChronX puts its own protocol to the test from block zero.</w:t>
      </w:r>
    </w:p>
    <w:p>
      <w:pPr>
        <w:pStyle w:val="Heading2"/>
        <w:spacing w:after="120" w:before="280"/>
      </w:pPr>
      <w:r>
        <w:rPr>
          <w:rFonts w:ascii="Arial" w:cs="Arial" w:eastAsia="Arial" w:hAnsi="Arial"/>
          <w:b/>
          <w:bCs/>
          <w:color w:val="2E5090"/>
          <w:sz w:val="26"/>
          <w:szCs w:val="26"/>
        </w:rPr>
        <w:t xml:space="preserve">4.5 Milestone 2076</w:t>
      </w:r>
    </w:p>
    <w:p>
      <w:pPr>
        <w:spacing w:after="160" w:before="0"/>
        <w:jc w:val="both"/>
      </w:pPr>
      <w:r>
        <w:rPr>
          <w:rFonts w:ascii="Arial" w:cs="Arial" w:eastAsia="Arial" w:hAnsi="Arial"/>
          <w:sz w:val="24"/>
          <w:szCs w:val="24"/>
        </w:rPr>
        <w:t xml:space="preserve">500,000 KX is locked until January 1, 2076 — the exact halfway point between genesis and the Humanity Stake unlock in 2126.</w:t>
      </w:r>
    </w:p>
    <w:p>
      <w:pPr>
        <w:pStyle w:val="Heading2"/>
        <w:spacing w:after="120" w:before="280"/>
      </w:pPr>
      <w:r>
        <w:rPr>
          <w:rFonts w:ascii="Arial" w:cs="Arial" w:eastAsia="Arial" w:hAnsi="Arial"/>
          <w:b/>
          <w:bCs/>
          <w:color w:val="2E5090"/>
          <w:sz w:val="26"/>
          <w:szCs w:val="26"/>
        </w:rPr>
        <w:t xml:space="preserve">4.6 Protocol Reserve</w:t>
      </w:r>
    </w:p>
    <w:p>
      <w:pPr>
        <w:spacing w:after="160" w:before="0"/>
        <w:jc w:val="both"/>
      </w:pPr>
      <w:r>
        <w:rPr>
          <w:rFonts w:ascii="Arial" w:cs="Arial" w:eastAsia="Arial" w:hAnsi="Arial"/>
          <w:sz w:val="24"/>
          <w:szCs w:val="24"/>
        </w:rPr>
        <w:t xml:space="preserve">500,000 KX is locked until January 1, 2036, functioning as a 10-year development reserve.</w:t>
      </w:r>
    </w:p>
    <w:p>
      <w:pPr>
        <w:pStyle w:val="Heading2"/>
        <w:spacing w:after="120" w:before="280"/>
      </w:pPr>
      <w:r>
        <w:rPr>
          <w:rFonts w:ascii="Arial" w:cs="Arial" w:eastAsia="Arial" w:hAnsi="Arial"/>
          <w:b/>
          <w:bCs/>
          <w:color w:val="2E5090"/>
          <w:sz w:val="26"/>
          <w:szCs w:val="26"/>
        </w:rPr>
        <w:t xml:space="preserve">4.7 No Inflation, No Staking Yields</w:t>
      </w:r>
    </w:p>
    <w:p>
      <w:pPr>
        <w:spacing w:after="160" w:before="0"/>
        <w:jc w:val="both"/>
      </w:pPr>
      <w:r>
        <w:rPr>
          <w:rFonts w:ascii="Arial" w:cs="Arial" w:eastAsia="Arial" w:hAnsi="Arial"/>
          <w:sz w:val="24"/>
          <w:szCs w:val="24"/>
        </w:rPr>
        <w:t xml:space="preserve">ChronX does not mint new tokens. There are no block rewards, no staking yields, and no inflationary mechanism. The total supply at genesis equals the total supply forever. KX derives its value from utility and scarcity — not from engineered yield that dilutes existing holders.</w:t>
      </w:r>
    </w:p>
    <w:p>
      <w:pPr>
        <w:spacing w:after="160" w:before="0"/>
        <w:jc w:val="both"/>
      </w:pPr>
      <w:r>
        <w:rPr>
          <w:rFonts w:ascii="Arial" w:cs="Arial" w:eastAsia="Arial" w:hAnsi="Arial"/>
          <w:sz w:val="24"/>
          <w:szCs w:val="24"/>
        </w:rPr>
        <w:t xml:space="preserve">The protocol’s own design creates natural deflationary pressure: as adoption grows, more KX gets locked into time-locks, reducing circulating supply. This scarcity dynamic — driven by actual usage rather than artificial burning — is core to the long-term value proposition of KX.</w:t>
      </w:r>
    </w:p>
    <w:p>
      <w:pPr>
        <w:pStyle w:val="Heading1"/>
        <w:spacing w:after="160" w:before="400"/>
      </w:pPr>
      <w:r>
        <w:rPr>
          <w:rFonts w:ascii="Arial" w:cs="Arial" w:eastAsia="Arial" w:hAnsi="Arial"/>
          <w:b/>
          <w:bCs/>
          <w:color w:val="1F3864"/>
          <w:sz w:val="32"/>
          <w:szCs w:val="32"/>
        </w:rPr>
        <w:t xml:space="preserve">5. Genesis Design Choices</w:t>
      </w:r>
    </w:p>
    <w:p>
      <w:pPr>
        <w:pStyle w:val="Heading2"/>
        <w:spacing w:after="120" w:before="280"/>
      </w:pPr>
      <w:r>
        <w:rPr>
          <w:rFonts w:ascii="Arial" w:cs="Arial" w:eastAsia="Arial" w:hAnsi="Arial"/>
          <w:b/>
          <w:bCs/>
          <w:color w:val="2E5090"/>
          <w:sz w:val="26"/>
          <w:szCs w:val="26"/>
        </w:rPr>
        <w:t xml:space="preserve">5.1 One Coin Per Person</w:t>
      </w:r>
    </w:p>
    <w:p>
      <w:pPr>
        <w:spacing w:after="160" w:before="0"/>
        <w:jc w:val="both"/>
      </w:pPr>
      <w:r>
        <w:rPr>
          <w:rFonts w:ascii="Arial" w:cs="Arial" w:eastAsia="Arial" w:hAnsi="Arial"/>
          <w:sz w:val="24"/>
          <w:szCs w:val="24"/>
        </w:rPr>
        <w:t xml:space="preserve">The total supply of 8,270,000,000 KX was chosen to match the world population on January 1, 2026. This is a statement of intent: ChronX is not designed for whales, speculators, or insiders. It is designed for people.</w:t>
      </w:r>
    </w:p>
    <w:p>
      <w:pPr>
        <w:pStyle w:val="Heading2"/>
        <w:spacing w:after="120" w:before="280"/>
      </w:pPr>
      <w:r>
        <w:rPr>
          <w:rFonts w:ascii="Arial" w:cs="Arial" w:eastAsia="Arial" w:hAnsi="Arial"/>
          <w:b/>
          <w:bCs/>
          <w:color w:val="2E5090"/>
          <w:sz w:val="26"/>
          <w:szCs w:val="26"/>
        </w:rPr>
        <w:t xml:space="preserve">5.2 The 2127 Alignment</w:t>
      </w:r>
    </w:p>
    <w:p>
      <w:pPr>
        <w:spacing w:after="160" w:before="0"/>
        <w:jc w:val="both"/>
      </w:pPr>
      <w:r>
        <w:rPr>
          <w:rFonts w:ascii="Arial" w:cs="Arial" w:eastAsia="Arial" w:hAnsi="Arial"/>
          <w:sz w:val="24"/>
          <w:szCs w:val="24"/>
        </w:rPr>
        <w:t xml:space="preserve">Treasury Release #99 unlocks on January 1, 2127, one year after the Humanity Stake unlocks on January 1, 2126. On that day, two promises made at genesis in 2026 will mature in the same calendar year: the last major treasury release and the humanity stake, both honoring commitments made 100 years prior. The final treasury release follows on January 1, 2128.</w:t>
      </w:r>
    </w:p>
    <w:p>
      <w:pPr>
        <w:pStyle w:val="Heading2"/>
        <w:spacing w:after="120" w:before="280"/>
      </w:pPr>
      <w:r>
        <w:rPr>
          <w:rFonts w:ascii="Arial" w:cs="Arial" w:eastAsia="Arial" w:hAnsi="Arial"/>
          <w:b/>
          <w:bCs/>
          <w:color w:val="2E5090"/>
          <w:sz w:val="26"/>
          <w:szCs w:val="26"/>
        </w:rPr>
        <w:t xml:space="preserve">5.3 A Fully Transparent Genesis</w:t>
      </w:r>
    </w:p>
    <w:p>
      <w:pPr>
        <w:spacing w:after="160" w:before="0"/>
        <w:jc w:val="both"/>
      </w:pPr>
      <w:r>
        <w:rPr>
          <w:rFonts w:ascii="Arial" w:cs="Arial" w:eastAsia="Arial" w:hAnsi="Arial"/>
          <w:sz w:val="24"/>
          <w:szCs w:val="24"/>
        </w:rPr>
        <w:t xml:space="preserve">Every token that will ever exist was created at genesis on January 1, 2026 at 00:00:00 UTC. There is no mining reward. There is no inflation. There is no hidden allocation. The complete distribution is visible on-chain from block zero and verifiable by anyone running a node.</w:t>
      </w:r>
    </w:p>
    <w:p>
      <w:pPr>
        <w:pStyle w:val="Heading1"/>
        <w:spacing w:after="160" w:before="400"/>
      </w:pPr>
      <w:r>
        <w:rPr>
          <w:rFonts w:ascii="Arial" w:cs="Arial" w:eastAsia="Arial" w:hAnsi="Arial"/>
          <w:b/>
          <w:bCs/>
          <w:color w:val="1F3864"/>
          <w:sz w:val="32"/>
          <w:szCs w:val="32"/>
        </w:rPr>
        <w:t xml:space="preserve">6. Claims Resolution: The Core Innovation</w:t>
      </w:r>
    </w:p>
    <w:p>
      <w:pPr>
        <w:spacing w:after="160" w:before="0"/>
        <w:jc w:val="both"/>
      </w:pPr>
      <w:r>
        <w:rPr>
          <w:rFonts w:ascii="Arial" w:cs="Arial" w:eastAsia="Arial" w:hAnsi="Arial"/>
          <w:sz w:val="24"/>
          <w:szCs w:val="24"/>
        </w:rPr>
        <w:t xml:space="preserve">A time-lock that cannot be claimed is not a future payment — it is a permanent burn. The most common real-world failure mode for long-horizon commitments is not cryptographic failure. It is human failure: lost keys, changed identities, deceased recipients, ambiguous beneficiary specifications, and jurisdictional complexity.</w:t>
      </w:r>
    </w:p>
    <w:p>
      <w:pPr>
        <w:spacing w:after="160" w:before="0"/>
        <w:jc w:val="both"/>
      </w:pPr>
      <w:r>
        <w:rPr>
          <w:rFonts w:ascii="Arial" w:cs="Arial" w:eastAsia="Arial" w:hAnsi="Arial"/>
          <w:sz w:val="24"/>
          <w:szCs w:val="24"/>
        </w:rPr>
        <w:t xml:space="preserve">ChronX’s claims resolution layer is not a roadmap item. It is a founding design principle, with all necessary data structures present in the protocol from genesis.</w:t>
      </w:r>
    </w:p>
    <w:p>
      <w:pPr>
        <w:pStyle w:val="Heading2"/>
        <w:spacing w:after="120" w:before="280"/>
      </w:pPr>
      <w:r>
        <w:rPr>
          <w:rFonts w:ascii="Arial" w:cs="Arial" w:eastAsia="Arial" w:hAnsi="Arial"/>
          <w:b/>
          <w:bCs/>
          <w:color w:val="2E5090"/>
          <w:sz w:val="26"/>
          <w:szCs w:val="26"/>
        </w:rPr>
        <w:t xml:space="preserve">6.1 The No-Hard-Fork Principle</w:t>
      </w:r>
    </w:p>
    <w:p>
      <w:pPr>
        <w:spacing w:after="160" w:before="0"/>
        <w:jc w:val="both"/>
      </w:pPr>
      <w:r>
        <w:rPr>
          <w:rFonts w:ascii="Arial" w:cs="Arial" w:eastAsia="Arial" w:hAnsi="Arial"/>
          <w:sz w:val="24"/>
          <w:szCs w:val="24"/>
        </w:rPr>
        <w:t xml:space="preserve">A protocol designed to hold value for 100 years cannot afford to break existing locks every time the claim resolution rules evolve. ChronX’s claim resolution layer is therefore designed as a versioned runtime module — not as hard-coded consensus rules. Lock records carry versioned schemas; certificate types are registered on-chain via governance; provider classes are data-driven registry entries; lane thresholds and bond multipliers are governance-updatable policy parameters.</w:t>
      </w:r>
    </w:p>
    <w:p>
      <w:pPr>
        <w:pStyle w:val="Heading2"/>
        <w:spacing w:after="120" w:before="280"/>
      </w:pPr>
      <w:r>
        <w:rPr>
          <w:rFonts w:ascii="Arial" w:cs="Arial" w:eastAsia="Arial" w:hAnsi="Arial"/>
          <w:b/>
          <w:bCs/>
          <w:color w:val="2E5090"/>
          <w:sz w:val="26"/>
          <w:szCs w:val="26"/>
        </w:rPr>
        <w:t xml:space="preserve">6.2 The Claim Lifecycle</w:t>
      </w:r>
    </w:p>
    <w:p>
      <w:pPr>
        <w:spacing w:after="160" w:before="0"/>
        <w:jc w:val="both"/>
      </w:pPr>
      <w:r>
        <w:rPr>
          <w:rFonts w:ascii="Arial" w:cs="Arial" w:eastAsia="Arial" w:hAnsi="Arial"/>
          <w:sz w:val="24"/>
          <w:szCs w:val="24"/>
        </w:rPr>
        <w:t xml:space="preserve">Claims follow a deterministic state machine: LOCKED → UNLOCKED_GRACE → CLAIM_OPEN → CHALLENGE → FINALIZED. When a claim is opened, the protocol snapshots the KX-to-fiat price at that moment, fixing the lane assignment for the duration of the claim. This prevents oracle manipulation mid-claim.</w:t>
      </w:r>
    </w:p>
    <w:p>
      <w:pPr>
        <w:pStyle w:val="Heading2"/>
        <w:spacing w:after="120" w:before="280"/>
      </w:pPr>
      <w:r>
        <w:rPr>
          <w:rFonts w:ascii="Arial" w:cs="Arial" w:eastAsia="Arial" w:hAnsi="Arial"/>
          <w:b/>
          <w:bCs/>
          <w:color w:val="2E5090"/>
          <w:sz w:val="26"/>
          <w:szCs w:val="26"/>
        </w:rPr>
        <w:t xml:space="preserve">6.3 Bonded Claim Agents</w:t>
      </w:r>
    </w:p>
    <w:p>
      <w:pPr>
        <w:spacing w:after="160" w:before="0"/>
        <w:jc w:val="both"/>
      </w:pPr>
      <w:r>
        <w:rPr>
          <w:rFonts w:ascii="Arial" w:cs="Arial" w:eastAsia="Arial" w:hAnsi="Arial"/>
          <w:sz w:val="24"/>
          <w:szCs w:val="24"/>
        </w:rPr>
        <w:t xml:space="preserve">ChronX will introduce a permissionless registry of bonded Claim Agents — independent third parties who post economic bonds and compete to complete claims on behalf of recipients who cannot claim directly. Claim Agents are deterred from fraud by value-scaled bonding: the bond required scales with the fiat-equivalent value of the lock being claimed.</w:t>
      </w:r>
    </w:p>
    <w:p>
      <w:pPr>
        <w:pStyle w:val="Heading2"/>
        <w:spacing w:after="120" w:before="280"/>
      </w:pPr>
      <w:r>
        <w:rPr>
          <w:rFonts w:ascii="Arial" w:cs="Arial" w:eastAsia="Arial" w:hAnsi="Arial"/>
          <w:b/>
          <w:bCs/>
          <w:color w:val="2E5090"/>
          <w:sz w:val="26"/>
          <w:szCs w:val="26"/>
        </w:rPr>
        <w:t xml:space="preserve">6.4 Cancellation Windows</w:t>
      </w:r>
    </w:p>
    <w:p>
      <w:pPr>
        <w:spacing w:after="160" w:before="0"/>
        <w:jc w:val="both"/>
      </w:pPr>
      <w:r>
        <w:rPr>
          <w:rFonts w:ascii="Arial" w:cs="Arial" w:eastAsia="Arial" w:hAnsi="Arial"/>
          <w:sz w:val="24"/>
          <w:szCs w:val="24"/>
        </w:rPr>
        <w:t xml:space="preserve">Senders may optionally specify a cancellation window at lock creation time. For locks with an unlock date of one year or more in the future, ChronX automatically applies a 24-hour cancellation window. Within this window, the sender may cancel the lock and receive a full refund. Once the window expires, the lock is permanently irrevocable.</w:t>
      </w:r>
    </w:p>
    <w:p>
      <w:pPr>
        <w:pStyle w:val="Heading1"/>
        <w:spacing w:after="160" w:before="400"/>
      </w:pPr>
      <w:r>
        <w:rPr>
          <w:rFonts w:ascii="Arial" w:cs="Arial" w:eastAsia="Arial" w:hAnsi="Arial"/>
          <w:b/>
          <w:bCs/>
          <w:color w:val="1F3864"/>
          <w:sz w:val="32"/>
          <w:szCs w:val="32"/>
        </w:rPr>
        <w:t xml:space="preserve">7. Email-Based Locks: Sending KX to Anyone</w:t>
      </w:r>
    </w:p>
    <w:p>
      <w:pPr>
        <w:spacing w:after="160" w:before="0"/>
        <w:jc w:val="both"/>
      </w:pPr>
      <w:r>
        <w:rPr>
          <w:rFonts w:ascii="Arial" w:cs="Arial" w:eastAsia="Arial" w:hAnsi="Arial"/>
          <w:sz w:val="24"/>
          <w:szCs w:val="24"/>
        </w:rPr>
        <w:t xml:space="preserve">One of the most significant barriers to mainstream adoption of any blockchain is the requirement that both sender and recipient have wallets before a transaction can occur. ChronX eliminates this barrier through its email-based lock system — allowing any KX holder to send funds to any email address, with the recipient claiming through a secure code after downloading the wallet.</w:t>
      </w:r>
    </w:p>
    <w:p>
      <w:pPr>
        <w:pStyle w:val="Heading2"/>
        <w:spacing w:after="120" w:before="280"/>
      </w:pPr>
      <w:r>
        <w:rPr>
          <w:rFonts w:ascii="Arial" w:cs="Arial" w:eastAsia="Arial" w:hAnsi="Arial"/>
          <w:b/>
          <w:bCs/>
          <w:color w:val="2E5090"/>
          <w:sz w:val="26"/>
          <w:szCs w:val="26"/>
        </w:rPr>
        <w:t xml:space="preserve">7.1 The Design Challenge</w:t>
      </w:r>
    </w:p>
    <w:p>
      <w:pPr>
        <w:spacing w:after="160" w:before="0"/>
        <w:jc w:val="both"/>
      </w:pPr>
      <w:r>
        <w:rPr>
          <w:rFonts w:ascii="Arial" w:cs="Arial" w:eastAsia="Arial" w:hAnsi="Arial"/>
          <w:sz w:val="24"/>
          <w:szCs w:val="24"/>
        </w:rPr>
        <w:t xml:space="preserve">Sending cryptocurrency to an email address introduces a fundamental challenge: the recipient does not have a public key. Existing solutions in other ecosystems rely on centralized custodians who hold the funds until the recipient creates an account — defeating the purpose of decentralization. ChronX solves this at the protocol level, with no custodian and no server-side secrets.</w:t>
      </w:r>
    </w:p>
    <w:p>
      <w:pPr>
        <w:pStyle w:val="Heading2"/>
        <w:spacing w:after="120" w:before="280"/>
      </w:pPr>
      <w:r>
        <w:rPr>
          <w:rFonts w:ascii="Arial" w:cs="Arial" w:eastAsia="Arial" w:hAnsi="Arial"/>
          <w:b/>
          <w:bCs/>
          <w:color w:val="2E5090"/>
          <w:sz w:val="26"/>
          <w:szCs w:val="26"/>
        </w:rPr>
        <w:t xml:space="preserve">7.2 The Claim Secret System</w:t>
      </w:r>
    </w:p>
    <w:p>
      <w:pPr>
        <w:spacing w:after="160" w:before="0"/>
        <w:jc w:val="both"/>
      </w:pPr>
      <w:r>
        <w:rPr>
          <w:rFonts w:ascii="Arial" w:cs="Arial" w:eastAsia="Arial" w:hAnsi="Arial"/>
          <w:sz w:val="24"/>
          <w:szCs w:val="24"/>
        </w:rPr>
        <w:t xml:space="preserve">ChronX uses a cryptographic claim secret to bridge the gap between email identity and blockchain identity, designed around three core principles: no emails are ever stored on-chain; no secrets are ever stored on any server; and the recipient’s privacy is preserved at every step.</w:t>
      </w:r>
    </w:p>
    <w:p>
      <w:pPr>
        <w:spacing w:after="160" w:before="0"/>
        <w:jc w:val="both"/>
      </w:pPr>
      <w:r>
        <w:rPr>
          <w:rFonts w:ascii="Arial" w:cs="Arial" w:eastAsia="Arial" w:hAnsi="Arial"/>
          <w:sz w:val="24"/>
          <w:szCs w:val="24"/>
        </w:rPr>
        <w:t xml:space="preserve">Alice sends KX to bob@gmail.com. Her wallet generates a random 32-byte claim secret, formats it as a human-readable code (e.g. KX-7F3A-9B2C-E1D4-5H6K), and computes BLAKE3 hashes of both the email and the claim secret. Only these irreversible hashes touch the blockchain. The notification service emails Bob the code and immediately discards it — no database record is created. Bob downloads the wallet, enters the code, and the protocol verifies the hash match and transfers the funds. If Bob does not claim within 72 hours, the lock automatically reverts to Alice.</w:t>
      </w:r>
    </w:p>
    <w:p>
      <w:pPr>
        <w:pStyle w:val="Heading2"/>
        <w:spacing w:after="120" w:before="280"/>
      </w:pPr>
      <w:r>
        <w:rPr>
          <w:rFonts w:ascii="Arial" w:cs="Arial" w:eastAsia="Arial" w:hAnsi="Arial"/>
          <w:b/>
          <w:bCs/>
          <w:color w:val="2E5090"/>
          <w:sz w:val="26"/>
          <w:szCs w:val="26"/>
        </w:rPr>
        <w:t xml:space="preserve">7.3 Security Analysis</w:t>
      </w:r>
    </w:p>
    <w:p>
      <w:pPr>
        <w:spacing w:after="160" w:before="0"/>
        <w:jc w:val="both"/>
      </w:pPr>
      <w:r>
        <w:rPr>
          <w:rFonts w:ascii="Arial" w:cs="Arial" w:eastAsia="Arial" w:hAnsi="Arial"/>
          <w:sz w:val="24"/>
          <w:szCs w:val="24"/>
        </w:rPr>
        <w:t xml:space="preserve">The claim secret is 32 bytes (256 bits) of cryptographic randomness — computationally infeasible to brute-force. The notification service never stores secrets, so a server compromise yields nothing useful. Privacy is complete: an on-chain observer sees only hashes and random strings, never email addresses or identifying information.</w:t>
      </w:r>
    </w:p>
    <w:p>
      <w:pPr>
        <w:pStyle w:val="Heading2"/>
        <w:spacing w:after="120" w:before="280"/>
      </w:pPr>
      <w:r>
        <w:rPr>
          <w:rFonts w:ascii="Arial" w:cs="Arial" w:eastAsia="Arial" w:hAnsi="Arial"/>
          <w:b/>
          <w:bCs/>
          <w:color w:val="2E5090"/>
          <w:sz w:val="26"/>
          <w:szCs w:val="26"/>
        </w:rPr>
        <w:t xml:space="preserve">7.4 Cascade Send</w:t>
      </w:r>
    </w:p>
    <w:p>
      <w:pPr>
        <w:spacing w:after="160" w:before="0"/>
        <w:jc w:val="both"/>
      </w:pPr>
      <w:r>
        <w:rPr>
          <w:rFonts w:ascii="Arial" w:cs="Arial" w:eastAsia="Arial" w:hAnsi="Arial"/>
          <w:sz w:val="24"/>
          <w:szCs w:val="24"/>
        </w:rPr>
        <w:t xml:space="preserve">ChronX supports Cascade Send — a protocol-level feature allowing a sender to create multiple time-locked payments to the same email address, all sharing a single claim code. When the recipient enters the code, the protocol claims all matured locks in the cascade with a single transaction. Intended for businesses sending scheduled payments, parents setting up recurring allowances, or any scenario requiring multiple future-dated transfers to the same recipient. The 72-hour claim window applies to the entire cascade.</w:t>
      </w:r>
    </w:p>
    <w:p>
      <w:pPr>
        <w:pStyle w:val="Heading1"/>
        <w:spacing w:after="160" w:before="400"/>
      </w:pPr>
      <w:r>
        <w:rPr>
          <w:rFonts w:ascii="Arial" w:cs="Arial" w:eastAsia="Arial" w:hAnsi="Arial"/>
          <w:b/>
          <w:bCs/>
          <w:color w:val="1F3864"/>
          <w:sz w:val="32"/>
          <w:szCs w:val="32"/>
        </w:rPr>
        <w:t xml:space="preserve">8. Transferability and the Secondary Market</w:t>
      </w:r>
    </w:p>
    <w:p>
      <w:pPr>
        <w:spacing w:after="160" w:before="0"/>
        <w:jc w:val="both"/>
      </w:pPr>
      <w:r>
        <w:rPr>
          <w:rFonts w:ascii="Arial" w:cs="Arial" w:eastAsia="Arial" w:hAnsi="Arial"/>
          <w:sz w:val="24"/>
          <w:szCs w:val="24"/>
        </w:rPr>
        <w:t xml:space="preserve">Every time-lock in ChronX has a transferable field, set by the sender at creation time and defaulting to false. When transferable is true, the beneficiary may sell or transfer their right to claim the lock to a third party at a negotiated price. Additional fields give senders fine-grained control: earliest_transfer_date prevents transfer before a specified date, and transfer_policy specifies which secondary market rules apply to this lock.</w:t>
      </w:r>
    </w:p>
    <w:p>
      <w:pPr>
        <w:pStyle w:val="Heading1"/>
        <w:spacing w:after="160" w:before="400"/>
      </w:pPr>
      <w:r>
        <w:rPr>
          <w:rFonts w:ascii="Arial" w:cs="Arial" w:eastAsia="Arial" w:hAnsi="Arial"/>
          <w:b/>
          <w:bCs/>
          <w:color w:val="1F3864"/>
          <w:sz w:val="32"/>
          <w:szCs w:val="32"/>
        </w:rPr>
        <w:t xml:space="preserve">9. Who ChronX Is For</w:t>
      </w:r>
    </w:p>
    <w:p>
      <w:pPr>
        <w:pStyle w:val="Heading2"/>
        <w:spacing w:after="120" w:before="280"/>
      </w:pPr>
      <w:r>
        <w:rPr>
          <w:rFonts w:ascii="Arial" w:cs="Arial" w:eastAsia="Arial" w:hAnsi="Arial"/>
          <w:b/>
          <w:bCs/>
          <w:color w:val="2E5090"/>
          <w:sz w:val="26"/>
          <w:szCs w:val="26"/>
        </w:rPr>
        <w:t xml:space="preserve">9.1 Everyday People</w:t>
      </w:r>
    </w:p>
    <w:p>
      <w:pPr>
        <w:spacing w:after="160" w:before="0"/>
        <w:jc w:val="both"/>
      </w:pPr>
      <w:r>
        <w:rPr>
          <w:rFonts w:ascii="Arial" w:cs="Arial" w:eastAsia="Arial" w:hAnsi="Arial"/>
          <w:sz w:val="24"/>
          <w:szCs w:val="24"/>
        </w:rPr>
        <w:t xml:space="preserve">The first and largest market for ChronX is ordinary people with ordinary needs. A parent who wants to give their newborn child a financial head start. An individual who struggles with savings discipline and wants their money truly out of reach until a date they choose. For these users, ChronX is being built to be as simple as sending a message.</w:t>
      </w:r>
    </w:p>
    <w:p>
      <w:pPr>
        <w:pStyle w:val="Heading2"/>
        <w:spacing w:after="120" w:before="280"/>
      </w:pPr>
      <w:r>
        <w:rPr>
          <w:rFonts w:ascii="Arial" w:cs="Arial" w:eastAsia="Arial" w:hAnsi="Arial"/>
          <w:b/>
          <w:bCs/>
          <w:color w:val="2E5090"/>
          <w:sz w:val="26"/>
          <w:szCs w:val="26"/>
        </w:rPr>
        <w:t xml:space="preserve">9.2 Crypto-Native Users</w:t>
      </w:r>
    </w:p>
    <w:p>
      <w:pPr>
        <w:spacing w:after="160" w:before="0"/>
        <w:jc w:val="both"/>
      </w:pPr>
      <w:r>
        <w:rPr>
          <w:rFonts w:ascii="Arial" w:cs="Arial" w:eastAsia="Arial" w:hAnsi="Arial"/>
          <w:sz w:val="24"/>
          <w:szCs w:val="24"/>
        </w:rPr>
        <w:t xml:space="preserve">The second market is the technically sophisticated crypto user who has tried to implement timelocks using existing tools and found them wanting. ChronX provides a native, auditable, purpose-built alternative — the time-lock is not a smart contract, it is a first-class protocol primitive.</w:t>
      </w:r>
    </w:p>
    <w:p>
      <w:pPr>
        <w:pStyle w:val="Heading2"/>
        <w:spacing w:after="120" w:before="280"/>
      </w:pPr>
      <w:r>
        <w:rPr>
          <w:rFonts w:ascii="Arial" w:cs="Arial" w:eastAsia="Arial" w:hAnsi="Arial"/>
          <w:b/>
          <w:bCs/>
          <w:color w:val="2E5090"/>
          <w:sz w:val="26"/>
          <w:szCs w:val="26"/>
        </w:rPr>
        <w:t xml:space="preserve">9.3 Institutions and Professionals</w:t>
      </w:r>
    </w:p>
    <w:p>
      <w:pPr>
        <w:spacing w:after="160" w:before="0"/>
        <w:jc w:val="both"/>
      </w:pPr>
      <w:r>
        <w:rPr>
          <w:rFonts w:ascii="Arial" w:cs="Arial" w:eastAsia="Arial" w:hAnsi="Arial"/>
          <w:sz w:val="24"/>
          <w:szCs w:val="24"/>
        </w:rPr>
        <w:t xml:space="preserve">The third — and eventually largest — market is institutional: legal professionals managing estate planning, compliance officers structuring deferred compensation, fiduciaries managing multi-beneficiary trusts, and organizations requiring policy-controlled future payments with jurisdiction-aware compliance trails.</w:t>
      </w:r>
    </w:p>
    <w:p>
      <w:pPr>
        <w:pStyle w:val="Heading2"/>
        <w:spacing w:after="120" w:before="280"/>
      </w:pPr>
      <w:r>
        <w:rPr>
          <w:rFonts w:ascii="Arial" w:cs="Arial" w:eastAsia="Arial" w:hAnsi="Arial"/>
          <w:b/>
          <w:bCs/>
          <w:color w:val="2E5090"/>
          <w:sz w:val="26"/>
          <w:szCs w:val="26"/>
        </w:rPr>
        <w:t xml:space="preserve">9.4 Node Operators</w:t>
      </w:r>
    </w:p>
    <w:p>
      <w:pPr>
        <w:spacing w:after="160" w:before="0"/>
        <w:jc w:val="both"/>
      </w:pPr>
      <w:r>
        <w:rPr>
          <w:rFonts w:ascii="Arial" w:cs="Arial" w:eastAsia="Arial" w:hAnsi="Arial"/>
          <w:sz w:val="24"/>
          <w:szCs w:val="24"/>
        </w:rPr>
        <w:t xml:space="preserve">Anyone may run a ChronX node. Running a node strengthens the network’s decentralization and reliability, and qualifies the operator for Node Rewards beginning January 1, 2029. Node software is available for download at chronx.io/node.</w:t>
      </w:r>
    </w:p>
    <w:p>
      <w:pPr>
        <w:pStyle w:val="Heading1"/>
        <w:spacing w:after="160" w:before="400"/>
      </w:pPr>
      <w:r>
        <w:rPr>
          <w:rFonts w:ascii="Arial" w:cs="Arial" w:eastAsia="Arial" w:hAnsi="Arial"/>
          <w:b/>
          <w:bCs/>
          <w:color w:val="1F3864"/>
          <w:sz w:val="32"/>
          <w:szCs w:val="32"/>
        </w:rPr>
        <w:t xml:space="preserve">10. Token Sale</w:t>
      </w:r>
    </w:p>
    <w:p>
      <w:pPr>
        <w:spacing w:after="160" w:before="0"/>
        <w:jc w:val="both"/>
      </w:pPr>
      <w:r>
        <w:rPr>
          <w:rFonts w:ascii="Arial" w:cs="Arial" w:eastAsia="Arial" w:hAnsi="Arial"/>
          <w:sz w:val="24"/>
          <w:szCs w:val="24"/>
        </w:rPr>
        <w:t xml:space="preserve">ChronX is raising $4,000,000 USD in a bootstrapping token sale to fund the core team, infrastructure, and exchange listings necessary to bring the protocol to the world. This is a deliberate, modest raise — not a speculative fundraise. Soft cap: $500,000. Hard cap: $4,000,000.</w:t>
      </w:r>
    </w:p>
    <w:p>
      <w:pPr>
        <w:pStyle w:val="Heading2"/>
        <w:spacing w:after="120" w:before="280"/>
      </w:pPr>
      <w:r>
        <w:rPr>
          <w:rFonts w:ascii="Arial" w:cs="Arial" w:eastAsia="Arial" w:hAnsi="Arial"/>
          <w:b/>
          <w:bCs/>
          <w:color w:val="2E5090"/>
          <w:sz w:val="26"/>
          <w:szCs w:val="26"/>
        </w:rPr>
        <w:t xml:space="preserve">10.1 Pre-ICO (Live Now)</w:t>
      </w:r>
    </w:p>
    <w:p>
      <w:pPr>
        <w:spacing w:after="160" w:before="0"/>
        <w:jc w:val="both"/>
      </w:pPr>
      <w:r>
        <w:rPr>
          <w:rFonts w:ascii="Arial" w:cs="Arial" w:eastAsia="Arial" w:hAnsi="Arial"/>
          <w:sz w:val="24"/>
          <w:szCs w:val="24"/>
        </w:rPr>
        <w:t xml:space="preserve">The ChronX Pre-ICO is live now, with price steps rising gradually toward the official ICO launch on September 22, 2026 — the Autumnal Equinox. Early participants receive the best available price. The Pre-ICO price reflects the reduced circulating supply: 1,000,000,000 KX is permanently allocated to the Node Rewards pool and will not be available for sale, making early-stage KX scarcer than the total supply figure suggests.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Pre-ICO Period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Price per KX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Now — June 22, 2026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$0.00040</w:t>
            </w:r>
          </w:p>
        </w:tc>
      </w:tr>
      <w:tr>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June 22 — Aug 22, 2026</w:t>
            </w:r>
          </w:p>
        </w:tc>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$0.00050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Aug 22 — Sep 22, 2026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$0.00060</w:t>
            </w:r>
          </w:p>
        </w:tc>
      </w:tr>
    </w:tbl>
    <w:p>
      <w:pPr>
        <w:spacing w:after="80" w:before="0"/>
      </w:pPr>
      <w:r>
        <w:t xml:space="preserve"/>
      </w:r>
    </w:p>
    <w:p>
      <w:pPr>
        <w:pStyle w:val="Heading2"/>
        <w:spacing w:after="120" w:before="280"/>
      </w:pPr>
      <w:r>
        <w:rPr>
          <w:rFonts w:ascii="Arial" w:cs="Arial" w:eastAsia="Arial" w:hAnsi="Arial"/>
          <w:b/>
          <w:bCs/>
          <w:color w:val="2E5090"/>
          <w:sz w:val="26"/>
          <w:szCs w:val="26"/>
        </w:rPr>
        <w:t xml:space="preserve">10.2 ICO Tiers (September 22, 2026)</w:t>
      </w:r>
    </w:p>
    <w:p>
      <w:pPr>
        <w:spacing w:after="160" w:before="0"/>
        <w:jc w:val="both"/>
      </w:pPr>
      <w:r>
        <w:rPr>
          <w:rFonts w:ascii="Arial" w:cs="Arial" w:eastAsia="Arial" w:hAnsi="Arial"/>
          <w:sz w:val="24"/>
          <w:szCs w:val="24"/>
        </w:rPr>
        <w:t xml:space="preserve">The official ICO launches on September 22, 2026. Participants who lock their KX for a defined period receive a discounted price — rewarding long-term commitment.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Tier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Lock Period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Price per KX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Unlocks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Spot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$0.00080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Immediate</w:t>
            </w:r>
          </w:p>
        </w:tc>
      </w:tr>
      <w:tr>
        <w:tc>
          <w:tcPr>
            <w:tcW w:type="dxa" w:w="23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Believer</w:t>
            </w:r>
          </w:p>
        </w:tc>
        <w:tc>
          <w:tcPr>
            <w:tcW w:type="dxa" w:w="23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6 months</w:t>
            </w:r>
          </w:p>
        </w:tc>
        <w:tc>
          <w:tcPr>
            <w:tcW w:type="dxa" w:w="23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$0.00068</w:t>
            </w:r>
          </w:p>
        </w:tc>
        <w:tc>
          <w:tcPr>
            <w:tcW w:type="dxa" w:w="23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Mar 22, 2027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Founder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 months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$0.00058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Sep 22, 2027</w:t>
            </w:r>
          </w:p>
        </w:tc>
      </w:tr>
      <w:tr>
        <w:tc>
          <w:tcPr>
            <w:tcW w:type="dxa" w:w="23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Visionary</w:t>
            </w:r>
          </w:p>
        </w:tc>
        <w:tc>
          <w:tcPr>
            <w:tcW w:type="dxa" w:w="23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18 months</w:t>
            </w:r>
          </w:p>
        </w:tc>
        <w:tc>
          <w:tcPr>
            <w:tcW w:type="dxa" w:w="23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$0.00050</w:t>
            </w:r>
          </w:p>
        </w:tc>
        <w:tc>
          <w:tcPr>
            <w:tcW w:type="dxa" w:w="234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Mar 22, 2028</w:t>
            </w:r>
          </w:p>
        </w:tc>
      </w:tr>
    </w:tbl>
    <w:p>
      <w:pPr>
        <w:spacing w:after="80" w:before="0"/>
      </w:pPr>
      <w:r>
        <w:t xml:space="preserve"/>
      </w:r>
    </w:p>
    <w:p>
      <w:pPr>
        <w:spacing w:after="160" w:before="0"/>
        <w:jc w:val="both"/>
      </w:pPr>
      <w:r>
        <w:rPr>
          <w:rFonts w:ascii="Arial" w:cs="Arial" w:eastAsia="Arial" w:hAnsi="Arial"/>
          <w:sz w:val="24"/>
          <w:szCs w:val="24"/>
        </w:rPr>
        <w:t xml:space="preserve">The ICO Spot price of $0.00080 is 2x the opening Pre-ICO price of $0.00040 — the best available return goes to those who participate earliest.</w:t>
      </w:r>
    </w:p>
    <w:p>
      <w:pPr>
        <w:pStyle w:val="Heading2"/>
        <w:spacing w:after="120" w:before="280"/>
      </w:pPr>
      <w:r>
        <w:rPr>
          <w:rFonts w:ascii="Arial" w:cs="Arial" w:eastAsia="Arial" w:hAnsi="Arial"/>
          <w:b/>
          <w:bCs/>
          <w:color w:val="2E5090"/>
          <w:sz w:val="26"/>
          <w:szCs w:val="26"/>
        </w:rPr>
        <w:t xml:space="preserve">10.3 Use of Funds</w:t>
      </w:r>
    </w:p>
    <w:p>
      <w:pPr>
        <w:spacing w:after="160" w:before="0"/>
        <w:jc w:val="both"/>
      </w:pPr>
      <w:r>
        <w:rPr>
          <w:rFonts w:ascii="Arial" w:cs="Arial" w:eastAsia="Arial" w:hAnsi="Arial"/>
          <w:sz w:val="24"/>
          <w:szCs w:val="24"/>
        </w:rPr>
        <w:t xml:space="preserve">Exchange listings and liquidity (40%). Core protocol development (30%). Infrastructure and operations (20%). Legal, compliance, and administration (10%).</w:t>
      </w:r>
    </w:p>
    <w:p>
      <w:pPr>
        <w:pStyle w:val="Heading2"/>
        <w:spacing w:after="120" w:before="280"/>
      </w:pPr>
      <w:r>
        <w:rPr>
          <w:rFonts w:ascii="Arial" w:cs="Arial" w:eastAsia="Arial" w:hAnsi="Arial"/>
          <w:b/>
          <w:bCs/>
          <w:color w:val="2E5090"/>
          <w:sz w:val="26"/>
          <w:szCs w:val="26"/>
        </w:rPr>
        <w:t xml:space="preserve">10.4 Try It Free</w:t>
      </w:r>
    </w:p>
    <w:p>
      <w:pPr>
        <w:spacing w:after="160" w:before="0"/>
        <w:jc w:val="both"/>
      </w:pPr>
      <w:r>
        <w:rPr>
          <w:rFonts w:ascii="Arial" w:cs="Arial" w:eastAsia="Arial" w:hAnsi="Arial"/>
          <w:sz w:val="24"/>
          <w:szCs w:val="24"/>
        </w:rPr>
        <w:t xml:space="preserve">New users who sign up at chronx.io receive 9 KX at no cost via the faucet — delivered as an on-chain Promise that demonstrates the protocol’s core thesis from the moment of onboarding.</w:t>
      </w:r>
    </w:p>
    <w:p>
      <w:pPr>
        <w:pStyle w:val="Heading1"/>
        <w:spacing w:after="160" w:before="400"/>
      </w:pPr>
      <w:r>
        <w:rPr>
          <w:rFonts w:ascii="Arial" w:cs="Arial" w:eastAsia="Arial" w:hAnsi="Arial"/>
          <w:b/>
          <w:bCs/>
          <w:color w:val="1F3864"/>
          <w:sz w:val="32"/>
          <w:szCs w:val="32"/>
        </w:rPr>
        <w:t xml:space="preserve">11. Protocol Governance</w:t>
      </w:r>
    </w:p>
    <w:p>
      <w:pPr>
        <w:spacing w:after="160" w:before="0"/>
        <w:jc w:val="both"/>
      </w:pPr>
      <w:r>
        <w:rPr>
          <w:rFonts w:ascii="Arial" w:cs="Arial" w:eastAsia="Arial" w:hAnsi="Arial"/>
          <w:sz w:val="24"/>
          <w:szCs w:val="24"/>
        </w:rPr>
        <w:t xml:space="preserve">ChronX is designed to hold value for a century. The governance model reflects that ambition: it is built for stability, continuity, and the long-term protection of every lock ever created — not for political performance or short-term community responsiveness.</w:t>
      </w:r>
    </w:p>
    <w:p>
      <w:pPr>
        <w:pStyle w:val="Heading2"/>
        <w:spacing w:after="120" w:before="280"/>
      </w:pPr>
      <w:r>
        <w:rPr>
          <w:rFonts w:ascii="Arial" w:cs="Arial" w:eastAsia="Arial" w:hAnsi="Arial"/>
          <w:b/>
          <w:bCs/>
          <w:color w:val="2E5090"/>
          <w:sz w:val="26"/>
          <w:szCs w:val="26"/>
        </w:rPr>
        <w:t xml:space="preserve">11.1 The ChronX Foundation</w:t>
      </w:r>
    </w:p>
    <w:p>
      <w:pPr>
        <w:spacing w:after="160" w:before="0"/>
        <w:jc w:val="both"/>
      </w:pPr>
      <w:r>
        <w:rPr>
          <w:rFonts w:ascii="Arial" w:cs="Arial" w:eastAsia="Arial" w:hAnsi="Arial"/>
          <w:sz w:val="24"/>
          <w:szCs w:val="24"/>
        </w:rPr>
        <w:t xml:space="preserve">ChronX is governed through the ChronX Foundation, a stewardship body established by the founding team at genesis. The Foundation’s sole mandate is to protect the protocol’s original design principles and ensure its reliable operation across decades.</w:t>
      </w:r>
    </w:p>
    <w:p>
      <w:pPr>
        <w:pStyle w:val="Heading2"/>
        <w:spacing w:after="120" w:before="280"/>
      </w:pPr>
      <w:r>
        <w:rPr>
          <w:rFonts w:ascii="Arial" w:cs="Arial" w:eastAsia="Arial" w:hAnsi="Arial"/>
          <w:b/>
          <w:bCs/>
          <w:color w:val="2E5090"/>
          <w:sz w:val="26"/>
          <w:szCs w:val="26"/>
        </w:rPr>
        <w:t xml:space="preserve">11.2 The Protocol Steward</w:t>
      </w:r>
    </w:p>
    <w:p>
      <w:pPr>
        <w:spacing w:after="160" w:before="0"/>
        <w:jc w:val="both"/>
      </w:pPr>
      <w:r>
        <w:rPr>
          <w:rFonts w:ascii="Arial" w:cs="Arial" w:eastAsia="Arial" w:hAnsi="Arial"/>
          <w:sz w:val="24"/>
          <w:szCs w:val="24"/>
        </w:rPr>
        <w:t xml:space="preserve">The Foundation is led by a Protocol Steward — the founding developer — who holds primary authority over protocol direction, parameter changes, treasury deployment, and ecosystem development. This is not an unusual arrangement: Bitcoin’s development has been guided for over a decade by a small group of contributors who cannot be voted out. The Ethereum Foundation itself is a private Swiss foundation with a non-elected board. What makes this model legitimate is transparency of authority, defined constraints, and alignment of the Steward’s long-term interests with the protocol’s success.</w:t>
      </w:r>
    </w:p>
    <w:p>
      <w:pPr>
        <w:pStyle w:val="Heading2"/>
        <w:spacing w:after="120" w:before="280"/>
      </w:pPr>
      <w:r>
        <w:rPr>
          <w:rFonts w:ascii="Arial" w:cs="Arial" w:eastAsia="Arial" w:hAnsi="Arial"/>
          <w:b/>
          <w:bCs/>
          <w:color w:val="2E5090"/>
          <w:sz w:val="26"/>
          <w:szCs w:val="26"/>
        </w:rPr>
        <w:t xml:space="preserve">11.3 What the Foundation Can and Cannot Do</w:t>
      </w:r>
    </w:p>
    <w:p>
      <w:pPr>
        <w:spacing w:after="160" w:before="0"/>
        <w:jc w:val="both"/>
      </w:pPr>
      <w:r>
        <w:rPr>
          <w:rFonts w:ascii="Arial" w:cs="Arial" w:eastAsia="Arial" w:hAnsi="Arial"/>
          <w:sz w:val="24"/>
          <w:szCs w:val="24"/>
        </w:rPr>
        <w:t xml:space="preserve">The Foundation may update governance parameters (claim lane thresholds, bond multipliers, grace periods), register new certificate types, define node operator qualification criteria, deploy Treasury KX for ecosystem development, and designate a successor Protocol Steward.</w:t>
      </w:r>
    </w:p>
    <w:p>
      <w:pPr>
        <w:spacing w:after="160" w:before="0"/>
        <w:jc w:val="both"/>
      </w:pPr>
      <w:r>
        <w:rPr>
          <w:rFonts w:ascii="Arial" w:cs="Arial" w:eastAsia="Arial" w:hAnsi="Arial"/>
          <w:sz w:val="24"/>
          <w:szCs w:val="24"/>
        </w:rPr>
        <w:t xml:space="preserve">The Foundation cannot increase the total KX supply (fixed forever at genesis), alter the Treasury or Node Rewards time-lock schedules (protocol-enforced at genesis), unlock or cancel any user’s time-lock, reverse completed transactions, or introduce transaction fees.</w:t>
      </w:r>
    </w:p>
    <w:p>
      <w:pPr>
        <w:spacing w:after="160" w:before="0"/>
        <w:jc w:val="both"/>
      </w:pPr>
      <w:r>
        <w:rPr>
          <w:rFonts w:ascii="Arial" w:cs="Arial" w:eastAsia="Arial" w:hAnsi="Arial"/>
          <w:i/>
          <w:iCs/>
          <w:color w:val="444444"/>
          <w:sz w:val="24"/>
          <w:szCs w:val="24"/>
        </w:rPr>
        <w:t xml:space="preserve">The most important protections for KX holders are not written in governance rules — they are written into the protocol itself, enforced by cryptography and consensus, and cannot be changed by any governance action whatsoever.</w:t>
      </w:r>
    </w:p>
    <w:p>
      <w:pPr>
        <w:pStyle w:val="Heading2"/>
        <w:spacing w:after="120" w:before="280"/>
      </w:pPr>
      <w:r>
        <w:rPr>
          <w:rFonts w:ascii="Arial" w:cs="Arial" w:eastAsia="Arial" w:hAnsi="Arial"/>
          <w:b/>
          <w:bCs/>
          <w:color w:val="2E5090"/>
          <w:sz w:val="26"/>
          <w:szCs w:val="26"/>
        </w:rPr>
        <w:t xml:space="preserve">11.4 Treasury Stewardship</w:t>
      </w:r>
    </w:p>
    <w:p>
      <w:pPr>
        <w:spacing w:after="160" w:before="0"/>
        <w:jc w:val="both"/>
      </w:pPr>
      <w:r>
        <w:rPr>
          <w:rFonts w:ascii="Arial" w:cs="Arial" w:eastAsia="Arial" w:hAnsi="Arial"/>
          <w:sz w:val="24"/>
          <w:szCs w:val="24"/>
        </w:rPr>
        <w:t xml:space="preserve">Treasury funds are intended to support protocol development, ecosystem growth, developer grants, exchange listings, partnerships, and operational continuity — including compensating contributors who build and maintain ChronX infrastructure. Beginning with the first Treasury release in 2029, the Foundation will publish an annual allocation report disclosing how funds were used in the prior year.</w:t>
      </w:r>
    </w:p>
    <w:p>
      <w:pPr>
        <w:pStyle w:val="Heading2"/>
        <w:spacing w:after="120" w:before="280"/>
      </w:pPr>
      <w:r>
        <w:rPr>
          <w:rFonts w:ascii="Arial" w:cs="Arial" w:eastAsia="Arial" w:hAnsi="Arial"/>
          <w:b/>
          <w:bCs/>
          <w:color w:val="2E5090"/>
          <w:sz w:val="26"/>
          <w:szCs w:val="26"/>
        </w:rPr>
        <w:t xml:space="preserve">11.5 Succession and Continuity</w:t>
      </w:r>
    </w:p>
    <w:p>
      <w:pPr>
        <w:spacing w:after="160" w:before="0"/>
        <w:jc w:val="both"/>
      </w:pPr>
      <w:r>
        <w:rPr>
          <w:rFonts w:ascii="Arial" w:cs="Arial" w:eastAsia="Arial" w:hAnsi="Arial"/>
          <w:sz w:val="24"/>
          <w:szCs w:val="24"/>
        </w:rPr>
        <w:t xml:space="preserve">The Protocol Steward may at any time designate a successor — whether a named individual, a small technical council, or a formal foundation board — by publishing a signed succession declaration to the protocol registry. In the absence of a living, active Steward, custody of the Foundation passes to the designated successor automatically. A protocol designed to honor 100-year commitments must itself be designed to survive for 100 years.</w:t>
      </w:r>
    </w:p>
    <w:p>
      <w:pPr>
        <w:pStyle w:val="Heading2"/>
        <w:spacing w:after="120" w:before="280"/>
      </w:pPr>
      <w:r>
        <w:rPr>
          <w:rFonts w:ascii="Arial" w:cs="Arial" w:eastAsia="Arial" w:hAnsi="Arial"/>
          <w:b/>
          <w:bCs/>
          <w:color w:val="2E5090"/>
          <w:sz w:val="26"/>
          <w:szCs w:val="26"/>
        </w:rPr>
        <w:t xml:space="preserve">11.6 Community Voice</w:t>
      </w:r>
    </w:p>
    <w:p>
      <w:pPr>
        <w:spacing w:after="160" w:before="0"/>
        <w:jc w:val="both"/>
      </w:pPr>
      <w:r>
        <w:rPr>
          <w:rFonts w:ascii="Arial" w:cs="Arial" w:eastAsia="Arial" w:hAnsi="Arial"/>
          <w:sz w:val="24"/>
          <w:szCs w:val="24"/>
        </w:rPr>
        <w:t xml:space="preserve">ChronX does not have on-chain voting. Experience across the blockchain industry has demonstrated that on-chain governance systems are consistently vulnerable to low participation, whale-dominated outcomes, short-term thinking, and coordinated attacks. For a protocol whose purpose is long-horizon reliability, these failure modes are unacceptable.</w:t>
      </w:r>
    </w:p>
    <w:p>
      <w:pPr>
        <w:spacing w:after="160" w:before="0"/>
        <w:jc w:val="both"/>
      </w:pPr>
      <w:r>
        <w:rPr>
          <w:rFonts w:ascii="Arial" w:cs="Arial" w:eastAsia="Arial" w:hAnsi="Arial"/>
          <w:sz w:val="24"/>
          <w:szCs w:val="24"/>
        </w:rPr>
        <w:t xml:space="preserve">Community input remains welcome and genuinely valued through public forums and improvement proposal channels. The Foundation commits to engaging with this input seriously and publishing its reasoning when it accepts or rejects community proposals. Community voice is advisory; the Foundation retains final authority.</w:t>
      </w:r>
    </w:p>
    <w:p>
      <w:pPr>
        <w:pStyle w:val="Heading2"/>
        <w:spacing w:after="120" w:before="280"/>
      </w:pPr>
      <w:r>
        <w:rPr>
          <w:rFonts w:ascii="Arial" w:cs="Arial" w:eastAsia="Arial" w:hAnsi="Arial"/>
          <w:b/>
          <w:bCs/>
          <w:color w:val="2E5090"/>
          <w:sz w:val="26"/>
          <w:szCs w:val="26"/>
        </w:rPr>
        <w:t xml:space="preserve">11.7 The Ultimate Check: The Fork</w:t>
      </w:r>
    </w:p>
    <w:p>
      <w:pPr>
        <w:spacing w:after="160" w:before="0"/>
        <w:jc w:val="both"/>
      </w:pPr>
      <w:r>
        <w:rPr>
          <w:rFonts w:ascii="Arial" w:cs="Arial" w:eastAsia="Arial" w:hAnsi="Arial"/>
          <w:sz w:val="24"/>
          <w:szCs w:val="24"/>
        </w:rPr>
        <w:t xml:space="preserve">ChronX is open-source software. Any participant who believes the Foundation has fundamentally betrayed the protocol’s principles may fork the codebase and invite the community to migrate. The Foundation’s best protection against a fork is not legal authority — it is legitimacy, earned by keeping commitments, deploying treasury resources transparently, and governing in the genuine interest of the people whose value is locked in the protocol.</w:t>
      </w:r>
    </w:p>
    <w:p>
      <w:pPr>
        <w:pStyle w:val="Heading1"/>
        <w:spacing w:after="160" w:before="400"/>
      </w:pPr>
      <w:r>
        <w:rPr>
          <w:rFonts w:ascii="Arial" w:cs="Arial" w:eastAsia="Arial" w:hAnsi="Arial"/>
          <w:b/>
          <w:bCs/>
          <w:color w:val="1F3864"/>
          <w:sz w:val="32"/>
          <w:szCs w:val="32"/>
        </w:rPr>
        <w:t xml:space="preserve">12. Roadmap</w:t>
      </w:r>
    </w:p>
    <w:p>
      <w:pPr>
        <w:spacing w:after="160" w:before="0"/>
        <w:jc w:val="both"/>
      </w:pPr>
      <w:r>
        <w:rPr>
          <w:rFonts w:ascii="Arial" w:cs="Arial" w:eastAsia="Arial" w:hAnsi="Arial"/>
          <w:sz w:val="24"/>
          <w:szCs w:val="24"/>
        </w:rPr>
        <w:t xml:space="preserve">The ChronX roadmap is organized by complexity and delivery speed. Phase 1 is complete. All protocol data structures necessary for Phases 2 through 6 are already present in the genesis codebase — no hard fork required for any planned feature.</w:t>
      </w:r>
    </w:p>
    <w:p>
      <w:pPr>
        <w:pStyle w:val="Heading2"/>
        <w:spacing w:after="120" w:before="280"/>
      </w:pPr>
      <w:r>
        <w:rPr>
          <w:rFonts w:ascii="Arial" w:cs="Arial" w:eastAsia="Arial" w:hAnsi="Arial"/>
          <w:b/>
          <w:bCs/>
          <w:color w:val="2E5090"/>
          <w:sz w:val="26"/>
          <w:szCs w:val="26"/>
        </w:rPr>
        <w:t xml:space="preserve">Phase 1 — Foundation (Complete ✓)</w:t>
      </w:r>
    </w:p>
    <w:p>
      <w:pPr>
        <w:spacing w:after="160" w:before="0"/>
        <w:jc w:val="both"/>
      </w:pPr>
      <w:r>
        <w:rPr>
          <w:rFonts w:ascii="Arial" w:cs="Arial" w:eastAsia="Arial" w:hAnsi="Arial"/>
          <w:sz w:val="24"/>
          <w:szCs w:val="24"/>
        </w:rPr>
        <w:t xml:space="preserve">Mainnet launch with genesis block (January 1, 2026). Post-quantum wallet for Windows and Android. Direct time-lock creation and claim. Email-based locks with claim secret system. Cascade Send. 4-digit PIN security. QR code support. Full JSON-RPC 2.0 interface. Public node infrastructure. Pre-ICO live from March 2026; ICO launches September 22, 2026.</w:t>
      </w:r>
    </w:p>
    <w:p>
      <w:pPr>
        <w:pStyle w:val="Heading2"/>
        <w:spacing w:after="120" w:before="280"/>
      </w:pPr>
      <w:r>
        <w:rPr>
          <w:rFonts w:ascii="Arial" w:cs="Arial" w:eastAsia="Arial" w:hAnsi="Arial"/>
          <w:b/>
          <w:bCs/>
          <w:color w:val="2E5090"/>
          <w:sz w:val="26"/>
          <w:szCs w:val="26"/>
        </w:rPr>
        <w:t xml:space="preserve">Phase 2 — Liquidity &amp; Market Presence</w:t>
      </w:r>
    </w:p>
    <w:p>
      <w:pPr>
        <w:spacing w:after="160" w:before="0"/>
        <w:jc w:val="both"/>
      </w:pPr>
      <w:r>
        <w:rPr>
          <w:rFonts w:ascii="Arial" w:cs="Arial" w:eastAsia="Arial" w:hAnsi="Arial"/>
          <w:sz w:val="24"/>
          <w:szCs w:val="24"/>
        </w:rPr>
        <w:t xml:space="preserve">Wrapped KX (wKX) ERC-20 on Base. 1inch liquidity pool. chronx.io/exchange interface. CoinMarketCap and CoinGecko listings. Node download portal — open network of community-run nodes. DEX-first for up to one year; CEX listings targeted 12–18 months post-launch.</w:t>
      </w:r>
    </w:p>
    <w:p>
      <w:pPr>
        <w:pStyle w:val="Heading2"/>
        <w:spacing w:after="120" w:before="280"/>
      </w:pPr>
      <w:r>
        <w:rPr>
          <w:rFonts w:ascii="Arial" w:cs="Arial" w:eastAsia="Arial" w:hAnsi="Arial"/>
          <w:b/>
          <w:bCs/>
          <w:color w:val="2E5090"/>
          <w:sz w:val="26"/>
          <w:szCs w:val="26"/>
        </w:rPr>
        <w:t xml:space="preserve">Phase 3 — Accessibility</w:t>
      </w:r>
    </w:p>
    <w:p>
      <w:pPr>
        <w:spacing w:after="160" w:before="0"/>
        <w:jc w:val="both"/>
      </w:pPr>
      <w:r>
        <w:rPr>
          <w:rFonts w:ascii="Arial" w:cs="Arial" w:eastAsia="Arial" w:hAnsi="Arial"/>
          <w:sz w:val="24"/>
          <w:szCs w:val="24"/>
        </w:rPr>
        <w:t xml:space="preserve">Web wallet interface. iOS support. Walletless onboarding. Block explorer. Real-time network analytics. Developer SDK. Multi-language wallet. Biometric authentication.</w:t>
      </w:r>
    </w:p>
    <w:p>
      <w:pPr>
        <w:pStyle w:val="Heading2"/>
        <w:spacing w:after="120" w:before="280"/>
      </w:pPr>
      <w:r>
        <w:rPr>
          <w:rFonts w:ascii="Arial" w:cs="Arial" w:eastAsia="Arial" w:hAnsi="Arial"/>
          <w:b/>
          <w:bCs/>
          <w:color w:val="2E5090"/>
          <w:sz w:val="26"/>
          <w:szCs w:val="26"/>
        </w:rPr>
        <w:t xml:space="preserve">Phase 4 — Institutional Infrastructure</w:t>
      </w:r>
    </w:p>
    <w:p>
      <w:pPr>
        <w:spacing w:after="160" w:before="0"/>
        <w:jc w:val="both"/>
      </w:pPr>
      <w:r>
        <w:rPr>
          <w:rFonts w:ascii="Arial" w:cs="Arial" w:eastAsia="Arial" w:hAnsi="Arial"/>
          <w:sz w:val="24"/>
          <w:szCs w:val="24"/>
        </w:rPr>
        <w:t xml:space="preserve">Multi-signature locks. Institutional wallet with policy controls. Jurisdiction-aware compliance routing. Governance parameter update tooling.</w:t>
      </w:r>
    </w:p>
    <w:p>
      <w:pPr>
        <w:pStyle w:val="Heading2"/>
        <w:spacing w:after="120" w:before="280"/>
      </w:pPr>
      <w:r>
        <w:rPr>
          <w:rFonts w:ascii="Arial" w:cs="Arial" w:eastAsia="Arial" w:hAnsi="Arial"/>
          <w:b/>
          <w:bCs/>
          <w:color w:val="2E5090"/>
          <w:sz w:val="26"/>
          <w:szCs w:val="26"/>
        </w:rPr>
        <w:t xml:space="preserve">Phase 5 — Claim Resolution</w:t>
      </w:r>
    </w:p>
    <w:p>
      <w:pPr>
        <w:spacing w:after="160" w:before="0"/>
        <w:jc w:val="both"/>
      </w:pPr>
      <w:r>
        <w:rPr>
          <w:rFonts w:ascii="Arial" w:cs="Arial" w:eastAsia="Arial" w:hAnsi="Arial"/>
          <w:sz w:val="24"/>
          <w:szCs w:val="24"/>
        </w:rPr>
        <w:t xml:space="preserve">Claim Agent registry and bonding. Attestor registry and Compliance Certificate framework. Ambiguity Mode. Commit-reveal claim submission. Oracle network. Social recovery for lost keys.</w:t>
      </w:r>
    </w:p>
    <w:p>
      <w:pPr>
        <w:pStyle w:val="Heading2"/>
        <w:spacing w:after="120" w:before="280"/>
      </w:pPr>
      <w:r>
        <w:rPr>
          <w:rFonts w:ascii="Arial" w:cs="Arial" w:eastAsia="Arial" w:hAnsi="Arial"/>
          <w:b/>
          <w:bCs/>
          <w:color w:val="2E5090"/>
          <w:sz w:val="26"/>
          <w:szCs w:val="26"/>
        </w:rPr>
        <w:t xml:space="preserve">Phase 6 — Conditional Payments</w:t>
      </w:r>
    </w:p>
    <w:p>
      <w:pPr>
        <w:spacing w:after="160" w:before="0"/>
        <w:jc w:val="both"/>
      </w:pPr>
      <w:r>
        <w:rPr>
          <w:rFonts w:ascii="Arial" w:cs="Arial" w:eastAsia="Arial" w:hAnsi="Arial"/>
          <w:sz w:val="24"/>
          <w:szCs w:val="24"/>
        </w:rPr>
        <w:t xml:space="preserve">Oracle-verified conditional payments — locks that release only if a specified real-world event is independently verified before a mandatory expiry date. Dispute windows. External data feed registry. Secondary market for pre-maturity claim rights.</w:t>
      </w:r>
    </w:p>
    <w:p>
      <w:pPr>
        <w:pStyle w:val="Heading1"/>
        <w:spacing w:after="160" w:before="400"/>
      </w:pPr>
      <w:r>
        <w:rPr>
          <w:rFonts w:ascii="Arial" w:cs="Arial" w:eastAsia="Arial" w:hAnsi="Arial"/>
          <w:b/>
          <w:bCs/>
          <w:color w:val="1F3864"/>
          <w:sz w:val="32"/>
          <w:szCs w:val="32"/>
        </w:rPr>
        <w:t xml:space="preserve">13. Security Considerations</w:t>
      </w:r>
    </w:p>
    <w:p>
      <w:pPr>
        <w:pStyle w:val="Heading2"/>
        <w:spacing w:after="120" w:before="280"/>
      </w:pPr>
      <w:r>
        <w:rPr>
          <w:rFonts w:ascii="Arial" w:cs="Arial" w:eastAsia="Arial" w:hAnsi="Arial"/>
          <w:b/>
          <w:bCs/>
          <w:color w:val="2E5090"/>
          <w:sz w:val="26"/>
          <w:szCs w:val="26"/>
        </w:rPr>
        <w:t xml:space="preserve">13.1 Cryptographic Security</w:t>
      </w:r>
    </w:p>
    <w:p>
      <w:pPr>
        <w:spacing w:after="160" w:before="0"/>
        <w:jc w:val="both"/>
      </w:pPr>
      <w:r>
        <w:rPr>
          <w:rFonts w:ascii="Arial" w:cs="Arial" w:eastAsia="Arial" w:hAnsi="Arial"/>
          <w:sz w:val="24"/>
          <w:szCs w:val="24"/>
        </w:rPr>
        <w:t xml:space="preserve">All ChronX accounts use CRYSTALS-Dilithium2 signatures providing 128-bit post-quantum security. Private keys are stored locally in encrypted keyfiles and never transmitted or stored on the network. Account IDs are 32-byte BLAKE3 hashes of Dilithium2 public keys, displayed as base58.</w:t>
      </w:r>
    </w:p>
    <w:p>
      <w:pPr>
        <w:pStyle w:val="Heading2"/>
        <w:spacing w:after="120" w:before="280"/>
      </w:pPr>
      <w:r>
        <w:rPr>
          <w:rFonts w:ascii="Arial" w:cs="Arial" w:eastAsia="Arial" w:hAnsi="Arial"/>
          <w:b/>
          <w:bCs/>
          <w:color w:val="2E5090"/>
          <w:sz w:val="26"/>
          <w:szCs w:val="26"/>
        </w:rPr>
        <w:t xml:space="preserve">13.2 Consensus Security</w:t>
      </w:r>
    </w:p>
    <w:p>
      <w:pPr>
        <w:spacing w:after="160" w:before="0"/>
        <w:jc w:val="both"/>
      </w:pPr>
      <w:r>
        <w:rPr>
          <w:rFonts w:ascii="Arial" w:cs="Arial" w:eastAsia="Arial" w:hAnsi="Arial"/>
          <w:sz w:val="24"/>
          <w:szCs w:val="24"/>
        </w:rPr>
        <w:t xml:space="preserve">The PoW consensus mechanism at difficulty 20 bits provides robust protection against double-spend attacks at current network scale. The commit-reveal mechanism for high-value claims adds protection against transaction-level frontrunning.</w:t>
      </w:r>
    </w:p>
    <w:p>
      <w:pPr>
        <w:pStyle w:val="Heading2"/>
        <w:spacing w:after="120" w:before="280"/>
      </w:pPr>
      <w:r>
        <w:rPr>
          <w:rFonts w:ascii="Arial" w:cs="Arial" w:eastAsia="Arial" w:hAnsi="Arial"/>
          <w:b/>
          <w:bCs/>
          <w:color w:val="2E5090"/>
          <w:sz w:val="26"/>
          <w:szCs w:val="26"/>
        </w:rPr>
        <w:t xml:space="preserve">13.3 Time-Lock Immutability</w:t>
      </w:r>
    </w:p>
    <w:p>
      <w:pPr>
        <w:spacing w:after="160" w:before="0"/>
        <w:jc w:val="both"/>
      </w:pPr>
      <w:r>
        <w:rPr>
          <w:rFonts w:ascii="Arial" w:cs="Arial" w:eastAsia="Arial" w:hAnsi="Arial"/>
          <w:sz w:val="24"/>
          <w:szCs w:val="24"/>
        </w:rPr>
        <w:t xml:space="preserve">Once created, a time-lock record is immutable on-chain with one deliberate exception: senders may specify a cancellation window. Once the cancellation window expires, the lock is permanently irrevocable.</w:t>
      </w:r>
    </w:p>
    <w:p>
      <w:pPr>
        <w:pStyle w:val="Heading2"/>
        <w:spacing w:after="120" w:before="280"/>
      </w:pPr>
      <w:r>
        <w:rPr>
          <w:rFonts w:ascii="Arial" w:cs="Arial" w:eastAsia="Arial" w:hAnsi="Arial"/>
          <w:b/>
          <w:bCs/>
          <w:color w:val="2E5090"/>
          <w:sz w:val="26"/>
          <w:szCs w:val="26"/>
        </w:rPr>
        <w:t xml:space="preserve">13.4 Email Lock Security</w:t>
      </w:r>
    </w:p>
    <w:p>
      <w:pPr>
        <w:spacing w:after="160" w:before="0"/>
        <w:jc w:val="both"/>
      </w:pPr>
      <w:r>
        <w:rPr>
          <w:rFonts w:ascii="Arial" w:cs="Arial" w:eastAsia="Arial" w:hAnsi="Arial"/>
          <w:sz w:val="24"/>
          <w:szCs w:val="24"/>
        </w:rPr>
        <w:t xml:space="preserve">Email locks use a two-layer security model: the recipient_email_hash identifies the intended recipient, while the claim_secret_hash provides proof of authorization. Neither the email address nor the claim secret is stored on any server. The 32-byte claim secret provides 256 bits of entropy, making brute-force attacks computationally infeasible.</w:t>
      </w:r>
    </w:p>
    <w:p>
      <w:pPr>
        <w:pStyle w:val="Heading2"/>
        <w:spacing w:after="120" w:before="280"/>
      </w:pPr>
      <w:r>
        <w:rPr>
          <w:rFonts w:ascii="Arial" w:cs="Arial" w:eastAsia="Arial" w:hAnsi="Arial"/>
          <w:b/>
          <w:bCs/>
          <w:color w:val="2E5090"/>
          <w:sz w:val="26"/>
          <w:szCs w:val="26"/>
        </w:rPr>
        <w:t xml:space="preserve">13.5 UTC Timestamp Integrity</w:t>
      </w:r>
    </w:p>
    <w:p>
      <w:pPr>
        <w:spacing w:after="160" w:before="0"/>
        <w:jc w:val="both"/>
      </w:pPr>
      <w:r>
        <w:rPr>
          <w:rFonts w:ascii="Arial" w:cs="Arial" w:eastAsia="Arial" w:hAnsi="Arial"/>
          <w:sz w:val="24"/>
          <w:szCs w:val="24"/>
        </w:rPr>
        <w:t xml:space="preserve">All timestamps on ChronX are UTC Unix timestamps, enforced at the protocol level. There is no timezone input, no timezone conversion, and no timezone ambiguity anywhere in the system.</w:t>
      </w:r>
    </w:p>
    <w:p>
      <w:pPr>
        <w:pStyle w:val="Heading1"/>
        <w:spacing w:after="160" w:before="400"/>
      </w:pPr>
      <w:r>
        <w:rPr>
          <w:rFonts w:ascii="Arial" w:cs="Arial" w:eastAsia="Arial" w:hAnsi="Arial"/>
          <w:b/>
          <w:bCs/>
          <w:color w:val="1F3864"/>
          <w:sz w:val="32"/>
          <w:szCs w:val="32"/>
        </w:rPr>
        <w:t xml:space="preserve">14. Vision: The Default Protocol for Future Payments</w:t>
      </w:r>
    </w:p>
    <w:p>
      <w:pPr>
        <w:spacing w:after="160" w:before="0"/>
        <w:jc w:val="both"/>
      </w:pPr>
      <w:r>
        <w:rPr>
          <w:rFonts w:ascii="Arial" w:cs="Arial" w:eastAsia="Arial" w:hAnsi="Arial"/>
          <w:sz w:val="24"/>
          <w:szCs w:val="24"/>
        </w:rPr>
        <w:t xml:space="preserve">In five years, the ChronX team envisions a world where sending value to the future is as normal as sending value today. A parent opens the ChronX wallet, locks 10,000 KX for their newborn, and knows — not hopes, but knows — that those funds will be there when the child turns 18.</w:t>
      </w:r>
    </w:p>
    <w:p>
      <w:pPr>
        <w:spacing w:after="160" w:before="0"/>
        <w:jc w:val="both"/>
      </w:pPr>
      <w:r>
        <w:rPr>
          <w:rFonts w:ascii="Arial" w:cs="Arial" w:eastAsia="Arial" w:hAnsi="Arial"/>
          <w:sz w:val="24"/>
          <w:szCs w:val="24"/>
        </w:rPr>
        <w:t xml:space="preserve">That world does not require ChronX to be the largest blockchain. It requires ChronX to be the most reliable one for this specific purpose. A protocol that does one thing — future payments — and does it better than anything else that has ever existed.</w:t>
      </w:r>
    </w:p>
    <w:p>
      <w:pPr>
        <w:spacing w:after="160" w:before="0"/>
        <w:jc w:val="both"/>
      </w:pPr>
      <w:r>
        <w:rPr>
          <w:rFonts w:ascii="Arial" w:cs="Arial" w:eastAsia="Arial" w:hAnsi="Arial"/>
          <w:i/>
          <w:iCs/>
          <w:color w:val="444444"/>
          <w:sz w:val="24"/>
          <w:szCs w:val="24"/>
        </w:rPr>
        <w:t xml:space="preserve">Every design decision is made with the question: will this still make sense in 50 years?</w:t>
      </w:r>
    </w:p>
    <w:p>
      <w:pPr>
        <w:pStyle w:val="Heading1"/>
        <w:spacing w:after="160" w:before="400"/>
      </w:pPr>
      <w:r>
        <w:rPr>
          <w:rFonts w:ascii="Arial" w:cs="Arial" w:eastAsia="Arial" w:hAnsi="Arial"/>
          <w:b/>
          <w:bCs/>
          <w:color w:val="1F3864"/>
          <w:sz w:val="32"/>
          <w:szCs w:val="32"/>
        </w:rPr>
        <w:t xml:space="preserve">15. 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Parameter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Language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Rust</w:t>
            </w:r>
          </w:p>
        </w:tc>
      </w:tr>
      <w:tr>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Consensus</w:t>
            </w:r>
          </w:p>
        </w:tc>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Proof of Work, SHA3-256, 20-bit difficulty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Structure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Directed Acyclic Graph (DAG)</w:t>
            </w:r>
          </w:p>
        </w:tc>
      </w:tr>
      <w:tr>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Cryptography</w:t>
            </w:r>
          </w:p>
        </w:tc>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CRYSTALS-Dilithium2 (NIST FIPS 204)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Post-quantum security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128-bit</w:t>
            </w:r>
          </w:p>
        </w:tc>
      </w:tr>
      <w:tr>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Public key size</w:t>
            </w:r>
          </w:p>
        </w:tc>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1,312 bytes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Signature 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2,420 bytes</w:t>
            </w:r>
          </w:p>
        </w:tc>
      </w:tr>
      <w:tr>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Account ID</w:t>
            </w:r>
          </w:p>
        </w:tc>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BLAKE3(public key), base58-encoded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Base unit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Grain (1 KX = 1,000,000 grains)</w:t>
            </w:r>
          </w:p>
        </w:tc>
      </w:tr>
      <w:tr>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Total supply</w:t>
            </w:r>
          </w:p>
        </w:tc>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8,270,000,000 KX (fixed)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Transaction fees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Zero, forever</w:t>
            </w:r>
          </w:p>
        </w:tc>
      </w:tr>
      <w:tr>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Networking</w:t>
            </w:r>
          </w:p>
        </w:tc>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libp2p (Kademlia DHT + gossip)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Storage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sled embedded key-value store</w:t>
            </w:r>
          </w:p>
        </w:tc>
      </w:tr>
      <w:tr>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RPC</w:t>
            </w:r>
          </w:p>
        </w:tc>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JSON-RPC 2.0, port 8545, prefix chronx_</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Genesis timestamp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2026-01-01 00:00:00 UTC</w:t>
            </w:r>
          </w:p>
        </w:tc>
      </w:tr>
      <w:tr>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Min lock duration</w:t>
            </w:r>
          </w:p>
        </w:tc>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1 second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Email claim window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72 hours (auto-revert to sender)</w:t>
            </w:r>
          </w:p>
        </w:tc>
      </w:tr>
      <w:tr>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Cancellation window</w:t>
            </w:r>
          </w:p>
        </w:tc>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val="false"/>
                <w:bCs w:val="false"/>
                <w:sz w:val="22"/>
                <w:szCs w:val="22"/>
              </w:rPr>
              <w:t xml:space="preserve">24 hours (locks ≥ 1 year)</w:t>
            </w:r>
          </w:p>
        </w:tc>
      </w:tr>
    </w:tbl>
    <w:p>
      <w:pPr>
        <w:pStyle w:val="Heading1"/>
        <w:spacing w:after="160" w:before="400"/>
      </w:pPr>
      <w:r>
        <w:rPr>
          <w:rFonts w:ascii="Arial" w:cs="Arial" w:eastAsia="Arial" w:hAnsi="Arial"/>
          <w:b/>
          <w:bCs/>
          <w:color w:val="1F3864"/>
          <w:sz w:val="32"/>
          <w:szCs w:val="32"/>
        </w:rPr>
        <w:t xml:space="preserve">16. Wallet Interface</w:t>
      </w:r>
    </w:p>
    <w:p>
      <w:pPr>
        <w:spacing w:after="160" w:before="0"/>
        <w:jc w:val="both"/>
      </w:pPr>
      <w:r>
        <w:rPr>
          <w:rFonts w:ascii="Arial" w:cs="Arial" w:eastAsia="Arial" w:hAnsi="Arial"/>
          <w:sz w:val="24"/>
          <w:szCs w:val="24"/>
        </w:rPr>
        <w:t xml:space="preserve">The ChronX wallet is available for Windows (desktop installer) and Android (APK). It provides a purpose-built interface for managing time-locks, viewing account balances, sending KX, and managing promises. Key features include PIN security, unified transaction history, QR code display, email-based sending with claim codes, Cascade Send, cold storage wallet generator, and Settings with node URL configuration.</w:t>
      </w:r>
    </w:p>
    <w:p>
      <w:pPr>
        <w:spacing w:after="160" w:before="0"/>
        <w:jc w:val="both"/>
      </w:pPr>
      <w:r>
        <w:rPr>
          <w:rFonts w:ascii="Arial" w:cs="Arial" w:eastAsia="Arial" w:hAnsi="Arial"/>
          <w:sz w:val="24"/>
          <w:szCs w:val="24"/>
        </w:rPr>
        <w:t xml:space="preserve">[ Wallet screenshots to be inserted in a future revision ]</w:t>
      </w:r>
    </w:p>
    <w:p>
      <w:pPr>
        <w:spacing w:after="160" w:before="0"/>
        <w:jc w:val="both"/>
      </w:pPr>
      <w:r>
        <w:rPr>
          <w:rFonts w:ascii="Arial" w:cs="Arial" w:eastAsia="Arial" w:hAnsi="Arial"/>
          <w:sz w:val="24"/>
          <w:szCs w:val="24"/>
        </w:rPr>
        <w:t xml:space="preserve">Download at: chronx.io/wallet</w:t>
      </w:r>
    </w:p>
    <w:p>
      <w:pPr>
        <w:pBdr>
          <w:bottom w:val="single" w:color="C9A84C" w:sz="4" w:space="1"/>
        </w:pBdr>
        <w:spacing w:after="160" w:before="160"/>
      </w:pPr>
      <w:r>
        <w:t xml:space="preserve"/>
      </w:r>
    </w:p>
    <w:p>
      <w:pPr>
        <w:pStyle w:val="Heading1"/>
        <w:spacing w:after="160" w:before="400"/>
      </w:pPr>
      <w:r>
        <w:rPr>
          <w:rFonts w:ascii="Arial" w:cs="Arial" w:eastAsia="Arial" w:hAnsi="Arial"/>
          <w:b/>
          <w:bCs/>
          <w:color w:val="1F3864"/>
          <w:sz w:val="32"/>
          <w:szCs w:val="32"/>
        </w:rPr>
        <w:t xml:space="preserve">Disclaimer</w:t>
      </w:r>
    </w:p>
    <w:p>
      <w:pPr>
        <w:spacing w:after="160" w:before="0"/>
        <w:jc w:val="both"/>
      </w:pPr>
      <w:r>
        <w:rPr>
          <w:rFonts w:ascii="Arial" w:cs="Arial" w:eastAsia="Arial" w:hAnsi="Arial"/>
          <w:sz w:val="24"/>
          <w:szCs w:val="24"/>
        </w:rPr>
        <w:t xml:space="preserve">This whitepaper is provided for informational purposes only. Nothing in this document constitutes financial advice, or a solicitation to purchase any token or security. KX is a utility token designed for use within the ChronX protocol. Past performance of any cryptocurrency is not indicative of future results.</w:t>
      </w:r>
    </w:p>
    <w:p>
      <w:pPr>
        <w:spacing w:after="160" w:before="0"/>
        <w:jc w:val="both"/>
      </w:pPr>
      <w:r>
        <w:rPr>
          <w:rFonts w:ascii="Arial" w:cs="Arial" w:eastAsia="Arial" w:hAnsi="Arial"/>
          <w:sz w:val="24"/>
          <w:szCs w:val="24"/>
        </w:rPr>
        <w:t xml:space="preserve">The ChronX protocol is under active development. Features described in this whitepaper as roadmap items are aspirational and subject to change. The team makes no guarantee of any specific timeline, feature delivery, or protocol outcome.</w:t>
      </w:r>
    </w:p>
    <w:p>
      <w:pPr>
        <w:spacing w:after="160" w:before="0"/>
        <w:jc w:val="both"/>
      </w:pPr>
      <w:r>
        <w:rPr>
          <w:rFonts w:ascii="Arial" w:cs="Arial" w:eastAsia="Arial" w:hAnsi="Arial"/>
          <w:sz w:val="24"/>
          <w:szCs w:val="24"/>
        </w:rPr>
        <w:t xml:space="preserve">Participation in any cryptocurrency ecosystem involves significant risk, including the risk of total loss. You should conduct your own due diligence and consult with qualified professionals before making any financial decisions. All timestamps referenced in this document are UTC (Coordinated Universal Time).</w:t>
      </w:r>
    </w:p>
    <w:p>
      <w:pPr>
        <w:spacing w:after="80" w:before="0"/>
      </w:pPr>
      <w:r>
        <w:t xml:space="preserve"/>
      </w:r>
    </w:p>
    <w:p>
      <w:pPr>
        <w:spacing w:after="80" w:before="160"/>
        <w:jc w:val="center"/>
      </w:pPr>
      <w:r>
        <w:rPr>
          <w:rFonts w:ascii="Arial" w:cs="Arial" w:eastAsia="Arial" w:hAnsi="Arial"/>
          <w:b/>
          <w:bCs/>
          <w:color w:val="1F3864"/>
          <w:sz w:val="24"/>
          <w:szCs w:val="24"/>
        </w:rPr>
        <w:t xml:space="preserve">ChronX — Financial commitment, built into the blockchain.</w:t>
      </w:r>
    </w:p>
    <w:p>
      <w:pPr>
        <w:spacing w:after="0" w:before="0"/>
        <w:jc w:val="center"/>
      </w:pPr>
      <w:r>
        <w:rPr>
          <w:rFonts w:ascii="Arial" w:cs="Arial" w:eastAsia="Arial" w:hAnsi="Arial"/>
          <w:color w:val="888888"/>
          <w:sz w:val="22"/>
          <w:szCs w:val="22"/>
        </w:rPr>
        <w:t xml:space="preserve">chronx.io  •  github.com/Counselco/chronx  •  March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ChronX Whitepaper v2.5  •  chronx.io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09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2026-03-04T11:33:43.128Z</dcterms:created>
  <dcterms:modified xsi:type="dcterms:W3CDTF">2026-03-04T11:33:43.129Z</dcterms:modified>
</cp:coreProperties>
</file>

<file path=docProps/custom.xml><?xml version="1.0" encoding="utf-8"?>
<Properties xmlns="http://schemas.openxmlformats.org/officeDocument/2006/custom-properties" xmlns:vt="http://schemas.openxmlformats.org/officeDocument/2006/docPropsVTypes"/>
</file>