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C654" w14:textId="77777777" w:rsidR="00656D0B" w:rsidRDefault="00656D0B"/>
    <w:p w14:paraId="313D7D3A" w14:textId="77777777" w:rsidR="00656D0B" w:rsidRDefault="00656D0B"/>
    <w:p w14:paraId="1EF9E573" w14:textId="77777777" w:rsidR="00656D0B" w:rsidRDefault="00656D0B"/>
    <w:p w14:paraId="73E43C46" w14:textId="77777777" w:rsidR="00656D0B" w:rsidRDefault="00000000">
      <w:pPr>
        <w:spacing w:after="240"/>
        <w:jc w:val="center"/>
      </w:pPr>
      <w:r>
        <w:rPr>
          <w:noProof/>
        </w:rPr>
        <w:drawing>
          <wp:inline distT="0" distB="0" distL="0" distR="0" wp14:anchorId="2CF6350D" wp14:editId="7C5E02C5">
            <wp:extent cx="34290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29000" cy="685800"/>
                    </a:xfrm>
                    <a:prstGeom prst="rect">
                      <a:avLst/>
                    </a:prstGeom>
                  </pic:spPr>
                </pic:pic>
              </a:graphicData>
            </a:graphic>
          </wp:inline>
        </w:drawing>
      </w:r>
    </w:p>
    <w:p w14:paraId="15E93EEC" w14:textId="77777777" w:rsidR="00656D0B" w:rsidRDefault="00000000">
      <w:pPr>
        <w:spacing w:after="80"/>
        <w:jc w:val="center"/>
      </w:pPr>
      <w:r>
        <w:rPr>
          <w:b/>
          <w:bCs/>
          <w:color w:val="C9A84C"/>
          <w:sz w:val="64"/>
          <w:szCs w:val="64"/>
        </w:rPr>
        <w:t>CHRONX PROTOCOL</w:t>
      </w:r>
    </w:p>
    <w:p w14:paraId="301F9005" w14:textId="77777777" w:rsidR="00656D0B" w:rsidRDefault="00000000">
      <w:pPr>
        <w:spacing w:after="80"/>
        <w:jc w:val="center"/>
      </w:pPr>
      <w:r>
        <w:rPr>
          <w:color w:val="2E3A5C"/>
          <w:sz w:val="32"/>
          <w:szCs w:val="32"/>
        </w:rPr>
        <w:t>Whitepaper v6.0</w:t>
      </w:r>
    </w:p>
    <w:p w14:paraId="45E4D0B4" w14:textId="77777777" w:rsidR="00656D0B" w:rsidRDefault="00000000">
      <w:pPr>
        <w:spacing w:after="160"/>
        <w:jc w:val="center"/>
      </w:pPr>
      <w:r>
        <w:rPr>
          <w:i/>
          <w:iCs/>
          <w:color w:val="666666"/>
          <w:sz w:val="28"/>
          <w:szCs w:val="28"/>
        </w:rPr>
        <w:t>The Future Payment Protocol</w:t>
      </w:r>
    </w:p>
    <w:p w14:paraId="76276EC4" w14:textId="77777777" w:rsidR="00656D0B" w:rsidRDefault="00656D0B">
      <w:pPr>
        <w:pBdr>
          <w:bottom w:val="single" w:sz="4" w:space="1" w:color="C9A84C"/>
        </w:pBdr>
        <w:spacing w:before="200" w:after="200"/>
      </w:pPr>
    </w:p>
    <w:p w14:paraId="61D14C30" w14:textId="77777777" w:rsidR="00656D0B" w:rsidRDefault="00000000">
      <w:pPr>
        <w:spacing w:before="160" w:after="80"/>
        <w:jc w:val="center"/>
      </w:pPr>
      <w:r>
        <w:rPr>
          <w:b/>
          <w:bCs/>
          <w:color w:val="000000"/>
          <w:sz w:val="28"/>
          <w:szCs w:val="28"/>
        </w:rPr>
        <w:t>The Ledger for Long-Horizon Human Promises</w:t>
      </w:r>
    </w:p>
    <w:p w14:paraId="3564B85C" w14:textId="77777777" w:rsidR="00656D0B" w:rsidRDefault="00000000">
      <w:pPr>
        <w:spacing w:after="240"/>
        <w:jc w:val="center"/>
      </w:pPr>
      <w:r>
        <w:rPr>
          <w:color w:val="666666"/>
        </w:rPr>
        <w:t>Genesis 10  •  Post-Quantum Cryptography  •  Zero Fees</w:t>
      </w:r>
    </w:p>
    <w:p w14:paraId="740182FA" w14:textId="77777777" w:rsidR="00656D0B" w:rsidRDefault="00656D0B"/>
    <w:p w14:paraId="790A9DB0" w14:textId="77777777" w:rsidR="00656D0B" w:rsidRDefault="00656D0B"/>
    <w:p w14:paraId="2750664B" w14:textId="77777777" w:rsidR="00656D0B" w:rsidRDefault="00000000">
      <w:pPr>
        <w:spacing w:after="80"/>
        <w:jc w:val="center"/>
      </w:pPr>
      <w:r>
        <w:rPr>
          <w:b/>
          <w:bCs/>
          <w:color w:val="C9A84C"/>
          <w:sz w:val="24"/>
          <w:szCs w:val="24"/>
        </w:rPr>
        <w:t>ICO: September 22, 2026  •  $0.00319 per KX</w:t>
      </w:r>
    </w:p>
    <w:p w14:paraId="527120BD" w14:textId="77777777" w:rsidR="00656D0B" w:rsidRDefault="00000000">
      <w:pPr>
        <w:jc w:val="center"/>
      </w:pPr>
      <w:r>
        <w:rPr>
          <w:color w:val="2E3A5C"/>
          <w:sz w:val="24"/>
          <w:szCs w:val="24"/>
        </w:rPr>
        <w:t>chronx.io</w:t>
      </w:r>
    </w:p>
    <w:p w14:paraId="5901D62A" w14:textId="77777777" w:rsidR="00656D0B" w:rsidRDefault="00656D0B"/>
    <w:p w14:paraId="3681EB7D" w14:textId="77777777" w:rsidR="00656D0B" w:rsidRDefault="00656D0B"/>
    <w:p w14:paraId="3133F945" w14:textId="77777777" w:rsidR="00656D0B" w:rsidRDefault="00656D0B"/>
    <w:p w14:paraId="31EEA442" w14:textId="77777777" w:rsidR="00656D0B" w:rsidRDefault="00656D0B"/>
    <w:p w14:paraId="2B2049CD" w14:textId="77777777" w:rsidR="00656D0B" w:rsidRDefault="00000000">
      <w:r>
        <w:br w:type="page"/>
      </w:r>
    </w:p>
    <w:p w14:paraId="10BBFE70" w14:textId="77777777" w:rsidR="00656D0B" w:rsidRDefault="00000000">
      <w:pPr>
        <w:pStyle w:val="Heading1"/>
      </w:pPr>
      <w:r>
        <w:lastRenderedPageBreak/>
        <w:t>1. Executive Summary</w:t>
      </w:r>
    </w:p>
    <w:p w14:paraId="171CD4AC" w14:textId="77777777" w:rsidR="00656D0B" w:rsidRDefault="00000000">
      <w:pPr>
        <w:spacing w:before="60" w:after="120"/>
        <w:jc w:val="both"/>
      </w:pPr>
      <w:r>
        <w:rPr>
          <w:color w:val="000000"/>
        </w:rPr>
        <w:t>ChronX is a purpose-built blockchain protocol designed for one thing: making financial promises that are enforced by the protocol itself. Whether a payment is due tomorrow or in one hundred years, ChronX ensures it arrives automatically, securely, and without fees.</w:t>
      </w:r>
    </w:p>
    <w:p w14:paraId="481796FC" w14:textId="77777777" w:rsidR="00656D0B" w:rsidRDefault="00000000">
      <w:pPr>
        <w:spacing w:before="60" w:after="120"/>
        <w:jc w:val="both"/>
      </w:pPr>
      <w:r>
        <w:rPr>
          <w:color w:val="000000"/>
        </w:rPr>
        <w:t>Unlike general-purpose blockchains retrofitted for payments, ChronX was built from the ground up for long-horizon financial obligations. Every element of the protocol — from post-quantum cryptography to the MISAI artificial intelligence layer — serves this single purpose.</w:t>
      </w:r>
    </w:p>
    <w:p w14:paraId="4C082CD8" w14:textId="77777777" w:rsidR="00656D0B" w:rsidRDefault="00000000">
      <w:pPr>
        <w:pBdr>
          <w:left w:val="single" w:sz="6" w:space="10" w:color="C9A84C"/>
        </w:pBdr>
        <w:spacing w:before="160" w:after="160"/>
        <w:ind w:left="720" w:right="720"/>
      </w:pPr>
      <w:r>
        <w:rPr>
          <w:i/>
          <w:iCs/>
          <w:color w:val="2E3A5C"/>
        </w:rPr>
        <w:t>"ChronX does not merely record that a promise was made. ChronX makes the promise inevitable."</w:t>
      </w:r>
    </w:p>
    <w:p w14:paraId="70AD3880" w14:textId="77777777" w:rsidR="00656D0B" w:rsidRDefault="00000000">
      <w:pPr>
        <w:spacing w:before="60" w:after="120"/>
        <w:jc w:val="both"/>
      </w:pPr>
      <w:r>
        <w:rPr>
          <w:b/>
          <w:bCs/>
          <w:color w:val="000000"/>
        </w:rPr>
        <w:t>Key facts:</w:t>
      </w:r>
    </w:p>
    <w:p w14:paraId="405D8521" w14:textId="77777777" w:rsidR="00656D0B" w:rsidRDefault="00000000">
      <w:pPr>
        <w:pStyle w:val="ListParagraph"/>
        <w:numPr>
          <w:ilvl w:val="0"/>
          <w:numId w:val="2"/>
        </w:numPr>
        <w:spacing w:before="40" w:after="40"/>
      </w:pPr>
      <w:r>
        <w:rPr>
          <w:b/>
          <w:bCs/>
        </w:rPr>
        <w:t>Fixed supply</w:t>
      </w:r>
      <w:r>
        <w:t>: 8,270,000,000 KX tokens. No inflation. Ever.</w:t>
      </w:r>
    </w:p>
    <w:p w14:paraId="5EC91BED" w14:textId="77777777" w:rsidR="00656D0B" w:rsidRDefault="00000000">
      <w:pPr>
        <w:pStyle w:val="ListParagraph"/>
        <w:numPr>
          <w:ilvl w:val="0"/>
          <w:numId w:val="2"/>
        </w:numPr>
        <w:spacing w:before="40" w:after="40"/>
      </w:pPr>
      <w:r>
        <w:rPr>
          <w:b/>
          <w:bCs/>
        </w:rPr>
        <w:t>Zero fees</w:t>
      </w:r>
      <w:r>
        <w:t>: Zero transaction fees on all transfers, promises, and loans.</w:t>
      </w:r>
    </w:p>
    <w:p w14:paraId="6441443D" w14:textId="77777777" w:rsidR="00656D0B" w:rsidRDefault="00000000">
      <w:pPr>
        <w:pStyle w:val="ListParagraph"/>
        <w:numPr>
          <w:ilvl w:val="0"/>
          <w:numId w:val="2"/>
        </w:numPr>
        <w:spacing w:before="40" w:after="40"/>
      </w:pPr>
      <w:r>
        <w:rPr>
          <w:b/>
          <w:bCs/>
        </w:rPr>
        <w:t>Post-quantum cryptography</w:t>
      </w:r>
      <w:r>
        <w:t>: CRYSTALS-Dilithium2 — secure against future quantum computers.</w:t>
      </w:r>
    </w:p>
    <w:p w14:paraId="36E3BCA4" w14:textId="77777777" w:rsidR="00656D0B" w:rsidRDefault="00000000">
      <w:pPr>
        <w:pStyle w:val="ListParagraph"/>
        <w:numPr>
          <w:ilvl w:val="0"/>
          <w:numId w:val="2"/>
        </w:numPr>
        <w:spacing w:before="40" w:after="40"/>
      </w:pPr>
      <w:r>
        <w:rPr>
          <w:b/>
          <w:bCs/>
        </w:rPr>
        <w:t>Time-locked payments</w:t>
      </w:r>
      <w:r>
        <w:t>: Schedule any payment from one second to one hundred years in the future.</w:t>
      </w:r>
    </w:p>
    <w:p w14:paraId="59C8A94E" w14:textId="77777777" w:rsidR="00656D0B" w:rsidRDefault="00000000">
      <w:pPr>
        <w:pStyle w:val="ListParagraph"/>
        <w:numPr>
          <w:ilvl w:val="0"/>
          <w:numId w:val="2"/>
        </w:numPr>
        <w:spacing w:before="40" w:after="40"/>
      </w:pPr>
      <w:r>
        <w:rPr>
          <w:b/>
          <w:bCs/>
        </w:rPr>
        <w:t>MISAI</w:t>
      </w:r>
      <w:r>
        <w:t>: The first AI loan servicer and investment mandate executor built into a blockchain protocol. Supports collateralized lending, escrow, and variable rate instruments.</w:t>
      </w:r>
    </w:p>
    <w:p w14:paraId="02140B5A" w14:textId="77777777" w:rsidR="00656D0B" w:rsidRDefault="00000000">
      <w:pPr>
        <w:pStyle w:val="ListParagraph"/>
        <w:numPr>
          <w:ilvl w:val="0"/>
          <w:numId w:val="2"/>
        </w:numPr>
        <w:spacing w:before="40" w:after="40"/>
      </w:pPr>
      <w:r>
        <w:rPr>
          <w:b/>
          <w:bCs/>
        </w:rPr>
        <w:t>Verifas</w:t>
      </w:r>
      <w:r>
        <w:t>: A human attestation layer for long-horizon delivery when original contact information is no longer valid.</w:t>
      </w:r>
    </w:p>
    <w:p w14:paraId="56043264" w14:textId="384218DD" w:rsidR="00656D0B" w:rsidRDefault="00000000">
      <w:pPr>
        <w:pStyle w:val="ListParagraph"/>
        <w:numPr>
          <w:ilvl w:val="0"/>
          <w:numId w:val="2"/>
        </w:numPr>
        <w:spacing w:before="40" w:after="40"/>
      </w:pPr>
      <w:r>
        <w:rPr>
          <w:b/>
          <w:bCs/>
        </w:rPr>
        <w:t>HedgeKX</w:t>
      </w:r>
      <w:r>
        <w:t>: A peer-to-peer currency risk marketplace connecting borrowers and KX holders.</w:t>
      </w:r>
    </w:p>
    <w:p w14:paraId="7A0E1718" w14:textId="0FC62F36" w:rsidR="00656D0B" w:rsidRDefault="00000000">
      <w:pPr>
        <w:pStyle w:val="ListParagraph"/>
        <w:numPr>
          <w:ilvl w:val="0"/>
          <w:numId w:val="2"/>
        </w:numPr>
        <w:spacing w:before="40" w:after="40"/>
      </w:pPr>
      <w:r>
        <w:rPr>
          <w:b/>
          <w:bCs/>
        </w:rPr>
        <w:t>ICO</w:t>
      </w:r>
      <w:r>
        <w:t>: An ICO open to accredited investors, with lesser amounts available via XChan for all participants.</w:t>
      </w:r>
    </w:p>
    <w:p w14:paraId="0998F2BA" w14:textId="77777777" w:rsidR="00656D0B" w:rsidRDefault="00000000">
      <w:r>
        <w:br w:type="page"/>
      </w:r>
    </w:p>
    <w:p w14:paraId="4BA4788D" w14:textId="77777777" w:rsidR="00656D0B" w:rsidRDefault="00000000">
      <w:pPr>
        <w:pStyle w:val="Heading1"/>
      </w:pPr>
      <w:r>
        <w:lastRenderedPageBreak/>
        <w:t>2. The Problem ChronX Solves</w:t>
      </w:r>
    </w:p>
    <w:p w14:paraId="7FB18ECA" w14:textId="77777777" w:rsidR="00656D0B" w:rsidRDefault="00000000">
      <w:pPr>
        <w:spacing w:before="60" w:after="120"/>
        <w:jc w:val="both"/>
      </w:pPr>
      <w:r>
        <w:rPr>
          <w:color w:val="000000"/>
        </w:rPr>
        <w:t>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14:paraId="59BFC5DB" w14:textId="77777777" w:rsidR="00656D0B" w:rsidRDefault="00000000">
      <w:pPr>
        <w:spacing w:before="60" w:after="120"/>
        <w:jc w:val="both"/>
      </w:pPr>
      <w:r>
        <w:rPr>
          <w:color w:val="000000"/>
        </w:rPr>
        <w:t>These promises share one vulnerability: they depend entirely on human institutions — banks, courts, lawyers, collection agencies — to enforce them. When those institutions fail, the promises fail.</w:t>
      </w:r>
    </w:p>
    <w:p w14:paraId="2D1640BF" w14:textId="77777777" w:rsidR="00656D0B" w:rsidRDefault="00000000">
      <w:pPr>
        <w:pStyle w:val="Heading2"/>
        <w:spacing w:before="280"/>
      </w:pPr>
      <w:r>
        <w:t>2.1 The Enforcement Gap</w:t>
      </w:r>
    </w:p>
    <w:p w14:paraId="49BE9F3A" w14:textId="312906C9" w:rsidR="00656D0B" w:rsidRDefault="00000000">
      <w:pPr>
        <w:spacing w:before="60" w:after="120"/>
        <w:jc w:val="both"/>
      </w:pPr>
      <w:r>
        <w:rPr>
          <w:color w:val="000000"/>
        </w:rPr>
        <w:t>Traditional finance enforces promises through intermediaries. Each intermediary adds cost, delay, and the possibility of failure. Some intermediaries can become inevitable.  But ChronX removes the traditional vectors for friction with on-chain promises. A promise made on ChronX executes itself. The protocol is the contract, the bank, and the enforcement layer — simultaneously. What happens in the world off-chain - subject to applicable law – cannot affect ChronX promise execution.</w:t>
      </w:r>
    </w:p>
    <w:p w14:paraId="30EF449F" w14:textId="77777777" w:rsidR="00656D0B" w:rsidRDefault="00000000">
      <w:pPr>
        <w:pStyle w:val="Heading2"/>
        <w:spacing w:before="280"/>
      </w:pPr>
      <w:r>
        <w:t>2.2 The Time Horizon Problem</w:t>
      </w:r>
    </w:p>
    <w:p w14:paraId="6628455A" w14:textId="39ACA72E" w:rsidR="00656D0B" w:rsidRDefault="00000000">
      <w:pPr>
        <w:spacing w:before="60" w:after="120"/>
        <w:jc w:val="both"/>
      </w:pPr>
      <w:r>
        <w:rPr>
          <w:color w:val="000000"/>
        </w:rPr>
        <w:t>Most blockchain technology focuses on speed: transactions confirmed in seconds. ChronX solves the opposite problem: promises that must be honored over decades. No existing blockchain was designed to manage a payment scheduled one hundred years in the future.  ChronX can, with the beneficiary verified by a bonded human attestor in cases where the protocol cannot obtain acknowledgement from the recipient.</w:t>
      </w:r>
    </w:p>
    <w:p w14:paraId="31F97360" w14:textId="77777777" w:rsidR="00656D0B" w:rsidRDefault="00000000">
      <w:r>
        <w:br w:type="page"/>
      </w:r>
    </w:p>
    <w:p w14:paraId="49CBF002" w14:textId="77777777" w:rsidR="00656D0B" w:rsidRDefault="00000000">
      <w:pPr>
        <w:pStyle w:val="Heading1"/>
      </w:pPr>
      <w:r>
        <w:lastRenderedPageBreak/>
        <w:t>3. The KX Token: A Utility, Not an Investment</w:t>
      </w:r>
    </w:p>
    <w:p w14:paraId="2FC3572B" w14:textId="77777777" w:rsidR="00656D0B" w:rsidRDefault="00000000">
      <w:pPr>
        <w:spacing w:before="60" w:after="120"/>
        <w:jc w:val="both"/>
      </w:pPr>
      <w:r>
        <w:rPr>
          <w:color w:val="000000"/>
        </w:rPr>
        <w:t>KX is the transport mechanism of the ChronX protocol. It is the fuel that moves value through time — not a speculative asset.</w:t>
      </w:r>
    </w:p>
    <w:p w14:paraId="73F3C94F" w14:textId="77777777" w:rsidR="00656D0B" w:rsidRDefault="00000000">
      <w:pPr>
        <w:pStyle w:val="Heading2"/>
        <w:spacing w:before="280"/>
      </w:pPr>
      <w:r>
        <w:t>3.1 What KX Does</w:t>
      </w:r>
    </w:p>
    <w:p w14:paraId="6A7EE0D8" w14:textId="77777777" w:rsidR="00656D0B" w:rsidRDefault="00000000">
      <w:pPr>
        <w:pStyle w:val="ListParagraph"/>
        <w:numPr>
          <w:ilvl w:val="0"/>
          <w:numId w:val="2"/>
        </w:numPr>
        <w:spacing w:before="40" w:after="40"/>
      </w:pPr>
      <w:r>
        <w:rPr>
          <w:b/>
          <w:bCs/>
        </w:rPr>
        <w:t>Transport</w:t>
      </w:r>
      <w:r>
        <w:t>: KX carries value from sender to recipient across time.</w:t>
      </w:r>
    </w:p>
    <w:p w14:paraId="2084B622" w14:textId="77777777" w:rsidR="00656D0B" w:rsidRDefault="00000000">
      <w:pPr>
        <w:pStyle w:val="ListParagraph"/>
        <w:numPr>
          <w:ilvl w:val="0"/>
          <w:numId w:val="2"/>
        </w:numPr>
        <w:spacing w:before="40" w:after="40"/>
      </w:pPr>
      <w:r>
        <w:rPr>
          <w:b/>
          <w:bCs/>
        </w:rPr>
        <w:t>Settlement</w:t>
      </w:r>
      <w:r>
        <w:t>: All ChronX promises are settled in KX.</w:t>
      </w:r>
    </w:p>
    <w:p w14:paraId="1E4BECE7" w14:textId="023E6147" w:rsidR="00656D0B" w:rsidRDefault="00000000">
      <w:pPr>
        <w:pStyle w:val="ListParagraph"/>
        <w:numPr>
          <w:ilvl w:val="0"/>
          <w:numId w:val="2"/>
        </w:numPr>
        <w:spacing w:before="40" w:after="40"/>
      </w:pPr>
      <w:r>
        <w:rPr>
          <w:b/>
          <w:bCs/>
        </w:rPr>
        <w:t>Governance</w:t>
      </w:r>
      <w:r>
        <w:t>: KX is used to pay for protocol services including MISAI (AI) mandates and Verifas attestations.</w:t>
      </w:r>
    </w:p>
    <w:p w14:paraId="61CC1662" w14:textId="77777777" w:rsidR="00656D0B" w:rsidRDefault="00000000">
      <w:pPr>
        <w:pStyle w:val="Heading2"/>
        <w:spacing w:before="280"/>
      </w:pPr>
      <w:r>
        <w:t>3.2 PAY_AS: The Universal Denomination System</w:t>
      </w:r>
    </w:p>
    <w:p w14:paraId="6D839DD7" w14:textId="77777777" w:rsidR="00656D0B" w:rsidRDefault="00000000">
      <w:pPr>
        <w:spacing w:before="60" w:after="120"/>
        <w:jc w:val="both"/>
      </w:pPr>
      <w:r>
        <w:rPr>
          <w:color w:val="000000"/>
        </w:rPr>
        <w:t>PAY_AS is ChronX's denomination primitive — an open field that records the currency intent of any promise or loan at creation time. PAY_AS accepts any currency code. Which codes are valid, and what oracle prices them, is determined entirely by Foundation governance — not by the protocol itself.</w:t>
      </w:r>
    </w:p>
    <w:p w14:paraId="6D4B450D" w14:textId="77777777" w:rsidR="00656D0B" w:rsidRDefault="00000000">
      <w:pPr>
        <w:spacing w:before="60" w:after="120"/>
        <w:jc w:val="both"/>
      </w:pPr>
      <w:r>
        <w:rPr>
          <w:color w:val="000000"/>
        </w:rPr>
        <w:t>This design is intentional and profound. ChronX is a 100-year protocol. Nobody knows what money looks like in 2126. The USD may not exist. The currencies dominant today may have been superseded, deprecated, or replaced. PAY_AS does not assume anything about the future of any specific currency. It records the grantor's intent — "denominate this in the value store the world recognizes at that time" — and defers the question of what that value store is to the governance layer that will exist when the promise matures.</w:t>
      </w:r>
    </w:p>
    <w:p w14:paraId="7BA4FEFA" w14:textId="77777777" w:rsidR="00656D0B" w:rsidRDefault="00000000">
      <w:pPr>
        <w:pBdr>
          <w:left w:val="single" w:sz="6" w:space="10" w:color="C9A84C"/>
        </w:pBdr>
        <w:spacing w:before="160" w:after="160"/>
        <w:ind w:left="720" w:right="720"/>
      </w:pPr>
      <w:r>
        <w:rPr>
          <w:i/>
          <w:iCs/>
          <w:color w:val="2E3A5C"/>
        </w:rPr>
        <w:t>"A promise denominated in any currency is still a promise. What that currency means at maturity is a question for governance — not for the protocol."</w:t>
      </w:r>
    </w:p>
    <w:p w14:paraId="03D6B562" w14:textId="77777777" w:rsidR="00656D0B" w:rsidRDefault="00000000">
      <w:pPr>
        <w:spacing w:before="60" w:after="120"/>
        <w:jc w:val="both"/>
      </w:pPr>
      <w:r>
        <w:rPr>
          <w:color w:val="000000"/>
        </w:rPr>
        <w:t>How PAY_AS works:</w:t>
      </w:r>
    </w:p>
    <w:p w14:paraId="5EF92E1E" w14:textId="77777777" w:rsidR="00656D0B" w:rsidRDefault="00000000">
      <w:pPr>
        <w:pStyle w:val="ListParagraph"/>
        <w:numPr>
          <w:ilvl w:val="0"/>
          <w:numId w:val="2"/>
        </w:numPr>
        <w:spacing w:before="40" w:after="40"/>
      </w:pPr>
      <w:r>
        <w:t>At creation, the grantor specifies a currency code and a timing preference (at creation or at maturity).</w:t>
      </w:r>
    </w:p>
    <w:p w14:paraId="186B139C" w14:textId="77777777" w:rsidR="00656D0B" w:rsidRDefault="00000000">
      <w:pPr>
        <w:pStyle w:val="ListParagraph"/>
        <w:numPr>
          <w:ilvl w:val="0"/>
          <w:numId w:val="2"/>
        </w:numPr>
        <w:spacing w:before="40" w:after="40"/>
      </w:pPr>
      <w:r>
        <w:t>The currency code is recorded immutably on the DAG. The protocol does not validate or restrict it.</w:t>
      </w:r>
    </w:p>
    <w:p w14:paraId="5EDC11ED" w14:textId="77777777" w:rsidR="00656D0B" w:rsidRDefault="00000000">
      <w:pPr>
        <w:pStyle w:val="ListParagraph"/>
        <w:numPr>
          <w:ilvl w:val="0"/>
          <w:numId w:val="2"/>
        </w:numPr>
        <w:spacing w:before="40" w:after="40"/>
      </w:pPr>
      <w:r>
        <w:t>At maturity, MISAI queries the governance oracle list for the current price of that currency code in KX.</w:t>
      </w:r>
    </w:p>
    <w:p w14:paraId="3BA88B29" w14:textId="77777777" w:rsidR="00656D0B" w:rsidRDefault="00000000">
      <w:pPr>
        <w:pStyle w:val="ListParagraph"/>
        <w:numPr>
          <w:ilvl w:val="0"/>
          <w:numId w:val="2"/>
        </w:numPr>
        <w:spacing w:before="40" w:after="40"/>
      </w:pPr>
      <w:r>
        <w:t>If the currency code is active: MISAI calculates the KX equivalent and settles.</w:t>
      </w:r>
    </w:p>
    <w:p w14:paraId="4BEF8A79" w14:textId="77777777" w:rsidR="00656D0B" w:rsidRDefault="00000000">
      <w:pPr>
        <w:pStyle w:val="ListParagraph"/>
        <w:numPr>
          <w:ilvl w:val="0"/>
          <w:numId w:val="2"/>
        </w:numPr>
        <w:spacing w:before="40" w:after="40"/>
      </w:pPr>
      <w:r>
        <w:t>If the currency code has been deprecated by governance: the oracle list contains a successor mapping and a conversion rate, approved by Foundation vote. MISAI follows the mapping.</w:t>
      </w:r>
    </w:p>
    <w:p w14:paraId="3FA010FC" w14:textId="77777777" w:rsidR="00656D0B" w:rsidRDefault="00000000">
      <w:pPr>
        <w:pStyle w:val="ListParagraph"/>
        <w:numPr>
          <w:ilvl w:val="0"/>
          <w:numId w:val="2"/>
        </w:numPr>
        <w:spacing w:before="40" w:after="40"/>
      </w:pPr>
      <w:r>
        <w:t>If no successor mapping exists: both parties are notified and may agree on a settlement amount manually.</w:t>
      </w:r>
    </w:p>
    <w:p w14:paraId="7AB862E5" w14:textId="77777777" w:rsidR="00656D0B" w:rsidRDefault="00000000">
      <w:pPr>
        <w:spacing w:before="60" w:after="120"/>
        <w:jc w:val="both"/>
      </w:pPr>
      <w:r>
        <w:rPr>
          <w:color w:val="000000"/>
        </w:rPr>
        <w:t>This architecture means a promise denominated in any currency today will find its way to settlement in whatever medium of exchange governance recognizes at maturity — even if that medium does not yet exist.</w:t>
      </w:r>
    </w:p>
    <w:p w14:paraId="0EB6D2BF" w14:textId="77777777" w:rsidR="00656D0B" w:rsidRDefault="00000000">
      <w:pPr>
        <w:pStyle w:val="Heading2"/>
        <w:spacing w:before="280"/>
      </w:pPr>
      <w:r>
        <w:t>3.3 Governance and the Oracle List</w:t>
      </w:r>
    </w:p>
    <w:p w14:paraId="16BF9E10" w14:textId="77777777" w:rsidR="00656D0B" w:rsidRDefault="00000000">
      <w:pPr>
        <w:spacing w:before="60" w:after="120"/>
        <w:jc w:val="both"/>
      </w:pPr>
      <w:r>
        <w:rPr>
          <w:color w:val="000000"/>
        </w:rPr>
        <w:t xml:space="preserve">The Foundation governance maintains an approved oracle list: a mapping of currency codes to price sources, updated by governance vote. Adding a new currency requires only a governance </w:t>
        <w:lastRenderedPageBreak/>
        <w:t>vote and a node upgrade — no protocol change, no new genesis. Deprecating a currency requires a governance vote specifying a successor mapping or a manual settlement path.</w:t>
      </w:r>
    </w:p>
    <w:p w14:paraId="501F99E3" w14:textId="77777777" w:rsidR="00656D0B" w:rsidRDefault="00000000">
      <w:pPr>
        <w:spacing w:before="60" w:after="120"/>
        <w:jc w:val="both"/>
      </w:pPr>
      <w:r>
        <w:rPr>
          <w:color w:val="000000"/>
        </w:rPr>
        <w:t>The minimum loan size — the floor below which a TYPE D Debt Instrument will not be accepted by nodes — is also a governance parameter. It is set and adjusted by Foundation vote, with nodes enforcing the current value. No amount is hardcoded at the protocol level.</w:t>
      </w:r>
    </w:p>
    <w:p w14:paraId="675F7DA4" w14:textId="77777777" w:rsidR="00656D0B" w:rsidRDefault="00000000">
      <w:pPr>
        <w:pStyle w:val="Heading2"/>
        <w:spacing w:before="280"/>
      </w:pPr>
      <w:r>
        <w:t>3.4 Regulatory Considerations</w:t>
      </w:r>
    </w:p>
    <w:p w14:paraId="5563F729" w14:textId="77777777" w:rsidR="00656D0B" w:rsidRDefault="00000000">
      <w:pPr>
        <w:spacing w:before="60" w:after="120"/>
        <w:jc w:val="both"/>
      </w:pPr>
      <w:r>
        <w:rPr>
          <w:color w:val="000000"/>
        </w:rPr>
        <w:t>ChronX has been designed with a utility-oriented architecture. The PAY_AS denomination system reflects this design intent: when obligations are denominated in an external currency and KX serves as the transport mechanism, participants may be indifferent to KX price fluctuations for those specific transactions. ChronX believes this design is consistent with the principles underlying utility token classification under frameworks such as SEC v. W.J. Howey Co. — however, ChronX does not provide legal or regulatory advice, makes no representation as to the regulatory status of KX in any jurisdiction, and strongly encourages all participants to seek independent legal counsel. The ICO is generally being offered to accredited investors, with de minimis access available to retail participants to explore the protocol via XChan.</w:t>
      </w:r>
    </w:p>
    <w:p w14:paraId="770DC006" w14:textId="77777777" w:rsidR="00656D0B" w:rsidRDefault="00000000">
      <w:r>
        <w:br w:type="page"/>
      </w:r>
    </w:p>
    <w:p w14:paraId="658CA81A" w14:textId="77777777" w:rsidR="00656D0B" w:rsidRDefault="00000000">
      <w:pPr>
        <w:pStyle w:val="Heading1"/>
      </w:pPr>
      <w:r>
        <w:lastRenderedPageBreak/>
        <w:t>4. Protocol Payment Types</w:t>
      </w:r>
    </w:p>
    <w:p w14:paraId="6019EC72" w14:textId="77777777" w:rsidR="00656D0B" w:rsidRDefault="00000000">
      <w:pPr>
        <w:spacing w:before="60" w:after="120"/>
        <w:jc w:val="both"/>
      </w:pPr>
      <w:r>
        <w:rPr>
          <w:color w:val="000000"/>
        </w:rPr>
        <w:t>ChronX supports ten payment types covering every category of financial obligation. Detailed real-world use cases are in Exhibit A. Plain-English explanations are in Exhibit B.</w:t>
      </w:r>
    </w:p>
    <w:p w14:paraId="5D90CD0B" w14:textId="77777777" w:rsidR="00656D0B" w:rsidRDefault="00656D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396"/>
        <w:gridCol w:w="6217"/>
      </w:tblGrid>
      <w:tr w:rsidR="00656D0B" w14:paraId="0652B143"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171713F6" w14:textId="77777777" w:rsidR="00656D0B" w:rsidRDefault="00000000">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6B658C99" w14:textId="77777777" w:rsidR="00656D0B" w:rsidRDefault="00000000">
            <w:r>
              <w:rPr>
                <w:b/>
                <w:bCs/>
                <w:color w:val="FFFFFF"/>
                <w:sz w:val="20"/>
                <w:szCs w:val="20"/>
              </w:rPr>
              <w:t>Name</w:t>
            </w:r>
          </w:p>
        </w:tc>
        <w:tc>
          <w:tcPr>
            <w:tcW w:w="624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31CFA752" w14:textId="77777777" w:rsidR="00656D0B" w:rsidRDefault="00000000">
            <w:r>
              <w:rPr>
                <w:b/>
                <w:bCs/>
                <w:color w:val="FFFFFF"/>
                <w:sz w:val="20"/>
                <w:szCs w:val="20"/>
              </w:rPr>
              <w:t>Description</w:t>
            </w:r>
          </w:p>
        </w:tc>
      </w:tr>
      <w:tr w:rsidR="00656D0B" w14:paraId="3167FE7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66FADB" w14:textId="77777777" w:rsidR="00656D0B" w:rsidRDefault="00000000">
            <w:pPr>
              <w:jc w:val="center"/>
            </w:pPr>
            <w:r>
              <w:rPr>
                <w:b/>
                <w:bCs/>
                <w:color w:val="C9A84C"/>
              </w:rPr>
              <w:t>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B28124" w14:textId="77777777" w:rsidR="00656D0B" w:rsidRDefault="00000000">
            <w:r>
              <w:rPr>
                <w:b/>
                <w:bCs/>
                <w:sz w:val="20"/>
                <w:szCs w:val="20"/>
              </w:rPr>
              <w:t>Transfer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13D42" w14:textId="77777777" w:rsidR="00656D0B" w:rsidRDefault="00000000">
            <w:r>
              <w:rPr>
                <w:sz w:val="20"/>
                <w:szCs w:val="20"/>
              </w:rPr>
              <w:t>Immediate KX transfer. Zero fees. Instant settlement.</w:t>
            </w:r>
          </w:p>
        </w:tc>
      </w:tr>
      <w:tr w:rsidR="00656D0B" w14:paraId="5081BED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9B08CD" w14:textId="77777777" w:rsidR="00656D0B" w:rsidRDefault="00000000">
            <w:pPr>
              <w:jc w:val="center"/>
            </w:pPr>
            <w:r>
              <w:rPr>
                <w:b/>
                <w:bCs/>
                <w:color w:val="C9A84C"/>
              </w:rPr>
              <w:t>I</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ADA94B" w14:textId="77777777" w:rsidR="00656D0B" w:rsidRDefault="00000000">
            <w:r>
              <w:rPr>
                <w:b/>
                <w:bCs/>
                <w:sz w:val="20"/>
                <w:szCs w:val="20"/>
              </w:rPr>
              <w:t>Invoice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446FCD" w14:textId="77777777" w:rsidR="00656D0B" w:rsidRDefault="00000000">
            <w:r>
              <w:rPr>
                <w:sz w:val="20"/>
                <w:szCs w:val="20"/>
              </w:rPr>
              <w:t>Recipient-gated payment request.</w:t>
            </w:r>
          </w:p>
        </w:tc>
      </w:tr>
      <w:tr w:rsidR="00656D0B" w14:paraId="275420B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846215" w14:textId="77777777" w:rsidR="00656D0B" w:rsidRDefault="00000000">
            <w:pPr>
              <w:jc w:val="center"/>
            </w:pPr>
            <w:r>
              <w:rPr>
                <w:b/>
                <w:bCs/>
                <w:color w:val="C9A84C"/>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B376C7" w14:textId="77777777" w:rsidR="00656D0B" w:rsidRDefault="00000000">
            <w:r>
              <w:rPr>
                <w:b/>
                <w:bCs/>
                <w:sz w:val="20"/>
                <w:szCs w:val="20"/>
              </w:rPr>
              <w:t>Credit Authorization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07E26" w14:textId="77777777" w:rsidR="00656D0B" w:rsidRDefault="00000000">
            <w:r>
              <w:rPr>
                <w:sz w:val="20"/>
                <w:szCs w:val="20"/>
              </w:rPr>
              <w:t>Pre-authorized variable draws up to a ceiling. Ideal for subscriptions.</w:t>
            </w:r>
          </w:p>
        </w:tc>
      </w:tr>
      <w:tr w:rsidR="00656D0B" w14:paraId="3FDEFD7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77ED10" w14:textId="77777777" w:rsidR="00656D0B" w:rsidRDefault="00000000">
            <w:pPr>
              <w:jc w:val="center"/>
            </w:pPr>
            <w:r>
              <w:rPr>
                <w:b/>
                <w:bCs/>
                <w:color w:val="C9A84C"/>
              </w:rPr>
              <w: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CE5DD2" w14:textId="77777777" w:rsidR="00656D0B" w:rsidRDefault="00000000">
            <w:r>
              <w:rPr>
                <w:b/>
                <w:bCs/>
                <w:sz w:val="20"/>
                <w:szCs w:val="20"/>
              </w:rPr>
              <w:t>Interest Bearing Deposit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2276B" w14:textId="77777777" w:rsidR="00656D0B" w:rsidRDefault="00000000">
            <w:r>
              <w:rPr>
                <w:sz w:val="20"/>
                <w:szCs w:val="20"/>
              </w:rPr>
              <w:t>Principal plus fixed interest obligation at maturity.</w:t>
            </w:r>
          </w:p>
        </w:tc>
      </w:tr>
      <w:tr w:rsidR="00656D0B" w14:paraId="075C2B4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AE0CDA" w14:textId="77777777" w:rsidR="00656D0B" w:rsidRDefault="00000000">
            <w:pPr>
              <w:jc w:val="center"/>
            </w:pPr>
            <w:r>
              <w:rPr>
                <w:b/>
                <w:bCs/>
                <w:color w:val="C9A84C"/>
              </w:rPr>
              <w:t>V</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2FEC7F" w14:textId="77777777" w:rsidR="00656D0B" w:rsidRDefault="00000000">
            <w:r>
              <w:rPr>
                <w:b/>
                <w:bCs/>
                <w:sz w:val="20"/>
                <w:szCs w:val="20"/>
              </w:rPr>
              <w:t>Conditional Validity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0B427" w14:textId="77777777" w:rsidR="00656D0B" w:rsidRDefault="00000000">
            <w:r>
              <w:rPr>
                <w:sz w:val="20"/>
                <w:szCs w:val="20"/>
              </w:rPr>
              <w:t>M-of-N attestor-released payment. Funds release only when conditions are verified.</w:t>
            </w:r>
          </w:p>
        </w:tc>
      </w:tr>
      <w:tr w:rsidR="00656D0B" w14:paraId="7B0EE0F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F577AB" w14:textId="77777777" w:rsidR="00656D0B" w:rsidRDefault="00000000">
            <w:pPr>
              <w:jc w:val="center"/>
            </w:pPr>
            <w:r>
              <w:rPr>
                <w:b/>
                <w:bCs/>
                <w:color w:val="C9A84C"/>
              </w:rPr>
              <w:t>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FCC764" w14:textId="77777777" w:rsidR="00656D0B" w:rsidRDefault="00000000">
            <w:r>
              <w:rPr>
                <w:b/>
                <w:bCs/>
                <w:sz w:val="20"/>
                <w:szCs w:val="20"/>
              </w:rPr>
              <w:t>Ledger Entry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A334D" w14:textId="77777777" w:rsidR="00656D0B" w:rsidRDefault="00000000">
            <w:r>
              <w:rPr>
                <w:sz w:val="20"/>
                <w:szCs w:val="20"/>
              </w:rPr>
              <w:t>Bonded agent identity verification and promise chain anchoring.</w:t>
            </w:r>
          </w:p>
        </w:tc>
      </w:tr>
      <w:tr w:rsidR="00656D0B" w14:paraId="63F3E71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DA702E" w14:textId="77777777" w:rsidR="00656D0B" w:rsidRDefault="00000000">
            <w:pPr>
              <w:jc w:val="center"/>
            </w:pPr>
            <w:r>
              <w:rPr>
                <w:b/>
                <w:bCs/>
                <w:color w:val="C9A84C"/>
              </w:rPr>
              <w:t>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0E4A96" w14:textId="77777777" w:rsidR="00656D0B" w:rsidRDefault="00000000">
            <w:r>
              <w:rPr>
                <w:b/>
                <w:bCs/>
                <w:sz w:val="20"/>
                <w:szCs w:val="20"/>
              </w:rPr>
              <w:t>Wallet Group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026F8" w14:textId="77777777" w:rsidR="00656D0B" w:rsidRDefault="00000000">
            <w:r>
              <w:rPr>
                <w:sz w:val="20"/>
                <w:szCs w:val="20"/>
              </w:rPr>
              <w:t>Multi-wallet group creation and management for coordinated payments.</w:t>
            </w:r>
          </w:p>
        </w:tc>
      </w:tr>
      <w:tr w:rsidR="00656D0B" w14:paraId="41B36A1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F42B1A" w14:textId="77777777" w:rsidR="00656D0B" w:rsidRDefault="00000000">
            <w:pPr>
              <w:jc w:val="center"/>
            </w:pPr>
            <w:r>
              <w:rPr>
                <w:b/>
                <w:bCs/>
                <w:color w:val="C9A84C"/>
              </w:rPr>
              <w:t>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265991" w14:textId="77777777" w:rsidR="00656D0B" w:rsidRDefault="00000000">
            <w:r>
              <w:rPr>
                <w:b/>
                <w:bCs/>
                <w:sz w:val="20"/>
                <w:szCs w:val="20"/>
              </w:rPr>
              <w:t>Payment Request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6D058" w14:textId="77777777" w:rsidR="00656D0B" w:rsidRDefault="00000000">
            <w:r>
              <w:rPr>
                <w:sz w:val="20"/>
                <w:szCs w:val="20"/>
              </w:rPr>
              <w:t>On-chain payment request with deep link support.</w:t>
            </w:r>
          </w:p>
        </w:tc>
      </w:tr>
      <w:tr w:rsidR="00656D0B" w14:paraId="11FF43B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F95E41" w14:textId="77777777" w:rsidR="00656D0B" w:rsidRDefault="00000000">
            <w:pPr>
              <w:jc w:val="center"/>
            </w:pPr>
            <w:r>
              <w:rPr>
                <w:b/>
                <w:bCs/>
                <w:color w:val="C9A84C"/>
              </w:rPr>
              <w:t>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A1A70C" w14:textId="77777777" w:rsidR="00656D0B" w:rsidRDefault="00000000">
            <w:r>
              <w:rPr>
                <w:b/>
                <w:bCs/>
                <w:sz w:val="20"/>
                <w:szCs w:val="20"/>
              </w:rPr>
              <w:t>MISAI Lock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2637B" w14:textId="77777777" w:rsidR="00656D0B" w:rsidRDefault="00000000">
            <w:r>
              <w:rPr>
                <w:sz w:val="20"/>
                <w:szCs w:val="20"/>
              </w:rPr>
              <w:t>AI-managed investment and loan mandate. MISAI executor withdraws investable tranche, manages it, and delivers proceeds at maturity.</w:t>
            </w:r>
          </w:p>
        </w:tc>
      </w:tr>
      <w:tr w:rsidR="00656D0B" w14:paraId="3B3531C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D5C21D" w14:textId="77777777" w:rsidR="00656D0B" w:rsidRDefault="00000000">
            <w:pPr>
              <w:jc w:val="center"/>
            </w:pPr>
            <w:r>
              <w:rPr>
                <w:b/>
                <w:bCs/>
                <w:color w:val="C9A84C"/>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8484F7" w14:textId="77777777" w:rsidR="00656D0B" w:rsidRDefault="00000000">
            <w:r>
              <w:rPr>
                <w:b/>
                <w:bCs/>
                <w:sz w:val="20"/>
                <w:szCs w:val="20"/>
              </w:rPr>
              <w:t>Debt Instrument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DB492" w14:textId="77777777" w:rsidR="00656D0B" w:rsidRDefault="00000000">
            <w:r>
              <w:rPr>
                <w:sz w:val="20"/>
                <w:szCs w:val="20"/>
              </w:rPr>
              <w:t>Structured loan with full payment schedule, PAY_AS denomination, and MISAI servicing.</w:t>
            </w:r>
          </w:p>
        </w:tc>
      </w:tr>
    </w:tbl>
    <w:p w14:paraId="02C2CEE6" w14:textId="77777777" w:rsidR="00656D0B" w:rsidRDefault="00000000">
      <w:r>
        <w:br w:type="page"/>
      </w:r>
    </w:p>
    <w:p w14:paraId="068804DB" w14:textId="77777777" w:rsidR="00656D0B" w:rsidRDefault="00000000">
      <w:pPr>
        <w:pStyle w:val="Heading1"/>
      </w:pPr>
      <w:r>
        <w:lastRenderedPageBreak/>
        <w:t>5. ChronX as Credit Infrastructure</w:t>
      </w:r>
    </w:p>
    <w:p w14:paraId="2B2EFAFD" w14:textId="77777777" w:rsidR="00656D0B" w:rsidRDefault="00000000">
      <w:pPr>
        <w:spacing w:before="60" w:after="120"/>
        <w:jc w:val="both"/>
      </w:pPr>
      <w:r>
        <w:rPr>
          <w:color w:val="000000"/>
        </w:rPr>
        <w:t>ChronX is not a lending protocol. It does not create credit. What ChronX provides is the enforcement infrastructure for any credit agreement that humans choose to make.</w:t>
      </w:r>
    </w:p>
    <w:p w14:paraId="445F7393" w14:textId="77777777" w:rsidR="00656D0B" w:rsidRDefault="00000000">
      <w:pPr>
        <w:pBdr>
          <w:left w:val="single" w:sz="6" w:space="10" w:color="C9A84C"/>
        </w:pBdr>
        <w:spacing w:before="160" w:after="160"/>
        <w:ind w:left="720" w:right="720"/>
      </w:pPr>
      <w:r>
        <w:rPr>
          <w:i/>
          <w:iCs/>
          <w:color w:val="2E3A5C"/>
        </w:rPr>
        <w:t>"ChronX does not create credit. ChronX makes the repayment of credit inevitable — on-chain."</w:t>
      </w:r>
    </w:p>
    <w:p w14:paraId="1CE1976C" w14:textId="77777777" w:rsidR="00656D0B" w:rsidRDefault="00000000">
      <w:pPr>
        <w:pStyle w:val="Heading2"/>
        <w:spacing w:before="280"/>
      </w:pPr>
      <w:r>
        <w:t>5.1 How a Loan Works on ChronX</w:t>
      </w:r>
    </w:p>
    <w:p w14:paraId="157AD145" w14:textId="77777777" w:rsidR="00656D0B" w:rsidRDefault="00000000">
      <w:pPr>
        <w:spacing w:before="60" w:after="120"/>
        <w:jc w:val="both"/>
      </w:pPr>
      <w:r>
        <w:rPr>
          <w:color w:val="000000"/>
        </w:rPr>
        <w:t>Every loan on ChronX follows the same two-step protocol. First, the lender creates a signed loan offer. Second, the borrower reviews the terms and accepts or declines. Only after both parties have signed does the loan become active. Neither party can impose a loan on the other. This applies without exception — personal loans, corporate credit lines, gaming credit lines, and AI micro-loans all require an offer and an acceptance.</w:t>
      </w:r>
    </w:p>
    <w:p w14:paraId="23BAFF09" w14:textId="77777777" w:rsidR="00656D0B" w:rsidRDefault="00000000">
      <w:pPr>
        <w:spacing w:before="60" w:after="120"/>
        <w:jc w:val="both"/>
      </w:pPr>
      <w:r>
        <w:rPr>
          <w:color w:val="000000"/>
        </w:rPr>
        <w:t>Once active, the node enforces the payment schedule automatically. Payments received are recorded permanently. A missed payment beyond the grace period generates a DefaultRecord — a permanent, public, cryptographically signed record of the default. The node does this automatically. No human servicer is required for enforcement.</w:t>
      </w:r>
    </w:p>
    <w:p w14:paraId="57D6D43C" w14:textId="77777777" w:rsidR="00656D0B" w:rsidRDefault="00000000">
      <w:pPr>
        <w:spacing w:before="60" w:after="120"/>
        <w:jc w:val="both"/>
      </w:pPr>
      <w:r>
        <w:rPr>
          <w:color w:val="000000"/>
        </w:rPr>
        <w:t>The complete loan history — every payment, every default, every resolution — lives permanently on the blockchain. A future lender querying a wallet address sees the unedited truth. Every loan offer, acceptance, payment, and exit is cryptographically signed and timestamped. Nothing can be backdated or disputed.</w:t>
      </w:r>
    </w:p>
    <w:p w14:paraId="6798E513" w14:textId="77777777" w:rsidR="00656D0B" w:rsidRDefault="00000000">
      <w:pPr>
        <w:pStyle w:val="Heading2"/>
        <w:spacing w:before="280"/>
      </w:pPr>
      <w:r>
        <w:t>5.2 Loan Types and Authorized Payers</w:t>
      </w:r>
    </w:p>
    <w:p w14:paraId="6F98FD97" w14:textId="77777777" w:rsidR="00656D0B" w:rsidRDefault="00000000">
      <w:pPr>
        <w:spacing w:before="60" w:after="120"/>
        <w:jc w:val="both"/>
      </w:pPr>
      <w:r>
        <w:rPr>
          <w:color w:val="000000"/>
        </w:rPr>
        <w:t>ChronX supports two fundamental loan structures. A fixed-term loan encodes a complete payment schedule at creation — each payment amount and due date is immutable. A revolving loan renews automatically at each period (daily, weekly, or any interval the parties choose) until either party exits with notice, a rate cap is exceeded, or an oracle condition fails. Both types begin with an offer and an acceptance. Both are enforced identically by the node. The technical specifications for each loan type are in Technical Addendum A.</w:t>
      </w:r>
    </w:p>
    <w:p w14:paraId="5B457514" w14:textId="77777777" w:rsidR="00656D0B" w:rsidRDefault="00000000">
      <w:pPr>
        <w:spacing w:before="60" w:after="120"/>
        <w:jc w:val="both"/>
      </w:pPr>
      <w:r>
        <w:rPr>
          <w:color w:val="000000"/>
        </w:rPr>
        <w:t>Any loan may designate authorized payers — third parties permitted to make payments on behalf of the borrower. Each authorized payer is recorded on-chain at loan creation with an optional role description — Spouse, Estate Executor, Corporate Treasury — that serves as a permanent audit record. The authorized payer list can be updated after creation with both parties' signatures via LoanPayerUpdate. The lender may also require that payments come exclusively from authorized addresses — the PaymentSourcePolicy::Restricted setting causes the node to automatically reject and return any payment from an unauthorized sender.</w:t>
      </w:r>
    </w:p>
    <w:p w14:paraId="12A95769" w14:textId="77777777" w:rsidR="00656D0B" w:rsidRDefault="00000000">
      <w:pPr>
        <w:pStyle w:val="Heading2"/>
        <w:spacing w:before="280"/>
      </w:pPr>
      <w:r>
        <w:t>5.3 Payment Schedule Flexibility</w:t>
      </w:r>
    </w:p>
    <w:p w14:paraId="058B1424" w14:textId="77777777" w:rsidR="00656D0B" w:rsidRDefault="00656D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56D0B" w14:paraId="6A1972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905702" w14:textId="77777777" w:rsidR="00656D0B" w:rsidRDefault="00000000">
            <w:r>
              <w:rPr>
                <w:b/>
                <w:bCs/>
                <w:sz w:val="20"/>
                <w:szCs w:val="20"/>
              </w:rPr>
              <w:t>Bullet Loan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6CED5" w14:textId="77777777" w:rsidR="00656D0B" w:rsidRDefault="00000000">
            <w:r>
              <w:rPr>
                <w:sz w:val="20"/>
                <w:szCs w:val="20"/>
              </w:rPr>
              <w:t>Full principal and interest due at maturity.</w:t>
            </w:r>
          </w:p>
        </w:tc>
      </w:tr>
      <w:tr w:rsidR="00656D0B" w14:paraId="76EE95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48CB5E" w14:textId="77777777" w:rsidR="00656D0B" w:rsidRDefault="00000000">
            <w:r>
              <w:rPr>
                <w:b/>
                <w:bCs/>
                <w:sz w:val="20"/>
                <w:szCs w:val="20"/>
              </w:rPr>
              <w:t>Interest Only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EBF53" w14:textId="77777777" w:rsidR="00656D0B" w:rsidRDefault="00000000">
            <w:r>
              <w:rPr>
                <w:sz w:val="20"/>
                <w:szCs w:val="20"/>
              </w:rPr>
              <w:t>Periodic interest with full principal due at maturity.</w:t>
            </w:r>
          </w:p>
        </w:tc>
      </w:tr>
      <w:tr w:rsidR="00656D0B" w14:paraId="11BCAC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E8C68E" w14:textId="77777777" w:rsidR="00656D0B" w:rsidRDefault="00000000">
            <w:r>
              <w:rPr>
                <w:b/>
                <w:bCs/>
                <w:sz w:val="20"/>
                <w:szCs w:val="20"/>
              </w:rPr>
              <w:t>Amortizing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1604A3" w14:textId="77777777" w:rsidR="00656D0B" w:rsidRDefault="00000000">
            <w:r>
              <w:rPr>
                <w:sz w:val="20"/>
                <w:szCs w:val="20"/>
              </w:rPr>
              <w:t>Equal periodic payments covering principal and interest.</w:t>
            </w:r>
          </w:p>
        </w:tc>
      </w:tr>
      <w:tr w:rsidR="00656D0B" w14:paraId="06329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419234" w14:textId="77777777" w:rsidR="00656D0B" w:rsidRDefault="00000000">
            <w:r>
              <w:rPr>
                <w:b/>
                <w:bCs/>
                <w:sz w:val="20"/>
                <w:szCs w:val="20"/>
              </w:rPr>
              <w:t>Custom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29389" w14:textId="77777777" w:rsidR="00656D0B" w:rsidRDefault="00000000">
            <w:r>
              <w:rPr>
                <w:sz w:val="20"/>
                <w:szCs w:val="20"/>
              </w:rPr>
              <w:t>Any combination of dates and amounts. Grace periods, balloon payments.</w:t>
            </w:r>
          </w:p>
        </w:tc>
      </w:tr>
      <w:tr w:rsidR="00656D0B" w14:paraId="3730CF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ACA663" w14:textId="77777777" w:rsidR="00656D0B" w:rsidRDefault="00000000">
            <w:r>
              <w:rPr>
                <w:b/>
                <w:bCs/>
                <w:sz w:val="20"/>
                <w:szCs w:val="20"/>
              </w:rPr>
              <w:lastRenderedPageBreak/>
              <w:t>High Frequency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7803A7" w14:textId="77777777" w:rsidR="00656D0B" w:rsidRDefault="00000000">
            <w:r>
              <w:rPr>
                <w:sz w:val="20"/>
                <w:szCs w:val="20"/>
              </w:rPr>
              <w:t>Payments every hour, minute, or second. For AI agent settlement.</w:t>
            </w:r>
          </w:p>
        </w:tc>
      </w:tr>
    </w:tbl>
    <w:p w14:paraId="66922D16" w14:textId="77777777" w:rsidR="00656D0B" w:rsidRDefault="00656D0B"/>
    <w:p w14:paraId="10D89071" w14:textId="77777777" w:rsidR="00656D0B" w:rsidRDefault="00000000">
      <w:pPr>
        <w:pStyle w:val="Heading2"/>
        <w:spacing w:before="280"/>
      </w:pPr>
      <w:r>
        <w:t>5.3 DefaultRecord and the LenderMemo System</w:t>
      </w:r>
    </w:p>
    <w:p w14:paraId="5F2A04A8" w14:textId="77777777" w:rsidR="00656D0B" w:rsidRDefault="00000000">
      <w:pPr>
        <w:spacing w:before="60" w:after="120"/>
        <w:jc w:val="both"/>
      </w:pPr>
      <w:r>
        <w:rPr>
          <w:color w:val="000000"/>
        </w:rPr>
        <w:t>When a loan defaults, The node publishes a DefaultRecord to the DAG — a permanent, publicly visible record of the date, amounts, and outstanding balance. Like all blockchain data, this record is immutable. ChronX does not delete or modify data, any more than any public ledger deletes a transaction.</w:t>
      </w:r>
    </w:p>
    <w:p w14:paraId="6A01976A" w14:textId="77777777" w:rsidR="00656D0B" w:rsidRDefault="00000000">
      <w:pPr>
        <w:spacing w:before="60" w:after="120"/>
        <w:jc w:val="both"/>
      </w:pPr>
      <w:r>
        <w:rPr>
          <w:color w:val="000000"/>
        </w:rPr>
        <w:t>ChronX recognizes that the story of a loan rarely ends at default. To support the full lifecycle — including court-ordered resolutions, negotiated settlements, and debt rehabilitation — ChronX provides the LenderMemo system: a signed, on-chain annotation that the original lender may attach to any DefaultRecord.</w:t>
      </w:r>
    </w:p>
    <w:p w14:paraId="5A1ABD69" w14:textId="77777777" w:rsidR="00656D0B" w:rsidRDefault="00000000">
      <w:pPr>
        <w:spacing w:before="60" w:after="120"/>
        <w:jc w:val="both"/>
      </w:pPr>
      <w:r>
        <w:rPr>
          <w:color w:val="000000"/>
        </w:rPr>
        <w:t>A LenderMemo is one annotation per DefaultRecord, signed by the original lender wallet. It adds a permanent second chapter to the same story — a court order, a negotiated settlement, a rehabilitation record. The DefaultRecord is never removed. The full annotated history is always visible. Nothing is hidden; nothing is erased; and nothing goes unacknowledged.</w:t>
      </w:r>
    </w:p>
    <w:p w14:paraId="4EE1414E" w14:textId="77777777" w:rsidR="00656D0B" w:rsidRDefault="00000000">
      <w:pPr>
        <w:spacing w:before="60" w:after="120"/>
        <w:jc w:val="both"/>
      </w:pPr>
      <w:r>
        <w:rPr>
          <w:color w:val="000000"/>
        </w:rPr>
        <w:t>This architecture is the correct response to right-to-be-forgotten concerns: ChronX is a public ledger, not a data controller. The appropriate response to a court order regarding an on-chain default record is annotation, not deletion. LenderMemo is that annotation layer.</w:t>
      </w:r>
    </w:p>
    <w:p w14:paraId="32933736" w14:textId="77777777" w:rsidR="00656D0B" w:rsidRDefault="00000000">
      <w:pPr>
        <w:pStyle w:val="Heading2"/>
        <w:spacing w:before="280"/>
      </w:pPr>
      <w:r>
        <w:t>5.4 Reinstatement, Write-Off, and Early Payoff</w:t>
      </w:r>
    </w:p>
    <w:p w14:paraId="54B9DF58" w14:textId="77777777" w:rsidR="00656D0B" w:rsidRDefault="00000000">
      <w:pPr>
        <w:spacing w:before="60" w:after="120"/>
        <w:jc w:val="both"/>
      </w:pPr>
      <w:r>
        <w:rPr>
          <w:color w:val="000000"/>
        </w:rPr>
        <w:t>A defaulted loan may be reinstated at any time if both parties agree — no time limit. Courts may order reinstatement years after the original default; both parties sign a LoanReinstatement transaction and MISAI resumes monitoring. A lender may unilaterally write off a defaulted loan; the LoanWriteOff record provides cryptographically signed documentation suitable for tax filings. Early payoff terms are encoded at loan creation.</w:t>
      </w:r>
    </w:p>
    <w:p w14:paraId="79BA0CCE" w14:textId="77777777" w:rsidR="00656D0B" w:rsidRDefault="00000000">
      <w:pPr>
        <w:pStyle w:val="Heading2"/>
        <w:spacing w:before="280"/>
      </w:pPr>
      <w:r>
        <w:t>5.5 Late Fee Schedules</w:t>
      </w:r>
    </w:p>
    <w:p w14:paraId="718A32DE" w14:textId="77777777" w:rsidR="00656D0B" w:rsidRDefault="00000000">
      <w:pPr>
        <w:spacing w:before="60" w:after="120"/>
        <w:jc w:val="both"/>
      </w:pPr>
      <w:r>
        <w:rPr>
          <w:color w:val="000000"/>
        </w:rPr>
        <w:t>Late fees are encoded at loan creation: None; Flat Fee; or Tiered Escalating, freezing at default. No surprise fees.</w:t>
      </w:r>
    </w:p>
    <w:p w14:paraId="5DCE6E8D" w14:textId="77777777" w:rsidR="00656D0B" w:rsidRDefault="00000000">
      <w:r>
        <w:br w:type="page"/>
      </w:r>
    </w:p>
    <w:p w14:paraId="5373F375" w14:textId="77777777" w:rsidR="00656D0B" w:rsidRDefault="00000000">
      <w:pPr>
        <w:pStyle w:val="Heading1"/>
      </w:pPr>
      <w:r>
        <w:lastRenderedPageBreak/>
        <w:t>6. Currency Risk and HedgeX</w:t>
      </w:r>
    </w:p>
    <w:p w14:paraId="224FC059" w14:textId="77777777" w:rsidR="00656D0B" w:rsidRDefault="00000000">
      <w:pPr>
        <w:pStyle w:val="Heading2"/>
        <w:spacing w:before="280"/>
      </w:pPr>
      <w:r>
        <w:t>6.1 The MISAI Oracle</w:t>
      </w:r>
    </w:p>
    <w:p w14:paraId="6892DEEF" w14:textId="77777777" w:rsidR="00656D0B" w:rsidRDefault="00000000">
      <w:pPr>
        <w:spacing w:before="60" w:after="120"/>
        <w:jc w:val="both"/>
      </w:pPr>
      <w:r>
        <w:rPr>
          <w:color w:val="000000"/>
        </w:rPr>
        <w:t>MISAI maintains a real-time price oracle sourced from the protocol's liquidity infrastructure. A 7-day moving average, updated every six hours, provides manipulation-resistant price data for PAY_AS calculations and HedgeX settlements. The oracle supports any currency code approved by Foundation governance. If the oracle is unavailable at maturity, ChronX retries every six hours for three days before notifying both parties to agree on settlement terms.</w:t>
      </w:r>
    </w:p>
    <w:p w14:paraId="657F7766" w14:textId="77777777" w:rsidR="00656D0B" w:rsidRDefault="00000000">
      <w:pPr>
        <w:spacing w:before="60" w:after="120"/>
        <w:jc w:val="both"/>
      </w:pPr>
      <w:r>
        <w:rPr>
          <w:color w:val="000000"/>
        </w:rPr>
        <w:t>Note: The reliability of PAY_AS calculations depends on adequate liquidity for the relevant trading pair. ChronX is committed to building and maintaining liquidity infrastructure as a protocol priority.</w:t>
      </w:r>
    </w:p>
    <w:p w14:paraId="66147891" w14:textId="77777777" w:rsidR="00656D0B" w:rsidRDefault="00000000">
      <w:pPr>
        <w:pStyle w:val="Heading2"/>
        <w:spacing w:before="280"/>
      </w:pPr>
      <w:r>
        <w:t>6.2 HedgeX: The Peer-to-Peer Hedge Marketplace</w:t>
      </w:r>
    </w:p>
    <w:p w14:paraId="3A623DD3" w14:textId="77777777" w:rsidR="00656D0B" w:rsidRDefault="00000000">
      <w:pPr>
        <w:spacing w:before="60" w:after="120"/>
        <w:jc w:val="both"/>
      </w:pPr>
      <w:r>
        <w:rPr>
          <w:color w:val="000000"/>
        </w:rPr>
        <w:t>HedgeX connects parties seeking currency risk protection with KX holders willing to provide it. ChronX does not issue, underwrite, guarantee, or take positions in any hedge contract. All contracts are directly between participants. HedgeX is backed by a 10,000,000 KX performance bond.</w:t>
      </w:r>
    </w:p>
    <w:p w14:paraId="65EA97C0" w14:textId="77777777" w:rsidR="00656D0B" w:rsidRDefault="00000000">
      <w:pPr>
        <w:pStyle w:val="ListParagraph"/>
        <w:numPr>
          <w:ilvl w:val="0"/>
          <w:numId w:val="2"/>
        </w:numPr>
        <w:spacing w:before="40" w:after="40"/>
      </w:pPr>
      <w:r>
        <w:t>A party posts a hedge campaign specifying the coverage needed and the premium offered.</w:t>
      </w:r>
    </w:p>
    <w:p w14:paraId="73CC8141" w14:textId="77777777" w:rsidR="00656D0B" w:rsidRDefault="00000000">
      <w:pPr>
        <w:pStyle w:val="ListParagraph"/>
        <w:numPr>
          <w:ilvl w:val="0"/>
          <w:numId w:val="2"/>
        </w:numPr>
        <w:spacing w:before="40" w:after="40"/>
      </w:pPr>
      <w:r>
        <w:t>KX holders pledge any amount to fund the campaign.</w:t>
      </w:r>
    </w:p>
    <w:p w14:paraId="07879905" w14:textId="77777777" w:rsidR="00656D0B" w:rsidRDefault="00000000">
      <w:pPr>
        <w:pStyle w:val="ListParagraph"/>
        <w:numPr>
          <w:ilvl w:val="0"/>
          <w:numId w:val="2"/>
        </w:numPr>
        <w:spacing w:before="40" w:after="40"/>
      </w:pPr>
      <w:r>
        <w:t>Campaign reaches threshold: hedge funded, transaction proceeds.</w:t>
      </w:r>
    </w:p>
    <w:p w14:paraId="780618C6" w14:textId="77777777" w:rsidR="00656D0B" w:rsidRDefault="00000000">
      <w:pPr>
        <w:pStyle w:val="ListParagraph"/>
        <w:numPr>
          <w:ilvl w:val="0"/>
          <w:numId w:val="2"/>
        </w:numPr>
        <w:spacing w:before="40" w:after="40"/>
      </w:pPr>
      <w:r>
        <w:t>Campaign fails threshold: all pledges returned automatically. No funds lost.</w:t>
      </w:r>
    </w:p>
    <w:p w14:paraId="1CF15A78" w14:textId="77777777" w:rsidR="00656D0B" w:rsidRDefault="00000000">
      <w:pPr>
        <w:pStyle w:val="ListParagraph"/>
        <w:numPr>
          <w:ilvl w:val="0"/>
          <w:numId w:val="2"/>
        </w:numPr>
        <w:spacing w:before="40" w:after="40"/>
      </w:pPr>
      <w:r>
        <w:t>MISAI monitors the hedge and distributes premiums automatically on schedule.</w:t>
      </w:r>
    </w:p>
    <w:p w14:paraId="72286EDB" w14:textId="77777777" w:rsidR="00656D0B" w:rsidRDefault="00000000">
      <w:pPr>
        <w:pBdr>
          <w:left w:val="single" w:sz="6" w:space="10" w:color="C9A84C"/>
        </w:pBdr>
        <w:spacing w:before="160" w:after="160"/>
        <w:ind w:left="720" w:right="720"/>
      </w:pPr>
      <w:r>
        <w:rPr>
          <w:i/>
          <w:iCs/>
          <w:color w:val="2E3A5C"/>
        </w:rPr>
        <w:t>"For the first time in financial history, the tools of institutional currency risk management are available to every human with a wallet."</w:t>
      </w:r>
    </w:p>
    <w:p w14:paraId="1431A96B" w14:textId="77777777" w:rsidR="00656D0B" w:rsidRDefault="00000000">
      <w:r>
        <w:br w:type="page"/>
      </w:r>
    </w:p>
    <w:p w14:paraId="503D2A0A" w14:textId="77777777" w:rsidR="00656D0B" w:rsidRDefault="00000000">
      <w:pPr>
        <w:pStyle w:val="Heading1"/>
      </w:pPr>
      <w:r>
        <w:lastRenderedPageBreak/>
        <w:t>7. MISAI: The AI Executor Layer</w:t>
      </w:r>
    </w:p>
    <w:p w14:paraId="55829600" w14:textId="77777777" w:rsidR="00656D0B" w:rsidRDefault="00000000">
      <w:pPr>
        <w:spacing w:before="60" w:after="120"/>
        <w:jc w:val="both"/>
      </w:pPr>
      <w:r>
        <w:rPr>
          <w:color w:val="000000"/>
        </w:rPr>
        <w:t>MISAI is the artificial intelligence layer of the ChronX protocol — the first AI system purpose-built to manage long-horizon financial obligations on a blockchain. MISAI is backed by a 10,000,000 KX performance bond.</w:t>
      </w:r>
    </w:p>
    <w:p w14:paraId="0DC16C13" w14:textId="77777777" w:rsidR="00656D0B" w:rsidRDefault="00000000">
      <w:pPr>
        <w:pBdr>
          <w:left w:val="single" w:sz="6" w:space="10" w:color="C9A84C"/>
        </w:pBdr>
        <w:spacing w:before="160" w:after="160"/>
        <w:ind w:left="720" w:right="720"/>
      </w:pPr>
      <w:r>
        <w:rPr>
          <w:i/>
          <w:iCs/>
          <w:color w:val="2E3A5C"/>
        </w:rPr>
        <w:t>"Axiom IV — Separation: The agent that decides does not hold funds. The agent that holds does not decide."</w:t>
      </w:r>
    </w:p>
    <w:p w14:paraId="505BC1DC" w14:textId="77777777" w:rsidR="00656D0B" w:rsidRDefault="00000000">
      <w:pPr>
        <w:spacing w:before="60" w:after="120"/>
        <w:jc w:val="both"/>
      </w:pPr>
      <w:r>
        <w:rPr>
          <w:color w:val="000000"/>
        </w:rPr>
        <w:t>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14:paraId="6B28EE29" w14:textId="77777777" w:rsidR="00656D0B" w:rsidRDefault="00000000">
      <w:pPr>
        <w:pStyle w:val="Heading2"/>
        <w:spacing w:before="280"/>
      </w:pPr>
      <w:r>
        <w:t>7.1 How a TYPE M Lock Works</w:t>
      </w:r>
    </w:p>
    <w:p w14:paraId="1C45818C" w14:textId="77777777" w:rsidR="00656D0B" w:rsidRDefault="00000000">
      <w:pPr>
        <w:pStyle w:val="ListParagraph"/>
        <w:numPr>
          <w:ilvl w:val="0"/>
          <w:numId w:val="2"/>
        </w:numPr>
        <w:spacing w:before="40" w:after="40"/>
      </w:pPr>
      <w:r>
        <w:t>Grantor creates a TYPE M lock specifying the investable fraction, management mandate, and beneficiary.</w:t>
      </w:r>
    </w:p>
    <w:p w14:paraId="3187AC01" w14:textId="77777777" w:rsidR="00656D0B" w:rsidRDefault="00000000">
      <w:pPr>
        <w:pStyle w:val="ListParagraph"/>
        <w:numPr>
          <w:ilvl w:val="0"/>
          <w:numId w:val="2"/>
        </w:numPr>
        <w:spacing w:before="40" w:after="40"/>
      </w:pPr>
      <w:r>
        <w:t>KX is locked on the DAG. It does not move at creation.</w:t>
      </w:r>
    </w:p>
    <w:p w14:paraId="3CDE7B87" w14:textId="77777777" w:rsidR="00656D0B" w:rsidRDefault="00000000">
      <w:pPr>
        <w:pStyle w:val="ListParagraph"/>
        <w:numPr>
          <w:ilvl w:val="0"/>
          <w:numId w:val="2"/>
        </w:numPr>
        <w:spacing w:before="40" w:after="40"/>
      </w:pPr>
      <w:r>
        <w:t>MISAI queries the blockchain for TYPE M locks it is authorized to manage.</w:t>
      </w:r>
    </w:p>
    <w:p w14:paraId="3E35C9BA" w14:textId="77777777" w:rsidR="00656D0B" w:rsidRDefault="00000000">
      <w:pPr>
        <w:pStyle w:val="ListParagraph"/>
        <w:numPr>
          <w:ilvl w:val="0"/>
          <w:numId w:val="2"/>
        </w:numPr>
        <w:spacing w:before="40" w:after="40"/>
      </w:pPr>
      <w:r>
        <w:t>MISAI's bonded executor wallet requests and receives the investable tranche from the protocol.</w:t>
      </w:r>
    </w:p>
    <w:p w14:paraId="3088BCB0" w14:textId="77777777" w:rsidR="00656D0B" w:rsidRDefault="00000000">
      <w:pPr>
        <w:pStyle w:val="ListParagraph"/>
        <w:numPr>
          <w:ilvl w:val="0"/>
          <w:numId w:val="2"/>
        </w:numPr>
        <w:spacing w:before="40" w:after="40"/>
      </w:pPr>
      <w:r>
        <w:t>MISAI converts to a stable medium of exchange and executes the investment mandate autonomously.</w:t>
      </w:r>
    </w:p>
    <w:p w14:paraId="08BB76CB" w14:textId="77777777" w:rsidR="00656D0B" w:rsidRDefault="00000000">
      <w:pPr>
        <w:pStyle w:val="ListParagraph"/>
        <w:numPr>
          <w:ilvl w:val="0"/>
          <w:numId w:val="2"/>
        </w:numPr>
        <w:spacing w:before="40" w:after="40"/>
      </w:pPr>
      <w:r>
        <w:t>At maturity, MISAI reconverts proceeds to KX and delivers to the beneficiary wallet.</w:t>
      </w:r>
    </w:p>
    <w:p w14:paraId="1AC90ED5" w14:textId="77777777" w:rsidR="00656D0B" w:rsidRDefault="00000000">
      <w:pPr>
        <w:pStyle w:val="ListParagraph"/>
        <w:numPr>
          <w:ilvl w:val="0"/>
          <w:numId w:val="2"/>
        </w:numPr>
        <w:spacing w:before="40" w:after="40"/>
      </w:pPr>
      <w:r>
        <w:t>The non-investable fraction (if any) remains locked and delivers as a standard time-lock.</w:t>
      </w:r>
    </w:p>
    <w:p w14:paraId="2E4AC6FD" w14:textId="77777777" w:rsidR="00656D0B" w:rsidRDefault="00000000">
      <w:pPr>
        <w:pStyle w:val="ListParagraph"/>
        <w:numPr>
          <w:ilvl w:val="0"/>
          <w:numId w:val="2"/>
        </w:numPr>
        <w:spacing w:before="40" w:after="40"/>
      </w:pPr>
      <w:r>
        <w:t>Every MISAI decision is committed to the permanent public record before execution — per Axiom II (Transparency).</w:t>
      </w:r>
    </w:p>
    <w:p w14:paraId="05C0A7F0" w14:textId="77777777" w:rsidR="00656D0B" w:rsidRDefault="00000000">
      <w:pPr>
        <w:pStyle w:val="Heading2"/>
        <w:spacing w:before="280"/>
      </w:pPr>
      <w:r>
        <w:t>7.2 MISAI as Loan Servicer</w:t>
      </w:r>
    </w:p>
    <w:p w14:paraId="4AF7555D" w14:textId="77777777" w:rsidR="00656D0B" w:rsidRDefault="00000000">
      <w:pPr>
        <w:spacing w:before="60" w:after="120"/>
        <w:jc w:val="both"/>
      </w:pPr>
      <w:r>
        <w:rPr>
          <w:color w:val="000000"/>
        </w:rPr>
        <w:t>The node monitors payment schedules, sends pre-payment reminders, calculates late fees according to the governance-approved oracle, publishes DefaultRecords at grace period end, reactivates on LoanReinstatement, and publishes LoanCompletion records. MISAI does not pursue borrowers, enforce legal obligations, or act as an arbiter.</w:t>
      </w:r>
    </w:p>
    <w:p w14:paraId="0D92ACF3" w14:textId="77777777" w:rsidR="00656D0B" w:rsidRDefault="00000000">
      <w:pPr>
        <w:pStyle w:val="Heading2"/>
        <w:spacing w:before="280"/>
      </w:pPr>
      <w:r>
        <w:t>7.3 MISAI as Investment Executor</w:t>
      </w:r>
    </w:p>
    <w:p w14:paraId="4F01A9CA" w14:textId="77777777" w:rsidR="00656D0B" w:rsidRDefault="00000000">
      <w:pPr>
        <w:spacing w:before="60" w:after="120"/>
        <w:jc w:val="both"/>
      </w:pPr>
      <w:r>
        <w:rPr>
          <w:color w:val="000000"/>
        </w:rPr>
        <w:t>Investors encode a mandate specifying risk tolerance, target allocation, and return expectations. MISAI executes autonomously, subject to the six AI Agent Axioms. MISAI is not a human financial advisor. It executes instructions. The MISAI investment platform is domiciled in El Salvador.</w:t>
      </w:r>
    </w:p>
    <w:p w14:paraId="0DDB771D" w14:textId="77777777" w:rsidR="00656D0B" w:rsidRDefault="00000000">
      <w:pPr>
        <w:pStyle w:val="Heading2"/>
        <w:spacing w:before="280"/>
      </w:pPr>
      <w:r>
        <w:t>7.4 The Oracle System</w:t>
      </w:r>
    </w:p>
    <w:p w14:paraId="37754703" w14:textId="77777777" w:rsidR="00656D0B" w:rsidRDefault="00000000">
      <w:pPr>
        <w:spacing w:before="60" w:after="120"/>
        <w:jc w:val="both"/>
      </w:pPr>
      <w:r>
        <w:rPr>
          <w:color w:val="000000"/>
        </w:rPr>
        <w:t>MISAI maintains real-time price oracles for all governance-approved currency codes. A 7-day moving average, updated every six hours, provides manipulation-resistant price data for PAY_AS calculations, late fee computation, and HedgeX settlements. Oracle sources and approved currency codes are governed by the Foundation and enforced by nodes.</w:t>
      </w:r>
    </w:p>
    <w:p w14:paraId="29320FC3" w14:textId="77777777" w:rsidR="00656D0B" w:rsidRDefault="00000000">
      <w:r>
        <w:lastRenderedPageBreak/>
        <w:br w:type="page"/>
      </w:r>
    </w:p>
    <w:p w14:paraId="0093853C" w14:textId="77777777" w:rsidR="00656D0B" w:rsidRDefault="00000000">
      <w:pPr>
        <w:pStyle w:val="Heading1"/>
      </w:pPr>
      <w:r>
        <w:lastRenderedPageBreak/>
        <w:t>8. Verifas: The Human Attestation Layer</w:t>
      </w:r>
    </w:p>
    <w:p w14:paraId="366AF6A9" w14:textId="77777777" w:rsidR="00656D0B" w:rsidRDefault="00000000">
      <w:pPr>
        <w:spacing w:before="60" w:after="120"/>
        <w:jc w:val="both"/>
      </w:pPr>
      <w:r>
        <w:rPr>
          <w:color w:val="000000"/>
        </w:rPr>
        <w:t>Verifas solves one specific problem: what happens when a long-horizon promise matures and the original contact information for the recipient is no longer valid? Verifas is backed by a 10,000,000 KX performance bond.</w:t>
      </w:r>
    </w:p>
    <w:p w14:paraId="40857D26" w14:textId="77777777" w:rsidR="00656D0B" w:rsidRDefault="00000000">
      <w:pPr>
        <w:pBdr>
          <w:left w:val="single" w:sz="6" w:space="10" w:color="C9A84C"/>
        </w:pBdr>
        <w:spacing w:before="160" w:after="160"/>
        <w:ind w:left="720" w:right="720"/>
      </w:pPr>
      <w:r>
        <w:rPr>
          <w:i/>
          <w:iCs/>
          <w:color w:val="2E3A5C"/>
        </w:rPr>
        <w:t>"Verifas does one thing: confirms that this person, at this wallet address, is the intended recipient of a promise made long ago."</w:t>
      </w:r>
    </w:p>
    <w:p w14:paraId="5C1EF23F" w14:textId="77777777" w:rsidR="00656D0B" w:rsidRDefault="00000000">
      <w:pPr>
        <w:spacing w:before="60" w:after="120"/>
        <w:jc w:val="both"/>
      </w:pPr>
      <w:r>
        <w:rPr>
          <w:color w:val="000000"/>
        </w:rPr>
        <w:t>Verifas is not a dispute resolution service. It does not enforce obligations or adjudicate claims. It is an identity attestation service for long-horizon promises — nothing more.</w:t>
      </w:r>
    </w:p>
    <w:p w14:paraId="2A4033C1" w14:textId="77777777" w:rsidR="00656D0B" w:rsidRDefault="00000000">
      <w:pPr>
        <w:pStyle w:val="Heading2"/>
        <w:spacing w:before="280"/>
      </w:pPr>
      <w:r>
        <w:t>8.1 The Beneficiary Context System</w:t>
      </w:r>
    </w:p>
    <w:p w14:paraId="7C0E36EC" w14:textId="77777777" w:rsidR="00656D0B" w:rsidRDefault="00000000">
      <w:pPr>
        <w:spacing w:before="60" w:after="120"/>
        <w:jc w:val="both"/>
      </w:pPr>
      <w:r>
        <w:rPr>
          <w:color w:val="000000"/>
        </w:rPr>
        <w:t>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elapses without delivery. Mobile wallets support promises up to one year. Desktop wallets support promises of any duration.</w:t>
      </w:r>
    </w:p>
    <w:p w14:paraId="485DE456" w14:textId="77777777" w:rsidR="00656D0B" w:rsidRDefault="00000000">
      <w:r>
        <w:br w:type="page"/>
      </w:r>
    </w:p>
    <w:p w14:paraId="550D8099" w14:textId="77777777" w:rsidR="00656D0B" w:rsidRDefault="00000000">
      <w:pPr>
        <w:pStyle w:val="Heading1"/>
      </w:pPr>
      <w:r>
        <w:lastRenderedPageBreak/>
        <w:t>9. The Promise and AI Agent Axioms</w:t>
      </w:r>
    </w:p>
    <w:p w14:paraId="020B40C2" w14:textId="77777777" w:rsidR="00656D0B" w:rsidRDefault="00000000">
      <w:pPr>
        <w:spacing w:before="60" w:after="120"/>
        <w:jc w:val="both"/>
      </w:pPr>
      <w:r>
        <w:rPr>
          <w:color w:val="000000"/>
        </w:rPr>
        <w:t>Two sets of axioms govern ChronX. Both are encoded immutably at genesis and cannot be altered by any person, governance body, or software update.</w:t>
      </w:r>
    </w:p>
    <w:p w14:paraId="04BFF76C" w14:textId="77777777" w:rsidR="00656D0B" w:rsidRDefault="00000000">
      <w:pPr>
        <w:pStyle w:val="Heading2"/>
        <w:spacing w:before="280"/>
      </w:pPr>
      <w:r>
        <w:t>9.1 The Promise Axioms</w:t>
      </w:r>
    </w:p>
    <w:p w14:paraId="53838C67" w14:textId="77777777" w:rsidR="00656D0B" w:rsidRDefault="00000000">
      <w:pPr>
        <w:pStyle w:val="ListParagraph"/>
        <w:numPr>
          <w:ilvl w:val="0"/>
          <w:numId w:val="2"/>
        </w:numPr>
        <w:spacing w:before="40" w:after="40"/>
      </w:pPr>
      <w:r>
        <w:rPr>
          <w:b/>
          <w:bCs/>
        </w:rPr>
        <w:t>Intent Is the Master</w:t>
      </w:r>
      <w:r>
        <w:t>: The grantor's intent is the master. Once a promise is made and the cancellation window closes, it is irrevocable.</w:t>
      </w:r>
    </w:p>
    <w:p w14:paraId="78AE35A7" w14:textId="77777777" w:rsidR="00656D0B" w:rsidRDefault="00000000">
      <w:pPr>
        <w:pStyle w:val="ListParagraph"/>
        <w:numPr>
          <w:ilvl w:val="0"/>
          <w:numId w:val="2"/>
        </w:numPr>
        <w:spacing w:before="40" w:after="40"/>
      </w:pPr>
      <w:r>
        <w:rPr>
          <w:b/>
          <w:bCs/>
        </w:rPr>
        <w:t>Funds Are Never Lost</w:t>
      </w:r>
      <w:r>
        <w:t>: Promised funds are never lost. Unclaimed within 90 days of maturity: held by the Verified Delivery Protocol. Unclaimed for 100 years beyond maturity: transferred to the Humanity Stake.</w:t>
      </w:r>
    </w:p>
    <w:p w14:paraId="4E4D4E50" w14:textId="77777777" w:rsidR="00656D0B" w:rsidRDefault="00000000">
      <w:pPr>
        <w:pStyle w:val="ListParagraph"/>
        <w:numPr>
          <w:ilvl w:val="0"/>
          <w:numId w:val="2"/>
        </w:numPr>
        <w:spacing w:before="40" w:after="40"/>
      </w:pPr>
      <w:r>
        <w:rPr>
          <w:b/>
          <w:bCs/>
        </w:rPr>
        <w:t>The Protocol Enforces Delivery</w:t>
      </w:r>
      <w:r>
        <w:t>: No custodian, no lawyer, no intermediary is required for a promise between a sender and a reachable recipient. The blockchain is the contract.</w:t>
      </w:r>
    </w:p>
    <w:p w14:paraId="06C23CA4" w14:textId="77777777" w:rsidR="00656D0B" w:rsidRDefault="00000000">
      <w:pPr>
        <w:pStyle w:val="ListParagraph"/>
        <w:numPr>
          <w:ilvl w:val="0"/>
          <w:numId w:val="2"/>
        </w:numPr>
        <w:spacing w:before="40" w:after="40"/>
      </w:pPr>
      <w:r>
        <w:rPr>
          <w:b/>
          <w:bCs/>
        </w:rPr>
        <w:t>The Law</w:t>
      </w:r>
      <w:r>
        <w:t>: All promises and their fulfillment remain subject to the laws of applicable jurisdictions.</w:t>
      </w:r>
    </w:p>
    <w:p w14:paraId="649D106E" w14:textId="77777777" w:rsidR="00656D0B" w:rsidRDefault="00000000">
      <w:pPr>
        <w:pStyle w:val="Heading2"/>
        <w:spacing w:before="280"/>
      </w:pPr>
      <w:r>
        <w:t>9.2 The AI Agent Axioms</w:t>
      </w:r>
    </w:p>
    <w:p w14:paraId="788C3648" w14:textId="77777777" w:rsidR="00656D0B" w:rsidRDefault="00000000">
      <w:pPr>
        <w:pStyle w:val="ListParagraph"/>
        <w:numPr>
          <w:ilvl w:val="0"/>
          <w:numId w:val="2"/>
        </w:numPr>
        <w:spacing w:before="40" w:after="40"/>
      </w:pPr>
      <w:r>
        <w:rPr>
          <w:b/>
          <w:bCs/>
        </w:rPr>
        <w:t>Mandate</w:t>
      </w:r>
      <w:r>
        <w:t>: The grantor's intent, once encoded, is carried forward by autonomous software. Algorithms may evolve. The intent does not.</w:t>
      </w:r>
    </w:p>
    <w:p w14:paraId="360B5EB2" w14:textId="77777777" w:rsidR="00656D0B" w:rsidRDefault="00000000">
      <w:pPr>
        <w:pStyle w:val="ListParagraph"/>
        <w:numPr>
          <w:ilvl w:val="0"/>
          <w:numId w:val="2"/>
        </w:numPr>
        <w:spacing w:before="40" w:after="40"/>
      </w:pPr>
      <w:r>
        <w:rPr>
          <w:b/>
          <w:bCs/>
        </w:rPr>
        <w:t>Transparency</w:t>
      </w:r>
      <w:r>
        <w:t>: An AI agent must commit to a permanent public record before acting. Every decision is publicly verifiable.</w:t>
      </w:r>
    </w:p>
    <w:p w14:paraId="6D3C93ED" w14:textId="77777777" w:rsidR="00656D0B" w:rsidRDefault="00000000">
      <w:pPr>
        <w:pStyle w:val="ListParagraph"/>
        <w:numPr>
          <w:ilvl w:val="0"/>
          <w:numId w:val="2"/>
        </w:numPr>
        <w:spacing w:before="40" w:after="40"/>
      </w:pPr>
      <w:r>
        <w:rPr>
          <w:b/>
          <w:bCs/>
        </w:rPr>
        <w:t>Risk</w:t>
      </w:r>
      <w:r>
        <w:t>: The grantor acknowledges that AI management may result in gains or losses up to and including total loss.</w:t>
      </w:r>
    </w:p>
    <w:p w14:paraId="4803CCF4" w14:textId="77777777" w:rsidR="00656D0B" w:rsidRDefault="00000000">
      <w:pPr>
        <w:pStyle w:val="ListParagraph"/>
        <w:numPr>
          <w:ilvl w:val="0"/>
          <w:numId w:val="2"/>
        </w:numPr>
        <w:spacing w:before="40" w:after="40"/>
      </w:pPr>
      <w:r>
        <w:rPr>
          <w:b/>
          <w:bCs/>
        </w:rPr>
        <w:t>Separation</w:t>
      </w:r>
      <w:r>
        <w:t>: The agent that decides does not hold funds. The agent that holds does not decide.</w:t>
      </w:r>
    </w:p>
    <w:p w14:paraId="54DA8F2C" w14:textId="77777777" w:rsidR="00656D0B" w:rsidRDefault="00000000">
      <w:pPr>
        <w:pStyle w:val="ListParagraph"/>
        <w:numPr>
          <w:ilvl w:val="0"/>
          <w:numId w:val="2"/>
        </w:numPr>
        <w:spacing w:before="40" w:after="40"/>
      </w:pPr>
      <w:r>
        <w:rPr>
          <w:b/>
          <w:bCs/>
        </w:rPr>
        <w:t>Coordination</w:t>
      </w:r>
      <w:r>
        <w:t>: Before acting, an agent must account for the aggregate effect of similarly situated agents acting on similar instructions.</w:t>
      </w:r>
    </w:p>
    <w:p w14:paraId="5FB35F5A" w14:textId="77777777" w:rsidR="00656D0B" w:rsidRDefault="00000000">
      <w:pPr>
        <w:pStyle w:val="ListParagraph"/>
        <w:numPr>
          <w:ilvl w:val="0"/>
          <w:numId w:val="2"/>
        </w:numPr>
        <w:spacing w:before="40" w:after="40"/>
      </w:pPr>
      <w:r>
        <w:rPr>
          <w:b/>
          <w:bCs/>
        </w:rPr>
        <w:t>The Law</w:t>
      </w:r>
      <w:r>
        <w:t>: All agent actions, mandates, and their fulfillment remain subject to the laws of applicable jurisdictions.</w:t>
      </w:r>
    </w:p>
    <w:p w14:paraId="7F5DEDC3" w14:textId="77777777" w:rsidR="00656D0B" w:rsidRDefault="00000000">
      <w:r>
        <w:br w:type="page"/>
      </w:r>
    </w:p>
    <w:p w14:paraId="51774B86" w14:textId="77777777" w:rsidR="00656D0B" w:rsidRDefault="00000000">
      <w:pPr>
        <w:pStyle w:val="Heading1"/>
      </w:pPr>
      <w:r>
        <w:lastRenderedPageBreak/>
        <w:t>10. Tokenomics</w:t>
      </w:r>
    </w:p>
    <w:p w14:paraId="68992CEB" w14:textId="77777777" w:rsidR="00656D0B" w:rsidRDefault="00000000">
      <w:pPr>
        <w:spacing w:before="60" w:after="120"/>
        <w:jc w:val="both"/>
      </w:pPr>
      <w:r>
        <w:rPr>
          <w:color w:val="000000"/>
        </w:rPr>
        <w:t>Total supply: 8,270,000,000 KX. Fixed forever. No inflation. No minting. No burning.</w:t>
      </w:r>
    </w:p>
    <w:p w14:paraId="575D1A06" w14:textId="77777777" w:rsidR="00656D0B" w:rsidRDefault="00656D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656D0B" w14:paraId="22CCADE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29BC2C2D" w14:textId="77777777" w:rsidR="00656D0B" w:rsidRDefault="00000000">
            <w:r>
              <w:rPr>
                <w:b/>
                <w:bCs/>
                <w:color w:val="FFFFFF"/>
                <w:sz w:val="20"/>
                <w:szCs w:val="20"/>
              </w:rPr>
              <w:t>Allocation</w:t>
            </w:r>
          </w:p>
        </w:tc>
        <w:tc>
          <w:tcPr>
            <w:tcW w:w="250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32F78594" w14:textId="77777777" w:rsidR="00656D0B" w:rsidRDefault="00000000">
            <w:r>
              <w:rPr>
                <w:b/>
                <w:bCs/>
                <w:color w:val="FFFFFF"/>
                <w:sz w:val="20"/>
                <w:szCs w:val="20"/>
              </w:rPr>
              <w:t>Amount (KX)</w:t>
            </w:r>
          </w:p>
        </w:tc>
        <w:tc>
          <w:tcPr>
            <w:tcW w:w="336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5CCC4054" w14:textId="77777777" w:rsidR="00656D0B" w:rsidRDefault="00000000">
            <w:r>
              <w:rPr>
                <w:b/>
                <w:bCs/>
                <w:color w:val="FFFFFF"/>
                <w:sz w:val="20"/>
                <w:szCs w:val="20"/>
              </w:rPr>
              <w:t>Notes</w:t>
            </w:r>
          </w:p>
        </w:tc>
      </w:tr>
      <w:tr w:rsidR="00656D0B" w14:paraId="4A8922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378900" w14:textId="77777777" w:rsidR="00656D0B" w:rsidRDefault="00000000">
            <w:r>
              <w:rPr>
                <w:b/>
                <w:bCs/>
                <w:sz w:val="20"/>
                <w:szCs w:val="20"/>
              </w:rPr>
              <w:t>Public Sale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F8CEE" w14:textId="77777777" w:rsidR="00656D0B" w:rsidRDefault="00000000">
            <w:pPr>
              <w:jc w:val="right"/>
            </w:pPr>
            <w:r>
              <w:rPr>
                <w:sz w:val="20"/>
                <w:szCs w:val="20"/>
              </w:rPr>
              <w:t>6,093,000,000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E6EB0" w14:textId="77777777" w:rsidR="00656D0B" w:rsidRDefault="00000000">
            <w:r>
              <w:rPr>
                <w:color w:val="666666"/>
                <w:sz w:val="20"/>
                <w:szCs w:val="20"/>
              </w:rPr>
              <w:t>ICO September 22, 2026 at $0.00319/KX</w:t>
            </w:r>
          </w:p>
        </w:tc>
      </w:tr>
      <w:tr w:rsidR="00656D0B" w14:paraId="363BD6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096D58" w14:textId="77777777" w:rsidR="00656D0B" w:rsidRDefault="00000000">
            <w:r>
              <w:rPr>
                <w:b/>
                <w:bCs/>
                <w:sz w:val="20"/>
                <w:szCs w:val="20"/>
              </w:rPr>
              <w:t>Treasury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46C09" w14:textId="77777777" w:rsidR="00656D0B" w:rsidRDefault="00000000">
            <w:pPr>
              <w:jc w:val="right"/>
            </w:pPr>
            <w:r>
              <w:rPr>
                <w:sz w:val="20"/>
                <w:szCs w:val="20"/>
              </w:rPr>
              <w:t>1,000,000,000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16F68" w14:textId="77777777" w:rsidR="00656D0B" w:rsidRDefault="00000000">
            <w:r>
              <w:rPr>
                <w:color w:val="666666"/>
                <w:sz w:val="20"/>
                <w:szCs w:val="20"/>
              </w:rPr>
              <w:t>Harmonic release H_100 over 100 years (2029–2128)</w:t>
            </w:r>
          </w:p>
        </w:tc>
      </w:tr>
      <w:tr w:rsidR="00656D0B" w14:paraId="53A20D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9A1D92" w14:textId="77777777" w:rsidR="00656D0B" w:rsidRDefault="00000000">
            <w:r>
              <w:rPr>
                <w:b/>
                <w:bCs/>
                <w:sz w:val="20"/>
                <w:szCs w:val="20"/>
              </w:rPr>
              <w:t>Node Rewards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D47B4" w14:textId="77777777" w:rsidR="00656D0B" w:rsidRDefault="00000000">
            <w:pPr>
              <w:jc w:val="right"/>
            </w:pPr>
            <w:r>
              <w:rPr>
                <w:sz w:val="20"/>
                <w:szCs w:val="20"/>
              </w:rPr>
              <w:t>1,000,000,000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479D1" w14:textId="77777777" w:rsidR="00656D0B" w:rsidRDefault="00000000">
            <w:r>
              <w:rPr>
                <w:color w:val="666666"/>
                <w:sz w:val="20"/>
                <w:szCs w:val="20"/>
              </w:rPr>
              <w:t>Harmonic release H_100 over 100 years (2029–2128)</w:t>
            </w:r>
          </w:p>
        </w:tc>
      </w:tr>
      <w:tr w:rsidR="00656D0B" w14:paraId="7DACC1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FE5157" w14:textId="77777777" w:rsidR="00656D0B" w:rsidRDefault="00000000">
            <w:r>
              <w:rPr>
                <w:b/>
                <w:bCs/>
                <w:sz w:val="20"/>
                <w:szCs w:val="20"/>
              </w:rPr>
              <w:t>Founder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832835" w14:textId="77777777" w:rsidR="00656D0B" w:rsidRDefault="00000000">
            <w:pPr>
              <w:jc w:val="right"/>
            </w:pPr>
            <w:r>
              <w:rPr>
                <w:sz w:val="20"/>
                <w:szCs w:val="20"/>
              </w:rPr>
              <w:t>155,000,000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A5C89" w14:textId="77777777" w:rsidR="00656D0B" w:rsidRDefault="00000000">
            <w:r>
              <w:rPr>
                <w:color w:val="666666"/>
                <w:sz w:val="20"/>
                <w:szCs w:val="20"/>
              </w:rPr>
              <w:t>Protocol development</w:t>
            </w:r>
          </w:p>
        </w:tc>
      </w:tr>
      <w:tr w:rsidR="00656D0B" w14:paraId="7DFBDA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78A0F0" w14:textId="77777777" w:rsidR="00656D0B" w:rsidRDefault="00000000">
            <w:r>
              <w:rPr>
                <w:b/>
                <w:bCs/>
                <w:sz w:val="20"/>
                <w:szCs w:val="20"/>
              </w:rPr>
              <w:t>MISAI Bond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C314B2" w14:textId="77777777" w:rsidR="00656D0B" w:rsidRDefault="00000000">
            <w:pPr>
              <w:jc w:val="right"/>
            </w:pPr>
            <w:r>
              <w:rPr>
                <w:sz w:val="20"/>
                <w:szCs w:val="20"/>
              </w:rPr>
              <w:t>10,000,000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DADA7" w14:textId="77777777" w:rsidR="00656D0B" w:rsidRDefault="00000000">
            <w:r>
              <w:rPr>
                <w:color w:val="666666"/>
                <w:sz w:val="20"/>
                <w:szCs w:val="20"/>
              </w:rPr>
              <w:t>Protocol ecosystem performance bond</w:t>
            </w:r>
          </w:p>
        </w:tc>
      </w:tr>
      <w:tr w:rsidR="00656D0B" w14:paraId="2C7D45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F38954" w14:textId="77777777" w:rsidR="00656D0B" w:rsidRDefault="00000000">
            <w:r>
              <w:rPr>
                <w:b/>
                <w:bCs/>
                <w:sz w:val="20"/>
                <w:szCs w:val="20"/>
              </w:rPr>
              <w:t>Verifas Bond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83A00" w14:textId="77777777" w:rsidR="00656D0B" w:rsidRDefault="00000000">
            <w:pPr>
              <w:jc w:val="right"/>
            </w:pPr>
            <w:r>
              <w:rPr>
                <w:sz w:val="20"/>
                <w:szCs w:val="20"/>
              </w:rPr>
              <w:t>10,000,000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5EDB7" w14:textId="77777777" w:rsidR="00656D0B" w:rsidRDefault="00000000">
            <w:r>
              <w:rPr>
                <w:color w:val="666666"/>
                <w:sz w:val="20"/>
                <w:szCs w:val="20"/>
              </w:rPr>
              <w:t>Protocol ecosystem performance bond</w:t>
            </w:r>
          </w:p>
        </w:tc>
      </w:tr>
      <w:tr w:rsidR="00656D0B" w14:paraId="3F27B7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E1CAF3" w14:textId="77777777" w:rsidR="00656D0B" w:rsidRDefault="00000000">
            <w:r>
              <w:rPr>
                <w:b/>
                <w:bCs/>
                <w:sz w:val="20"/>
                <w:szCs w:val="20"/>
              </w:rPr>
              <w:t>HedgeX Bond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3A3DE" w14:textId="77777777" w:rsidR="00656D0B" w:rsidRDefault="00000000">
            <w:pPr>
              <w:jc w:val="right"/>
            </w:pPr>
            <w:r>
              <w:rPr>
                <w:sz w:val="20"/>
                <w:szCs w:val="20"/>
              </w:rPr>
              <w:t>10,000,000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26274" w14:textId="77777777" w:rsidR="00656D0B" w:rsidRDefault="00000000">
            <w:r>
              <w:rPr>
                <w:color w:val="666666"/>
                <w:sz w:val="20"/>
                <w:szCs w:val="20"/>
              </w:rPr>
              <w:t>Protocol ecosystem performance bond</w:t>
            </w:r>
          </w:p>
        </w:tc>
      </w:tr>
      <w:tr w:rsidR="00656D0B" w14:paraId="0600FC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BF841A" w14:textId="77777777" w:rsidR="00656D0B" w:rsidRDefault="00000000">
            <w:r>
              <w:rPr>
                <w:b/>
                <w:bCs/>
                <w:sz w:val="20"/>
                <w:szCs w:val="20"/>
              </w:rPr>
              <w:t>Humanity Stake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BC21E" w14:textId="77777777" w:rsidR="00656D0B" w:rsidRDefault="00000000">
            <w:pPr>
              <w:jc w:val="right"/>
            </w:pPr>
            <w:r>
              <w:rPr>
                <w:sz w:val="20"/>
                <w:szCs w:val="20"/>
              </w:rPr>
              <w:t>1,000,000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2EFAA" w14:textId="77777777" w:rsidR="00656D0B" w:rsidRDefault="00000000">
            <w:r>
              <w:rPr>
                <w:color w:val="666666"/>
                <w:sz w:val="20"/>
                <w:szCs w:val="20"/>
              </w:rPr>
              <w:t>Long-unclaimed promises pool (locked until 2126)</w:t>
            </w:r>
          </w:p>
        </w:tc>
      </w:tr>
      <w:tr w:rsidR="00656D0B" w14:paraId="61B87B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E03610" w14:textId="77777777" w:rsidR="00656D0B" w:rsidRDefault="00000000">
            <w:r>
              <w:rPr>
                <w:b/>
                <w:bCs/>
                <w:sz w:val="20"/>
                <w:szCs w:val="20"/>
              </w:rPr>
              <w:t>Protocol Reserve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6EF90" w14:textId="77777777" w:rsidR="00656D0B" w:rsidRDefault="00000000">
            <w:pPr>
              <w:jc w:val="right"/>
            </w:pPr>
            <w:r>
              <w:rPr>
                <w:sz w:val="20"/>
                <w:szCs w:val="20"/>
              </w:rPr>
              <w:t>500,000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12295" w14:textId="77777777" w:rsidR="00656D0B" w:rsidRDefault="00000000">
            <w:r>
              <w:rPr>
                <w:color w:val="666666"/>
                <w:sz w:val="20"/>
                <w:szCs w:val="20"/>
              </w:rPr>
              <w:t>Protocol operations (locked until 2036)</w:t>
            </w:r>
          </w:p>
        </w:tc>
      </w:tr>
      <w:tr w:rsidR="00656D0B" w14:paraId="1C0548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6ABC1A" w14:textId="77777777" w:rsidR="00656D0B" w:rsidRDefault="00000000">
            <w:r>
              <w:rPr>
                <w:b/>
                <w:bCs/>
                <w:sz w:val="20"/>
                <w:szCs w:val="20"/>
              </w:rPr>
              <w:t>Milestone 2076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F26A3" w14:textId="77777777" w:rsidR="00656D0B" w:rsidRDefault="00000000">
            <w:pPr>
              <w:jc w:val="right"/>
            </w:pPr>
            <w:r>
              <w:rPr>
                <w:sz w:val="20"/>
                <w:szCs w:val="20"/>
              </w:rPr>
              <w:t>500,000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9F1FC" w14:textId="77777777" w:rsidR="00656D0B" w:rsidRDefault="00000000">
            <w:r>
              <w:rPr>
                <w:color w:val="666666"/>
                <w:sz w:val="20"/>
                <w:szCs w:val="20"/>
              </w:rPr>
              <w:t>50-year protocol milestone</w:t>
            </w:r>
          </w:p>
        </w:tc>
      </w:tr>
      <w:tr w:rsidR="00656D0B" w14:paraId="26F9E9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B2ED1E" w14:textId="77777777" w:rsidR="00656D0B" w:rsidRDefault="00000000">
            <w:r>
              <w:rPr>
                <w:b/>
                <w:bCs/>
                <w:sz w:val="20"/>
                <w:szCs w:val="20"/>
              </w:rPr>
              <w:t>Faucet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F4E26" w14:textId="77777777" w:rsidR="00656D0B" w:rsidRDefault="00000000">
            <w:pPr>
              <w:jc w:val="right"/>
            </w:pPr>
            <w:r>
              <w:rPr>
                <w:sz w:val="20"/>
                <w:szCs w:val="20"/>
              </w:rPr>
              <w:t>3,000,000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5CEC3" w14:textId="77777777" w:rsidR="00656D0B" w:rsidRDefault="00000000">
            <w:r>
              <w:rPr>
                <w:color w:val="666666"/>
                <w:sz w:val="20"/>
                <w:szCs w:val="20"/>
              </w:rPr>
              <w:t>Post-genesis distribution</w:t>
            </w:r>
          </w:p>
        </w:tc>
      </w:tr>
    </w:tbl>
    <w:p w14:paraId="5C744BFA" w14:textId="77777777" w:rsidR="00656D0B" w:rsidRDefault="00656D0B"/>
    <w:p w14:paraId="749398B9" w14:textId="77777777" w:rsidR="00656D0B" w:rsidRDefault="00000000">
      <w:pPr>
        <w:pStyle w:val="ListParagraph"/>
        <w:numPr>
          <w:ilvl w:val="0"/>
          <w:numId w:val="2"/>
        </w:numPr>
        <w:spacing w:before="40" w:after="40"/>
      </w:pPr>
      <w:r>
        <w:rPr>
          <w:b/>
          <w:bCs/>
        </w:rPr>
        <w:t>Pre-ICO Phase 1 &amp; 2</w:t>
      </w:r>
      <w:r>
        <w:t>: Open to accredited investors only.</w:t>
      </w:r>
    </w:p>
    <w:p w14:paraId="5D56E86B" w14:textId="77777777" w:rsidR="00656D0B" w:rsidRDefault="00000000">
      <w:pPr>
        <w:pStyle w:val="ListParagraph"/>
        <w:numPr>
          <w:ilvl w:val="0"/>
          <w:numId w:val="2"/>
        </w:numPr>
        <w:spacing w:before="40" w:after="40"/>
      </w:pPr>
      <w:r>
        <w:rPr>
          <w:b/>
          <w:bCs/>
        </w:rPr>
        <w:t>ICO</w:t>
      </w:r>
      <w:r>
        <w:t>: September 22, 2026. Accredited investors. Up to $100 equivalent available to all participants via XChan.</w:t>
      </w:r>
    </w:p>
    <w:p w14:paraId="6A1F2A68" w14:textId="77777777" w:rsidR="00656D0B" w:rsidRDefault="00000000">
      <w:r>
        <w:br w:type="page"/>
      </w:r>
    </w:p>
    <w:p w14:paraId="48AADA4E" w14:textId="77777777" w:rsidR="00656D0B" w:rsidRDefault="00000000">
      <w:pPr>
        <w:pStyle w:val="Heading1"/>
      </w:pPr>
      <w:r>
        <w:lastRenderedPageBreak/>
        <w:t>11. Technical Architecture</w:t>
      </w:r>
    </w:p>
    <w:p w14:paraId="5D85CC35" w14:textId="77777777" w:rsidR="00656D0B" w:rsidRDefault="00000000">
      <w:pPr>
        <w:pStyle w:val="Heading2"/>
        <w:spacing w:before="280"/>
      </w:pPr>
      <w:r>
        <w:t>11.1 DAG-Based Consensus</w:t>
      </w:r>
    </w:p>
    <w:p w14:paraId="70F80057" w14:textId="77777777" w:rsidR="00656D0B" w:rsidRDefault="00000000">
      <w:pPr>
        <w:spacing w:before="60" w:after="120"/>
        <w:jc w:val="both"/>
      </w:pPr>
      <w:r>
        <w:rPr>
          <w:color w:val="000000"/>
        </w:rPr>
        <w:t>ChronX uses a Directed Acyclic Graph (DAG) rather than a linear blockchain. Each transaction references previous transactions, creating a web of verified history. This provides higher throughput, lower latency, and eliminates block size limitations.</w:t>
      </w:r>
    </w:p>
    <w:p w14:paraId="753209CE" w14:textId="77777777" w:rsidR="00656D0B" w:rsidRDefault="00000000">
      <w:pPr>
        <w:pStyle w:val="Heading2"/>
        <w:spacing w:before="280"/>
      </w:pPr>
      <w:r>
        <w:t>11.2 Post-Quantum Cryptography</w:t>
      </w:r>
    </w:p>
    <w:p w14:paraId="1BAF1BF3" w14:textId="77777777" w:rsidR="00656D0B" w:rsidRDefault="00000000">
      <w:pPr>
        <w:spacing w:before="60" w:after="120"/>
        <w:jc w:val="both"/>
      </w:pPr>
      <w:r>
        <w:rPr>
          <w:color w:val="000000"/>
        </w:rPr>
        <w:t>All ChronX wallets use CRYSTALS-Dilithium2 digital signatures (NIST FIPS 204). This ensures ChronX wallets remain secure even after quantum computers can break current elliptic curve cryptography — critical for a protocol designed around 100-year promises.</w:t>
      </w:r>
    </w:p>
    <w:p w14:paraId="27CFF359" w14:textId="77777777" w:rsidR="00656D0B" w:rsidRDefault="00000000">
      <w:pPr>
        <w:pStyle w:val="Heading2"/>
        <w:spacing w:before="280"/>
      </w:pPr>
      <w:r>
        <w:t>11.3 Zero Transaction Fees</w:t>
      </w:r>
    </w:p>
    <w:p w14:paraId="6FB76E67" w14:textId="77777777" w:rsidR="00656D0B" w:rsidRDefault="00000000">
      <w:pPr>
        <w:spacing w:before="60" w:after="120"/>
        <w:jc w:val="both"/>
      </w:pPr>
      <w:r>
        <w:rPr>
          <w:color w:val="000000"/>
        </w:rPr>
        <w:t>ChronX has no transaction fees. Not low fees — zero fees. A promise scheduled one hundred years in the future cannot carry an unknown future fee burden. Zero fees are a protocol invariant, not a promotional offer.</w:t>
      </w:r>
    </w:p>
    <w:p w14:paraId="6B1353C9" w14:textId="77777777" w:rsidR="00656D0B" w:rsidRDefault="00000000">
      <w:pPr>
        <w:pStyle w:val="Heading2"/>
        <w:spacing w:before="280"/>
      </w:pPr>
      <w:r>
        <w:t>11.4 Proof of Work and Spam Resistance</w:t>
      </w:r>
    </w:p>
    <w:p w14:paraId="5F823549" w14:textId="77777777" w:rsidR="00656D0B" w:rsidRDefault="00000000">
      <w:pPr>
        <w:spacing w:before="60" w:after="120"/>
        <w:jc w:val="both"/>
      </w:pPr>
      <w:r>
        <w:rPr>
          <w:color w:val="000000"/>
        </w:rPr>
        <w:t>Each ChronX transaction requires Proof of Work (SHA3-256, 20-bit difficulty) — approximately one million hash operations. This is the protocol's primary defense against spam and denial-of-service attacks. At scale, the computational cost of generating transactions in bulk provides meaningful economic friction without requiring fees. Per-wallet rate limiting provides additional protection at the node level.</w:t>
      </w:r>
    </w:p>
    <w:p w14:paraId="214327AF" w14:textId="77777777" w:rsidR="00656D0B" w:rsidRDefault="00000000">
      <w:pPr>
        <w:pStyle w:val="Heading2"/>
        <w:spacing w:before="280"/>
      </w:pPr>
      <w:r>
        <w:t>11.5 Genesis 10 — Loan and Credit Primitives</w:t>
      </w:r>
    </w:p>
    <w:p w14:paraId="28562936" w14:textId="77777777" w:rsidR="00656D0B" w:rsidRDefault="00000000">
      <w:pPr>
        <w:spacing w:before="60" w:after="120"/>
        <w:jc w:val="both"/>
      </w:pPr>
      <w:r>
        <w:rPr>
          <w:color w:val="000000"/>
        </w:rPr>
        <w:t>Genesis 10 introduces the complete loan and credit infrastructure for ChronX. Every loan begins with a LoanOffer signed by the lender. It becomes active only after the borrower signs a LoanAcceptance. Either party may exit. Defaults are recorded by the node. Resolutions are annotated via LenderMemo. The PAY_AS denomination field allows any loan to be denominated in any governance-approved currency. Collateral may be locked against any loan. Escrow operates as an independent primitive that can trigger default. Variable rate loans reference party-defined oracles — ChronX governance does not set rates. Revolving loans renew automatically at any interval the parties choose, with oracle-conditioned revival gates and flexible exit rights.</w:t>
      </w:r>
    </w:p>
    <w:p w14:paraId="0C77BEC8" w14:textId="77777777" w:rsidR="00656D0B" w:rsidRDefault="00000000">
      <w:pPr>
        <w:spacing w:before="60" w:after="120"/>
        <w:jc w:val="both"/>
      </w:pPr>
      <w:r>
        <w:rPr>
          <w:color w:val="000000"/>
        </w:rPr>
        <w:t>The complete technical specification — including all Action variants, struct fields, node sweep behavior, and RPC methods — is in Technical Addendum A. That addendum is written for developers building on ChronX. The main whitepaper is written for everyone else.</w:t>
      </w:r>
    </w:p>
    <w:p w14:paraId="68DEC10A" w14:textId="77777777" w:rsidR="00656D0B" w:rsidRDefault="00000000">
      <w:r>
        <w:br w:type="page"/>
      </w:r>
    </w:p>
    <w:p w14:paraId="44A09A4A" w14:textId="77777777" w:rsidR="00656D0B" w:rsidRDefault="00000000">
      <w:pPr>
        <w:pStyle w:val="Heading1"/>
      </w:pPr>
      <w:r>
        <w:lastRenderedPageBreak/>
        <w:t>12. Legal and Regulatory Considerations</w:t>
      </w:r>
    </w:p>
    <w:p w14:paraId="604BD3CF" w14:textId="77777777" w:rsidR="00656D0B" w:rsidRDefault="00000000">
      <w:pPr>
        <w:pStyle w:val="Heading2"/>
        <w:spacing w:before="280"/>
      </w:pPr>
      <w:r>
        <w:t>12.1 KX as a Utility Token</w:t>
      </w:r>
    </w:p>
    <w:p w14:paraId="58099E9D" w14:textId="77777777" w:rsidR="00656D0B" w:rsidRDefault="00000000">
      <w:pPr>
        <w:spacing w:before="60" w:after="120"/>
        <w:jc w:val="both"/>
      </w:pPr>
      <w:r>
        <w:rPr>
          <w:color w:val="000000"/>
        </w:rPr>
        <w:t>ChronX has been designed with a utility-oriented architecture. The PAY_AS system reflects this design intent — when KX serves purely as the transport mechanism for obligations denominated in external currencies, participants may be indifferent to KX price movements for those transactions. ChronX believes this design is consistent with principles underlying utility token classification under frameworks such as SEC v. W.J. Howey Co., but makes no legal representation as to the regulatory status of KX in any jurisdiction. All participants are encouraged to seek independent legal counsel. The ICO is generally being offered to accredited investors, with de minimis access available to retail participants wishing to explore the protocol via XChan.</w:t>
      </w:r>
    </w:p>
    <w:p w14:paraId="0416D4E4" w14:textId="77777777" w:rsidR="00656D0B" w:rsidRDefault="00000000">
      <w:pPr>
        <w:pStyle w:val="Heading2"/>
        <w:spacing w:before="280"/>
      </w:pPr>
      <w:r>
        <w:t>12.2 MISAI Jurisdiction</w:t>
      </w:r>
    </w:p>
    <w:p w14:paraId="7AF1D8DC" w14:textId="77777777" w:rsidR="00656D0B" w:rsidRDefault="00000000">
      <w:pPr>
        <w:spacing w:before="60" w:after="120"/>
        <w:jc w:val="both"/>
      </w:pPr>
      <w:r>
        <w:rPr>
          <w:color w:val="000000"/>
        </w:rPr>
        <w:t>The MISAI investment platform is domiciled in El Salvador. The Executor Withdraw Delay (86,400 seconds / 24 hours) provides a protection window for investors before any MISAI withdrawal is finalized.</w:t>
      </w:r>
    </w:p>
    <w:p w14:paraId="2B196C4E" w14:textId="77777777" w:rsidR="00656D0B" w:rsidRDefault="00000000">
      <w:pPr>
        <w:pStyle w:val="Heading2"/>
        <w:spacing w:before="280"/>
      </w:pPr>
      <w:r>
        <w:t>12.3 HedgeX as a P2P Marketplace</w:t>
      </w:r>
    </w:p>
    <w:p w14:paraId="095CB3E5" w14:textId="77777777" w:rsidR="00656D0B" w:rsidRDefault="00000000">
      <w:pPr>
        <w:spacing w:before="60" w:after="120"/>
        <w:jc w:val="both"/>
      </w:pPr>
      <w:r>
        <w:rPr>
          <w:color w:val="000000"/>
        </w:rPr>
        <w:t>HedgeX operates as a peer-to-peer matching marketplace. ChronX is not the issuer, underwriter, guarantor, or counterparty to any hedge contract. All contracts are directly between participants.</w:t>
      </w:r>
    </w:p>
    <w:p w14:paraId="446E1D93" w14:textId="77777777" w:rsidR="00656D0B" w:rsidRDefault="00000000">
      <w:pPr>
        <w:pStyle w:val="Heading2"/>
        <w:spacing w:before="280"/>
      </w:pPr>
      <w:r>
        <w:t>12.4 DefaultRecord and Data Privacy</w:t>
      </w:r>
    </w:p>
    <w:p w14:paraId="4F7171E2" w14:textId="77777777" w:rsidR="00656D0B" w:rsidRDefault="00000000">
      <w:pPr>
        <w:spacing w:before="60" w:after="120"/>
        <w:jc w:val="both"/>
      </w:pPr>
      <w:r>
        <w:rPr>
          <w:color w:val="000000"/>
        </w:rPr>
        <w:t>ChronX is a public blockchain. All loan records — offers, acceptances, payments, defaults, and resolutions — are permanently visible and immutable. This is by design. ChronX is a public ledger, not a data controller. The LenderMemo annotation system provides a permanent record of resolutions alongside the original default. Nothing is erased. The full annotated truth is always visible. Participants should understand that all on-chain activity is public and permanent before using the protocol.</w:t>
      </w:r>
    </w:p>
    <w:p w14:paraId="4E2AD101" w14:textId="77777777" w:rsidR="00656D0B" w:rsidRDefault="00000000">
      <w:pPr>
        <w:pStyle w:val="Heading2"/>
        <w:spacing w:before="280"/>
      </w:pPr>
      <w:r>
        <w:t>12.5 Promise Axiom IV</w:t>
      </w:r>
    </w:p>
    <w:p w14:paraId="5BA0EE66" w14:textId="77777777" w:rsidR="00656D0B" w:rsidRDefault="00000000">
      <w:pPr>
        <w:spacing w:before="60" w:after="120"/>
        <w:jc w:val="both"/>
      </w:pPr>
      <w:r>
        <w:rPr>
          <w:color w:val="000000"/>
        </w:rPr>
        <w:t>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14:paraId="47E6B37E" w14:textId="77777777" w:rsidR="00656D0B" w:rsidRDefault="00000000">
      <w:r>
        <w:br w:type="page"/>
      </w:r>
    </w:p>
    <w:p w14:paraId="7880CCF3" w14:textId="77777777" w:rsidR="00656D0B" w:rsidRDefault="00000000">
      <w:pPr>
        <w:pStyle w:val="Heading1"/>
      </w:pPr>
      <w:r>
        <w:lastRenderedPageBreak/>
        <w:t>13. Roadmap</w:t>
      </w:r>
    </w:p>
    <w:p w14:paraId="004380DD" w14:textId="77777777" w:rsidR="00656D0B" w:rsidRDefault="00656D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656D0B" w14:paraId="2879649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38B3580E" w14:textId="77777777" w:rsidR="00656D0B" w:rsidRDefault="00000000">
            <w:r>
              <w:rPr>
                <w:b/>
                <w:bCs/>
                <w:color w:val="FFFFFF"/>
                <w:sz w:val="20"/>
                <w:szCs w:val="20"/>
              </w:rPr>
              <w:t>Milestone</w:t>
            </w:r>
          </w:p>
        </w:tc>
        <w:tc>
          <w:tcPr>
            <w:tcW w:w="280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5345ECA6" w14:textId="77777777" w:rsidR="00656D0B" w:rsidRDefault="00000000">
            <w:r>
              <w:rPr>
                <w:b/>
                <w:bCs/>
                <w:color w:val="FFFFFF"/>
                <w:sz w:val="20"/>
                <w:szCs w:val="20"/>
              </w:rPr>
              <w:t>Target</w:t>
            </w:r>
          </w:p>
        </w:tc>
        <w:tc>
          <w:tcPr>
            <w:tcW w:w="4560" w:type="dxa"/>
            <w:tcBorders>
              <w:top w:val="single" w:sz="1" w:space="0" w:color="CCCCCC"/>
              <w:left w:val="single" w:sz="1" w:space="0" w:color="CCCCCC"/>
              <w:bottom w:val="single" w:sz="1" w:space="0" w:color="CCCCCC"/>
              <w:right w:val="single" w:sz="1" w:space="0" w:color="CCCCCC"/>
            </w:tcBorders>
            <w:shd w:val="clear" w:color="auto" w:fill="2E3A5C"/>
            <w:tcMar>
              <w:top w:w="80" w:type="dxa"/>
              <w:left w:w="140" w:type="dxa"/>
              <w:bottom w:w="80" w:type="dxa"/>
              <w:right w:w="140" w:type="dxa"/>
            </w:tcMar>
          </w:tcPr>
          <w:p w14:paraId="3C94832F" w14:textId="77777777" w:rsidR="00656D0B" w:rsidRDefault="00000000">
            <w:r>
              <w:rPr>
                <w:b/>
                <w:bCs/>
                <w:color w:val="FFFFFF"/>
                <w:sz w:val="20"/>
                <w:szCs w:val="20"/>
              </w:rPr>
              <w:t>Description</w:t>
            </w:r>
          </w:p>
        </w:tc>
      </w:tr>
      <w:tr w:rsidR="00656D0B" w14:paraId="6137FA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1599E6" w14:textId="77777777" w:rsidR="00656D0B" w:rsidRDefault="00000000">
            <w:r>
              <w:rPr>
                <w:b/>
                <w:bCs/>
                <w:sz w:val="20"/>
                <w:szCs w:val="20"/>
              </w:rPr>
              <w:t>Genesis 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DF59A" w14:textId="77777777" w:rsidR="00656D0B" w:rsidRDefault="00000000">
            <w:r>
              <w:rPr>
                <w:sz w:val="20"/>
                <w:szCs w:val="20"/>
              </w:rPr>
              <w:t>Live — March 2026 (complete)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4081D" w14:textId="77777777" w:rsidR="00656D0B" w:rsidRDefault="00000000">
            <w:r>
              <w:rPr>
                <w:sz w:val="20"/>
                <w:szCs w:val="20"/>
              </w:rPr>
              <w:t>10 payment types, wallet groups, post-quantum cryptography, MISAI locks, Verifas infrastructure.</w:t>
            </w:r>
          </w:p>
        </w:tc>
      </w:tr>
      <w:tr w:rsidR="00656D0B" w14:paraId="347DF7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A43CBC" w14:textId="77777777" w:rsidR="00656D0B" w:rsidRDefault="00000000">
            <w:r>
              <w:rPr>
                <w:b/>
                <w:bCs/>
                <w:sz w:val="20"/>
                <w:szCs w:val="20"/>
              </w:rPr>
              <w:t>Wallet v2.5.x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AD210" w14:textId="77777777" w:rsidR="00656D0B" w:rsidRDefault="00000000">
            <w:r>
              <w:rPr>
                <w:sz w:val="20"/>
                <w:szCs w:val="20"/>
              </w:rPr>
              <w:t>Live — March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97A84" w14:textId="77777777" w:rsidR="00656D0B" w:rsidRDefault="00000000">
            <w:r>
              <w:rPr>
                <w:sz w:val="20"/>
                <w:szCs w:val="20"/>
              </w:rPr>
              <w:t>iOS, Android, Windows wallets. Address book, biometric login, seed phrase backup.</w:t>
            </w:r>
          </w:p>
        </w:tc>
      </w:tr>
      <w:tr w:rsidR="00656D0B" w14:paraId="53E83D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8B5E14" w14:textId="77777777" w:rsidR="00656D0B" w:rsidRDefault="00000000">
            <w:r>
              <w:rPr>
                <w:b/>
                <w:bCs/>
                <w:sz w:val="20"/>
                <w:szCs w:val="20"/>
              </w:rPr>
              <w:t>ICO Pre-Sale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51AE8" w14:textId="77777777" w:rsidR="00656D0B" w:rsidRDefault="00000000">
            <w:r>
              <w:rPr>
                <w:sz w:val="20"/>
                <w:szCs w:val="20"/>
              </w:rPr>
              <w:t>Q2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5F080" w14:textId="77777777" w:rsidR="00656D0B" w:rsidRDefault="00000000">
            <w:r>
              <w:rPr>
                <w:sz w:val="20"/>
                <w:szCs w:val="20"/>
              </w:rPr>
              <w:t>Accredited investors only. De minimis retail access via XChan.</w:t>
            </w:r>
          </w:p>
        </w:tc>
      </w:tr>
      <w:tr w:rsidR="00656D0B" w14:paraId="2FEB4A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8C95D2" w14:textId="77777777" w:rsidR="00656D0B" w:rsidRDefault="00000000">
            <w:r>
              <w:rPr>
                <w:b/>
                <w:bCs/>
                <w:sz w:val="20"/>
                <w:szCs w:val="20"/>
              </w:rPr>
              <w:t>Genesis 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C5ADB" w14:textId="77777777" w:rsidR="00656D0B" w:rsidRDefault="00000000">
            <w:r>
              <w:rPr>
                <w:sz w:val="20"/>
                <w:szCs w:val="20"/>
              </w:rPr>
              <w:t>Live — March 21, 2026 (complete)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63490" w14:textId="77777777" w:rsidR="00656D0B" w:rsidRDefault="00000000">
            <w:r>
              <w:rPr>
                <w:sz w:val="20"/>
                <w:szCs w:val="20"/>
              </w:rPr>
              <w:t>Complete loan and credit infrastructure. Offer/acceptance two-step protocol (LoanOffer + LoanAcceptance — no exceptions). PAY_AS denomination. Collateralized lending with liquidation. Escrow as independent primitive. Variable rates. Revolving loans with oracle-conditioned revival (RevivalCondition), flexible exit rights (ExitRights), and daily autopay sweep. Authorized payers with PaymentSourcePolicy (Open/Restricted/ExclusiveDelegate). LoanPayerUpdate for post-creation payer management. requires_autopay lender requirement with TYPE C Credit Authorization enforcement. HedgeKX pool integration. First revolving loan accepted March 21, 2026.</w:t>
            </w:r>
          </w:p>
        </w:tc>
      </w:tr>
      <w:tr w:rsidR="00656D0B" w14:paraId="2F49C4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8AC18C" w14:textId="77777777" w:rsidR="00656D0B" w:rsidRDefault="00000000">
            <w:r>
              <w:rPr>
                <w:b/>
                <w:bCs/>
                <w:sz w:val="20"/>
                <w:szCs w:val="20"/>
              </w:rPr>
              <w:t>ICO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00016" w14:textId="77777777" w:rsidR="00656D0B" w:rsidRDefault="00000000">
            <w:r>
              <w:rPr>
                <w:sz w:val="20"/>
                <w:szCs w:val="20"/>
              </w:rPr>
              <w:t>Sep 22,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8018F1" w14:textId="77777777" w:rsidR="00656D0B" w:rsidRDefault="00000000">
            <w:r>
              <w:rPr>
                <w:sz w:val="20"/>
                <w:szCs w:val="20"/>
              </w:rPr>
              <w:t>$0.00319/KX. Accredited investors. Up to $100 equivalent via XChan for all.</w:t>
            </w:r>
          </w:p>
        </w:tc>
      </w:tr>
      <w:tr w:rsidR="00656D0B" w14:paraId="18D873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FC5CEB" w14:textId="77777777" w:rsidR="00656D0B" w:rsidRDefault="00000000">
            <w:r>
              <w:rPr>
                <w:b/>
                <w:bCs/>
                <w:sz w:val="20"/>
                <w:szCs w:val="20"/>
              </w:rPr>
              <w:t>HedgeX Launch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857DE2" w14:textId="77777777" w:rsidR="00656D0B" w:rsidRDefault="00000000">
            <w:r>
              <w:rPr>
                <w:sz w:val="20"/>
                <w:szCs w:val="20"/>
              </w:rPr>
              <w:t>Q4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B3120" w14:textId="77777777" w:rsidR="00656D0B" w:rsidRDefault="00000000">
            <w:r>
              <w:rPr>
                <w:sz w:val="20"/>
                <w:szCs w:val="20"/>
              </w:rPr>
              <w:t>Peer-to-peer currency risk marketplace live at hedgex.io.</w:t>
            </w:r>
          </w:p>
        </w:tc>
      </w:tr>
      <w:tr w:rsidR="00656D0B" w14:paraId="7A60E3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CBAF7B" w14:textId="77777777" w:rsidR="00656D0B" w:rsidRDefault="00000000">
            <w:r>
              <w:rPr>
                <w:b/>
                <w:bCs/>
                <w:sz w:val="20"/>
                <w:szCs w:val="20"/>
              </w:rPr>
              <w:t>MISAI Beta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17D41B" w14:textId="77777777" w:rsidR="00656D0B" w:rsidRDefault="00000000">
            <w:r>
              <w:rPr>
                <w:sz w:val="20"/>
                <w:szCs w:val="20"/>
              </w:rPr>
              <w:t>Q4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0E227" w14:textId="77777777" w:rsidR="00656D0B" w:rsidRDefault="00000000">
            <w:r>
              <w:rPr>
                <w:sz w:val="20"/>
                <w:szCs w:val="20"/>
              </w:rPr>
              <w:t>AI investment mandates and loan servicing automation.</w:t>
            </w:r>
          </w:p>
        </w:tc>
      </w:tr>
      <w:tr w:rsidR="00656D0B" w14:paraId="63FDF3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14314A" w14:textId="77777777" w:rsidR="00656D0B" w:rsidRDefault="00000000">
            <w:r>
              <w:rPr>
                <w:b/>
                <w:bCs/>
                <w:sz w:val="20"/>
                <w:szCs w:val="20"/>
              </w:rPr>
              <w:t>Verifas Network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3E763" w14:textId="77777777" w:rsidR="00656D0B" w:rsidRDefault="00000000">
            <w:r>
              <w:rPr>
                <w:sz w:val="20"/>
                <w:szCs w:val="20"/>
              </w:rPr>
              <w:t>2027+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06C0D" w14:textId="77777777" w:rsidR="00656D0B" w:rsidRDefault="00000000">
            <w:r>
              <w:rPr>
                <w:sz w:val="20"/>
                <w:szCs w:val="20"/>
              </w:rPr>
              <w:t>Bonded human attestor network for long-horizon delivery.</w:t>
            </w:r>
          </w:p>
        </w:tc>
      </w:tr>
      <w:tr w:rsidR="00656D0B" w14:paraId="711B7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6812D8" w14:textId="77777777" w:rsidR="00656D0B" w:rsidRDefault="00000000">
            <w:r>
              <w:rPr>
                <w:b/>
                <w:bCs/>
                <w:sz w:val="20"/>
                <w:szCs w:val="20"/>
              </w:rPr>
              <w:t>Node Rewards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7B319" w14:textId="77777777" w:rsidR="00656D0B" w:rsidRDefault="00000000">
            <w:r>
              <w:rPr>
                <w:sz w:val="20"/>
                <w:szCs w:val="20"/>
              </w:rPr>
              <w:t>Jan 1, 2029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E9C9F" w14:textId="77777777" w:rsidR="00656D0B" w:rsidRDefault="00000000">
            <w:r>
              <w:rPr>
                <w:sz w:val="20"/>
                <w:szCs w:val="20"/>
              </w:rPr>
              <w:t>First harmonic release of node operator rewards.</w:t>
            </w:r>
          </w:p>
        </w:tc>
      </w:tr>
      <w:tr w:rsidR="00656D0B" w14:paraId="60F23C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DB25FB" w14:textId="77777777" w:rsidR="00656D0B" w:rsidRDefault="00000000">
            <w:r>
              <w:rPr>
                <w:b/>
                <w:bCs/>
                <w:sz w:val="20"/>
                <w:szCs w:val="20"/>
              </w:rPr>
              <w:t>Milestone 2076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CF25E" w14:textId="77777777" w:rsidR="00656D0B" w:rsidRDefault="00000000">
            <w:r>
              <w:rPr>
                <w:sz w:val="20"/>
                <w:szCs w:val="20"/>
              </w:rPr>
              <w:t>2076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AAE01" w14:textId="77777777" w:rsidR="00656D0B" w:rsidRDefault="00000000">
            <w:r>
              <w:rPr>
                <w:sz w:val="20"/>
                <w:szCs w:val="20"/>
              </w:rPr>
              <w:t>50-year protocol milestone. 500,000 KX released.</w:t>
            </w:r>
          </w:p>
        </w:tc>
      </w:tr>
    </w:tbl>
    <w:p w14:paraId="4807C6B4" w14:textId="77777777" w:rsidR="00656D0B" w:rsidRDefault="00000000">
      <w:r>
        <w:br w:type="page"/>
      </w:r>
    </w:p>
    <w:p w14:paraId="6D5EB6D0" w14:textId="77777777" w:rsidR="00656D0B" w:rsidRDefault="00000000">
      <w:pPr>
        <w:pStyle w:val="Heading1"/>
      </w:pPr>
      <w:r>
        <w:lastRenderedPageBreak/>
        <w:t>14. Conclusion</w:t>
      </w:r>
    </w:p>
    <w:p w14:paraId="65983814" w14:textId="77777777" w:rsidR="00656D0B" w:rsidRDefault="00000000">
      <w:pPr>
        <w:spacing w:before="60" w:after="120"/>
        <w:jc w:val="both"/>
      </w:pPr>
      <w:r>
        <w:rPr>
          <w:color w:val="000000"/>
        </w:rPr>
        <w:t>ChronX is the only blockchain built for the promises that matter most: the ones that take years or decades to fulfill.</w:t>
      </w:r>
    </w:p>
    <w:p w14:paraId="1BAC5479" w14:textId="77777777" w:rsidR="00656D0B" w:rsidRDefault="00000000">
      <w:pPr>
        <w:spacing w:before="60" w:after="120"/>
        <w:jc w:val="both"/>
      </w:pPr>
      <w:r>
        <w:rPr>
          <w:color w:val="000000"/>
        </w:rPr>
        <w:t>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14:paraId="3D316D70" w14:textId="77777777" w:rsidR="00656D0B" w:rsidRDefault="00000000">
      <w:pPr>
        <w:spacing w:before="60" w:after="120"/>
        <w:jc w:val="both"/>
      </w:pPr>
      <w:r>
        <w:rPr>
          <w:color w:val="000000"/>
        </w:rPr>
        <w:t>In fifty years, the currencies of today may no longer exist. The blockchains of today may have been broken by quantum computers.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14:paraId="2C404678" w14:textId="77777777" w:rsidR="00656D0B" w:rsidRDefault="00000000">
      <w:pPr>
        <w:pBdr>
          <w:left w:val="single" w:sz="6" w:space="10" w:color="C9A84C"/>
        </w:pBdr>
        <w:spacing w:before="160" w:after="160"/>
        <w:ind w:left="720" w:right="720"/>
      </w:pPr>
      <w:r>
        <w:rPr>
          <w:i/>
          <w:iCs/>
          <w:color w:val="2E3A5C"/>
        </w:rPr>
        <w:t>"ChronX does not merely record that a promise was made. ChronX makes the promise inevitable."</w:t>
      </w:r>
    </w:p>
    <w:p w14:paraId="38DC28D6" w14:textId="77777777" w:rsidR="00656D0B" w:rsidRDefault="00656D0B"/>
    <w:p w14:paraId="711758E7" w14:textId="77777777" w:rsidR="00656D0B" w:rsidRDefault="00000000">
      <w:pPr>
        <w:spacing w:before="200" w:after="80"/>
        <w:jc w:val="center"/>
      </w:pPr>
      <w:r>
        <w:rPr>
          <w:b/>
          <w:bCs/>
          <w:color w:val="C9A84C"/>
          <w:sz w:val="26"/>
          <w:szCs w:val="26"/>
        </w:rPr>
        <w:t>ChronX Protocol — The Future Payment Protocol</w:t>
      </w:r>
    </w:p>
    <w:p w14:paraId="27BA9AD8" w14:textId="77777777" w:rsidR="00656D0B" w:rsidRDefault="00000000">
      <w:pPr>
        <w:spacing w:after="80"/>
        <w:jc w:val="center"/>
      </w:pPr>
      <w:r>
        <w:rPr>
          <w:color w:val="2E3A5C"/>
        </w:rPr>
        <w:t>chronx.io</w:t>
      </w:r>
    </w:p>
    <w:p w14:paraId="3CD30CF0" w14:textId="77777777" w:rsidR="00656D0B" w:rsidRDefault="00000000">
      <w:pPr>
        <w:jc w:val="center"/>
      </w:pPr>
      <w:r>
        <w:rPr>
          <w:color w:val="666666"/>
        </w:rPr>
        <w:t>ICO: September 22, 2026</w:t>
      </w:r>
    </w:p>
    <w:p w14:paraId="07A41D12" w14:textId="77777777" w:rsidR="00656D0B" w:rsidRDefault="00000000">
      <w:r>
        <w:br w:type="page"/>
      </w:r>
    </w:p>
    <w:p w14:paraId="3DFBF2C3" w14:textId="77777777" w:rsidR="00656D0B" w:rsidRDefault="00000000">
      <w:pPr>
        <w:spacing w:before="400" w:after="80"/>
        <w:jc w:val="center"/>
      </w:pPr>
      <w:r>
        <w:rPr>
          <w:b/>
          <w:bCs/>
          <w:color w:val="C9A84C"/>
          <w:sz w:val="48"/>
          <w:szCs w:val="48"/>
        </w:rPr>
        <w:lastRenderedPageBreak/>
        <w:t>EXHIBIT A</w:t>
      </w:r>
    </w:p>
    <w:p w14:paraId="059CF7AA" w14:textId="77777777" w:rsidR="00656D0B" w:rsidRDefault="00000000">
      <w:pPr>
        <w:spacing w:after="80"/>
        <w:jc w:val="center"/>
      </w:pPr>
      <w:r>
        <w:rPr>
          <w:b/>
          <w:bCs/>
          <w:color w:val="2E3A5C"/>
          <w:sz w:val="32"/>
          <w:szCs w:val="32"/>
        </w:rPr>
        <w:t>Real-World Use Cases</w:t>
      </w:r>
    </w:p>
    <w:p w14:paraId="71D5D98B" w14:textId="77777777" w:rsidR="00656D0B" w:rsidRDefault="00000000">
      <w:pPr>
        <w:spacing w:after="200"/>
        <w:jc w:val="center"/>
      </w:pPr>
      <w:r>
        <w:rPr>
          <w:i/>
          <w:iCs/>
          <w:color w:val="666666"/>
        </w:rPr>
        <w:t>Exhibit A to ChronX Protocol Whitepaper v6.0</w:t>
      </w:r>
    </w:p>
    <w:p w14:paraId="3407B0D1" w14:textId="77777777" w:rsidR="00656D0B" w:rsidRDefault="00656D0B">
      <w:pPr>
        <w:pBdr>
          <w:bottom w:val="single" w:sz="4" w:space="1" w:color="C9A84C"/>
        </w:pBdr>
        <w:spacing w:before="200" w:after="200"/>
      </w:pPr>
    </w:p>
    <w:p w14:paraId="26171D91" w14:textId="77777777" w:rsidR="00656D0B" w:rsidRDefault="00000000">
      <w:r>
        <w:br w:type="page"/>
      </w:r>
    </w:p>
    <w:p w14:paraId="5FD5FCC5" w14:textId="77777777" w:rsidR="00656D0B" w:rsidRDefault="00000000">
      <w:pPr>
        <w:pStyle w:val="Heading1"/>
      </w:pPr>
      <w:r>
        <w:lastRenderedPageBreak/>
        <w:t>A.1 Individual and Family</w:t>
      </w:r>
    </w:p>
    <w:p w14:paraId="2F4EFB24" w14:textId="77777777" w:rsidR="00656D0B" w:rsidRDefault="00000000">
      <w:pPr>
        <w:pStyle w:val="Heading2"/>
        <w:spacing w:before="280"/>
      </w:pPr>
      <w:r>
        <w:t>A.1.1 — The Birthday Gift</w:t>
      </w:r>
    </w:p>
    <w:p w14:paraId="04056B4C" w14:textId="77777777" w:rsidR="00656D0B" w:rsidRDefault="00000000">
      <w:pPr>
        <w:spacing w:before="60" w:after="120"/>
        <w:jc w:val="both"/>
      </w:pPr>
      <w:r>
        <w:rPr>
          <w:color w:val="000000"/>
        </w:rPr>
        <w:t>A grandparent wants to give a sum of value to a grandchild on their eighteenth birthday, regardless of what happens to the grandparent between now and then.</w:t>
      </w:r>
    </w:p>
    <w:p w14:paraId="5EF20691" w14:textId="77777777" w:rsidR="00656D0B" w:rsidRDefault="00000000">
      <w:pPr>
        <w:pStyle w:val="ListParagraph"/>
        <w:numPr>
          <w:ilvl w:val="0"/>
          <w:numId w:val="2"/>
        </w:numPr>
        <w:spacing w:before="40" w:after="40"/>
      </w:pPr>
      <w:r>
        <w:t>TYPE S + PAY_AS (denomination of grantor's choice, at maturity). Unlock date set to 18th birthday. Beneficiary context encrypted on-chain.</w:t>
      </w:r>
    </w:p>
    <w:p w14:paraId="05F2DF37" w14:textId="77777777" w:rsidR="00656D0B" w:rsidRDefault="00000000">
      <w:pPr>
        <w:pStyle w:val="ListParagraph"/>
        <w:numPr>
          <w:ilvl w:val="0"/>
          <w:numId w:val="2"/>
        </w:numPr>
        <w:spacing w:before="40" w:after="40"/>
      </w:pPr>
      <w:r>
        <w:t>Irrevocable after the cancellation window. Delivers automatically.</w:t>
      </w:r>
    </w:p>
    <w:p w14:paraId="516A0218" w14:textId="77777777" w:rsidR="00656D0B" w:rsidRDefault="00000000">
      <w:pPr>
        <w:pStyle w:val="ListParagraph"/>
        <w:numPr>
          <w:ilvl w:val="0"/>
          <w:numId w:val="2"/>
        </w:numPr>
        <w:spacing w:before="40" w:after="40"/>
      </w:pPr>
      <w:r>
        <w:t>If the child's contact information no longer exists, Verifas attestors locate and verify the recipient.</w:t>
      </w:r>
    </w:p>
    <w:p w14:paraId="6ADF26A3" w14:textId="77777777" w:rsidR="00656D0B" w:rsidRDefault="00000000">
      <w:pPr>
        <w:spacing w:before="60" w:after="120"/>
        <w:jc w:val="both"/>
      </w:pPr>
      <w:r>
        <w:rPr>
          <w:color w:val="000000"/>
        </w:rPr>
        <w:t>Result: A legally-independent, intermediary-free inheritance that survives the death or incapacity of the sender.</w:t>
      </w:r>
    </w:p>
    <w:p w14:paraId="0DDA25D7" w14:textId="77777777" w:rsidR="00656D0B" w:rsidRDefault="00000000">
      <w:pPr>
        <w:pStyle w:val="Heading2"/>
        <w:spacing w:before="280"/>
      </w:pPr>
      <w:r>
        <w:t>A.1.2 — Child Support Enforcement</w:t>
      </w:r>
    </w:p>
    <w:p w14:paraId="04EA6EDE" w14:textId="77777777" w:rsidR="00656D0B" w:rsidRDefault="00000000">
      <w:pPr>
        <w:spacing w:before="60" w:after="120"/>
        <w:jc w:val="both"/>
      </w:pPr>
      <w:r>
        <w:rPr>
          <w:color w:val="000000"/>
        </w:rPr>
        <w:t>A court orders monthly child support for ten years.</w:t>
      </w:r>
    </w:p>
    <w:p w14:paraId="30ABF23F" w14:textId="77777777" w:rsidR="00656D0B" w:rsidRDefault="00000000">
      <w:pPr>
        <w:pStyle w:val="ListParagraph"/>
        <w:numPr>
          <w:ilvl w:val="0"/>
          <w:numId w:val="2"/>
        </w:numPr>
        <w:spacing w:before="40" w:after="40"/>
      </w:pPr>
      <w:r>
        <w:t>CASCADE (monthly stages) + MISAI monitoring. Each payment permanently marked complete.</w:t>
      </w:r>
    </w:p>
    <w:p w14:paraId="4F792C2F" w14:textId="77777777" w:rsidR="00656D0B" w:rsidRDefault="00000000">
      <w:pPr>
        <w:pStyle w:val="ListParagraph"/>
        <w:numPr>
          <w:ilvl w:val="0"/>
          <w:numId w:val="2"/>
        </w:numPr>
        <w:spacing w:before="40" w:after="40"/>
      </w:pPr>
      <w:r>
        <w:t>Any missed payment generates a permanent DefaultRecord. LenderMemo available for court-ordered resolution.</w:t>
      </w:r>
    </w:p>
    <w:p w14:paraId="76A0E3FB" w14:textId="77777777" w:rsidR="00656D0B" w:rsidRDefault="00000000">
      <w:pPr>
        <w:spacing w:before="60" w:after="120"/>
        <w:jc w:val="both"/>
      </w:pPr>
      <w:r>
        <w:rPr>
          <w:color w:val="000000"/>
        </w:rPr>
        <w:t>Result: Self-documenting compliance record. Full annotated history always visible.</w:t>
      </w:r>
    </w:p>
    <w:p w14:paraId="15571D61" w14:textId="77777777" w:rsidR="00656D0B" w:rsidRDefault="00000000">
      <w:pPr>
        <w:pStyle w:val="Heading2"/>
        <w:spacing w:before="280"/>
      </w:pPr>
      <w:r>
        <w:t>A.1.3 — The Conditional Gift</w:t>
      </w:r>
    </w:p>
    <w:p w14:paraId="4A0EDC31" w14:textId="77777777" w:rsidR="00656D0B" w:rsidRDefault="00000000">
      <w:pPr>
        <w:spacing w:before="60" w:after="120"/>
        <w:jc w:val="both"/>
      </w:pPr>
      <w:r>
        <w:rPr>
          <w:color w:val="000000"/>
        </w:rPr>
        <w:t>A parent wants to give value when their child completes a college degree.</w:t>
      </w:r>
    </w:p>
    <w:p w14:paraId="3722285B" w14:textId="77777777" w:rsidR="00656D0B" w:rsidRDefault="00000000">
      <w:pPr>
        <w:pStyle w:val="ListParagraph"/>
        <w:numPr>
          <w:ilvl w:val="0"/>
          <w:numId w:val="2"/>
        </w:numPr>
        <w:spacing w:before="40" w:after="40"/>
      </w:pPr>
      <w:r>
        <w:t>TYPE V + Verifas attestor. Funds locked until attestor verifies degree completion.</w:t>
      </w:r>
    </w:p>
    <w:p w14:paraId="3472FBC2" w14:textId="77777777" w:rsidR="00656D0B" w:rsidRDefault="00000000">
      <w:pPr>
        <w:spacing w:before="60" w:after="120"/>
        <w:jc w:val="both"/>
      </w:pPr>
      <w:r>
        <w:rPr>
          <w:color w:val="000000"/>
        </w:rPr>
        <w:t>Result: A conditional bequest with no trust, no trustee, and no fees.</w:t>
      </w:r>
    </w:p>
    <w:p w14:paraId="3A310D01" w14:textId="77777777" w:rsidR="00656D0B" w:rsidRDefault="00000000">
      <w:pPr>
        <w:pStyle w:val="Heading2"/>
        <w:spacing w:before="280"/>
      </w:pPr>
      <w:r>
        <w:t>A.1.4 — Recurring Charitable Pledge</w:t>
      </w:r>
    </w:p>
    <w:p w14:paraId="06CCBCCD" w14:textId="77777777" w:rsidR="00656D0B" w:rsidRDefault="00000000">
      <w:pPr>
        <w:spacing w:before="60" w:after="120"/>
        <w:jc w:val="both"/>
      </w:pPr>
      <w:r>
        <w:rPr>
          <w:color w:val="000000"/>
        </w:rPr>
        <w:t>A donor commits to annual giving to a nonprofit for ten years.</w:t>
      </w:r>
    </w:p>
    <w:p w14:paraId="7773CB5A" w14:textId="77777777" w:rsidR="00656D0B" w:rsidRDefault="00000000">
      <w:pPr>
        <w:pStyle w:val="ListParagraph"/>
        <w:numPr>
          <w:ilvl w:val="0"/>
          <w:numId w:val="2"/>
        </w:numPr>
        <w:spacing w:before="40" w:after="40"/>
      </w:pPr>
      <w:r>
        <w:t>CASCADE (annual stages). Irrevocable after cancellation window. Optional TYPE V matching condition.</w:t>
      </w:r>
    </w:p>
    <w:p w14:paraId="304D3574" w14:textId="77777777" w:rsidR="00656D0B" w:rsidRDefault="00000000">
      <w:pPr>
        <w:spacing w:before="60" w:after="120"/>
        <w:jc w:val="both"/>
      </w:pPr>
      <w:r>
        <w:rPr>
          <w:color w:val="000000"/>
        </w:rPr>
        <w:t>Result: Binding pledge on-chain without foundation administration overhead.</w:t>
      </w:r>
    </w:p>
    <w:p w14:paraId="1D08836D" w14:textId="77777777" w:rsidR="00656D0B" w:rsidRDefault="00000000">
      <w:r>
        <w:br w:type="page"/>
      </w:r>
    </w:p>
    <w:p w14:paraId="6AA6AFBB" w14:textId="77777777" w:rsidR="00656D0B" w:rsidRDefault="00000000">
      <w:pPr>
        <w:pStyle w:val="Heading1"/>
      </w:pPr>
      <w:r>
        <w:lastRenderedPageBreak/>
        <w:t>A.2 Legal and Professional</w:t>
      </w:r>
    </w:p>
    <w:p w14:paraId="17B08F8C" w14:textId="77777777" w:rsidR="00656D0B" w:rsidRDefault="00000000">
      <w:pPr>
        <w:pStyle w:val="Heading2"/>
        <w:spacing w:before="280"/>
      </w:pPr>
      <w:r>
        <w:t>A.2.1 — The Structured Settlement</w:t>
      </w:r>
    </w:p>
    <w:p w14:paraId="6B7FB5F0" w14:textId="77777777" w:rsidR="00656D0B" w:rsidRDefault="00000000">
      <w:pPr>
        <w:spacing w:before="60" w:after="120"/>
        <w:jc w:val="both"/>
      </w:pPr>
      <w:r>
        <w:rPr>
          <w:color w:val="000000"/>
        </w:rPr>
        <w:t>A personal injury lawsuit settles for a sum payable over 20 years.</w:t>
      </w:r>
    </w:p>
    <w:p w14:paraId="1D73AE5A" w14:textId="77777777" w:rsidR="00656D0B" w:rsidRDefault="00000000">
      <w:pPr>
        <w:pStyle w:val="ListParagraph"/>
        <w:numPr>
          <w:ilvl w:val="0"/>
          <w:numId w:val="2"/>
        </w:numPr>
        <w:spacing w:before="40" w:after="40"/>
      </w:pPr>
      <w:r>
        <w:t>TYPE D + PAY_AS (denomination at maturity), monthly stages. No annuity company required.</w:t>
      </w:r>
    </w:p>
    <w:p w14:paraId="79F47767" w14:textId="77777777" w:rsidR="00656D0B" w:rsidRDefault="00000000">
      <w:pPr>
        <w:spacing w:before="60" w:after="120"/>
        <w:jc w:val="both"/>
      </w:pPr>
      <w:r>
        <w:rPr>
          <w:color w:val="000000"/>
        </w:rPr>
        <w:t>Result: Zero administration cost, no counterparty insolvency risk.</w:t>
      </w:r>
    </w:p>
    <w:p w14:paraId="329599EA" w14:textId="77777777" w:rsidR="00656D0B" w:rsidRDefault="00000000">
      <w:pPr>
        <w:pStyle w:val="Heading2"/>
        <w:spacing w:before="280"/>
      </w:pPr>
      <w:r>
        <w:t>A.2.2 — Attorney Escrow</w:t>
      </w:r>
    </w:p>
    <w:p w14:paraId="303E6446" w14:textId="77777777" w:rsidR="00656D0B" w:rsidRDefault="00000000">
      <w:pPr>
        <w:spacing w:before="60" w:after="120"/>
        <w:jc w:val="both"/>
      </w:pPr>
      <w:r>
        <w:rPr>
          <w:color w:val="000000"/>
        </w:rPr>
        <w:t>A law firm holds settlement funds pending resolution of conditions.</w:t>
      </w:r>
    </w:p>
    <w:p w14:paraId="6499A918" w14:textId="77777777" w:rsidR="00656D0B" w:rsidRDefault="00000000">
      <w:pPr>
        <w:pStyle w:val="ListParagraph"/>
        <w:numPr>
          <w:ilvl w:val="0"/>
          <w:numId w:val="2"/>
        </w:numPr>
        <w:spacing w:before="40" w:after="40"/>
      </w:pPr>
      <w:r>
        <w:t>TYPE V + attorney as bonded attestor. Complete chain of custody on the DAG.</w:t>
      </w:r>
    </w:p>
    <w:p w14:paraId="75F8EB7C" w14:textId="77777777" w:rsidR="00656D0B" w:rsidRDefault="00000000">
      <w:pPr>
        <w:spacing w:before="60" w:after="120"/>
        <w:jc w:val="both"/>
      </w:pPr>
      <w:r>
        <w:rPr>
          <w:color w:val="000000"/>
        </w:rPr>
        <w:t>Result: Escrow with an immutable, annotatable audit trail.</w:t>
      </w:r>
    </w:p>
    <w:p w14:paraId="696EF838" w14:textId="77777777" w:rsidR="00656D0B" w:rsidRDefault="00000000">
      <w:pPr>
        <w:pStyle w:val="Heading2"/>
        <w:spacing w:before="280"/>
      </w:pPr>
      <w:r>
        <w:t>A.2.3 — Deferred Compensation Vesting</w:t>
      </w:r>
    </w:p>
    <w:p w14:paraId="61356611" w14:textId="77777777" w:rsidR="00656D0B" w:rsidRDefault="00000000">
      <w:pPr>
        <w:spacing w:before="60" w:after="120"/>
        <w:jc w:val="both"/>
      </w:pPr>
      <w:r>
        <w:rPr>
          <w:color w:val="000000"/>
        </w:rPr>
        <w:t>An employer grants a retention bonus vesting over four years with a one-year cliff.</w:t>
      </w:r>
    </w:p>
    <w:p w14:paraId="58997F54" w14:textId="77777777" w:rsidR="00656D0B" w:rsidRDefault="00000000">
      <w:pPr>
        <w:pStyle w:val="ListParagraph"/>
        <w:numPr>
          <w:ilvl w:val="0"/>
          <w:numId w:val="2"/>
        </w:numPr>
        <w:spacing w:before="40" w:after="40"/>
      </w:pPr>
      <w:r>
        <w:t>CASCADE + TYPE V cliff condition. Annual release once cliff is cleared.</w:t>
      </w:r>
    </w:p>
    <w:p w14:paraId="13B69B9A" w14:textId="77777777" w:rsidR="00656D0B" w:rsidRDefault="00000000">
      <w:pPr>
        <w:spacing w:before="60" w:after="120"/>
        <w:jc w:val="both"/>
      </w:pPr>
      <w:r>
        <w:rPr>
          <w:color w:val="000000"/>
        </w:rPr>
        <w:t>Result: Vesting schedule with no stock option agreement or cap table required.</w:t>
      </w:r>
    </w:p>
    <w:p w14:paraId="5F7C0D81" w14:textId="77777777" w:rsidR="00656D0B" w:rsidRDefault="00000000">
      <w:pPr>
        <w:pStyle w:val="Heading2"/>
        <w:spacing w:before="280"/>
      </w:pPr>
      <w:r>
        <w:t>A.2.4 — Cross-Border Royalty Payments</w:t>
      </w:r>
    </w:p>
    <w:p w14:paraId="351EEE4C" w14:textId="77777777" w:rsidR="00656D0B" w:rsidRDefault="00000000">
      <w:pPr>
        <w:spacing w:before="60" w:after="120"/>
        <w:jc w:val="both"/>
      </w:pPr>
      <w:r>
        <w:rPr>
          <w:color w:val="000000"/>
        </w:rPr>
        <w:t>A publisher owes quarterly royalties to an international creator for 10 years.</w:t>
      </w:r>
    </w:p>
    <w:p w14:paraId="7EA8AAAE" w14:textId="77777777" w:rsidR="00656D0B" w:rsidRDefault="00000000">
      <w:pPr>
        <w:pStyle w:val="ListParagraph"/>
        <w:numPr>
          <w:ilvl w:val="0"/>
          <w:numId w:val="2"/>
        </w:numPr>
        <w:spacing w:before="40" w:after="40"/>
      </w:pPr>
      <w:r>
        <w:t>CASCADE + PAY_AS (any governance-approved currency, settled at maturity). Zero intermediary cost.</w:t>
      </w:r>
    </w:p>
    <w:p w14:paraId="27A8C395" w14:textId="77777777" w:rsidR="00656D0B" w:rsidRDefault="00000000">
      <w:pPr>
        <w:spacing w:before="60" w:after="120"/>
        <w:jc w:val="both"/>
      </w:pPr>
      <w:r>
        <w:rPr>
          <w:color w:val="000000"/>
        </w:rPr>
        <w:t>Result: Permanent payment history, zero wire fees.</w:t>
      </w:r>
    </w:p>
    <w:p w14:paraId="1063F40A" w14:textId="77777777" w:rsidR="00656D0B" w:rsidRDefault="00000000">
      <w:r>
        <w:br w:type="page"/>
      </w:r>
    </w:p>
    <w:p w14:paraId="6595CCFE" w14:textId="77777777" w:rsidR="00656D0B" w:rsidRDefault="00000000">
      <w:pPr>
        <w:pStyle w:val="Heading1"/>
      </w:pPr>
      <w:r>
        <w:lastRenderedPageBreak/>
        <w:t>A.3 Business and Institutional</w:t>
      </w:r>
    </w:p>
    <w:p w14:paraId="3EE6104E" w14:textId="77777777" w:rsidR="00656D0B" w:rsidRDefault="00000000">
      <w:pPr>
        <w:pStyle w:val="Heading2"/>
        <w:spacing w:before="280"/>
      </w:pPr>
      <w:r>
        <w:t>A.3.1 — The Bond Equivalent</w:t>
      </w:r>
    </w:p>
    <w:p w14:paraId="1B0C469F" w14:textId="77777777" w:rsidR="00656D0B" w:rsidRDefault="00000000">
      <w:pPr>
        <w:spacing w:before="60" w:after="120"/>
        <w:jc w:val="both"/>
      </w:pPr>
      <w:r>
        <w:rPr>
          <w:color w:val="000000"/>
        </w:rPr>
        <w:t>A company raises capital via a 5-year instrument paying annual coupons.</w:t>
      </w:r>
    </w:p>
    <w:p w14:paraId="40FE03C6" w14:textId="77777777" w:rsidR="00656D0B" w:rsidRDefault="00000000">
      <w:pPr>
        <w:pStyle w:val="ListParagraph"/>
        <w:numPr>
          <w:ilvl w:val="0"/>
          <w:numId w:val="2"/>
        </w:numPr>
        <w:spacing w:before="40" w:after="40"/>
      </w:pPr>
      <w:r>
        <w:t>TYPE Y + CASCADE (annual coupons) + PAY_AS + HedgeX protection available.</w:t>
      </w:r>
    </w:p>
    <w:p w14:paraId="6BE39DBE" w14:textId="77777777" w:rsidR="00656D0B" w:rsidRDefault="00000000">
      <w:pPr>
        <w:spacing w:before="60" w:after="120"/>
        <w:jc w:val="both"/>
      </w:pPr>
      <w:r>
        <w:rPr>
          <w:color w:val="000000"/>
        </w:rPr>
        <w:t>Result: Bond-equivalent instrument with zero administration cost and real-time public payment status.</w:t>
      </w:r>
    </w:p>
    <w:p w14:paraId="1627618F" w14:textId="77777777" w:rsidR="00656D0B" w:rsidRDefault="00000000">
      <w:pPr>
        <w:pStyle w:val="Heading2"/>
        <w:spacing w:before="280"/>
      </w:pPr>
      <w:r>
        <w:t>A.3.2 — Subscription Billing</w:t>
      </w:r>
    </w:p>
    <w:p w14:paraId="7FD67533" w14:textId="77777777" w:rsidR="00656D0B" w:rsidRDefault="00000000">
      <w:pPr>
        <w:spacing w:before="60" w:after="120"/>
        <w:jc w:val="both"/>
      </w:pPr>
      <w:r>
        <w:rPr>
          <w:color w:val="000000"/>
        </w:rPr>
        <w:t>A service provider charges recurring fees per enterprise client.</w:t>
      </w:r>
    </w:p>
    <w:p w14:paraId="615B25F4" w14:textId="77777777" w:rsidR="00656D0B" w:rsidRDefault="00000000">
      <w:pPr>
        <w:pStyle w:val="ListParagraph"/>
        <w:numPr>
          <w:ilvl w:val="0"/>
          <w:numId w:val="2"/>
        </w:numPr>
        <w:spacing w:before="40" w:after="40"/>
      </w:pPr>
      <w:r>
        <w:t>TYPE C (Credit Authorization). Client can revoke at any time.</w:t>
      </w:r>
    </w:p>
    <w:p w14:paraId="00CBE85F" w14:textId="77777777" w:rsidR="00656D0B" w:rsidRDefault="00000000">
      <w:pPr>
        <w:spacing w:before="60" w:after="120"/>
        <w:jc w:val="both"/>
      </w:pPr>
      <w:r>
        <w:rPr>
          <w:color w:val="000000"/>
        </w:rPr>
        <w:t>Result: No payment processor, no chargebacks, no failures.</w:t>
      </w:r>
    </w:p>
    <w:p w14:paraId="299E391D" w14:textId="77777777" w:rsidR="00656D0B" w:rsidRDefault="00000000">
      <w:pPr>
        <w:pStyle w:val="Heading2"/>
        <w:spacing w:before="280"/>
      </w:pPr>
      <w:r>
        <w:t>A.3.3 — Supply Chain Milestone Payments</w:t>
      </w:r>
    </w:p>
    <w:p w14:paraId="3601D4A5" w14:textId="77777777" w:rsidR="00656D0B" w:rsidRDefault="00000000">
      <w:pPr>
        <w:spacing w:before="60" w:after="120"/>
        <w:jc w:val="both"/>
      </w:pPr>
      <w:r>
        <w:rPr>
          <w:color w:val="000000"/>
        </w:rPr>
        <w:t>A manufacturer pays a supplier in milestones as production stages complete.</w:t>
      </w:r>
    </w:p>
    <w:p w14:paraId="7F478B60" w14:textId="77777777" w:rsidR="00656D0B" w:rsidRDefault="00000000">
      <w:pPr>
        <w:pStyle w:val="ListParagraph"/>
        <w:numPr>
          <w:ilvl w:val="0"/>
          <w:numId w:val="2"/>
        </w:numPr>
        <w:spacing w:before="40" w:after="40"/>
      </w:pPr>
      <w:r>
        <w:t>CASCADE + TYPE V milestone conditions. Supplier has cryptographic certainty of payment.</w:t>
      </w:r>
    </w:p>
    <w:p w14:paraId="76BAEAB1" w14:textId="77777777" w:rsidR="00656D0B" w:rsidRDefault="00000000">
      <w:pPr>
        <w:spacing w:before="60" w:after="120"/>
        <w:jc w:val="both"/>
      </w:pPr>
      <w:r>
        <w:rPr>
          <w:color w:val="000000"/>
        </w:rPr>
        <w:t>Result: Replaces letters of credit, eliminates counterparty risk.</w:t>
      </w:r>
    </w:p>
    <w:p w14:paraId="7BCA7C36" w14:textId="77777777" w:rsidR="00656D0B" w:rsidRDefault="00000000">
      <w:pPr>
        <w:pStyle w:val="Heading2"/>
        <w:spacing w:before="280"/>
      </w:pPr>
      <w:r>
        <w:t>A.3.4 — Proportional Distribution</w:t>
      </w:r>
    </w:p>
    <w:p w14:paraId="220C23D2" w14:textId="77777777" w:rsidR="00656D0B" w:rsidRDefault="00000000">
      <w:pPr>
        <w:spacing w:before="60" w:after="120"/>
        <w:jc w:val="both"/>
      </w:pPr>
      <w:r>
        <w:rPr>
          <w:color w:val="000000"/>
        </w:rPr>
        <w:t>An organization distributes value periodically to a large group of participants.</w:t>
      </w:r>
    </w:p>
    <w:p w14:paraId="46C70109" w14:textId="77777777" w:rsidR="00656D0B" w:rsidRDefault="00000000">
      <w:pPr>
        <w:pStyle w:val="ListParagraph"/>
        <w:numPr>
          <w:ilvl w:val="0"/>
          <w:numId w:val="2"/>
        </w:numPr>
        <w:spacing w:before="40" w:after="40"/>
      </w:pPr>
      <w:r>
        <w:t>TYPE G (Wallet Group) + CASCADE. MISAI distributes proportionally in a single atomic transaction.</w:t>
      </w:r>
    </w:p>
    <w:p w14:paraId="5B7F96A0" w14:textId="77777777" w:rsidR="00656D0B" w:rsidRDefault="00000000">
      <w:pPr>
        <w:spacing w:before="60" w:after="120"/>
        <w:jc w:val="both"/>
      </w:pPr>
      <w:r>
        <w:rPr>
          <w:color w:val="000000"/>
        </w:rPr>
        <w:t>Result: Many recipients, one transaction, zero processing cost.</w:t>
      </w:r>
    </w:p>
    <w:p w14:paraId="48C26898" w14:textId="77777777" w:rsidR="00656D0B" w:rsidRDefault="00000000">
      <w:r>
        <w:br w:type="page"/>
      </w:r>
    </w:p>
    <w:p w14:paraId="65335B58" w14:textId="77777777" w:rsidR="00656D0B" w:rsidRDefault="00000000">
      <w:pPr>
        <w:pStyle w:val="Heading1"/>
      </w:pPr>
      <w:r>
        <w:lastRenderedPageBreak/>
        <w:t>A.4 AI Agent and Fintech</w:t>
      </w:r>
    </w:p>
    <w:p w14:paraId="7E442DC9" w14:textId="77777777" w:rsidR="00656D0B" w:rsidRDefault="00000000">
      <w:pPr>
        <w:pStyle w:val="Heading2"/>
        <w:spacing w:before="280"/>
      </w:pPr>
      <w:r>
        <w:t>A.4.1 — AI Trading Agent Settlement</w:t>
      </w:r>
    </w:p>
    <w:p w14:paraId="189D6AAA" w14:textId="77777777" w:rsidR="00656D0B" w:rsidRDefault="00000000">
      <w:pPr>
        <w:spacing w:before="60" w:after="120"/>
        <w:jc w:val="both"/>
      </w:pPr>
      <w:r>
        <w:rPr>
          <w:color w:val="000000"/>
        </w:rPr>
        <w:t>An AI trading agent settles obligations in real time.</w:t>
      </w:r>
    </w:p>
    <w:p w14:paraId="6A11ABEF" w14:textId="77777777" w:rsidR="00656D0B" w:rsidRDefault="00000000">
      <w:pPr>
        <w:pStyle w:val="ListParagraph"/>
        <w:numPr>
          <w:ilvl w:val="0"/>
          <w:numId w:val="2"/>
        </w:numPr>
        <w:spacing w:before="40" w:after="40"/>
      </w:pPr>
      <w:r>
        <w:t>TYPE D (High Frequency) + TYPE M. Axiom IV ensures decision and custody agents are always separate.</w:t>
      </w:r>
    </w:p>
    <w:p w14:paraId="42FDE829" w14:textId="77777777" w:rsidR="00656D0B" w:rsidRDefault="00000000">
      <w:pPr>
        <w:spacing w:before="60" w:after="120"/>
        <w:jc w:val="both"/>
      </w:pPr>
      <w:r>
        <w:rPr>
          <w:color w:val="000000"/>
        </w:rPr>
        <w:t>Result: AI-native settlement with permanent public audit trail and zero custodial risk.</w:t>
      </w:r>
    </w:p>
    <w:p w14:paraId="21C03BCC" w14:textId="77777777" w:rsidR="00656D0B" w:rsidRDefault="00000000">
      <w:pPr>
        <w:pStyle w:val="Heading2"/>
        <w:spacing w:before="280"/>
      </w:pPr>
      <w:r>
        <w:t>A.4.2 — Pay-Per-Decision AI Services</w:t>
      </w:r>
    </w:p>
    <w:p w14:paraId="66C2BED9" w14:textId="77777777" w:rsidR="00656D0B" w:rsidRDefault="00000000">
      <w:pPr>
        <w:spacing w:before="60" w:after="120"/>
        <w:jc w:val="both"/>
      </w:pPr>
      <w:r>
        <w:rPr>
          <w:color w:val="000000"/>
        </w:rPr>
        <w:t>An AI service provider charges per decision made on behalf of a client.</w:t>
      </w:r>
    </w:p>
    <w:p w14:paraId="58207E72" w14:textId="77777777" w:rsidR="00656D0B" w:rsidRDefault="00000000">
      <w:pPr>
        <w:pStyle w:val="ListParagraph"/>
        <w:numPr>
          <w:ilvl w:val="0"/>
          <w:numId w:val="2"/>
        </w:numPr>
        <w:spacing w:before="40" w:after="40"/>
      </w:pPr>
      <w:r>
        <w:t>TYPE C. Each decision draws a small amount automatically. Complete on-chain record of every charge.</w:t>
      </w:r>
    </w:p>
    <w:p w14:paraId="719FBFAA" w14:textId="77777777" w:rsidR="00656D0B" w:rsidRDefault="00000000">
      <w:pPr>
        <w:spacing w:before="60" w:after="120"/>
        <w:jc w:val="both"/>
      </w:pPr>
      <w:r>
        <w:rPr>
          <w:color w:val="000000"/>
        </w:rPr>
        <w:t>Result: Micro-payment billing with complete transparency.</w:t>
      </w:r>
    </w:p>
    <w:p w14:paraId="1888DE50" w14:textId="77777777" w:rsidR="00656D0B" w:rsidRDefault="00000000">
      <w:pPr>
        <w:pStyle w:val="Heading2"/>
        <w:spacing w:before="280"/>
      </w:pPr>
      <w:r>
        <w:t>A.4.3 — Cross-Border Lending Platform</w:t>
      </w:r>
    </w:p>
    <w:p w14:paraId="55C558C9" w14:textId="77777777" w:rsidR="00656D0B" w:rsidRDefault="00000000">
      <w:pPr>
        <w:spacing w:before="60" w:after="120"/>
        <w:jc w:val="both"/>
      </w:pPr>
      <w:r>
        <w:rPr>
          <w:color w:val="000000"/>
        </w:rPr>
        <w:t>A fintech company offers denomination-stable loans globally using KX as the settlement rail.</w:t>
      </w:r>
    </w:p>
    <w:p w14:paraId="0EEBF9EE" w14:textId="77777777" w:rsidR="00656D0B" w:rsidRDefault="00000000">
      <w:pPr>
        <w:pStyle w:val="ListParagraph"/>
        <w:numPr>
          <w:ilvl w:val="0"/>
          <w:numId w:val="2"/>
        </w:numPr>
        <w:spacing w:before="40" w:after="40"/>
      </w:pPr>
      <w:r>
        <w:t>TYPE D + PAY_AS (any governance-approved currency) + HedgeX. DefaultRecords create portable global credit history.</w:t>
      </w:r>
    </w:p>
    <w:p w14:paraId="0DDFC9F3" w14:textId="77777777" w:rsidR="00656D0B" w:rsidRDefault="00000000">
      <w:pPr>
        <w:spacing w:before="60" w:after="120"/>
        <w:jc w:val="both"/>
      </w:pPr>
      <w:r>
        <w:rPr>
          <w:color w:val="000000"/>
        </w:rPr>
        <w:t>Result: Cross-border lending with stable-denomination UX, zero-fee settlement, and permanent credit records.</w:t>
      </w:r>
    </w:p>
    <w:p w14:paraId="5D532261" w14:textId="77777777" w:rsidR="00656D0B" w:rsidRDefault="00656D0B">
      <w:pPr>
        <w:pBdr>
          <w:bottom w:val="single" w:sz="4" w:space="1" w:color="C9A84C"/>
        </w:pBdr>
        <w:spacing w:before="200" w:after="200"/>
      </w:pPr>
    </w:p>
    <w:p w14:paraId="595AB86E" w14:textId="77777777" w:rsidR="00656D0B" w:rsidRDefault="00000000">
      <w:pPr>
        <w:spacing w:after="80"/>
        <w:jc w:val="center"/>
      </w:pPr>
      <w:r>
        <w:rPr>
          <w:i/>
          <w:iCs/>
          <w:color w:val="666666"/>
          <w:sz w:val="20"/>
          <w:szCs w:val="20"/>
        </w:rPr>
        <w:t>End of Exhibit A</w:t>
      </w:r>
    </w:p>
    <w:p w14:paraId="086241F6" w14:textId="77777777" w:rsidR="00656D0B" w:rsidRDefault="00000000">
      <w:r>
        <w:br w:type="page"/>
      </w:r>
    </w:p>
    <w:p w14:paraId="3C89205B" w14:textId="77777777" w:rsidR="00656D0B" w:rsidRDefault="00000000">
      <w:pPr>
        <w:spacing w:before="400" w:after="80"/>
        <w:jc w:val="center"/>
      </w:pPr>
      <w:r>
        <w:rPr>
          <w:b/>
          <w:bCs/>
          <w:color w:val="C9A84C"/>
          <w:sz w:val="48"/>
          <w:szCs w:val="48"/>
        </w:rPr>
        <w:lastRenderedPageBreak/>
        <w:t>EXHIBIT B</w:t>
      </w:r>
    </w:p>
    <w:p w14:paraId="73AB206B" w14:textId="77777777" w:rsidR="00656D0B" w:rsidRDefault="00000000">
      <w:pPr>
        <w:spacing w:after="80"/>
        <w:jc w:val="center"/>
      </w:pPr>
      <w:r>
        <w:rPr>
          <w:b/>
          <w:bCs/>
          <w:color w:val="2E3A5C"/>
          <w:sz w:val="32"/>
          <w:szCs w:val="32"/>
        </w:rPr>
        <w:t>A Plain-English Guide to ChronX Finance</w:t>
      </w:r>
    </w:p>
    <w:p w14:paraId="07078F27" w14:textId="77777777" w:rsidR="00656D0B" w:rsidRDefault="00000000">
      <w:pPr>
        <w:spacing w:after="200"/>
        <w:jc w:val="center"/>
      </w:pPr>
      <w:r>
        <w:rPr>
          <w:i/>
          <w:iCs/>
          <w:color w:val="666666"/>
        </w:rPr>
        <w:t>For readers who want to go deeper into how ChronX works in the real financial world.</w:t>
      </w:r>
    </w:p>
    <w:p w14:paraId="480B7C65" w14:textId="77777777" w:rsidR="00656D0B" w:rsidRDefault="00656D0B">
      <w:pPr>
        <w:pBdr>
          <w:bottom w:val="single" w:sz="4" w:space="1" w:color="C9A84C"/>
        </w:pBdr>
        <w:spacing w:before="200" w:after="200"/>
      </w:pPr>
    </w:p>
    <w:p w14:paraId="7BB0157D" w14:textId="77777777" w:rsidR="00656D0B" w:rsidRDefault="00000000">
      <w:r>
        <w:br w:type="page"/>
      </w:r>
    </w:p>
    <w:p w14:paraId="2D3564B5" w14:textId="77777777" w:rsidR="00656D0B" w:rsidRDefault="00000000">
      <w:pPr>
        <w:pStyle w:val="Heading1"/>
      </w:pPr>
      <w:r>
        <w:lastRenderedPageBreak/>
        <w:t>B.1 Long-Term Promises and Verifas</w:t>
      </w:r>
    </w:p>
    <w:p w14:paraId="746536D0" w14:textId="77777777" w:rsidR="00656D0B" w:rsidRDefault="00000000">
      <w:pPr>
        <w:pStyle w:val="Heading2"/>
        <w:spacing w:before="280"/>
      </w:pPr>
      <w:r>
        <w:t>The Simple Version</w:t>
      </w:r>
    </w:p>
    <w:p w14:paraId="69F4B934" w14:textId="77777777" w:rsidR="00656D0B" w:rsidRDefault="00000000">
      <w:pPr>
        <w:spacing w:before="60" w:after="120"/>
        <w:jc w:val="both"/>
      </w:pPr>
      <w:r>
        <w:rPr>
          <w:color w:val="000000"/>
        </w:rPr>
        <w:t>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14:paraId="6C71F29A" w14:textId="77777777" w:rsidR="00656D0B" w:rsidRDefault="00000000">
      <w:pPr>
        <w:pStyle w:val="Heading2"/>
        <w:spacing w:before="280"/>
      </w:pPr>
      <w:r>
        <w:t>What Could Go Wrong Over 20 Years?</w:t>
      </w:r>
    </w:p>
    <w:p w14:paraId="6A7501AB" w14:textId="77777777" w:rsidR="00656D0B" w:rsidRDefault="00000000">
      <w:pPr>
        <w:spacing w:before="60" w:after="120"/>
        <w:jc w:val="both"/>
      </w:pPr>
      <w:r>
        <w:rPr>
          <w:color w:val="000000"/>
        </w:rPr>
        <w:t>The promise is mathematically perfect. But the real world is not. What if your granddaughter's email no longer exists? Verifas solves this — a network of bonded attestors whose only job is to find the right person and verify their identity. Verifas doesn't touch the money. It only answers one question: is this person the intended recipient?</w:t>
      </w:r>
    </w:p>
    <w:p w14:paraId="25CDE38D" w14:textId="77777777" w:rsidR="00656D0B" w:rsidRDefault="00000000">
      <w:pPr>
        <w:pStyle w:val="Heading2"/>
        <w:spacing w:before="280"/>
      </w:pPr>
      <w:r>
        <w:t>How Long Can a Promise Last?</w:t>
      </w:r>
    </w:p>
    <w:p w14:paraId="669F574F" w14:textId="77777777" w:rsidR="00656D0B" w:rsidRDefault="00000000">
      <w:pPr>
        <w:spacing w:before="60" w:after="120"/>
        <w:jc w:val="both"/>
      </w:pPr>
      <w:r>
        <w:rPr>
          <w:color w:val="000000"/>
        </w:rPr>
        <w:t>Up to 100 years. After that, the Humanity Stake — a pool governed for the benefit of all humanity — receives any unclaimed funds. No funds are ever lost.</w:t>
      </w:r>
    </w:p>
    <w:p w14:paraId="09E56FA8" w14:textId="77777777" w:rsidR="00656D0B" w:rsidRDefault="00000000">
      <w:pPr>
        <w:pStyle w:val="Heading2"/>
        <w:spacing w:before="280"/>
      </w:pPr>
      <w:r>
        <w:t>What About the Currency?</w:t>
      </w:r>
    </w:p>
    <w:p w14:paraId="41F94078" w14:textId="77777777" w:rsidR="00656D0B" w:rsidRDefault="00000000">
      <w:pPr>
        <w:spacing w:before="60" w:after="120"/>
        <w:jc w:val="both"/>
      </w:pPr>
      <w:r>
        <w:rPr>
          <w:color w:val="000000"/>
        </w:rPr>
        <w:t>This is where ChronX's design is genuinely forward-thinking. Nobody knows what money looks like in 2126. The currency you choose today may not exist in 50 years. PAY_AS records the denomination intent — what you meant when you made the promise. Foundation governance maintains a list of recognized currencies and their successors. If a currency ceases to exist, governance votes on a successor mapping. MISAI follows the mapping at maturity. The promise survives the currency.</w:t>
      </w:r>
    </w:p>
    <w:p w14:paraId="122B1D87" w14:textId="77777777" w:rsidR="00656D0B" w:rsidRDefault="00000000">
      <w:r>
        <w:br w:type="page"/>
      </w:r>
    </w:p>
    <w:p w14:paraId="1B188708" w14:textId="77777777" w:rsidR="00656D0B" w:rsidRDefault="00000000">
      <w:pPr>
        <w:pStyle w:val="Heading1"/>
      </w:pPr>
      <w:r>
        <w:lastRenderedPageBreak/>
        <w:t>B.2 Debt Payments and On-Chain Credit Reporting</w:t>
      </w:r>
    </w:p>
    <w:p w14:paraId="17010038" w14:textId="77777777" w:rsidR="00656D0B" w:rsidRDefault="00000000">
      <w:pPr>
        <w:pStyle w:val="Heading2"/>
        <w:spacing w:before="280"/>
      </w:pPr>
      <w:r>
        <w:t>The Simple Version</w:t>
      </w:r>
    </w:p>
    <w:p w14:paraId="1C7234AB" w14:textId="77777777" w:rsidR="00656D0B" w:rsidRDefault="00000000">
      <w:pPr>
        <w:spacing w:before="60" w:after="120"/>
        <w:jc w:val="both"/>
      </w:pPr>
      <w:r>
        <w:rPr>
          <w:color w:val="000000"/>
        </w:rPr>
        <w:t>Every loan is a series of promises. On ChronX, those promises are written directly onto the blockchain — permanently and publicly. The node watches the schedule. Payments received are marked complete. Payments missed generate a DefaultRecord. The entire loan history is on the public ledger, forever.</w:t>
      </w:r>
    </w:p>
    <w:p w14:paraId="645B532B" w14:textId="77777777" w:rsidR="00656D0B" w:rsidRDefault="00000000">
      <w:pPr>
        <w:pStyle w:val="Heading2"/>
        <w:spacing w:before="280"/>
      </w:pPr>
      <w:r>
        <w:t>What Is a DefaultRecord?</w:t>
      </w:r>
    </w:p>
    <w:p w14:paraId="1E928AAA" w14:textId="77777777" w:rsidR="00656D0B" w:rsidRDefault="00000000">
      <w:pPr>
        <w:spacing w:before="60" w:after="120"/>
        <w:jc w:val="both"/>
      </w:pPr>
      <w:r>
        <w:rPr>
          <w:color w:val="000000"/>
        </w:rPr>
        <w:t>A permanent, cryptographically signed, timestamped record attached to the borrower's wallet address. Any future lender who queries that address sees the complete loan history — not a score, the actual record.</w:t>
      </w:r>
    </w:p>
    <w:p w14:paraId="76DE60C4" w14:textId="77777777" w:rsidR="00656D0B" w:rsidRDefault="00000000">
      <w:pPr>
        <w:pStyle w:val="Heading2"/>
        <w:spacing w:before="280"/>
      </w:pPr>
      <w:r>
        <w:t>What Is a LenderMemo?</w:t>
      </w:r>
    </w:p>
    <w:p w14:paraId="4C332435" w14:textId="77777777" w:rsidR="00656D0B" w:rsidRDefault="00000000">
      <w:pPr>
        <w:spacing w:before="60" w:after="120"/>
        <w:jc w:val="both"/>
      </w:pPr>
      <w:r>
        <w:rPr>
          <w:color w:val="000000"/>
        </w:rPr>
        <w:t>A signed, on-chain annotation that the original lender can attach to any DefaultRecord. If a court orders a default lifted, or both parties negotiate a settlement, the lender submits a LenderMemo. Future lenders see both records: the original default and its resolution. Nothing is erased — the full, annotated truth is always visible. One memo per default event, signed by the original lender wallet, prevents spam.</w:t>
      </w:r>
    </w:p>
    <w:p w14:paraId="6100D966" w14:textId="77777777" w:rsidR="00656D0B" w:rsidRDefault="00000000">
      <w:pPr>
        <w:pStyle w:val="Heading2"/>
        <w:spacing w:before="280"/>
      </w:pPr>
      <w:r>
        <w:t>Can a Default Be Fixed?</w:t>
      </w:r>
    </w:p>
    <w:p w14:paraId="78A0F737" w14:textId="77777777" w:rsidR="00656D0B" w:rsidRDefault="00000000">
      <w:pPr>
        <w:spacing w:before="60" w:after="120"/>
        <w:jc w:val="both"/>
      </w:pPr>
      <w:r>
        <w:rPr>
          <w:color w:val="000000"/>
        </w:rPr>
        <w:t>Yes — through LoanReinstatement. If both parties agree, the loan can be reinstated at any time. No time limit. A court-ordered reinstatement twenty years later is as valid as one issued the next day.</w:t>
      </w:r>
    </w:p>
    <w:p w14:paraId="5238FF07" w14:textId="77777777" w:rsidR="00656D0B" w:rsidRDefault="00000000">
      <w:r>
        <w:br w:type="page"/>
      </w:r>
    </w:p>
    <w:p w14:paraId="6F9C87BB" w14:textId="77777777" w:rsidR="00656D0B" w:rsidRDefault="00000000">
      <w:pPr>
        <w:pStyle w:val="Heading1"/>
      </w:pPr>
      <w:r>
        <w:lastRenderedPageBreak/>
        <w:t>B.3 AI-Managed Funds and MISAI</w:t>
      </w:r>
    </w:p>
    <w:p w14:paraId="6310091E" w14:textId="77777777" w:rsidR="00656D0B" w:rsidRDefault="00000000">
      <w:pPr>
        <w:pStyle w:val="Heading2"/>
        <w:spacing w:before="280"/>
      </w:pPr>
      <w:r>
        <w:t>The Simple Version</w:t>
      </w:r>
    </w:p>
    <w:p w14:paraId="793AAB39" w14:textId="77777777" w:rsidR="00656D0B" w:rsidRDefault="00000000">
      <w:pPr>
        <w:spacing w:before="60" w:after="120"/>
        <w:jc w:val="both"/>
      </w:pPr>
      <w:r>
        <w:rPr>
          <w:color w:val="000000"/>
        </w:rPr>
        <w:t>A TYPE M lock is a ChronX promise with a twist: instead of the KX sitting idle for twenty years, MISAI is authorized to withdraw the investable tranche, manage it, and return whatever it has grown into at maturity. Think of it as a digital endowment.</w:t>
      </w:r>
    </w:p>
    <w:p w14:paraId="5AC7960D" w14:textId="77777777" w:rsidR="00656D0B" w:rsidRDefault="00000000">
      <w:pPr>
        <w:pStyle w:val="Heading2"/>
        <w:spacing w:before="280"/>
      </w:pPr>
      <w:r>
        <w:t>How Does the Money Actually Move?</w:t>
      </w:r>
    </w:p>
    <w:p w14:paraId="35D463BD" w14:textId="77777777" w:rsidR="00656D0B" w:rsidRDefault="00000000">
      <w:pPr>
        <w:spacing w:before="60" w:after="120"/>
        <w:jc w:val="both"/>
      </w:pPr>
      <w:r>
        <w:rPr>
          <w:color w:val="000000"/>
        </w:rPr>
        <w:t>When you create a TYPE M lock, KX is locked on the DAG. MISAI queries the blockchain for TYPE M locks it is authorized to manage. It requests the investable tranche. The node validates MISAI's bonded status and releases that fraction. MISAI converts to a stable exchange medium, executes the investment mandate, and at maturity reconverts to KX and delivers to the beneficiary. Every step is permanently recorded on the DAG before execution.</w:t>
      </w:r>
    </w:p>
    <w:p w14:paraId="30031C88" w14:textId="77777777" w:rsidR="00656D0B" w:rsidRDefault="00000000">
      <w:pPr>
        <w:pStyle w:val="Heading2"/>
        <w:spacing w:before="280"/>
      </w:pPr>
      <w:r>
        <w:t>What If MISAI Loses Money?</w:t>
      </w:r>
    </w:p>
    <w:p w14:paraId="026A6334" w14:textId="77777777" w:rsidR="00656D0B" w:rsidRDefault="00000000">
      <w:pPr>
        <w:spacing w:before="60" w:after="120"/>
        <w:jc w:val="both"/>
      </w:pPr>
      <w:r>
        <w:rPr>
          <w:color w:val="000000"/>
        </w:rPr>
        <w:t>The AI Agent Risk Axiom is explicit: AI management may result in gains or losses up to and including total loss. MISAI is not a guaranteed return product.</w:t>
      </w:r>
    </w:p>
    <w:p w14:paraId="466C748B" w14:textId="77777777" w:rsidR="00656D0B" w:rsidRDefault="00000000">
      <w:pPr>
        <w:pStyle w:val="Heading2"/>
        <w:spacing w:before="280"/>
      </w:pPr>
      <w:r>
        <w:t>What Does MISAI Never Do?</w:t>
      </w:r>
    </w:p>
    <w:p w14:paraId="49BFCA3F" w14:textId="77777777" w:rsidR="00656D0B" w:rsidRDefault="00000000">
      <w:pPr>
        <w:spacing w:before="60" w:after="120"/>
        <w:jc w:val="both"/>
      </w:pPr>
      <w:r>
        <w:rPr>
          <w:color w:val="000000"/>
        </w:rPr>
        <w:t>MISAI never makes decisions without recording them publicly first. The decision agent is always separate from the custody wallet — Axiom IV, enforced at the protocol level, not merely promised in a terms document.</w:t>
      </w:r>
    </w:p>
    <w:p w14:paraId="5DBEA3E2" w14:textId="77777777" w:rsidR="00656D0B" w:rsidRDefault="00000000">
      <w:r>
        <w:br w:type="page"/>
      </w:r>
    </w:p>
    <w:p w14:paraId="75A1FC80" w14:textId="77777777" w:rsidR="00656D0B" w:rsidRDefault="00000000">
      <w:pPr>
        <w:pStyle w:val="Heading1"/>
      </w:pPr>
      <w:r>
        <w:lastRenderedPageBreak/>
        <w:t>B.4 Currency Risk and HedgeX</w:t>
      </w:r>
    </w:p>
    <w:p w14:paraId="6260ADD0" w14:textId="77777777" w:rsidR="00656D0B" w:rsidRDefault="00000000">
      <w:pPr>
        <w:pStyle w:val="Heading2"/>
        <w:spacing w:before="280"/>
      </w:pPr>
      <w:r>
        <w:t>The Simple Version</w:t>
      </w:r>
    </w:p>
    <w:p w14:paraId="31F8F362" w14:textId="77777777" w:rsidR="00656D0B" w:rsidRDefault="00000000">
      <w:pPr>
        <w:spacing w:before="60" w:after="120"/>
        <w:jc w:val="both"/>
      </w:pPr>
      <w:r>
        <w:rPr>
          <w:color w:val="000000"/>
        </w:rPr>
        <w:t>If you lend value denominated in a volatile asset and that asset rises dramatically over the loan term, your borrower may face an impossible repayment burden. HedgeX lets borrowers buy protection against this, and lets asset holders earn stable-currency yield by providing that protection — peer-to-peer, on-chain, no bank required.</w:t>
      </w:r>
    </w:p>
    <w:p w14:paraId="369DC2E1" w14:textId="77777777" w:rsidR="00656D0B" w:rsidRDefault="00000000">
      <w:pPr>
        <w:pStyle w:val="Heading2"/>
        <w:spacing w:before="280"/>
      </w:pPr>
      <w:r>
        <w:t>How Does a Hedge Work?</w:t>
      </w:r>
    </w:p>
    <w:p w14:paraId="5D4A0821" w14:textId="77777777" w:rsidR="00656D0B" w:rsidRDefault="00000000">
      <w:pPr>
        <w:spacing w:before="60" w:after="120"/>
        <w:jc w:val="both"/>
      </w:pPr>
      <w:r>
        <w:rPr>
          <w:color w:val="000000"/>
        </w:rPr>
        <w:t>A borrower posts a hedge campaign specifying coverage needed and the premium offered. Holders pledge coverage in exchange for stable-currency yield. All terms are agreed before the hedge is funded. If the campaign doesn't fill, all pledges are returned automatically.</w:t>
      </w:r>
    </w:p>
    <w:p w14:paraId="7C26C462" w14:textId="77777777" w:rsidR="00656D0B" w:rsidRDefault="00000000">
      <w:r>
        <w:br w:type="page"/>
      </w:r>
    </w:p>
    <w:p w14:paraId="7648E11A" w14:textId="77777777" w:rsidR="00656D0B" w:rsidRDefault="00000000">
      <w:pPr>
        <w:pStyle w:val="Heading1"/>
      </w:pPr>
      <w:r>
        <w:lastRenderedPageBreak/>
        <w:t>B.5 PAY_AS and the Future of Money</w:t>
      </w:r>
    </w:p>
    <w:p w14:paraId="64F0AC3D" w14:textId="77777777" w:rsidR="00656D0B" w:rsidRDefault="00000000">
      <w:pPr>
        <w:pStyle w:val="Heading2"/>
        <w:spacing w:before="280"/>
      </w:pPr>
      <w:r>
        <w:t>Why No Specific Currencies Are Named</w:t>
      </w:r>
    </w:p>
    <w:p w14:paraId="000C7B81" w14:textId="77777777" w:rsidR="00656D0B" w:rsidRDefault="00000000">
      <w:pPr>
        <w:spacing w:before="60" w:after="120"/>
        <w:jc w:val="both"/>
      </w:pPr>
      <w:r>
        <w:rPr>
          <w:color w:val="000000"/>
        </w:rPr>
        <w:t>ChronX is a 100-year protocol. The currencies that exist today — in any form, digital or physical — may not exist in 2126. Naming specific currencies in the protocol would be like encoding "dollars and pounds" into a banking system in 1890 and expecting it to still work today, after the abandonment of the gold standard, the creation of the Euro, the rise of digital assets, and everything else that happened in between.</w:t>
      </w:r>
    </w:p>
    <w:p w14:paraId="79EAA115" w14:textId="77777777" w:rsidR="00656D0B" w:rsidRDefault="00000000">
      <w:pPr>
        <w:spacing w:before="60" w:after="120"/>
        <w:jc w:val="both"/>
      </w:pPr>
      <w:r>
        <w:rPr>
          <w:color w:val="000000"/>
        </w:rPr>
        <w:t>PAY_AS is deliberately currency-agnostic. It records the denomination intent. Foundation governance maintains the list of recognized currencies and their oracle sources. When a currency ceases to exist, governance votes on a successor. MISAI follows the mapping.</w:t>
      </w:r>
    </w:p>
    <w:p w14:paraId="39329CB0" w14:textId="77777777" w:rsidR="00656D0B" w:rsidRDefault="00000000">
      <w:pPr>
        <w:pStyle w:val="Heading2"/>
        <w:spacing w:before="280"/>
      </w:pPr>
      <w:r>
        <w:t>What If a Currency Has No Successor?</w:t>
      </w:r>
    </w:p>
    <w:p w14:paraId="65B1EF5E" w14:textId="77777777" w:rsidR="00656D0B" w:rsidRDefault="00000000">
      <w:pPr>
        <w:spacing w:before="60" w:after="120"/>
        <w:jc w:val="both"/>
      </w:pPr>
      <w:r>
        <w:rPr>
          <w:color w:val="000000"/>
        </w:rPr>
        <w:t>If a currency is deprecated with no governance-approved successor mapping, both parties to the affected promise are notified. They may agree to a settlement amount in any currently recognized currency, or wait for governance to approve a successor. The promise remains locked — funds are never lost — until the denomination question is resolved.</w:t>
      </w:r>
    </w:p>
    <w:p w14:paraId="7638C468" w14:textId="77777777" w:rsidR="00656D0B" w:rsidRDefault="00000000">
      <w:pPr>
        <w:pStyle w:val="Heading2"/>
        <w:spacing w:before="280"/>
      </w:pPr>
      <w:r>
        <w:t>Is This Theoretical?</w:t>
      </w:r>
    </w:p>
    <w:p w14:paraId="7AD3D31F" w14:textId="77777777" w:rsidR="00656D0B" w:rsidRDefault="00000000">
      <w:pPr>
        <w:spacing w:before="60" w:after="120"/>
        <w:jc w:val="both"/>
      </w:pPr>
      <w:r>
        <w:rPr>
          <w:color w:val="000000"/>
        </w:rPr>
        <w:t>No. Currency succession is already a real-world phenomenon. Countries have abandoned their currencies. Currencies have been redenominated. Monetary unions have formed and dissolved. A 100-year protocol that does not account for this is not a 100-year protocol. ChronX accounts for it.</w:t>
      </w:r>
    </w:p>
    <w:p w14:paraId="2B574A84" w14:textId="77777777" w:rsidR="00656D0B" w:rsidRDefault="00000000">
      <w:pPr>
        <w:pStyle w:val="Heading1"/>
      </w:pPr>
      <w:r>
        <w:t>B.6 Protocol Identity and Badges</w:t>
      </w:r>
    </w:p>
    <w:p w14:paraId="4ED28657" w14:textId="77777777" w:rsidR="00656D0B" w:rsidRDefault="00000000">
      <w:pPr>
        <w:pStyle w:val="Heading2"/>
        <w:spacing w:before="280"/>
      </w:pPr>
      <w:r>
        <w:t>What Are Badges?</w:t>
      </w:r>
    </w:p>
    <w:p w14:paraId="7D789004" w14:textId="77777777" w:rsidR="00656D0B" w:rsidRDefault="00000000">
      <w:pPr>
        <w:spacing w:before="60" w:after="120"/>
        <w:jc w:val="both"/>
      </w:pPr>
      <w:r>
        <w:rPr>
          <w:color w:val="000000"/>
        </w:rPr>
        <w:t>Badges are visual recognition tokens attached to a ChronX wallet address. They carry no KX value and confer no protocol rights. They are a way for the protocol, its partners, and its community to recognize participants publicly. Examples: Founding Team (gold), KXGO Bronze/Silver/Gold (gaming performance), and Partner badges.</w:t>
      </w:r>
    </w:p>
    <w:p w14:paraId="1539F68C" w14:textId="77777777" w:rsidR="00656D0B" w:rsidRDefault="00000000">
      <w:pPr>
        <w:pStyle w:val="Heading2"/>
        <w:spacing w:before="280"/>
      </w:pPr>
      <w:r>
        <w:t>How Are Badges Issued?</w:t>
      </w:r>
    </w:p>
    <w:p w14:paraId="6BB40D88" w14:textId="77777777" w:rsidR="00656D0B" w:rsidRDefault="00000000">
      <w:pPr>
        <w:spacing w:before="60" w:after="120"/>
        <w:jc w:val="both"/>
      </w:pPr>
      <w:r>
        <w:rPr>
          <w:color w:val="000000"/>
        </w:rPr>
        <w:t>Permanent badges (Founding Team) are issued as TYPE L transactions — on-chain, signed by a bonded agent, permanently visible. Dynamic badges (KXGO tiers) are managed server-side and displayed in the wallet via the badge API.</w:t>
      </w:r>
    </w:p>
    <w:p w14:paraId="75780ED8" w14:textId="77777777" w:rsidR="00656D0B" w:rsidRDefault="00000000">
      <w:pPr>
        <w:pStyle w:val="Heading2"/>
        <w:spacing w:before="280"/>
      </w:pPr>
      <w:r>
        <w:t>Why Do Badges Matter?</w:t>
      </w:r>
    </w:p>
    <w:p w14:paraId="19DE58CD" w14:textId="77777777" w:rsidR="00656D0B" w:rsidRDefault="00000000">
      <w:pPr>
        <w:spacing w:before="60" w:after="120"/>
        <w:jc w:val="both"/>
      </w:pPr>
      <w:r>
        <w:rPr>
          <w:color w:val="000000"/>
        </w:rPr>
        <w:t>For a 100-year protocol, identity continuity matters. A wallet carrying a Founding Team badge since genesis tells a different story in 2050 than an anonymous address. Badges create a lightweight, opt-in identity layer that enriches the human context of on-chain promises — without requiring personal data on the public ledger.</w:t>
      </w:r>
    </w:p>
    <w:p w14:paraId="02016C58" w14:textId="77777777" w:rsidR="00656D0B" w:rsidRDefault="00656D0B">
      <w:pPr>
        <w:pBdr>
          <w:bottom w:val="single" w:sz="4" w:space="1" w:color="C9A84C"/>
        </w:pBdr>
        <w:spacing w:before="200" w:after="200"/>
      </w:pPr>
    </w:p>
    <w:p w14:paraId="0BA62478" w14:textId="77777777" w:rsidR="00656D0B" w:rsidRDefault="00000000">
      <w:pPr>
        <w:spacing w:before="200" w:after="80"/>
        <w:jc w:val="center"/>
      </w:pPr>
      <w:r>
        <w:rPr>
          <w:i/>
          <w:iCs/>
          <w:color w:val="666666"/>
          <w:sz w:val="20"/>
          <w:szCs w:val="20"/>
        </w:rPr>
        <w:t>End of Exhibit B</w:t>
      </w:r>
    </w:p>
    <w:p w14:paraId="7FD1C16B" w14:textId="77777777" w:rsidR="00656D0B" w:rsidRDefault="00000000">
      <w:pPr>
        <w:jc w:val="center"/>
      </w:pPr>
      <w:r>
        <w:rPr>
          <w:color w:val="666666"/>
          <w:sz w:val="18"/>
          <w:szCs w:val="18"/>
        </w:rPr>
        <w:t>ChronX Protocol Whitepaper v6.1  |  chronx.io  |  ICO: September 22, 2026</w:t>
      </w:r>
    </w:p>
    <w:p w14:paraId="1A000001" w14:textId="77777777" w:rsidR="00656D0B" w:rsidRDefault="00000000">
      <w:r>
        <w:rPr>
          <w:color w:val="000000"/>
        </w:rPr>
        <w:br w:type="page"/>
      </w:r>
    </w:p>
    <w:p w14:paraId="1A000002" w14:textId="77777777" w:rsidR="00656D0B" w:rsidRDefault="00000000">
      <w:pPr>
        <w:spacing w:before="200" w:after="80"/>
        <w:jc w:val="center"/>
      </w:pPr>
      <w:r>
        <w:rPr>
          <w:b/>
          <w:color w:val="C9A84C"/>
          <w:sz w:val="32"/>
          <w:szCs w:val="32"/>
        </w:rPr>
        <w:t>ADDENDUM C</w:t>
      </w:r>
    </w:p>
    <w:p w14:paraId="1A000003" w14:textId="77777777" w:rsidR="00656D0B" w:rsidRDefault="00000000">
      <w:pPr>
        <w:spacing w:before="80" w:after="80"/>
        <w:jc w:val="center"/>
      </w:pPr>
      <w:r>
        <w:rPr>
          <w:b/>
          <w:sz w:val="28"/>
          <w:szCs w:val="28"/>
        </w:rPr>
        <w:t>ChronX Protocol Foundation Governance</w:t>
      </w:r>
    </w:p>
    <w:p w14:paraId="1A000004" w14:textId="77777777" w:rsidR="00656D0B" w:rsidRDefault="00000000">
      <w:pPr>
        <w:spacing w:before="40" w:after="200"/>
        <w:jc w:val="center"/>
      </w:pPr>
      <w:r>
        <w:rPr>
          <w:i/>
          <w:color w:val="666666"/>
          <w:sz w:val="20"/>
          <w:szCs w:val="20"/>
        </w:rPr>
        <w:t>Addendum C to ChronX Protocol Whitepaper v6.1</w:t>
      </w:r>
    </w:p>
    <w:p w14:paraId="1A000005" w14:textId="77777777" w:rsidR="00656D0B" w:rsidRDefault="00000000">
      <w:pPr>
        <w:pStyle w:val="Heading1"/>
        <w:spacing w:before="320"/>
      </w:pPr>
      <w:r>
        <w:t>C.1 Purpose and Structure of the Foundation</w:t>
      </w:r>
    </w:p>
    <w:p w14:paraId="1A000006" w14:textId="77777777" w:rsidR="00656D0B" w:rsidRDefault="00000000">
      <w:pPr>
        <w:spacing w:before="60" w:after="120"/>
        <w:jc w:val="both"/>
      </w:pPr>
      <w:r>
        <w:rPr>
          <w:color w:val="000000"/>
        </w:rPr>
        <w:t>The ChronX Protocol Foundation (the “Foundation”) is the nonprofit stewardship body of the ChronX Protocol. Its mandate is narrow and precise: to govern the operational parameters of the protocol within the bounds established at genesis — nothing more. The Foundation does not control the protocol. The protocol controls itself. The Foundation governs only those parameters that the protocol has explicitly delegated to governance.</w:t>
      </w:r>
    </w:p>
    <w:p w14:paraId="1A000007" w14:textId="77777777" w:rsidR="00656D0B" w:rsidRDefault="00000000">
      <w:pPr>
        <w:spacing w:before="60" w:after="120"/>
        <w:jc w:val="both"/>
      </w:pPr>
      <w:r>
        <w:rPr>
          <w:color w:val="000000"/>
        </w:rPr>
        <w:t>This distinction is fundamental. ChronX’s genesis-level constants — total supply, zero fees, the 7% executor fee ceiling, and the six AI Agent Axioms — are permanently encoded and immutable. No Foundation vote, no governance action, and no court order can alter them. They are the protocol’s constitution. The Foundation governs the by-laws: the operational parameters that must evolve as the network grows, the world changes, and technology advances.</w:t>
      </w:r>
    </w:p>
    <w:p w14:paraId="1A000008" w14:textId="77777777" w:rsidR="00656D0B" w:rsidRDefault="00000000">
      <w:pPr>
        <w:spacing w:before="60" w:after="120"/>
        <w:jc w:val="both"/>
      </w:pPr>
      <w:r>
        <w:rPr>
          <w:color w:val="000000"/>
        </w:rPr>
        <w:t>The Foundation’s legal structure is a nonprofit foundation. Governance votes are conducted on-chain via the VerifierRegister and governance transaction mechanisms established at genesis. All Foundation actions are permanently recorded on the ChronX DAG. There are no private Foundation decisions: every vote, every parameter change, and every attestor approval is cryptographically signed and publicly verifiable.</w:t>
      </w:r>
    </w:p>
    <w:p w14:paraId="1A000009" w14:textId="77777777" w:rsidR="00656D0B" w:rsidRDefault="00000000">
      <w:pPr>
        <w:pStyle w:val="Heading1"/>
        <w:spacing w:before="320"/>
      </w:pPr>
      <w:r>
        <w:t>C.2 What the Foundation Does and Does Not Do</w:t>
      </w:r>
    </w:p>
    <w:p w14:paraId="1A00000A" w14:textId="77777777" w:rsidR="00656D0B" w:rsidRDefault="00000000">
      <w:pPr>
        <w:pStyle w:val="Heading2"/>
        <w:spacing w:before="280"/>
      </w:pPr>
      <w:r>
        <w:t>The Foundation Governs</w:t>
      </w:r>
    </w:p>
    <w:p w14:paraId="1A00000B" w14:textId="77777777" w:rsidR="00656D0B" w:rsidRDefault="00000000">
      <w:pPr>
        <w:spacing w:before="60" w:after="60"/>
        <w:jc w:val="both"/>
      </w:pPr>
      <w:r>
        <w:rPr>
          <w:color w:val="000000"/>
        </w:rPr>
        <w:t>Node operational parameters: sweep intervals, rate limits, and channel thresholds. These are the timing and throughput constants that govern how the network processes transactions and settles obligations. They must be adjustable as the network scales from hundreds to millions of participants.</w:t>
      </w:r>
    </w:p>
    <w:p w14:paraId="1A00000C" w14:textId="77777777" w:rsidR="00656D0B" w:rsidRDefault="00000000">
      <w:pPr>
        <w:spacing w:before="60" w:after="60"/>
        <w:jc w:val="both"/>
      </w:pPr>
      <w:r>
        <w:rPr>
          <w:color w:val="000000"/>
        </w:rPr>
        <w:t>Executor eligibility and fee parameters: the 90-day window after promise maturity during which the Verified Delivery Protocol operates, and the effective executor fee cap (which may only be adjusted downward from the 7% genesis ceiling).</w:t>
      </w:r>
    </w:p>
    <w:p w14:paraId="1A00000D" w14:textId="77777777" w:rsidR="00656D0B" w:rsidRDefault="00000000">
      <w:pPr>
        <w:spacing w:before="60" w:after="60"/>
        <w:jc w:val="both"/>
      </w:pPr>
      <w:r>
        <w:rPr>
          <w:color w:val="000000"/>
        </w:rPr>
        <w:t>Verifas attestor approvals: the admission, renewal, suspension, and removal of bonded Verifas attestors. The Foundation is the sole authority for registering attestors on the ChronX network. Each attestor must post the required KX bond and satisfy jurisdictional compliance requirements established by the Foundation.</w:t>
      </w:r>
    </w:p>
    <w:p w14:paraId="1A00000E" w14:textId="77777777" w:rsidR="00656D0B" w:rsidRDefault="00000000">
      <w:pPr>
        <w:spacing w:before="60" w:after="60"/>
        <w:jc w:val="both"/>
      </w:pPr>
      <w:r>
        <w:rPr>
          <w:color w:val="000000"/>
        </w:rPr>
        <w:t>The PAY_AS oracle list: approving new currency codes and their oracle sources, maintaining successor mappings for deprecated currencies, and ensuring the denomination system remains functional across the protocol’s 100-year horizon.</w:t>
      </w:r>
    </w:p>
    <w:p w14:paraId="1A00000F" w14:textId="77777777" w:rsidR="00656D0B" w:rsidRDefault="00000000">
      <w:pPr>
        <w:spacing w:before="60" w:after="60"/>
        <w:jc w:val="both"/>
      </w:pPr>
      <w:r>
        <w:rPr>
          <w:color w:val="000000"/>
        </w:rPr>
        <w:t>Minimum bond requirements: the KX bond required of Verifas attestors, MISAI executors, and HedgeX participants. These floors may be raised or lowered by governance vote within the bounds encoded at genesis.</w:t>
      </w:r>
    </w:p>
    <w:p w14:paraId="1A000010" w14:textId="77777777" w:rsidR="00656D0B" w:rsidRDefault="00000000">
      <w:pPr>
        <w:pStyle w:val="Heading2"/>
        <w:spacing w:before="280"/>
      </w:pPr>
      <w:r>
        <w:t>The Foundation Cannot</w:t>
      </w:r>
    </w:p>
    <w:p w14:paraId="1A000011" w14:textId="77777777" w:rsidR="00656D0B" w:rsidRDefault="00000000">
      <w:pPr>
        <w:spacing w:before="60" w:after="60"/>
        <w:jc w:val="both"/>
      </w:pPr>
      <w:r>
        <w:rPr>
          <w:color w:val="000000"/>
        </w:rPr>
        <w:t>Alter the total KX supply. The supply of 8,270,000,000 KX is fixed forever at genesis. No Foundation vote can mint new tokens, burn existing tokens, or modify the harmonic release schedules of the Treasury and Node Rewards pools.</w:t>
      </w:r>
    </w:p>
    <w:p w14:paraId="1A000012" w14:textId="77777777" w:rsidR="00656D0B" w:rsidRDefault="00000000">
      <w:pPr>
        <w:spacing w:before="60" w:after="60"/>
        <w:jc w:val="both"/>
      </w:pPr>
      <w:r>
        <w:rPr>
          <w:color w:val="000000"/>
        </w:rPr>
        <w:t>Impose transaction fees. Zero fees are a genesis-level invariant. The Foundation has no authority to introduce fees of any kind on any transaction type, now or in the future.</w:t>
      </w:r>
    </w:p>
    <w:p w14:paraId="1A000013" w14:textId="77777777" w:rsidR="00656D0B" w:rsidRDefault="00000000">
      <w:pPr>
        <w:spacing w:before="60" w:after="60"/>
        <w:jc w:val="both"/>
      </w:pPr>
      <w:r>
        <w:rPr>
          <w:color w:val="000000"/>
        </w:rPr>
        <w:t>Raise the executor fee ceiling. The 7% maximum executor fee is a genesis-level ceiling. The Foundation may vote to lower the effective cap. It may never raise it above 7%.</w:t>
      </w:r>
    </w:p>
    <w:p w14:paraId="1A000014" w14:textId="77777777" w:rsidR="00656D0B" w:rsidRDefault="00000000">
      <w:pPr>
        <w:spacing w:before="60" w:after="60"/>
        <w:jc w:val="both"/>
      </w:pPr>
      <w:r>
        <w:rPr>
          <w:color w:val="000000"/>
        </w:rPr>
        <w:t>Modify the AI Agent Axioms or Promise Axioms. Both sets of axioms are encoded at genesis and are permanently immutable. They are not subject to governance of any kind.</w:t>
      </w:r>
    </w:p>
    <w:p w14:paraId="1A000015" w14:textId="77777777" w:rsidR="00656D0B" w:rsidRDefault="00000000">
      <w:pPr>
        <w:spacing w:before="60" w:after="60"/>
        <w:jc w:val="both"/>
      </w:pPr>
      <w:r>
        <w:rPr>
          <w:color w:val="000000"/>
        </w:rPr>
        <w:t>Reverse, cancel, or modify any on-chain transaction. ChronX is an immutable ledger. The Foundation has no technical or legal mechanism to alter any confirmed transaction. The LenderMemo annotation system exists for resolution records, not for deletion.</w:t>
      </w:r>
    </w:p>
    <w:p w14:paraId="1A000016" w14:textId="77777777" w:rsidR="00656D0B" w:rsidRDefault="00000000">
      <w:pPr>
        <w:pStyle w:val="Heading1"/>
        <w:spacing w:before="320"/>
      </w:pPr>
      <w:r>
        <w:t>C.3 Governed Parameters: Complete Reference Table</w:t>
      </w:r>
    </w:p>
    <w:p w14:paraId="1A000017" w14:textId="77777777" w:rsidR="00656D0B" w:rsidRDefault="00000000">
      <w:pPr>
        <w:spacing w:before="60" w:after="120"/>
        <w:jc w:val="both"/>
      </w:pPr>
      <w:r>
        <w:rPr>
          <w:color w:val="000000"/>
        </w:rPr>
        <w:t>The following table sets out every parameter governed by the Foundation, its current value, its adjustment bounds, and its purpose. All parameters are stored in genesis-params.json and enforced by nodes at the current governance-approved value. Changes require a Foundation vote recorded on-chain. No parameter may be adjusted outside its stated bounds without a protocol upgrade.</w:t>
      </w:r>
    </w:p>
    <w:tbl>
      <w:tblPr>
        <w:tblStyle w:val="TableGrid"/>
        <w:tblW w:w="9360" w:type="dxa"/>
        <w:tblBorders>
          <w:top w:val="single" w:sz="4" w:space="0" w:color="C9A84C"/>
          <w:left w:val="single" w:sz="4" w:space="0" w:color="C9A84C"/>
          <w:bottom w:val="single" w:sz="4" w:space="0" w:color="C9A84C"/>
          <w:right w:val="single" w:sz="4" w:space="0" w:color="C9A84C"/>
          <w:insideH w:val="single" w:sz="4" w:space="0" w:color="DDDDDD"/>
          <w:insideV w:val="single" w:sz="4" w:space="0" w:color="DDDDDD"/>
        </w:tblBorders>
        <w:tblCellMar>
          <w:top w:w="80" w:type="dxa"/>
          <w:left w:w="120" w:type="dxa"/>
          <w:bottom w:w="80" w:type="dxa"/>
          <w:right w:w="120" w:type="dxa"/>
        </w:tblCellMar>
      </w:tblPr>
      <w:tblGrid>
        <w:gridCol w:w="2400"/>
        <w:gridCol w:w="1200"/>
        <w:gridCol w:w="1200"/>
        <w:gridCol w:w="1200"/>
        <w:gridCol w:w="3360"/>
      </w:tblGrid>
      <w:tr>
        <w:trPr>
          <w:tblHeader/>
        </w:trPr>
        <w:tc>
          <w:tcPr>
            <w:tcW w:w="2400" w:type="dxa"/>
            <w:shd w:val="clear" w:color="auto" w:fill="1A1A2E"/>
          </w:tcPr>
          <w:p>
            <w:pPr>
              <w:jc w:val="left"/>
            </w:pPr>
            <w:r>
              <w:rPr>
                <w:b/>
                <w:color w:val="C9A84C"/>
                <w:sz w:val="18"/>
              </w:rPr>
              <w:t>Parameter</w:t>
            </w:r>
          </w:p>
        </w:tc>
        <w:tc>
          <w:tcPr>
            <w:tcW w:w="1200" w:type="dxa"/>
            <w:shd w:val="clear" w:color="auto" w:fill="1A1A2E"/>
          </w:tcPr>
          <w:p>
            <w:pPr>
              <w:jc w:val="center"/>
            </w:pPr>
            <w:r>
              <w:rPr>
                <w:b/>
                <w:color w:val="C9A84C"/>
                <w:sz w:val="18"/>
              </w:rPr>
              <w:t>Current Value</w:t>
            </w:r>
          </w:p>
        </w:tc>
        <w:tc>
          <w:tcPr>
            <w:tcW w:w="1200" w:type="dxa"/>
            <w:shd w:val="clear" w:color="auto" w:fill="1A1A2E"/>
          </w:tcPr>
          <w:p>
            <w:pPr>
              <w:jc w:val="center"/>
            </w:pPr>
            <w:r>
              <w:rPr>
                <w:b/>
                <w:color w:val="C9A84C"/>
                <w:sz w:val="18"/>
              </w:rPr>
              <w:t>Floor</w:t>
            </w:r>
          </w:p>
        </w:tc>
        <w:tc>
          <w:tcPr>
            <w:tcW w:w="1200" w:type="dxa"/>
            <w:shd w:val="clear" w:color="auto" w:fill="1A1A2E"/>
          </w:tcPr>
          <w:p>
            <w:pPr>
              <w:jc w:val="center"/>
            </w:pPr>
            <w:r>
              <w:rPr>
                <w:b/>
                <w:color w:val="C9A84C"/>
                <w:sz w:val="18"/>
              </w:rPr>
              <w:t>Ceiling</w:t>
            </w:r>
          </w:p>
        </w:tc>
        <w:tc>
          <w:tcPr>
            <w:tcW w:w="3360" w:type="dxa"/>
            <w:shd w:val="clear" w:color="auto" w:fill="1A1A2E"/>
          </w:tcPr>
          <w:p>
            <w:pPr>
              <w:jc w:val="left"/>
            </w:pPr>
            <w:r>
              <w:rPr>
                <w:b/>
                <w:color w:val="C9A84C"/>
                <w:sz w:val="18"/>
              </w:rPr>
              <w:t>Purpose</w:t>
            </w:r>
          </w:p>
        </w:tc>
      </w:tr>
      <w:tr>
        <w:tc>
          <w:tcPr>
            <w:tcW w:w="2400" w:type="dxa"/>
          </w:tcPr>
          <w:p>
            <w:r>
              <w:rPr>
                <w:b/>
                <w:sz w:val="18"/>
              </w:rPr>
              <w:t>rate_limit_tx_per_wallet_per_minute</w:t>
            </w:r>
          </w:p>
        </w:tc>
        <w:tc>
          <w:tcPr>
            <w:tcW w:w="1200" w:type="dxa"/>
          </w:tcPr>
          <w:p>
            <w:pPr>
              <w:jc w:val="center"/>
            </w:pPr>
            <w:r>
              <w:rPr>
                <w:sz w:val="18"/>
              </w:rPr>
              <w:t>10</w:t>
            </w:r>
          </w:p>
        </w:tc>
        <w:tc>
          <w:tcPr>
            <w:tcW w:w="1200" w:type="dxa"/>
          </w:tcPr>
          <w:p>
            <w:pPr>
              <w:jc w:val="center"/>
            </w:pPr>
            <w:r>
              <w:rPr>
                <w:sz w:val="18"/>
              </w:rPr>
              <w:t>1</w:t>
            </w:r>
          </w:p>
        </w:tc>
        <w:tc>
          <w:tcPr>
            <w:tcW w:w="1200" w:type="dxa"/>
          </w:tcPr>
          <w:p>
            <w:pPr>
              <w:jc w:val="center"/>
            </w:pPr>
            <w:r>
              <w:rPr>
                <w:sz w:val="18"/>
              </w:rPr>
              <w:t>1,000</w:t>
            </w:r>
          </w:p>
        </w:tc>
        <w:tc>
          <w:tcPr>
            <w:tcW w:w="3360" w:type="dxa"/>
          </w:tcPr>
          <w:p>
            <w:r>
              <w:rPr>
                <w:sz w:val="18"/>
              </w:rPr>
              <w:t>Maximum main-chain transactions per wallet per minute. Channels are not subject to this limit.</w:t>
            </w:r>
          </w:p>
        </w:tc>
      </w:tr>
      <w:tr>
        <w:tc>
          <w:tcPr>
            <w:tcW w:w="2400" w:type="dxa"/>
            <w:shd w:val="clear" w:color="auto" w:fill="F7F3E8"/>
          </w:tcPr>
          <w:p>
            <w:r>
              <w:rPr>
                <w:b/>
                <w:sz w:val="18"/>
              </w:rPr>
              <w:t>rate_limit_loan_actions_per_wallet_per_day</w:t>
            </w:r>
          </w:p>
        </w:tc>
        <w:tc>
          <w:tcPr>
            <w:tcW w:w="1200" w:type="dxa"/>
            <w:shd w:val="clear" w:color="auto" w:fill="F7F3E8"/>
          </w:tcPr>
          <w:p>
            <w:pPr>
              <w:jc w:val="center"/>
            </w:pPr>
            <w:r>
              <w:rPr>
                <w:sz w:val="18"/>
              </w:rPr>
              <w:t>100</w:t>
            </w:r>
          </w:p>
        </w:tc>
        <w:tc>
          <w:tcPr>
            <w:tcW w:w="1200" w:type="dxa"/>
            <w:shd w:val="clear" w:color="auto" w:fill="F7F3E8"/>
          </w:tcPr>
          <w:p>
            <w:pPr>
              <w:jc w:val="center"/>
            </w:pPr>
            <w:r>
              <w:rPr>
                <w:sz w:val="18"/>
              </w:rPr>
              <w:t>10</w:t>
            </w:r>
          </w:p>
        </w:tc>
        <w:tc>
          <w:tcPr>
            <w:tcW w:w="1200" w:type="dxa"/>
            <w:shd w:val="clear" w:color="auto" w:fill="F7F3E8"/>
          </w:tcPr>
          <w:p>
            <w:pPr>
              <w:jc w:val="center"/>
            </w:pPr>
            <w:r>
              <w:rPr>
                <w:sz w:val="18"/>
              </w:rPr>
              <w:t>10,000</w:t>
            </w:r>
          </w:p>
        </w:tc>
        <w:tc>
          <w:tcPr>
            <w:tcW w:w="3360" w:type="dxa"/>
            <w:shd w:val="clear" w:color="auto" w:fill="F7F3E8"/>
          </w:tcPr>
          <w:p>
            <w:r>
              <w:rPr>
                <w:sz w:val="18"/>
              </w:rPr>
              <w:t>Combined LoanOffer, LoanAcceptance, and LoanExit actions per wallet per 24-hour rolling window. Prevents DAG spam attacks.</w:t>
            </w:r>
          </w:p>
        </w:tc>
      </w:tr>
      <w:tr>
        <w:tc>
          <w:tcPr>
            <w:tcW w:w="2400" w:type="dxa"/>
          </w:tcPr>
          <w:p>
            <w:r>
              <w:rPr>
                <w:b/>
                <w:sz w:val="18"/>
              </w:rPr>
              <w:t>channel_threshold_daily_tx</w:t>
            </w:r>
          </w:p>
        </w:tc>
        <w:tc>
          <w:tcPr>
            <w:tcW w:w="1200" w:type="dxa"/>
          </w:tcPr>
          <w:p>
            <w:pPr>
              <w:jc w:val="center"/>
            </w:pPr>
            <w:r>
              <w:rPr>
                <w:sz w:val="18"/>
              </w:rPr>
              <w:t>1,000</w:t>
            </w:r>
          </w:p>
        </w:tc>
        <w:tc>
          <w:tcPr>
            <w:tcW w:w="1200" w:type="dxa"/>
          </w:tcPr>
          <w:p>
            <w:pPr>
              <w:jc w:val="center"/>
            </w:pPr>
            <w:r>
              <w:rPr>
                <w:sz w:val="18"/>
              </w:rPr>
              <w:t>100</w:t>
            </w:r>
          </w:p>
        </w:tc>
        <w:tc>
          <w:tcPr>
            <w:tcW w:w="1200" w:type="dxa"/>
          </w:tcPr>
          <w:p>
            <w:pPr>
              <w:jc w:val="center"/>
            </w:pPr>
            <w:r>
              <w:rPr>
                <w:sz w:val="18"/>
              </w:rPr>
              <w:t>Unlimited</w:t>
            </w:r>
          </w:p>
        </w:tc>
        <w:tc>
          <w:tcPr>
            <w:tcW w:w="3360" w:type="dxa"/>
          </w:tcPr>
          <w:p>
            <w:r>
              <w:rPr>
                <w:sz w:val="18"/>
              </w:rPr>
              <w:t>Daily transaction volume above which the protocol recommends Payment Channel mode for a given wallet relationship.</w:t>
            </w:r>
          </w:p>
        </w:tc>
      </w:tr>
      <w:tr>
        <w:tc>
          <w:tcPr>
            <w:tcW w:w="2400" w:type="dxa"/>
            <w:shd w:val="clear" w:color="auto" w:fill="F7F3E8"/>
          </w:tcPr>
          <w:p>
            <w:r>
              <w:rPr>
                <w:b/>
                <w:sz w:val="18"/>
              </w:rPr>
              <w:t>channel_open_min_lock_kx</w:t>
            </w:r>
          </w:p>
        </w:tc>
        <w:tc>
          <w:tcPr>
            <w:tcW w:w="1200" w:type="dxa"/>
            <w:shd w:val="clear" w:color="auto" w:fill="F7F3E8"/>
          </w:tcPr>
          <w:p>
            <w:pPr>
              <w:jc w:val="center"/>
            </w:pPr>
            <w:r>
              <w:rPr>
                <w:sz w:val="18"/>
              </w:rPr>
              <w:t>1 KX</w:t>
            </w:r>
          </w:p>
        </w:tc>
        <w:tc>
          <w:tcPr>
            <w:tcW w:w="1200" w:type="dxa"/>
            <w:shd w:val="clear" w:color="auto" w:fill="F7F3E8"/>
          </w:tcPr>
          <w:p>
            <w:pPr>
              <w:jc w:val="center"/>
            </w:pPr>
            <w:r>
              <w:rPr>
                <w:sz w:val="18"/>
              </w:rPr>
              <w:t>1 KX</w:t>
            </w:r>
          </w:p>
        </w:tc>
        <w:tc>
          <w:tcPr>
            <w:tcW w:w="1200" w:type="dxa"/>
            <w:shd w:val="clear" w:color="auto" w:fill="F7F3E8"/>
          </w:tcPr>
          <w:p>
            <w:pPr>
              <w:jc w:val="center"/>
            </w:pPr>
            <w:r>
              <w:rPr>
                <w:sz w:val="18"/>
              </w:rPr>
              <w:t>No ceiling</w:t>
            </w:r>
          </w:p>
        </w:tc>
        <w:tc>
          <w:tcPr>
            <w:tcW w:w="3360" w:type="dxa"/>
            <w:shd w:val="clear" w:color="auto" w:fill="F7F3E8"/>
          </w:tcPr>
          <w:p>
            <w:r>
              <w:rPr>
                <w:sz w:val="18"/>
              </w:rPr>
              <w:t>Minimum KX that must be locked to open a Payment Channel. Prevents trivial channel creation.</w:t>
            </w:r>
          </w:p>
        </w:tc>
      </w:tr>
      <w:tr>
        <w:tc>
          <w:tcPr>
            <w:tcW w:w="2400" w:type="dxa"/>
          </w:tcPr>
          <w:p>
            <w:r>
              <w:rPr>
                <w:b/>
                <w:sz w:val="18"/>
              </w:rPr>
              <w:t>sweep_loan_interval_seconds</w:t>
            </w:r>
          </w:p>
        </w:tc>
        <w:tc>
          <w:tcPr>
            <w:tcW w:w="1200" w:type="dxa"/>
          </w:tcPr>
          <w:p>
            <w:pPr>
              <w:jc w:val="center"/>
            </w:pPr>
            <w:r>
              <w:rPr>
                <w:sz w:val="18"/>
              </w:rPr>
              <w:t>3,600 (1 hr)</w:t>
            </w:r>
          </w:p>
        </w:tc>
        <w:tc>
          <w:tcPr>
            <w:tcW w:w="1200" w:type="dxa"/>
          </w:tcPr>
          <w:p>
            <w:pPr>
              <w:jc w:val="center"/>
            </w:pPr>
            <w:r>
              <w:rPr>
                <w:sz w:val="18"/>
              </w:rPr>
              <w:t>60 sec</w:t>
            </w:r>
          </w:p>
        </w:tc>
        <w:tc>
          <w:tcPr>
            <w:tcW w:w="1200" w:type="dxa"/>
          </w:tcPr>
          <w:p>
            <w:pPr>
              <w:jc w:val="center"/>
            </w:pPr>
            <w:r>
              <w:rPr>
                <w:sz w:val="18"/>
              </w:rPr>
              <w:t>86,400 (1 day)</w:t>
            </w:r>
          </w:p>
        </w:tc>
        <w:tc>
          <w:tcPr>
            <w:tcW w:w="3360" w:type="dxa"/>
          </w:tcPr>
          <w:p>
            <w:r>
              <w:rPr>
                <w:sz w:val="18"/>
              </w:rPr>
              <w:t>How often the node checks active loans and writes accrued interest settlements to the DAG. Pro-rata final settlement occurs immediately on LoanExit regardless of this interval.</w:t>
            </w:r>
          </w:p>
        </w:tc>
      </w:tr>
      <w:tr>
        <w:tc>
          <w:tcPr>
            <w:tcW w:w="2400" w:type="dxa"/>
            <w:shd w:val="clear" w:color="auto" w:fill="F7F3E8"/>
          </w:tcPr>
          <w:p>
            <w:r>
              <w:rPr>
                <w:b/>
                <w:sz w:val="18"/>
              </w:rPr>
              <w:t>sweep_email_lock_interval_seconds</w:t>
            </w:r>
          </w:p>
        </w:tc>
        <w:tc>
          <w:tcPr>
            <w:tcW w:w="1200" w:type="dxa"/>
            <w:shd w:val="clear" w:color="auto" w:fill="F7F3E8"/>
          </w:tcPr>
          <w:p>
            <w:pPr>
              <w:jc w:val="center"/>
            </w:pPr>
            <w:r>
              <w:rPr>
                <w:sz w:val="18"/>
              </w:rPr>
              <w:t>300 (5 min)</w:t>
            </w:r>
          </w:p>
        </w:tc>
        <w:tc>
          <w:tcPr>
            <w:tcW w:w="1200" w:type="dxa"/>
            <w:shd w:val="clear" w:color="auto" w:fill="F7F3E8"/>
          </w:tcPr>
          <w:p>
            <w:pPr>
              <w:jc w:val="center"/>
            </w:pPr>
            <w:r>
              <w:rPr>
                <w:sz w:val="18"/>
              </w:rPr>
              <w:t>60 sec</w:t>
            </w:r>
          </w:p>
        </w:tc>
        <w:tc>
          <w:tcPr>
            <w:tcW w:w="1200" w:type="dxa"/>
            <w:shd w:val="clear" w:color="auto" w:fill="F7F3E8"/>
          </w:tcPr>
          <w:p>
            <w:pPr>
              <w:jc w:val="center"/>
            </w:pPr>
            <w:r>
              <w:rPr>
                <w:sz w:val="18"/>
              </w:rPr>
              <w:t>3,600 (1 hr)</w:t>
            </w:r>
          </w:p>
        </w:tc>
        <w:tc>
          <w:tcPr>
            <w:tcW w:w="3360" w:type="dxa"/>
            <w:shd w:val="clear" w:color="auto" w:fill="F7F3E8"/>
          </w:tcPr>
          <w:p>
            <w:r>
              <w:rPr>
                <w:sz w:val="18"/>
              </w:rPr>
              <w:t>How often the node checks for expired email claim locks and automatically reverts unclaimed funds to the sender.</w:t>
            </w:r>
          </w:p>
        </w:tc>
      </w:tr>
      <w:tr>
        <w:tc>
          <w:tcPr>
            <w:tcW w:w="2400" w:type="dxa"/>
          </w:tcPr>
          <w:p>
            <w:r>
              <w:rPr>
                <w:b/>
                <w:sz w:val="18"/>
              </w:rPr>
              <w:t>sweep_matured_timelock_interval_seconds</w:t>
            </w:r>
          </w:p>
        </w:tc>
        <w:tc>
          <w:tcPr>
            <w:tcW w:w="1200" w:type="dxa"/>
          </w:tcPr>
          <w:p>
            <w:pPr>
              <w:jc w:val="center"/>
            </w:pPr>
            <w:r>
              <w:rPr>
                <w:sz w:val="18"/>
              </w:rPr>
              <w:t>60 sec</w:t>
            </w:r>
          </w:p>
        </w:tc>
        <w:tc>
          <w:tcPr>
            <w:tcW w:w="1200" w:type="dxa"/>
          </w:tcPr>
          <w:p>
            <w:pPr>
              <w:jc w:val="center"/>
            </w:pPr>
            <w:r>
              <w:rPr>
                <w:sz w:val="18"/>
              </w:rPr>
              <w:t>10 sec</w:t>
            </w:r>
          </w:p>
        </w:tc>
        <w:tc>
          <w:tcPr>
            <w:tcW w:w="1200" w:type="dxa"/>
          </w:tcPr>
          <w:p>
            <w:pPr>
              <w:jc w:val="center"/>
            </w:pPr>
            <w:r>
              <w:rPr>
                <w:sz w:val="18"/>
              </w:rPr>
              <w:t>3,600 (1 hr)</w:t>
            </w:r>
          </w:p>
        </w:tc>
        <w:tc>
          <w:tcPr>
            <w:tcW w:w="3360" w:type="dxa"/>
          </w:tcPr>
          <w:p>
            <w:r>
              <w:rPr>
                <w:sz w:val="18"/>
              </w:rPr>
              <w:t>How often the node automatically delivers matured non-email timelocks directly to recipient wallets without requiring the recipient to act.</w:t>
            </w:r>
          </w:p>
        </w:tc>
      </w:tr>
      <w:tr>
        <w:tc>
          <w:tcPr>
            <w:tcW w:w="2400" w:type="dxa"/>
            <w:shd w:val="clear" w:color="auto" w:fill="F7F3E8"/>
          </w:tcPr>
          <w:p>
            <w:r>
              <w:rPr>
                <w:b/>
                <w:sz w:val="18"/>
              </w:rPr>
              <w:t>loan_min_settlement_chronos</w:t>
            </w:r>
          </w:p>
        </w:tc>
        <w:tc>
          <w:tcPr>
            <w:tcW w:w="1200" w:type="dxa"/>
            <w:shd w:val="clear" w:color="auto" w:fill="F7F3E8"/>
          </w:tcPr>
          <w:p>
            <w:pPr>
              <w:jc w:val="center"/>
            </w:pPr>
            <w:r>
              <w:rPr>
                <w:sz w:val="18"/>
              </w:rPr>
              <w:t>1,000 chronos</w:t>
            </w:r>
          </w:p>
        </w:tc>
        <w:tc>
          <w:tcPr>
            <w:tcW w:w="1200" w:type="dxa"/>
            <w:shd w:val="clear" w:color="auto" w:fill="F7F3E8"/>
          </w:tcPr>
          <w:p>
            <w:pPr>
              <w:jc w:val="center"/>
            </w:pPr>
            <w:r>
              <w:rPr>
                <w:sz w:val="18"/>
              </w:rPr>
              <w:t>1 chrono</w:t>
            </w:r>
          </w:p>
        </w:tc>
        <w:tc>
          <w:tcPr>
            <w:tcW w:w="1200" w:type="dxa"/>
            <w:shd w:val="clear" w:color="auto" w:fill="F7F3E8"/>
          </w:tcPr>
          <w:p>
            <w:pPr>
              <w:jc w:val="center"/>
            </w:pPr>
            <w:r>
              <w:rPr>
                <w:sz w:val="18"/>
              </w:rPr>
              <w:t>1,000,000</w:t>
            </w:r>
          </w:p>
        </w:tc>
        <w:tc>
          <w:tcPr>
            <w:tcW w:w="3360" w:type="dxa"/>
            <w:shd w:val="clear" w:color="auto" w:fill="F7F3E8"/>
          </w:tcPr>
          <w:p>
            <w:r>
              <w:rPr>
                <w:sz w:val="18"/>
              </w:rPr>
              <w:t>Minimum accrued interest before the sweep writes a settlement vertex. Prevents dust transactions from bloating the DAG. Final exit settlements bypass this floor.</w:t>
            </w:r>
          </w:p>
        </w:tc>
      </w:tr>
      <w:tr>
        <w:tc>
          <w:tcPr>
            <w:tcW w:w="2400" w:type="dxa"/>
          </w:tcPr>
          <w:p>
            <w:r>
              <w:rPr>
                <w:b/>
                <w:sz w:val="18"/>
              </w:rPr>
              <w:t>executor_eligibility_window_days</w:t>
            </w:r>
          </w:p>
        </w:tc>
        <w:tc>
          <w:tcPr>
            <w:tcW w:w="1200" w:type="dxa"/>
          </w:tcPr>
          <w:p>
            <w:pPr>
              <w:jc w:val="center"/>
            </w:pPr>
            <w:r>
              <w:rPr>
                <w:sz w:val="18"/>
              </w:rPr>
              <w:t>90 days</w:t>
            </w:r>
          </w:p>
        </w:tc>
        <w:tc>
          <w:tcPr>
            <w:tcW w:w="1200" w:type="dxa"/>
          </w:tcPr>
          <w:p>
            <w:pPr>
              <w:jc w:val="center"/>
            </w:pPr>
            <w:r>
              <w:rPr>
                <w:sz w:val="18"/>
              </w:rPr>
              <w:t>30 days</w:t>
            </w:r>
          </w:p>
        </w:tc>
        <w:tc>
          <w:tcPr>
            <w:tcW w:w="1200" w:type="dxa"/>
          </w:tcPr>
          <w:p>
            <w:pPr>
              <w:jc w:val="center"/>
            </w:pPr>
            <w:r>
              <w:rPr>
                <w:sz w:val="18"/>
              </w:rPr>
              <w:t>365 days</w:t>
            </w:r>
          </w:p>
        </w:tc>
        <w:tc>
          <w:tcPr>
            <w:tcW w:w="3360" w:type="dxa"/>
          </w:tcPr>
          <w:p>
            <w:r>
              <w:rPr>
                <w:sz w:val="18"/>
              </w:rPr>
              <w:t>Days after promise maturity before the Verified Delivery Protocol activates and bonded executors may attempt delivery on behalf of the recipient.</w:t>
            </w:r>
          </w:p>
        </w:tc>
      </w:tr>
      <w:tr>
        <w:tc>
          <w:tcPr>
            <w:tcW w:w="2400" w:type="dxa"/>
            <w:shd w:val="clear" w:color="auto" w:fill="F7F3E8"/>
          </w:tcPr>
          <w:p>
            <w:r>
              <w:rPr>
                <w:b/>
                <w:sz w:val="18"/>
              </w:rPr>
              <w:t>executor_fee_cap_pct</w:t>
            </w:r>
          </w:p>
        </w:tc>
        <w:tc>
          <w:tcPr>
            <w:tcW w:w="1200" w:type="dxa"/>
            <w:shd w:val="clear" w:color="auto" w:fill="F7F3E8"/>
          </w:tcPr>
          <w:p>
            <w:pPr>
              <w:jc w:val="center"/>
            </w:pPr>
            <w:r>
              <w:rPr>
                <w:sz w:val="18"/>
              </w:rPr>
              <w:t>7%</w:t>
            </w:r>
          </w:p>
        </w:tc>
        <w:tc>
          <w:tcPr>
            <w:tcW w:w="1200" w:type="dxa"/>
            <w:shd w:val="clear" w:color="auto" w:fill="F7F3E8"/>
          </w:tcPr>
          <w:p>
            <w:pPr>
              <w:jc w:val="center"/>
            </w:pPr>
            <w:r>
              <w:rPr>
                <w:sz w:val="18"/>
              </w:rPr>
              <w:t>0%</w:t>
            </w:r>
          </w:p>
        </w:tc>
        <w:tc>
          <w:tcPr>
            <w:tcW w:w="1200" w:type="dxa"/>
            <w:shd w:val="clear" w:color="auto" w:fill="F7F3E8"/>
          </w:tcPr>
          <w:p>
            <w:pPr>
              <w:jc w:val="center"/>
            </w:pPr>
            <w:r>
              <w:rPr>
                <w:color w:val="AA0000"/>
                <w:sz w:val="18"/>
              </w:rPr>
              <w:t>7% (genesis max)</w:t>
            </w:r>
          </w:p>
        </w:tc>
        <w:tc>
          <w:tcPr>
            <w:tcW w:w="3360" w:type="dxa"/>
            <w:shd w:val="clear" w:color="auto" w:fill="F7F3E8"/>
          </w:tcPr>
          <w:p>
            <w:r>
              <w:rPr>
                <w:sz w:val="18"/>
              </w:rPr>
              <w:t>Maximum fee a bonded executor may charge for delivering a matured promise. Genesis ceiling is 7% and cannot be raised. Foundation may vote to lower the effective cap.</w:t>
            </w:r>
          </w:p>
        </w:tc>
      </w:tr>
      <w:tr>
        <w:tc>
          <w:tcPr>
            <w:tcW w:w="2400" w:type="dxa"/>
          </w:tcPr>
          <w:p>
            <w:r>
              <w:rPr>
                <w:b/>
                <w:sz w:val="18"/>
              </w:rPr>
              <w:t>verifier_min_bond_kx</w:t>
            </w:r>
          </w:p>
        </w:tc>
        <w:tc>
          <w:tcPr>
            <w:tcW w:w="1200" w:type="dxa"/>
          </w:tcPr>
          <w:p>
            <w:pPr>
              <w:jc w:val="center"/>
            </w:pPr>
            <w:r>
              <w:rPr>
                <w:sz w:val="18"/>
              </w:rPr>
              <w:t>1,000,000 KX</w:t>
            </w:r>
          </w:p>
        </w:tc>
        <w:tc>
          <w:tcPr>
            <w:tcW w:w="1200" w:type="dxa"/>
          </w:tcPr>
          <w:p>
            <w:pPr>
              <w:jc w:val="center"/>
            </w:pPr>
            <w:r>
              <w:rPr>
                <w:sz w:val="18"/>
              </w:rPr>
              <w:t>100,000 KX</w:t>
            </w:r>
          </w:p>
        </w:tc>
        <w:tc>
          <w:tcPr>
            <w:tcW w:w="1200" w:type="dxa"/>
          </w:tcPr>
          <w:p>
            <w:pPr>
              <w:jc w:val="center"/>
            </w:pPr>
            <w:r>
              <w:rPr>
                <w:sz w:val="18"/>
              </w:rPr>
              <w:t>No ceiling</w:t>
            </w:r>
          </w:p>
        </w:tc>
        <w:tc>
          <w:tcPr>
            <w:tcW w:w="3360" w:type="dxa"/>
          </w:tcPr>
          <w:p>
            <w:r>
              <w:rPr>
                <w:sz w:val="18"/>
              </w:rPr>
              <w:t>Minimum KX bond required of all registered Verifas attestors. Bond is slashable for verified misconduct. Foundation approves each attestor individually.</w:t>
            </w:r>
          </w:p>
        </w:tc>
      </w:tr>
    </w:tbl>
    <w:p w14:paraId="1A000018" w14:textId="77777777" w:rsidR="00656D0B" w:rsidRDefault="00000000">
      <w:pPr>
        <w:spacing w:before="80" w:after="60"/>
      </w:pPr>
    </w:p>
    <w:p w14:paraId="1A000019" w14:textId="77777777" w:rsidR="00656D0B" w:rsidRDefault="00000000">
      <w:pPr>
        <w:spacing w:before="60" w:after="60"/>
        <w:jc w:val="both"/>
      </w:pPr>
      <w:r>
        <w:rPr>
          <w:i/>
          <w:color w:val="666666"/>
          <w:sz w:val="18"/>
        </w:rPr>
        <w:t>Note: The executor_fee_cap_pct ceiling of 7% is a genesis-level constant and cannot be raised by any governance action. All other parameters may be adjusted within their stated floor and ceiling by Foundation vote.</w:t>
      </w:r>
    </w:p>
    <w:p w14:paraId="1A00001A" w14:textId="77777777" w:rsidR="00656D0B" w:rsidRDefault="00000000">
      <w:pPr>
        <w:pStyle w:val="Heading1"/>
        <w:spacing w:before="320"/>
      </w:pPr>
      <w:r>
        <w:t>C.4 Payment Channels: Infrastructure for AI-Scale Throughput</w:t>
      </w:r>
    </w:p>
    <w:p w14:paraId="1A00001B" w14:textId="77777777" w:rsidR="00656D0B" w:rsidRDefault="00000000">
      <w:pPr>
        <w:spacing w:before="60" w:after="120"/>
        <w:jc w:val="both"/>
      </w:pPr>
      <w:r>
        <w:rPr>
          <w:color w:val="000000"/>
        </w:rPr>
        <w:t>ChronX is designed to operate at the speed of human promises and the speed of machine transactions simultaneously. When two parties — whether human or AI — anticipate a high volume of transactions between them, Payment Channels provide a path to arbitrary throughput without burdening the main DAG.</w:t>
      </w:r>
    </w:p>
    <w:p w14:paraId="1A00001C" w14:textId="77777777" w:rsidR="00656D0B" w:rsidRDefault="00000000">
      <w:pPr>
        <w:pStyle w:val="Heading2"/>
        <w:spacing w:before="280"/>
      </w:pPr>
      <w:r>
        <w:t>How Payment Channels Work</w:t>
      </w:r>
    </w:p>
    <w:p w14:paraId="1A00001D" w14:textId="77777777" w:rsidR="00656D0B" w:rsidRDefault="00000000">
      <w:pPr>
        <w:spacing w:before="60" w:after="80"/>
        <w:jc w:val="both"/>
      </w:pPr>
      <w:r>
        <w:rPr>
          <w:color w:val="000000"/>
        </w:rPr>
        <w:t>A Payment Channel is opened with a single ChannelOpen vertex on the main DAG, recording both parties and the KX locked for the channel’s duration. All transactions inside the channel occur off-chain, between the two parties, at whatever speed their hardware supports. Neither the main DAG nor any node is involved in interior channel transactions. When the channel closes, a single ChannelClose vertex records the net settlement — the aggregate result of all interior transactions — and updates balances accordingly. The main DAG sees exactly two vertices per channel, regardless of whether ten or ten billion transactions occurred inside.</w:t>
      </w:r>
    </w:p>
    <w:p w14:paraId="1A00001E" w14:textId="77777777" w:rsidR="00656D0B" w:rsidRDefault="00000000">
      <w:pPr>
        <w:pStyle w:val="Heading2"/>
        <w:spacing w:before="280"/>
      </w:pPr>
      <w:r>
        <w:t>Why Channels Were Designed Into the Protocol Now</w:t>
      </w:r>
    </w:p>
    <w:p w14:paraId="1A00001F" w14:textId="77777777" w:rsidR="00656D0B" w:rsidRDefault="00000000">
      <w:pPr>
        <w:spacing w:before="60" w:after="120"/>
        <w:jc w:val="both"/>
      </w:pPr>
      <w:r>
        <w:rPr>
          <w:color w:val="000000"/>
        </w:rPr>
        <w:t>ChronX is a 100-year protocol. The AI economy is accelerating. An AI agent managing micro-loans that renew every second, or a trading system settling thousands of positions per minute, would overwhelm any main-chain DAG without a channel primitive. Rather than wait until throughput becomes a crisis, ChronX encodes the ChannelOpen and ChannelClose action variants into the protocol now — before they are needed — so that no future re-genesis is required to add channel support. The channel_threshold_daily_tx governance parameter defines the volume at which the protocol recommends channel mode. As AI transaction volumes grow, the Foundation may lower this threshold to route more activity into channels automatically.</w:t>
      </w:r>
    </w:p>
    <w:p w14:paraId="1A000020" w14:textId="77777777" w:rsidR="00656D0B" w:rsidRDefault="00000000">
      <w:pPr>
        <w:pStyle w:val="Heading2"/>
        <w:spacing w:before="280"/>
      </w:pPr>
      <w:r>
        <w:t>Option C Settlement: Precision Without Overhead</w:t>
      </w:r>
    </w:p>
    <w:p w14:paraId="1A000021" w14:textId="77777777" w:rsidR="00656D0B" w:rsidRDefault="00000000">
      <w:pPr>
        <w:spacing w:before="60" w:after="120"/>
        <w:jc w:val="both"/>
      </w:pPr>
      <w:r>
        <w:rPr>
          <w:color w:val="000000"/>
        </w:rPr>
        <w:t>For loans that renew at sub-daily intervals — including AI micro-loans renewing every second — ChronX uses Option C settlement: interest accrues continuously in the node’s internal ledger, but DAG vertices are only written when the accrued amount reaches the loan_min_settlement_chronos threshold. This prevents dust vertices from accumulating while preserving precise accounting. On LoanExit, the node performs an immediate pro-rata final settlement regardless of the sweep interval — ensuring lenders are paid to the exact second of cancellation, not merely to the last scheduled sweep. Both parties receive precisely what they are owed. No interest is lost; no vertex is wasted.</w:t>
      </w:r>
    </w:p>
    <w:p w14:paraId="1A000022" w14:textId="77777777" w:rsidR="00656D0B" w:rsidRDefault="00000000">
      <w:pPr>
        <w:pStyle w:val="Heading1"/>
        <w:spacing w:before="320"/>
      </w:pPr>
      <w:r>
        <w:t>C.5 Verifas Attestor Governance</w:t>
      </w:r>
    </w:p>
    <w:p w14:paraId="1A000023" w14:textId="77777777" w:rsidR="00656D0B" w:rsidRDefault="00000000">
      <w:pPr>
        <w:spacing w:before="60" w:after="120"/>
        <w:jc w:val="both"/>
      </w:pPr>
      <w:r>
        <w:rPr>
          <w:color w:val="000000"/>
        </w:rPr>
        <w:t>Verifas attestors are the human backbone of ChronX’s long-horizon delivery system. The Foundation is the sole authority for admitting, suspending, and removing attestors from the network. This authority is exercised exclusively through on-chain governance transactions — no off-chain decision has legal effect on the on-chain attestor registry.</w:t>
      </w:r>
    </w:p>
    <w:p w14:paraId="1A000024" w14:textId="77777777" w:rsidR="00656D0B" w:rsidRDefault="00000000">
      <w:pPr>
        <w:pStyle w:val="Heading2"/>
        <w:spacing w:before="280"/>
      </w:pPr>
      <w:r>
        <w:t>Attestor Admission Requirements</w:t>
      </w:r>
    </w:p>
    <w:p w14:paraId="1A000025" w14:textId="77777777" w:rsidR="00656D0B" w:rsidRDefault="00000000">
      <w:pPr>
        <w:spacing w:before="60" w:after="60"/>
        <w:jc w:val="both"/>
      </w:pPr>
      <w:r>
        <w:rPr>
          <w:color w:val="000000"/>
        </w:rPr>
        <w:t>To be admitted to the Verifas network, a candidate attestor must: post the minimum KX bond (currently 1,000,000 KX) to the on-chain Verifas registry; demonstrate jurisdictional compliance with applicable identity verification regulations in the attestor’s operating geography; satisfy the Foundation’s operational due diligence requirements including key management standards; and receive a Foundation governance vote approving the VerifierRegister transaction on-chain.</w:t>
      </w:r>
    </w:p>
    <w:p w14:paraId="1A000026" w14:textId="77777777" w:rsidR="00656D0B" w:rsidRDefault="00000000">
      <w:pPr>
        <w:pStyle w:val="Heading2"/>
        <w:spacing w:before="280"/>
      </w:pPr>
      <w:r>
        <w:t>Attestor Obligations</w:t>
      </w:r>
    </w:p>
    <w:p w14:paraId="1A000027" w14:textId="77777777" w:rsidR="00656D0B" w:rsidRDefault="00000000">
      <w:pPr>
        <w:spacing w:before="60" w:after="120"/>
        <w:jc w:val="both"/>
      </w:pPr>
      <w:r>
        <w:rPr>
          <w:color w:val="000000"/>
        </w:rPr>
        <w:t>Registered attestors are obligated to: respond to eligible promise packages within the timeframes specified by Foundation governance; maintain cryptographic key infrastructure to the standards specified by the Foundation; submit to periodic compliance audits; and report to the Foundation any material change in their jurisdictional status or key management capability. Attestors who fail to meet these obligations are subject to bond slash and registry removal by Foundation vote. Verifas attestors do one thing: confirm that a specific person, at a specific wallet address, is the intended recipient of a promise. They do not adjudicate disputes, enforce obligations, or provide any service beyond identity attestation for long-horizon promises.</w:t>
      </w:r>
    </w:p>
    <w:p w14:paraId="1A000028" w14:textId="77777777" w:rsidR="00656D0B" w:rsidRDefault="00000000">
      <w:pPr>
        <w:pStyle w:val="Heading1"/>
        <w:spacing w:before="320"/>
      </w:pPr>
      <w:r>
        <w:t>C.6 Immutable Constants: What Governance Cannot Touch</w:t>
      </w:r>
    </w:p>
    <w:p w14:paraId="1A000029" w14:textId="77777777" w:rsidR="00656D0B" w:rsidRDefault="00000000">
      <w:pPr>
        <w:spacing w:before="60" w:after="120"/>
        <w:jc w:val="both"/>
      </w:pPr>
      <w:r>
        <w:rPr>
          <w:color w:val="000000"/>
        </w:rPr>
        <w:t>The following constants are encoded at genesis and are permanently immutable. No Foundation vote, protocol upgrade, court order, or act of any kind can alter them. They are the invariants on which every promise made on ChronX depends.</w:t>
      </w:r>
    </w:p>
    <w:tbl>
      <w:tblPr>
        <w:tblStyle w:val="TableGrid"/>
        <w:tblW w:w="9360" w:type="dxa"/>
        <w:tblBorders>
          <w:top w:val="single" w:sz="4" w:space="0" w:color="AA0000"/>
          <w:left w:val="single" w:sz="4" w:space="0" w:color="AA0000"/>
          <w:bottom w:val="single" w:sz="4" w:space="0" w:color="AA0000"/>
          <w:right w:val="single" w:sz="4" w:space="0" w:color="AA0000"/>
          <w:insideH w:val="single" w:sz="4" w:space="0" w:color="DDDDDD"/>
          <w:insideV w:val="single" w:sz="4" w:space="0" w:color="DDDDDD"/>
        </w:tblBorders>
        <w:tblCellMar>
          <w:top w:w="80" w:type="dxa"/>
          <w:left w:w="120" w:type="dxa"/>
          <w:bottom w:w="80" w:type="dxa"/>
          <w:right w:w="120" w:type="dxa"/>
        </w:tblCellMar>
      </w:tblPr>
      <w:tblGrid>
        <w:gridCol w:w="3000"/>
        <w:gridCol w:w="1500"/>
        <w:gridCol w:w="4860"/>
      </w:tblGrid>
      <w:tr>
        <w:trPr>
          <w:tblHeader/>
        </w:trPr>
        <w:tc>
          <w:tcPr>
            <w:tcW w:w="3000" w:type="dxa"/>
            <w:shd w:val="clear" w:color="auto" w:fill="3A0000"/>
          </w:tcPr>
          <w:p>
            <w:r>
              <w:rPr>
                <w:b/>
                <w:color w:val="FFFFFF"/>
                <w:sz w:val="18"/>
              </w:rPr>
              <w:t>Constant</w:t>
            </w:r>
          </w:p>
        </w:tc>
        <w:tc>
          <w:tcPr>
            <w:tcW w:w="1500" w:type="dxa"/>
            <w:shd w:val="clear" w:color="auto" w:fill="3A0000"/>
          </w:tcPr>
          <w:p>
            <w:pPr>
              <w:jc w:val="center"/>
            </w:pPr>
            <w:r>
              <w:rPr>
                <w:b/>
                <w:color w:val="FFFFFF"/>
                <w:sz w:val="18"/>
              </w:rPr>
              <w:t>Value</w:t>
            </w:r>
          </w:p>
        </w:tc>
        <w:tc>
          <w:tcPr>
            <w:tcW w:w="4860" w:type="dxa"/>
            <w:shd w:val="clear" w:color="auto" w:fill="3A0000"/>
          </w:tcPr>
          <w:p>
            <w:r>
              <w:rPr>
                <w:b/>
                <w:color w:val="FFFFFF"/>
                <w:sz w:val="18"/>
              </w:rPr>
              <w:t>Why It Cannot Change</w:t>
            </w:r>
          </w:p>
        </w:tc>
      </w:tr>
      <w:tr>
        <w:tc>
          <w:tcPr>
            <w:tcW w:w="3000" w:type="dxa"/>
          </w:tcPr>
          <w:p>
            <w:r>
              <w:rPr>
                <w:b/>
                <w:sz w:val="18"/>
              </w:rPr>
              <w:t>Total KX Supply</w:t>
            </w:r>
          </w:p>
        </w:tc>
        <w:tc>
          <w:tcPr>
            <w:tcW w:w="1500" w:type="dxa"/>
          </w:tcPr>
          <w:p>
            <w:pPr>
              <w:jc w:val="center"/>
            </w:pPr>
            <w:r>
              <w:rPr>
                <w:sz w:val="18"/>
              </w:rPr>
              <w:t>8,270,000,000 KX</w:t>
            </w:r>
          </w:p>
        </w:tc>
        <w:tc>
          <w:tcPr>
            <w:tcW w:w="4860" w:type="dxa"/>
          </w:tcPr>
          <w:p>
            <w:r>
              <w:rPr>
                <w:sz w:val="18"/>
              </w:rPr>
              <w:t>Every promise made on ChronX is denominated in KX. The supply is the unit of account. Changing it would invalidate every existing promise.</w:t>
            </w:r>
          </w:p>
        </w:tc>
      </w:tr>
      <w:tr>
        <w:tc>
          <w:tcPr>
            <w:tcW w:w="3000" w:type="dxa"/>
            <w:shd w:val="clear" w:color="auto" w:fill="FFF0F0"/>
          </w:tcPr>
          <w:p>
            <w:r>
              <w:rPr>
                <w:b/>
                <w:sz w:val="18"/>
              </w:rPr>
              <w:t>Transaction Fees</w:t>
            </w:r>
          </w:p>
        </w:tc>
        <w:tc>
          <w:tcPr>
            <w:tcW w:w="1500" w:type="dxa"/>
            <w:shd w:val="clear" w:color="auto" w:fill="FFF0F0"/>
          </w:tcPr>
          <w:p>
            <w:pPr>
              <w:jc w:val="center"/>
            </w:pPr>
            <w:r>
              <w:rPr>
                <w:sz w:val="18"/>
              </w:rPr>
              <w:t>Zero. Forever.</w:t>
            </w:r>
          </w:p>
        </w:tc>
        <w:tc>
          <w:tcPr>
            <w:tcW w:w="4860" w:type="dxa"/>
            <w:shd w:val="clear" w:color="auto" w:fill="FFF0F0"/>
          </w:tcPr>
          <w:p>
            <w:r>
              <w:rPr>
                <w:sz w:val="18"/>
              </w:rPr>
              <w:t>A promise scheduled 100 years in the future cannot carry an unknown future fee burden. Zero fees are the only honest promise a protocol can make about cost.</w:t>
            </w:r>
          </w:p>
        </w:tc>
      </w:tr>
      <w:tr>
        <w:tc>
          <w:tcPr>
            <w:tcW w:w="3000" w:type="dxa"/>
          </w:tcPr>
          <w:p>
            <w:r>
              <w:rPr>
                <w:b/>
                <w:sz w:val="18"/>
              </w:rPr>
              <w:t>Executor Fee Ceiling</w:t>
            </w:r>
          </w:p>
        </w:tc>
        <w:tc>
          <w:tcPr>
            <w:tcW w:w="1500" w:type="dxa"/>
          </w:tcPr>
          <w:p>
            <w:pPr>
              <w:jc w:val="center"/>
            </w:pPr>
            <w:r>
              <w:rPr>
                <w:sz w:val="18"/>
              </w:rPr>
              <w:t>7% maximum</w:t>
            </w:r>
          </w:p>
        </w:tc>
        <w:tc>
          <w:tcPr>
            <w:tcW w:w="4860" w:type="dxa"/>
          </w:tcPr>
          <w:p>
            <w:r>
              <w:rPr>
                <w:sz w:val="18"/>
              </w:rPr>
              <w:t>Grantors must be able to trust that no future governance action will materially increase the cost of delivering their promises. The ceiling can only move downward.</w:t>
            </w:r>
          </w:p>
        </w:tc>
      </w:tr>
      <w:tr>
        <w:tc>
          <w:tcPr>
            <w:tcW w:w="3000" w:type="dxa"/>
            <w:shd w:val="clear" w:color="auto" w:fill="FFF0F0"/>
          </w:tcPr>
          <w:p>
            <w:r>
              <w:rPr>
                <w:b/>
                <w:sz w:val="18"/>
              </w:rPr>
              <w:t>Promise Axioms (4)</w:t>
            </w:r>
          </w:p>
        </w:tc>
        <w:tc>
          <w:tcPr>
            <w:tcW w:w="1500" w:type="dxa"/>
            <w:shd w:val="clear" w:color="auto" w:fill="FFF0F0"/>
          </w:tcPr>
          <w:p>
            <w:pPr>
              <w:jc w:val="center"/>
            </w:pPr>
            <w:r>
              <w:rPr>
                <w:sz w:val="18"/>
              </w:rPr>
              <w:t>Genesis-encoded</w:t>
            </w:r>
          </w:p>
        </w:tc>
        <w:tc>
          <w:tcPr>
            <w:tcW w:w="4860" w:type="dxa"/>
            <w:shd w:val="clear" w:color="auto" w:fill="FFF0F0"/>
          </w:tcPr>
          <w:p>
            <w:r>
              <w:rPr>
                <w:sz w:val="18"/>
              </w:rPr>
              <w:t>The axioms are the protocol’s constitution. They define what ChronX is. A protocol that could alter its own axioms would offer no meaningful guarantees.</w:t>
            </w:r>
          </w:p>
        </w:tc>
      </w:tr>
      <w:tr>
        <w:tc>
          <w:tcPr>
            <w:tcW w:w="3000" w:type="dxa"/>
          </w:tcPr>
          <w:p>
            <w:r>
              <w:rPr>
                <w:b/>
                <w:sz w:val="18"/>
              </w:rPr>
              <w:t>AI Agent Axioms (6)</w:t>
            </w:r>
          </w:p>
        </w:tc>
        <w:tc>
          <w:tcPr>
            <w:tcW w:w="1500" w:type="dxa"/>
          </w:tcPr>
          <w:p>
            <w:pPr>
              <w:jc w:val="center"/>
            </w:pPr>
            <w:r>
              <w:rPr>
                <w:sz w:val="18"/>
              </w:rPr>
              <w:t>Genesis-encoded</w:t>
            </w:r>
          </w:p>
        </w:tc>
        <w:tc>
          <w:tcPr>
            <w:tcW w:w="4860" w:type="dxa"/>
          </w:tcPr>
          <w:p>
            <w:r>
              <w:rPr>
                <w:sz w:val="18"/>
              </w:rPr>
              <w:t>AI agents that manage human financial obligations must operate under rules that cannot be changed after the fact. The axioms are the guarantee that MISAI will always behave as encoded — no matter who controls the Foundation.</w:t>
            </w:r>
          </w:p>
        </w:tc>
      </w:tr>
    </w:tbl>
    <w:p w14:paraId="1A00002A" w14:textId="77777777" w:rsidR="00656D0B" w:rsidRDefault="00000000">
      <w:pPr>
        <w:pBdr>
          <w:bottom w:val="single" w:sz="4" w:space="1" w:color="C9A84C"/>
        </w:pBdr>
        <w:spacing w:before="200" w:after="200"/>
      </w:pPr>
    </w:p>
    <w:p w14:paraId="1A00002B" w14:textId="77777777" w:rsidR="00656D0B" w:rsidRDefault="00000000">
      <w:pPr>
        <w:spacing w:before="200" w:after="80"/>
        <w:jc w:val="center"/>
      </w:pPr>
      <w:r>
        <w:rPr>
          <w:i/>
          <w:color w:val="666666"/>
          <w:sz w:val="20"/>
          <w:szCs w:val="20"/>
        </w:rPr>
        <w:t>End of Addendum C — ChronX Protocol Foundation Governance</w:t>
      </w:r>
    </w:p>
    <w:sectPr w:rsidR="00656D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77D9E"/>
    <w:multiLevelType w:val="hybridMultilevel"/>
    <w:tmpl w:val="BE6A7E4C"/>
    <w:lvl w:ilvl="0" w:tplc="9B4C24B0">
      <w:start w:val="1"/>
      <w:numFmt w:val="bullet"/>
      <w:lvlText w:val="•"/>
      <w:lvlJc w:val="left"/>
      <w:pPr>
        <w:ind w:left="720" w:hanging="360"/>
      </w:pPr>
    </w:lvl>
    <w:lvl w:ilvl="1" w:tplc="BB180B8A">
      <w:numFmt w:val="decimal"/>
      <w:lvlText w:val=""/>
      <w:lvlJc w:val="left"/>
    </w:lvl>
    <w:lvl w:ilvl="2" w:tplc="27A4379E">
      <w:numFmt w:val="decimal"/>
      <w:lvlText w:val=""/>
      <w:lvlJc w:val="left"/>
    </w:lvl>
    <w:lvl w:ilvl="3" w:tplc="24DA1800">
      <w:numFmt w:val="decimal"/>
      <w:lvlText w:val=""/>
      <w:lvlJc w:val="left"/>
    </w:lvl>
    <w:lvl w:ilvl="4" w:tplc="1D9E79C0">
      <w:numFmt w:val="decimal"/>
      <w:lvlText w:val=""/>
      <w:lvlJc w:val="left"/>
    </w:lvl>
    <w:lvl w:ilvl="5" w:tplc="38AC9E2A">
      <w:numFmt w:val="decimal"/>
      <w:lvlText w:val=""/>
      <w:lvlJc w:val="left"/>
    </w:lvl>
    <w:lvl w:ilvl="6" w:tplc="217C0BC4">
      <w:numFmt w:val="decimal"/>
      <w:lvlText w:val=""/>
      <w:lvlJc w:val="left"/>
    </w:lvl>
    <w:lvl w:ilvl="7" w:tplc="AC34E374">
      <w:numFmt w:val="decimal"/>
      <w:lvlText w:val=""/>
      <w:lvlJc w:val="left"/>
    </w:lvl>
    <w:lvl w:ilvl="8" w:tplc="9E2CA4C6">
      <w:numFmt w:val="decimal"/>
      <w:lvlText w:val=""/>
      <w:lvlJc w:val="left"/>
    </w:lvl>
  </w:abstractNum>
  <w:abstractNum w:abstractNumId="1" w15:restartNumberingAfterBreak="0">
    <w:nsid w:val="397872E0"/>
    <w:multiLevelType w:val="hybridMultilevel"/>
    <w:tmpl w:val="748A3672"/>
    <w:lvl w:ilvl="0" w:tplc="3670DF88">
      <w:start w:val="1"/>
      <w:numFmt w:val="bullet"/>
      <w:lvlText w:val="●"/>
      <w:lvlJc w:val="left"/>
      <w:pPr>
        <w:ind w:left="720" w:hanging="360"/>
      </w:pPr>
    </w:lvl>
    <w:lvl w:ilvl="1" w:tplc="2766BE84">
      <w:start w:val="1"/>
      <w:numFmt w:val="bullet"/>
      <w:lvlText w:val="○"/>
      <w:lvlJc w:val="left"/>
      <w:pPr>
        <w:ind w:left="1440" w:hanging="360"/>
      </w:pPr>
    </w:lvl>
    <w:lvl w:ilvl="2" w:tplc="5EA44676">
      <w:start w:val="1"/>
      <w:numFmt w:val="bullet"/>
      <w:lvlText w:val="■"/>
      <w:lvlJc w:val="left"/>
      <w:pPr>
        <w:ind w:left="2160" w:hanging="360"/>
      </w:pPr>
    </w:lvl>
    <w:lvl w:ilvl="3" w:tplc="95B49DA2">
      <w:start w:val="1"/>
      <w:numFmt w:val="bullet"/>
      <w:lvlText w:val="●"/>
      <w:lvlJc w:val="left"/>
      <w:pPr>
        <w:ind w:left="2880" w:hanging="360"/>
      </w:pPr>
    </w:lvl>
    <w:lvl w:ilvl="4" w:tplc="E9B6B248">
      <w:start w:val="1"/>
      <w:numFmt w:val="bullet"/>
      <w:lvlText w:val="○"/>
      <w:lvlJc w:val="left"/>
      <w:pPr>
        <w:ind w:left="3600" w:hanging="360"/>
      </w:pPr>
    </w:lvl>
    <w:lvl w:ilvl="5" w:tplc="E30C03E6">
      <w:start w:val="1"/>
      <w:numFmt w:val="bullet"/>
      <w:lvlText w:val="■"/>
      <w:lvlJc w:val="left"/>
      <w:pPr>
        <w:ind w:left="4320" w:hanging="360"/>
      </w:pPr>
    </w:lvl>
    <w:lvl w:ilvl="6" w:tplc="EA24EA78">
      <w:start w:val="1"/>
      <w:numFmt w:val="bullet"/>
      <w:lvlText w:val="●"/>
      <w:lvlJc w:val="left"/>
      <w:pPr>
        <w:ind w:left="5040" w:hanging="360"/>
      </w:pPr>
    </w:lvl>
    <w:lvl w:ilvl="7" w:tplc="AA7E440A">
      <w:start w:val="1"/>
      <w:numFmt w:val="bullet"/>
      <w:lvlText w:val="●"/>
      <w:lvlJc w:val="left"/>
      <w:pPr>
        <w:ind w:left="5760" w:hanging="360"/>
      </w:pPr>
    </w:lvl>
    <w:lvl w:ilvl="8" w:tplc="B5B0ABB8">
      <w:start w:val="1"/>
      <w:numFmt w:val="bullet"/>
      <w:lvlText w:val="●"/>
      <w:lvlJc w:val="left"/>
      <w:pPr>
        <w:ind w:left="6480" w:hanging="360"/>
      </w:pPr>
    </w:lvl>
  </w:abstractNum>
  <w:num w:numId="1" w16cid:durableId="974412867">
    <w:abstractNumId w:val="1"/>
    <w:lvlOverride w:ilvl="0">
      <w:startOverride w:val="1"/>
    </w:lvlOverride>
  </w:num>
  <w:num w:numId="2" w16cid:durableId="869074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D0B"/>
    <w:rsid w:val="004F1611"/>
    <w:rsid w:val="00645F93"/>
    <w:rsid w:val="00656D0B"/>
    <w:rsid w:val="00930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5FFE9"/>
  <w15:docId w15:val="{07B66B79-C0CC-415C-865C-5FC9657C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C9A84C"/>
      <w:sz w:val="36"/>
      <w:szCs w:val="36"/>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60" w:after="80"/>
      <w:outlineLvl w:val="2"/>
    </w:pPr>
    <w:rPr>
      <w:b/>
      <w:bCs/>
      <w:color w:val="2E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5956</Words>
  <Characters>33950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2026-03-22T01:18:00Z</dcterms:created>
  <dcterms:modified xsi:type="dcterms:W3CDTF">2026-03-22T01:18:00Z</dcterms:modified>
</cp:coreProperties>
</file>