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160"/>
        <w:jc w:val="center"/>
      </w:pPr>
      <w:r>
        <w:rPr>
          <w:rFonts w:ascii="Arial" w:cs="Arial" w:eastAsia="Arial" w:hAnsi="Arial"/>
          <w:b/>
          <w:bCs/>
          <w:color w:val="1F4E79"/>
          <w:sz w:val="64"/>
          <w:szCs w:val="64"/>
        </w:rPr>
        <w:t xml:space="preserve">CHRONX PROTOCOL</w:t>
      </w:r>
    </w:p>
    <w:p>
      <w:pPr>
        <w:spacing w:before="0" w:after="160"/>
        <w:jc w:val="center"/>
      </w:pPr>
      <w:r>
        <w:rPr>
          <w:rFonts w:ascii="Arial" w:cs="Arial" w:eastAsia="Arial" w:hAnsi="Arial"/>
          <w:b/>
          <w:bCs/>
          <w:sz w:val="40"/>
          <w:szCs w:val="40"/>
        </w:rPr>
        <w:t xml:space="preserve">Whitepaper One</w:t>
      </w:r>
    </w:p>
    <w:p>
      <w:pPr>
        <w:spacing w:before="0" w:after="80"/>
        <w:jc w:val="center"/>
      </w:pPr>
      <w:r>
        <w:rPr>
          <w:rFonts w:ascii="Arial" w:cs="Arial" w:eastAsia="Arial" w:hAnsi="Arial"/>
          <w:i/>
          <w:iCs/>
          <w:color w:val="555555"/>
          <w:sz w:val="28"/>
          <w:szCs w:val="28"/>
        </w:rPr>
        <w:t xml:space="preserve">The Promise Protocol — Genesis Zero</w:t>
      </w:r>
    </w:p>
    <w:p>
      <w:pPr>
        <w:spacing w:before="0" w:after="320"/>
        <w:jc w:val="center"/>
      </w:pPr>
      <w:r>
        <w:rPr>
          <w:rFonts w:ascii="Arial" w:cs="Arial" w:eastAsia="Arial" w:hAnsi="Arial"/>
          <w:color w:val="888888"/>
          <w:sz w:val="22"/>
          <w:szCs w:val="22"/>
        </w:rPr>
        <w:t xml:space="preserve">Genesis Zero  ·  Post-Quantum Cryptography  ·  Zero Fees</w:t>
      </w:r>
    </w:p>
    <w:p>
      <w:pPr>
        <w:pBdr>
          <w:bottom w:val="single" w:color="CCCCCC" w:sz="4" w:space="4"/>
        </w:pBdr>
        <w:spacing w:before="120" w:after="120"/>
      </w:pPr>
      <w:r>
        <w:t xml:space="preserve"/>
      </w:r>
    </w:p>
    <w:p>
      <w:pPr>
        <w:spacing w:before="200" w:after="80"/>
        <w:jc w:val="center"/>
      </w:pPr>
      <w:r>
        <w:rPr>
          <w:rFonts w:ascii="Arial" w:cs="Arial" w:eastAsia="Arial" w:hAnsi="Arial"/>
          <w:b/>
          <w:bCs/>
          <w:sz w:val="24"/>
          <w:szCs w:val="24"/>
        </w:rPr>
        <w:t xml:space="preserve">ICO: September 22, 2026  ·  $0.00319 per KX</w:t>
      </w:r>
    </w:p>
    <w:p>
      <w:pPr>
        <w:spacing w:before="0" w:after="400"/>
        <w:jc w:val="center"/>
      </w:pPr>
      <w:r>
        <w:rPr>
          <w:rFonts w:ascii="Arial" w:cs="Arial" w:eastAsia="Arial" w:hAnsi="Arial"/>
          <w:color w:val="2E75B6"/>
          <w:sz w:val="22"/>
          <w:szCs w:val="22"/>
        </w:rPr>
        <w:t xml:space="preserve">chronx.io</w:t>
      </w:r>
    </w:p>
    <w:p>
      <w:pPr>
        <w:pBdr>
          <w:left w:val="single" w:color="2E75B6" w:sz="8" w:space="12"/>
        </w:pBdr>
        <w:spacing w:before="160" w:after="160"/>
        <w:ind w:left="720" w:right="720"/>
      </w:pPr>
      <w:r>
        <w:rPr>
          <w:rFonts w:ascii="Arial" w:cs="Arial" w:eastAsia="Arial" w:hAnsi="Arial"/>
          <w:i/>
          <w:iCs/>
          <w:sz w:val="22"/>
          <w:szCs w:val="22"/>
        </w:rPr>
        <w:t xml:space="preserve">"ChronX does not merely record that a promise was made. ChronX makes the promise inevitable."</w:t>
      </w:r>
    </w:p>
    <w:p>
      <w:pPr>
        <w:spacing w:before="80" w:after="80"/>
      </w:pPr>
      <w:r>
        <w:t xml:space="preserve"/>
      </w:r>
    </w:p>
    <w:p>
      <w:pPr>
        <w:jc w:val="center"/>
      </w:pPr>
      <w:r>
        <w:rPr>
          <w:rFonts w:ascii="Arial" w:cs="Arial" w:eastAsia="Arial" w:hAnsi="Arial"/>
          <w:color w:val="999999"/>
          <w:sz w:val="20"/>
          <w:szCs w:val="20"/>
        </w:rPr>
        <w:t xml:space="preserve">March 2026</w:t>
      </w:r>
    </w:p>
    <w:p>
      <w:r>
        <w:br w:type="page"/>
      </w:r>
    </w:p>
    <w:p>
      <w:pPr>
        <w:pStyle w:val="Heading1"/>
        <w:spacing w:before="480" w:after="240"/>
      </w:pPr>
      <w:r>
        <w:rPr>
          <w:rFonts w:ascii="Arial" w:cs="Arial" w:eastAsia="Arial" w:hAnsi="Arial"/>
          <w:b/>
          <w:bCs/>
          <w:color w:val="1F4E79"/>
          <w:sz w:val="34"/>
          <w:szCs w:val="34"/>
        </w:rPr>
        <w:t xml:space="preserve">1. Everything is a Promise</w:t>
      </w:r>
    </w:p>
    <w:p>
      <w:pPr>
        <w:spacing w:before="100" w:after="100"/>
        <w:jc w:val="both"/>
      </w:pPr>
      <w:r>
        <w:rPr>
          <w:rFonts w:ascii="Arial" w:cs="Arial" w:eastAsia="Arial" w:hAnsi="Arial"/>
          <w:sz w:val="22"/>
          <w:szCs w:val="22"/>
        </w:rPr>
        <w:t xml:space="preserve">On ChronX Protocol, everything is a promise.</w:t>
      </w:r>
    </w:p>
    <w:p>
      <w:pPr>
        <w:spacing w:before="80" w:after="80"/>
      </w:pPr>
      <w:r>
        <w:t xml:space="preserve"/>
      </w:r>
    </w:p>
    <w:p>
      <w:pPr>
        <w:spacing w:before="100" w:after="100"/>
        <w:jc w:val="both"/>
      </w:pPr>
      <w:r>
        <w:rPr>
          <w:rFonts w:ascii="Arial" w:cs="Arial" w:eastAsia="Arial" w:hAnsi="Arial"/>
          <w:sz w:val="22"/>
          <w:szCs w:val="22"/>
        </w:rPr>
        <w:t xml:space="preserve">A time-locked gift to your daughter on her eighteenth birthday: a promise. A 30-day friendly loan between friends: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80"/>
      </w:pPr>
      <w:r>
        <w:t xml:space="preserve"/>
      </w:r>
    </w:p>
    <w:p>
      <w:pPr>
        <w:spacing w:before="100" w:after="100"/>
        <w:jc w:val="both"/>
      </w:pPr>
      <w:r>
        <w:rPr>
          <w:rFonts w:ascii="Arial" w:cs="Arial" w:eastAsia="Arial" w:hAnsi="Arial"/>
          <w:sz w:val="22"/>
          <w:szCs w:val="22"/>
        </w:rPr>
        <w:t xml:space="preserve">One idea. Infinite applications.</w:t>
      </w:r>
    </w:p>
    <w:p>
      <w:pPr>
        <w:spacing w:before="80" w:after="80"/>
      </w:pPr>
      <w:r>
        <w:t xml:space="preserve"/>
      </w:r>
    </w:p>
    <w:p>
      <w:pPr>
        <w:spacing w:before="100" w:after="10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80"/>
      </w:pPr>
      <w:r>
        <w:t xml:space="preserve"/>
      </w:r>
    </w:p>
    <w:p>
      <w:pPr>
        <w:spacing w:before="100" w:after="100"/>
        <w:jc w:val="both"/>
      </w:pPr>
      <w:r>
        <w:rPr>
          <w:rFonts w:ascii="Arial" w:cs="Arial" w:eastAsia="Arial" w:hAnsi="Arial"/>
          <w:sz w:val="22"/>
          <w:szCs w:val="22"/>
        </w:rPr>
        <w:t xml:space="preserve">The protocol does not judge the wisdom of a promise. It enforces it.</w:t>
      </w:r>
    </w:p>
    <w:p>
      <w:pPr>
        <w:spacing w:before="100" w:after="100"/>
      </w:pPr>
    </w:p>
    <w:p>
      <w:pPr>
        <w:spacing w:before="100" w:after="100"/>
        <w:jc w:val="both"/>
      </w:pPr>
      <w:r>
        <w:rPr>
          <w:rFonts w:ascii="Arial" w:cs="Arial" w:eastAsia="Arial" w:hAnsi="Arial"/>
          <w:sz w:val="22"/>
          <w:szCs w:val="22"/>
        </w:rPr>
        <w:t xml:space="preserve">By default, every time-locked promise on ChronX participates in the HedgeKX yield system — earning real yield for the recipient from real economic activity, with no additional risk and no cost to the grantor. This is not a feature. It is simply what a promise on ChronX does.</w:t>
      </w:r>
    </w:p>
    <w:p>
      <w:pPr>
        <w:spacing w:before="80" w:after="80"/>
      </w:pPr>
      <w:r>
        <w:t xml:space="preserve"/>
      </w:r>
    </w:p>
    <w:p>
      <w:pPr>
        <w:spacing w:before="100" w:after="10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r>
        <w:br w:type="page"/>
      </w:r>
    </w:p>
    <w:p>
      <w:pPr>
        <w:pStyle w:val="Heading1"/>
        <w:spacing w:before="480" w:after="240"/>
      </w:pPr>
      <w:r>
        <w:rPr>
          <w:rFonts w:ascii="Arial" w:cs="Arial" w:eastAsia="Arial" w:hAnsi="Arial"/>
          <w:b/>
          <w:bCs/>
          <w:color w:val="1F4E79"/>
          <w:sz w:val="34"/>
          <w:szCs w:val="34"/>
        </w:rPr>
        <w:t xml:space="preserve">2. The DAG</w:t>
      </w:r>
    </w:p>
    <w:p>
      <w:pPr>
        <w:spacing w:before="100" w:after="10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80"/>
      </w:pPr>
      <w:r>
        <w:t xml:space="preserve"/>
      </w:r>
    </w:p>
    <w:p>
      <w:pPr>
        <w:spacing w:before="100" w:after="10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Free Matters</w:t>
      </w:r>
    </w:p>
    <w:p>
      <w:pPr>
        <w:spacing w:before="100" w:after="10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80"/>
      </w:pPr>
      <w:r>
        <w:t xml:space="preserve"/>
      </w:r>
    </w:p>
    <w:p>
      <w:pPr>
        <w:spacing w:before="100" w:after="10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Immutability Matters for Promises</w:t>
      </w:r>
    </w:p>
    <w:p>
      <w:pPr>
        <w:spacing w:before="100" w:after="100"/>
        <w:jc w:val="both"/>
      </w:pPr>
      <w:r>
        <w:rPr>
          <w:rFonts w:ascii="Arial" w:cs="Arial" w:eastAsia="Arial" w:hAnsi="Arial"/>
          <w:sz w:val="22"/>
          <w:szCs w:val="22"/>
        </w:rPr>
        <w:t xml:space="preserve">A promise is only as good as the system that enforces it. If a centralised database can be edited, the promise can be edited. ChronX's DAG is append-only. Once a promise is recorded, it exists forever. The sender cannot take it back unless they specified a cancellation window. The protocol cannot modify it. The Foundation cannot override it.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KX: The Unit of Account</w:t>
      </w:r>
    </w:p>
    <w:p>
      <w:pPr>
        <w:spacing w:before="100" w:after="10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Nodes and Security</w:t>
      </w:r>
    </w:p>
    <w:p>
      <w:pPr>
        <w:spacing w:before="100" w:after="100"/>
        <w:jc w:val="both"/>
      </w:pPr>
      <w:r>
        <w:rPr>
          <w:rFonts w:ascii="Arial" w:cs="Arial" w:eastAsia="Arial" w:hAnsi="Arial"/>
          <w:sz w:val="22"/>
          <w:szCs w:val="22"/>
        </w:rPr>
        <w:t xml:space="preserve">ChronX currently operates three nodes: a primary node on Vultr cloud infrastructure, a Windows node, and a Mac Mini node. These nodes validate every transaction using SHA3-256 proof of work and CRYSTALS-Dilithium2 post-quantum digital signatures. Every wallet is quantum-resistant from day one.</w:t>
      </w:r>
    </w:p>
    <w:p>
      <w:pPr>
        <w:spacing w:before="80" w:after="80"/>
      </w:pPr>
      <w:r>
        <w:t xml:space="preserve"/>
      </w:r>
    </w:p>
    <w:p>
      <w:pPr>
        <w:spacing w:before="100" w:after="10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r>
        <w:br w:type="page"/>
      </w:r>
    </w:p>
    <w:p>
      <w:pPr>
        <w:pStyle w:val="Heading1"/>
        <w:spacing w:before="480" w:after="240"/>
      </w:pPr>
      <w:r>
        <w:rPr>
          <w:rFonts w:ascii="Arial" w:cs="Arial" w:eastAsia="Arial" w:hAnsi="Arial"/>
          <w:b/>
          <w:bCs/>
          <w:color w:val="1F4E79"/>
          <w:sz w:val="34"/>
          <w:szCs w:val="34"/>
        </w:rPr>
        <w:t xml:space="preserve">3. Promises in Any Currency</w:t>
      </w:r>
    </w:p>
    <w:p>
      <w:pPr>
        <w:spacing w:before="100" w:after="100"/>
        <w:jc w:val="both"/>
      </w:pPr>
      <w:r>
        <w:rPr>
          <w:rFonts w:ascii="Arial" w:cs="Arial" w:eastAsia="Arial" w:hAnsi="Arial"/>
          <w:sz w:val="22"/>
          <w:szCs w:val="22"/>
        </w:rPr>
        <w:t xml:space="preserve">KX is the reserve. Not necessarily the currency you see.</w:t>
      </w:r>
    </w:p>
    <w:p>
      <w:pPr>
        <w:spacing w:before="80" w:after="80"/>
      </w:pPr>
      <w:r>
        <w:t xml:space="preserve"/>
      </w:r>
    </w:p>
    <w:p>
      <w:pPr>
        <w:spacing w:before="100" w:after="10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80" w:after="80"/>
      </w:pPr>
      <w:r>
        <w:t xml:space="preserve"/>
      </w:r>
    </w:p>
    <w:p>
      <w:pPr>
        <w:spacing w:before="100" w:after="100"/>
        <w:jc w:val="both"/>
      </w:pPr>
      <w:r>
        <w:rPr>
          <w:rFonts w:ascii="Arial" w:cs="Arial" w:eastAsia="Arial" w:hAnsi="Arial"/>
          <w:sz w:val="22"/>
          <w:szCs w:val="22"/>
        </w:rPr>
        <w:t xml:space="preserve">Governance: pay_as_max_usd = $250 per transaction. Subject to governance adjustment.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80"/>
        <w:gridCol w:w="348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3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80" w:after="80"/>
      </w:pPr>
      <w:r>
        <w:t xml:space="preserve"/>
      </w:r>
    </w:p>
    <w:p>
      <w:pPr>
        <w:spacing w:before="100" w:after="10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r>
        <w:br w:type="page"/>
      </w:r>
    </w:p>
    <w:p>
      <w:pPr>
        <w:pStyle w:val="Heading1"/>
        <w:spacing w:before="480" w:after="240"/>
      </w:pPr>
      <w:r>
        <w:rPr>
          <w:rFonts w:ascii="Arial" w:cs="Arial" w:eastAsia="Arial" w:hAnsi="Arial"/>
          <w:b/>
          <w:bCs/>
          <w:color w:val="1F4E79"/>
          <w:sz w:val="34"/>
          <w:szCs w:val="34"/>
        </w:rPr>
        <w:t xml:space="preserve">4. The Essential Protocol Partners</w:t>
      </w:r>
    </w:p>
    <w:p>
      <w:pPr>
        <w:spacing w:before="100" w:after="100"/>
        <w:jc w:val="both"/>
      </w:pPr>
      <w:r>
        <w:rPr>
          <w:rFonts w:ascii="Arial" w:cs="Arial" w:eastAsia="Arial" w:hAnsi="Arial"/>
          <w:sz w:val="22"/>
          <w:szCs w:val="22"/>
        </w:rPr>
        <w:t xml:space="preserve">ChronX is the protocol. Around it, six bonded organisations extend its capabilities into specialised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spacing w:before="80" w:after="80"/>
      </w:pPr>
      <w:r>
        <w:t xml:space="preserve"/>
      </w:r>
    </w:p>
    <w:p>
      <w:pPr>
        <w:spacing w:before="100" w:after="100"/>
        <w:jc w:val="both"/>
      </w:pPr>
      <w:r>
        <w:rPr>
          <w:rFonts w:ascii="Arial" w:cs="Arial" w:eastAsia="Arial" w:hAnsi="Arial"/>
          <w:sz w:val="22"/>
          <w:szCs w:val="22"/>
        </w:rPr>
        <w:t xml:space="preserve">These six partners form a self-reinforcing ecosystem. XChan provides liquidity and exchange rates. HedgeKX converts that liquidity into price certainty for lenders, savers, and insurers. KXGC backstops the entire insurance and lending stack. MISAI manages long-horizon AI investment mandates. Verifas ensures long-horizon promises reach their intended recipients. CPNX establishes institutional identity. Each partner makes the others more powerful.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4.1 MISAI — The AI Executor</w:t>
      </w:r>
    </w:p>
    <w:p>
      <w:pPr>
        <w:spacing w:before="100" w:after="10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80" w:after="80"/>
      </w:pPr>
      <w:r>
        <w:t xml:space="preserve"/>
      </w:r>
    </w:p>
    <w:p>
      <w:pPr>
        <w:spacing w:before="100" w:after="100"/>
        <w:jc w:val="both"/>
      </w:pPr>
      <w:r>
        <w:rPr>
          <w:rFonts w:ascii="Arial" w:cs="Arial" w:eastAsia="Arial" w:hAnsi="Arial"/>
          <w:sz w:val="22"/>
          <w:szCs w:val="22"/>
        </w:rPr>
        <w:t xml:space="preserve">Governance: misai_conservative_batch_only = true. Full autonomous operation requires a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4.2 Verifas — The Human Attestation Layer</w:t>
      </w:r>
    </w:p>
    <w:p>
      <w:pPr>
        <w:spacing w:before="100" w:after="100"/>
        <w:jc w:val="both"/>
      </w:pPr>
      <w:r>
        <w:rPr>
          <w:rFonts w:ascii="Arial" w:cs="Arial" w:eastAsia="Arial" w:hAnsi="Arial"/>
          <w:sz w:val="22"/>
          <w:szCs w:val="22"/>
        </w:rPr>
        <w:t xml:space="preserve">Verifas (verifas.io) is a network of bonded human attestors whose job is to ensure that long-duration promises reach their intended recipients even when wallets go offline, email addresses change, or decades pass between a promise being made and it maturing.</w:t>
      </w:r>
    </w:p>
    <w:p>
      <w:pPr>
        <w:spacing w:before="100" w:after="100"/>
      </w:pPr>
    </w:p>
    <w:p>
      <w:pPr>
        <w:spacing w:before="100" w:after="100"/>
        <w:jc w:val="both"/>
      </w:pPr>
      <w:r>
        <w:rPr>
          <w:rFonts w:ascii="Arial" w:cs="Arial" w:eastAsia="Arial" w:hAnsi="Arial"/>
          <w:sz w:val="22"/>
          <w:szCs w:val="22"/>
        </w:rPr>
        <w:t xml:space="preserve">For short-duration locks (under the governance-set threshold, currently one year), normal claim behavior applies: if unclaimed within the claim window, funds revert to sender. This is correct for operational instruments — payroll, savings deposits, friendly loans.</w:t>
      </w:r>
    </w:p>
    <w:p>
      <w:pPr>
        <w:spacing w:before="100" w:after="100"/>
      </w:pPr>
    </w:p>
    <w:p>
      <w:pPr>
        <w:spacing w:before="100" w:after="100"/>
        <w:jc w:val="both"/>
      </w:pPr>
      <w:r>
        <w:rPr>
          <w:rFonts w:ascii="Arial" w:cs="Arial" w:eastAsia="Arial" w:hAnsi="Arial"/>
          <w:sz w:val="22"/>
          <w:szCs w:val="22"/>
        </w:rPr>
        <w:t xml:space="preserve">For long-duration locks (above the governance-set threshold), the following three-stage system applies:</w:t>
      </w:r>
    </w:p>
    <w:p>
      <w:pPr>
        <w:spacing w:before="100" w:after="100"/>
      </w:pPr>
    </w:p>
    <w:p>
      <w:pPr>
        <w:spacing w:before="100" w:after="100"/>
        <w:jc w:val="both"/>
      </w:pPr>
      <w:r>
        <w:rPr>
          <w:rFonts w:ascii="Arial" w:cs="Arial" w:eastAsia="Arial" w:hAnsi="Arial"/>
          <w:sz w:val="22"/>
          <w:szCs w:val="22"/>
        </w:rPr>
        <w:t xml:space="preserve">Stage 1 — Normal claim window (governance-set, default 90 days for wallet locks, default 0 days for email locks): The recipient claims directly via wallet or email claim code. No Verifas involvement. This is the intended path for the vast majority of long-duration locks.</w:t>
      </w:r>
    </w:p>
    <w:p>
      <w:pPr>
        <w:spacing w:before="100" w:after="100"/>
      </w:pPr>
    </w:p>
    <w:p>
      <w:pPr>
        <w:spacing w:before="100" w:after="100"/>
        <w:jc w:val="both"/>
      </w:pPr>
      <w:r>
        <w:rPr>
          <w:rFonts w:ascii="Arial" w:cs="Arial" w:eastAsia="Arial" w:hAnsi="Arial"/>
          <w:sz w:val="22"/>
          <w:szCs w:val="22"/>
        </w:rPr>
        <w:t xml:space="preserve">Stage 2 — Two-party lock (begins after Stage 1 expires): The lock automatically requires two signatures to release: the recipient’s signature AND a Verifas bonded attestor confirming the claimant’s identity. Neither party has custody. The KX does not move. A hacked email address cannot claim alone — the attacker also needs Verifas to co-sign, which requires identity attestation. A legitimate slow claimant can still claim with slightly more friction. Verifas earns a governance-approved fee only at successful release — aligning their incentive with finding the correct claimant, not the fastest claimant.</w:t>
      </w:r>
    </w:p>
    <w:p>
      <w:pPr>
        <w:spacing w:before="100" w:after="100"/>
      </w:pPr>
    </w:p>
    <w:p>
      <w:pPr>
        <w:spacing w:before="100" w:after="100"/>
        <w:jc w:val="both"/>
      </w:pPr>
      <w:r>
        <w:rPr>
          <w:rFonts w:ascii="Arial" w:cs="Arial" w:eastAsia="Arial" w:hAnsi="Arial"/>
          <w:sz w:val="22"/>
          <w:szCs w:val="22"/>
        </w:rPr>
        <w:t xml:space="preserve">Stage 3 — Verifas sole custody (after governance-set extended inactivity, default 7 years in Stage 2): After years of continued inactivity, sole custody transfers to Verifas for active estate resolution. Verifas uses all available on-chain information — email hash, wallet address, CPNX identity records, DAG history — to locate the rightful claimant or their estate.</w:t>
      </w:r>
    </w:p>
    <w:p>
      <w:pPr>
        <w:spacing w:before="100" w:after="100"/>
      </w:pPr>
    </w:p>
    <w:p>
      <w:pPr>
        <w:spacing w:before="100" w:after="100"/>
        <w:jc w:val="both"/>
      </w:pPr>
      <w:r>
        <w:rPr>
          <w:rFonts w:ascii="Arial" w:cs="Arial" w:eastAsia="Arial" w:hAnsi="Arial"/>
          <w:sz w:val="22"/>
          <w:szCs w:val="22"/>
        </w:rPr>
        <w:t xml:space="preserve">Last resort — Humanity Stake (after governance-set custody window, default 100 years): If Verifas cannot locate a claimant within the custody window, KX transfers to the Humanity Stake, locked until 2126. Coins are never permanently lost.</w:t>
      </w:r>
    </w:p>
    <w:p>
      <w:pPr>
        <w:spacing w:before="100" w:after="100"/>
      </w:pPr>
    </w:p>
    <w:p>
      <w:pPr>
        <w:spacing w:before="100" w:after="100"/>
        <w:jc w:val="both"/>
      </w:pPr>
      <w:r>
        <w:rPr>
          <w:rFonts w:ascii="Arial" w:cs="Arial" w:eastAsia="Arial" w:hAnsi="Arial"/>
          <w:sz w:val="22"/>
          <w:szCs w:val="22"/>
        </w:rPr>
        <w:t xml:space="preserve">Verifas holds a 10,000,000 KX bond ensuring meaningful accountability. Verifas attestors are bonded and financially incentivised to locate claimants. For high-value long-duration locks this incentive is strong. For low-value locks, delivery through Verifas is not guaranteed — the protocol provides the mechanism, but economics governs its application.</w:t>
      </w:r>
    </w:p>
    <w:p>
      <w:pPr>
        <w:spacing w:before="100" w:after="100"/>
      </w:pPr>
    </w:p>
    <w:p>
      <w:pPr>
        <w:spacing w:before="100" w:after="100"/>
        <w:jc w:val="both"/>
      </w:pPr>
      <w:r>
        <w:rPr>
          <w:rFonts w:ascii="Arial" w:cs="Arial" w:eastAsia="Arial" w:hAnsi="Arial"/>
          <w:sz w:val="22"/>
          <w:szCs w:val="22"/>
        </w:rPr>
        <w:t xml:space="preserve">All four thresholds — Stage 1 duration, Stage 2 duration, Stage 3 custody window, and Humanity Stake window — are governance parameters adjustable without a node rebuild. In 2046, if email infrastructure has become trivially compromisable, governance can set the email lock Stage 1 window to zero seconds, ensuring all email-recipient long-duration locks enter two-party mode immediately on maturity. The mechanism is stable. The parameters are flexible. This is correct design for a 100-year protocol.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4.3 XChan — The Protocol Exchange</w:t>
      </w:r>
    </w:p>
    <w:p>
      <w:pPr>
        <w:spacing w:before="100" w:after="100"/>
        <w:jc w:val="both"/>
      </w:pPr>
      <w:r>
        <w:rPr>
          <w:rFonts w:ascii="Arial" w:cs="Arial" w:eastAsia="Arial" w:hAnsi="Arial"/>
          <w:sz w:val="22"/>
          <w:szCs w:val="22"/>
        </w:rPr>
        <w:t xml:space="preserve">XChan (xchan.io) provides two services. First: the price oracle — a 7-day volume-weighted average of KX/USDC trades — that determines how much KX is required to deliver a promised USD amount for PAY_AS instruments. Second: direct KX/USDC conversion via wKX, a publicly tradeable ERC-20 token on the Base network listed on Uniswap v3.</w:t>
      </w:r>
    </w:p>
    <w:p>
      <w:pPr>
        <w:spacing w:before="80" w:after="80"/>
      </w:pPr>
      <w:r>
        <w:t xml:space="preserve"/>
      </w:r>
    </w:p>
    <w:p>
      <w:pPr>
        <w:spacing w:before="100" w:after="100"/>
        <w:jc w:val="both"/>
      </w:pPr>
      <w:r>
        <w:rPr>
          <w:rFonts w:ascii="Arial" w:cs="Arial" w:eastAsia="Arial" w:hAnsi="Arial"/>
          <w:sz w:val="22"/>
          <w:szCs w:val="22"/>
        </w:rPr>
        <w:t xml:space="preserve">wKX (Wrapped KX) is backed by XChan conversion locks on the ChronX DAG. It is a public token — transferable, redeemable, and available on Uniswap. It is not designed as a long-term investment product; it is a liquidity mechanism for KX/USDC conversion. Total KX on ChronX DAG plus total wKX on Base always equals 8,270,000,000 KX. wKX is not new supply. It is representation.</w:t>
      </w:r>
    </w:p>
    <w:p>
      <w:pPr>
        <w:spacing w:before="80" w:after="80"/>
      </w:pPr>
      <w:r>
        <w:t xml:space="preserve"/>
      </w:r>
    </w:p>
    <w:p>
      <w:pPr>
        <w:spacing w:before="100" w:after="100"/>
        <w:jc w:val="both"/>
      </w:pPr>
      <w:r>
        <w:rPr>
          <w:rFonts w:ascii="Arial" w:cs="Arial" w:eastAsia="Arial" w:hAnsi="Arial"/>
          <w:sz w:val="22"/>
          <w:szCs w:val="22"/>
        </w:rPr>
        <w:t xml:space="preserve">XChan holds a 10,000,000 KX bond. In the future XChan may license third-party conversion services.</w:t>
      </w:r>
    </w:p>
    <w:p>
      <w:pPr>
        <w:spacing w:before="80" w:after="80"/>
      </w:pPr>
      <w:r>
        <w:t xml:space="preserve"/>
      </w:r>
    </w:p>
    <w:p>
      <w:pPr>
        <w:spacing w:before="100" w:after="100"/>
        <w:jc w:val="both"/>
      </w:pPr>
      <w:r>
        <w:rPr>
          <w:rFonts w:ascii="Arial" w:cs="Arial" w:eastAsia="Arial" w:hAnsi="Arial"/>
          <w:sz w:val="22"/>
          <w:szCs w:val="22"/>
        </w:rPr>
        <w:t xml:space="preserve">Contract addresses: wKX on Base: 0x0BBC24a0cBBC5d3fF1B9b90ce5195fC04FE0dD56. Uniswap v3 pool: 0x0B1865E9519EFf7De80539d986C5abCC5e8667De (wKX/USDC, 1% fee).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4.4 HedgeKX — The Forward Exchange Engine</w:t>
      </w:r>
    </w:p>
    <w:p>
      <w:pPr>
        <w:spacing w:before="100" w:after="100"/>
        <w:jc w:val="both"/>
      </w:pPr>
      <w:r>
        <w:rPr>
          <w:rFonts w:ascii="Arial" w:cs="Arial" w:eastAsia="Arial" w:hAnsi="Arial"/>
          <w:sz w:val="22"/>
          <w:szCs w:val="22"/>
        </w:rPr>
        <w:t xml:space="preserve">HedgeKX (hedgekx.io) is the mechanism through which ChronX's locked KX supply becomes economically productive without ever leaving the hands of its owners.</w:t>
      </w:r>
    </w:p>
    <w:p>
      <w:pPr>
        <w:spacing w:before="80" w:after="80"/>
      </w:pPr>
      <w:r>
        <w:t xml:space="preserve"/>
      </w:r>
    </w:p>
    <w:p>
      <w:pPr>
        <w:spacing w:before="100" w:after="100"/>
        <w:jc w:val="both"/>
      </w:pPr>
      <w:r>
        <w:rPr>
          <w:rFonts w:ascii="Arial" w:cs="Arial" w:eastAsia="Arial" w:hAnsi="Arial"/>
          <w:sz w:val="22"/>
          <w:szCs w:val="22"/>
        </w:rPr>
        <w:t xml:space="preserve">When KX is locked in a savings account or a long-term promise, it sits dormant — protected, immovable, guaranteed to return. HedgeKX changes this without changing anything about the protection. Every TYPE_Y lock automatically grants HedgeKX a time-limited minting mandate: permission to create an internal settlement token called h1KX on the Base network, backed 1:1 by the locked KX, for up to 24 hours at a time. HedgeKX uses h1KX exclusively as an intraday bridge for forward currency exchanges between KX and USDC.</w:t>
      </w:r>
    </w:p>
    <w:p>
      <w:pPr>
        <w:spacing w:before="80" w:after="80"/>
      </w:pPr>
      <w:r>
        <w:t xml:space="preserve"/>
      </w:r>
    </w:p>
    <w:p>
      <w:pPr>
        <w:spacing w:before="100" w:after="100"/>
        <w:jc w:val="both"/>
      </w:pPr>
      <w:r>
        <w:rPr>
          <w:rFonts w:ascii="Arial" w:cs="Arial" w:eastAsia="Arial" w:hAnsi="Arial"/>
          <w:sz w:val="22"/>
          <w:szCs w:val="22"/>
        </w:rPr>
        <w:t xml:space="preserve">h1KX is not wKX. It is not public. It cannot be transferred, held, or traded by anyone. It burns automatically every 24 hours. It exists only inside HedgeKX's settlement infrastructure as a mathematical accounting record.</w:t>
      </w:r>
    </w:p>
    <w:p>
      <w:pPr>
        <w:spacing w:before="80" w:after="80"/>
      </w:pPr>
      <w:r>
        <w:t xml:space="preserve"/>
      </w:r>
    </w:p>
    <w:p>
      <w:pPr>
        <w:spacing w:before="100" w:after="100"/>
        <w:jc w:val="both"/>
      </w:pPr>
      <w:r>
        <w:rPr>
          <w:rFonts w:ascii="Arial" w:cs="Arial" w:eastAsia="Arial" w:hAnsi="Arial"/>
          <w:b/>
          <w:bCs/>
          <w:sz w:val="22"/>
          <w:szCs w:val="22"/>
        </w:rPr>
        <w:t xml:space="preserve">The guarantee that never changes:</w:t>
      </w:r>
    </w:p>
    <w:p>
      <w:pPr>
        <w:spacing w:before="100" w:after="100"/>
        <w:jc w:val="both"/>
      </w:pPr>
      <w:r>
        <w:rPr>
          <w:rFonts w:ascii="Arial" w:cs="Arial" w:eastAsia="Arial" w:hAnsi="Arial"/>
          <w:sz w:val="22"/>
          <w:szCs w:val="22"/>
        </w:rPr>
        <w:t xml:space="preserve">No one committing KX for yield can ever lose their KX. Because they never give it up. The KX remains locked on the ChronX DAG, owned by the lock holder, protected by post-quantum cryptography. The mandate grants HedgeKX a temporary minting right — not ownership, not custody, not collateral, not a lien. At maturity, the protocol automatically unlocks the KX and returns it to the owner. This happens regardless of what HedgeKX does, regardless of whether HedgeKX exists, regardless of whether Base exists. The guarantee is enforced by the ChronX DAG's consensus rules — mathematics, not institutional goodwill.</w:t>
      </w:r>
    </w:p>
    <w:p>
      <w:pPr>
        <w:spacing w:before="80" w:after="80"/>
      </w:pPr>
      <w:r>
        <w:t xml:space="preserve"/>
      </w:r>
    </w:p>
    <w:p>
      <w:pPr>
        <w:spacing w:before="100" w:after="100"/>
        <w:jc w:val="both"/>
      </w:pPr>
      <w:r>
        <w:rPr>
          <w:rFonts w:ascii="Arial" w:cs="Arial" w:eastAsia="Arial" w:hAnsi="Arial"/>
          <w:b/>
          <w:bCs/>
          <w:sz w:val="22"/>
          <w:szCs w:val="22"/>
        </w:rPr>
        <w:t xml:space="preserve">What yield means:</w:t>
      </w:r>
    </w:p>
    <w:p>
      <w:pPr>
        <w:spacing w:before="100" w:after="100"/>
        <w:jc w:val="both"/>
      </w:pPr>
      <w:r>
        <w:rPr>
          <w:rFonts w:ascii="Arial" w:cs="Arial" w:eastAsia="Arial" w:hAnsi="Arial"/>
          <w:sz w:val="22"/>
          <w:szCs w:val="22"/>
        </w:rPr>
        <w:t xml:space="preserve">HedgeKX earns facilitation income when it matches Exchange Buyers (parties needing price certainty) with Currency B Committers (parties willing to commit USDC in exchange for yield). When a mandate is actively used in a matched transaction, yield accrues to the beneficiary of the promise — not to the grantor. If Bob makes a 20-year promise to Mary, yield credits to Mary's separate yield balance on the DAG. Mary's yield balance never decreases. It can be claimed at any time. On days when HedgeKX has no matching activity, yield is zero for that day. Principal is unaffected.</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A grantor who wishes to make a TYPE_Y promise without granting a HedgeKX mandate — for tax reasons, for simplicity, or by personal preference — may set yield_opt_out at lock creation. The lock behaves identically to a standard time-locked promise. No mandate is granted. No yield accrues. The principal guarantee is identical.</w:t>
      </w:r>
    </w:p>
    <w:p>
      <w:pPr>
        <w:spacing w:before="80" w:after="80"/>
      </w:pPr>
      <w:r>
        <w:t xml:space="preserve"/>
      </w:r>
    </w:p>
    <w:p>
      <w:pPr>
        <w:spacing w:before="100" w:after="100"/>
        <w:jc w:val="both"/>
      </w:pPr>
      <w:r>
        <w:rPr>
          <w:rFonts w:ascii="Arial" w:cs="Arial" w:eastAsia="Arial" w:hAnsi="Arial"/>
          <w:b/>
          <w:bCs/>
          <w:sz w:val="22"/>
          <w:szCs w:val="22"/>
        </w:rPr>
        <w:t xml:space="preserve">The market develops gradually:</w:t>
      </w:r>
    </w:p>
    <w:p>
      <w:pPr>
        <w:spacing w:before="100" w:after="100"/>
        <w:jc w:val="both"/>
      </w:pPr>
      <w:r>
        <w:rPr>
          <w:rFonts w:ascii="Arial" w:cs="Arial" w:eastAsia="Arial" w:hAnsi="Arial"/>
          <w:sz w:val="22"/>
          <w:szCs w:val="22"/>
        </w:rPr>
        <w:t xml:space="preserve">HedgeKX launches in founding phase with overnight instruments only and a $250 daily governance cap. This is honest: pricing multi-year hedges requires price history that does not yet exist at launch. Governance expands instrument duration as the market matures and volatility data accumulates. The flywheel — savings providing mandate capacity, HedgeKX providing yield, yield attracting more savings — is the mature state. It develops over time. Appendix O contains the complete HedgeKX technical and risk reference.</w:t>
      </w:r>
    </w:p>
    <w:p>
      <w:pPr>
        <w:spacing w:before="80" w:after="80"/>
      </w:pPr>
      <w:r>
        <w:t xml:space="preserve"/>
      </w:r>
    </w:p>
    <w:p>
      <w:pPr>
        <w:spacing w:before="100" w:after="100"/>
        <w:jc w:val="both"/>
      </w:pPr>
      <w:r>
        <w:rPr>
          <w:rFonts w:ascii="Arial" w:cs="Arial" w:eastAsia="Arial" w:hAnsi="Arial"/>
          <w:b/>
          <w:bCs/>
          <w:sz w:val="22"/>
          <w:szCs w:val="22"/>
        </w:rPr>
        <w:t xml:space="preserve">HedgeKX's constraints are protocol-enforced, not policy:</w:t>
      </w:r>
    </w:p>
    <w:p>
      <w:pPr>
        <w:spacing w:before="100" w:after="100"/>
        <w:jc w:val="both"/>
      </w:pPr>
      <w:r>
        <w:rPr>
          <w:rFonts w:ascii="Arial" w:cs="Arial" w:eastAsia="Arial" w:hAnsi="Arial"/>
          <w:sz w:val="22"/>
          <w:szCs w:val="22"/>
        </w:rPr>
        <w:t xml:space="preserve">HedgeKX cannot mint h1KX beyond the verified mandate pool. It cannot extend h1KX beyond 24 hours. It cannot access locked KX under any circumstances. It cannot exceed its governance-set market making limit. These are conditions the protocol enforces upon it — not commitments it makes.</w:t>
      </w:r>
    </w:p>
    <w:p>
      <w:pPr>
        <w:spacing w:before="80" w:after="80"/>
      </w:pPr>
      <w:r>
        <w:t xml:space="preserve"/>
      </w:r>
    </w:p>
    <w:p>
      <w:pPr>
        <w:spacing w:before="100" w:after="100"/>
        <w:jc w:val="both"/>
      </w:pPr>
      <w:r>
        <w:rPr>
          <w:rFonts w:ascii="Arial" w:cs="Arial" w:eastAsia="Arial" w:hAnsi="Arial"/>
          <w:b/>
          <w:bCs/>
          <w:sz w:val="22"/>
          <w:szCs w:val="22"/>
        </w:rPr>
        <w:t xml:space="preserve">The hNKX family:</w:t>
      </w:r>
    </w:p>
    <w:p>
      <w:pPr>
        <w:spacing w:before="100" w:after="100"/>
        <w:jc w:val="both"/>
      </w:pPr>
      <w:r>
        <w:rPr>
          <w:rFonts w:ascii="Arial" w:cs="Arial" w:eastAsia="Arial" w:hAnsi="Arial"/>
          <w:sz w:val="22"/>
          <w:szCs w:val="22"/>
        </w:rPr>
        <w:t xml:space="preserve">USDC is the first currency pair for HedgeKX hedging, using h1KX as the internal settlement token. As governance approves additional pairs — BTC (h2KX), ETH (h3KX), and so on — each deploys as a separate contract without modifying existing h1KX operations. The naming convention reflects the protocol's 100-year design horizon.</w:t>
      </w:r>
    </w:p>
    <w:p>
      <w:pPr>
        <w:spacing w:before="80" w:after="80"/>
      </w:pPr>
      <w:r>
        <w:t xml:space="preserve"/>
      </w:r>
    </w:p>
    <w:p>
      <w:pPr>
        <w:spacing w:before="100" w:after="100"/>
        <w:jc w:val="both"/>
      </w:pPr>
      <w:r>
        <w:rPr>
          <w:rFonts w:ascii="Arial" w:cs="Arial" w:eastAsia="Arial" w:hAnsi="Arial"/>
          <w:sz w:val="22"/>
          <w:szCs w:val="22"/>
        </w:rPr>
        <w:t xml:space="preserve">HedgeKX holds a 10,000,000 KX bond. Governance parameters: hedgekx_max_daily_exposure_usd = $250. hedgekx_max_instrument_duration_seconds = 86,400 (24 hours). Both subject to governance expansion.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4.5 CPNX — Identity and Badges</w:t>
      </w:r>
    </w:p>
    <w:p>
      <w:pPr>
        <w:spacing w:before="100" w:after="10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4.6 KXGC — KX Guarantee Co.</w:t>
      </w:r>
    </w:p>
    <w:p>
      <w:pPr>
        <w:spacing w:before="100" w:after="100"/>
      </w:pPr>
    </w:p>
    <w:p>
      <w:pPr>
        <w:spacing w:before="100" w:after="100"/>
        <w:jc w:val="both"/>
      </w:pPr>
      <w:r>
        <w:rPr>
          <w:rFonts w:ascii="Arial" w:cs="Arial" w:eastAsia="Arial" w:hAnsi="Arial"/>
          <w:sz w:val="22"/>
          <w:szCs w:val="22"/>
        </w:rPr>
        <w:t xml:space="preserve">KXGC (kxgc.io) is the capital of last resort for the entire ChronX insurance and lending stack. It holds 300,000,000 KX in fully-reserved catastrophic bond capital — permanently visible on the DAG, queryable by anyone, at any time. KXGC operates the Lloyd’s of London model: a three-tier hierarchy of bonded guarantors. Tier 0 (KXGC, 300M KX, never writes policies directly). Tier 1 (bonded Names, 5—25M KX each, write guarantee instruments, bond the first portion of claims before KXGC’s backstop is ever touched). Tier 2 (retail pools, backed by Tier 1 sponsors).</w:t>
      </w:r>
    </w:p>
    <w:p>
      <w:pPr>
        <w:spacing w:before="100" w:after="100"/>
      </w:pPr>
    </w:p>
    <w:p>
      <w:pPr>
        <w:spacing w:before="100" w:after="100"/>
        <w:jc w:val="both"/>
      </w:pPr>
      <w:r>
        <w:rPr>
          <w:rFonts w:ascii="Arial" w:cs="Arial" w:eastAsia="Arial" w:hAnsi="Arial"/>
          <w:sz w:val="22"/>
          <w:szCs w:val="22"/>
        </w:rPr>
        <w:t xml:space="preserve">KXGC provides the backstop that makes PAY_AS insurance, long-horizon lending, and multi-party conditional payments viable at scale. KXGC is also the primary institutional Exchange Buyer for HedgeKX — the largest single source of structured hedging demand as it writes insurance policies requiring currency certainty.</w:t>
      </w:r>
    </w:p>
    <w:p>
      <w:pPr>
        <w:spacing w:before="100" w:after="100"/>
      </w:pPr>
    </w:p>
    <w:p>
      <w:pPr>
        <w:spacing w:before="100" w:after="100"/>
        <w:jc w:val="both"/>
      </w:pPr>
      <w:r>
        <w:rPr>
          <w:rFonts w:ascii="Arial" w:cs="Arial" w:eastAsia="Arial" w:hAnsi="Arial"/>
          <w:sz w:val="22"/>
          <w:szCs w:val="22"/>
        </w:rPr>
        <w:t xml:space="preserve">KXGC operates on a 100-year horizon. There is no requirement — and no pressure — to begin underwriting at launch. The 300M KX catastrophic bond exists to provide an unconditional backstop when the market is ready, not to manufacture activity before it is. Tier 1 Names are admitted by KXGC when they demonstrate genuine expertise, adequate personal bonding, and a prudent underwriting philosophy. The first policy written on ChronX will be written when a qualified Name believes the market conditions, the protocol’s track record, and the available hedge capacity make it responsible to do so. Not before.</w:t>
      </w:r>
    </w:p>
    <w:p>
      <w:pPr>
        <w:spacing w:before="100" w:after="100"/>
      </w:pPr>
    </w:p>
    <w:p>
      <w:pPr>
        <w:spacing w:before="100" w:after="100"/>
        <w:jc w:val="both"/>
      </w:pPr>
      <w:r>
        <w:rPr>
          <w:rFonts w:ascii="Arial" w:cs="Arial" w:eastAsia="Arial" w:hAnsi="Arial"/>
          <w:sz w:val="22"/>
          <w:szCs w:val="22"/>
        </w:rPr>
        <w:t xml:space="preserve">In addition to the catastrophic bond, KXGC holds 200,000,000 KX in operating capital, vesting in annual tranches from 2027 to 2036. This working capital funds policy underwriting liquidity, claim payment float, and hedge collateral as the market develops. The vesting schedule front-loads small tranches in the early years — when KXGC has no active policies — and delivers larger tranches in later years when an established policy book and admitted Tier 1 Names create genuine operational need. The cascade structure means most of this capital does not yet exist as spendable KX, providing an additional layer of market protection.</w:t>
      </w:r>
    </w:p>
    <w:p>
      <w:pPr>
        <w:spacing w:before="100" w:after="100"/>
      </w:pPr>
    </w:p>
    <w:p>
      <w:pPr>
        <w:spacing w:before="100" w:after="100"/>
        <w:jc w:val="both"/>
      </w:pPr>
      <w:r>
        <w:rPr>
          <w:rFonts w:ascii="Arial" w:cs="Arial" w:eastAsia="Arial" w:hAnsi="Arial"/>
          <w:sz w:val="22"/>
          <w:szCs w:val="22"/>
        </w:rPr>
        <w:t xml:space="preserve">The Tier 1 bonding requirement is the mechanism that makes KXGC prudent rather than reckless: Tier 1 Names bond the first portion of claims before KXGC’s backstop is ever touched. A Tier 1 Name must exhaust their own bond before KXGC steps in. This personal exposure gives Tier 1 Names strong incentive to underwrite carefully, price correctly, and maintain adequate reserves. KXGC only absorbs what survives both the Tier 1 and Tier 2 layers. This is the Lloyd’s Names model encoded in the protocol.</w:t>
      </w:r>
    </w:p>
    <w:p>
      <w:pPr>
        <w:spacing w:before="100" w:after="100"/>
      </w:pPr>
    </w:p>
    <w:p>
      <w:pPr>
        <w:spacing w:before="100" w:after="100"/>
        <w:jc w:val="both"/>
      </w:pPr>
      <w:r>
        <w:rPr>
          <w:rFonts w:ascii="Arial" w:cs="Arial" w:eastAsia="Arial" w:hAnsi="Arial"/>
          <w:sz w:val="22"/>
          <w:szCs w:val="22"/>
        </w:rPr>
        <w:t xml:space="preserve">Catastrophic bond wallet: BqjGDbhzLJJgzpVywRxug4wTa2Qqtwipc1hkcLLJsWzF</w:t>
      </w:r>
    </w:p>
    <w:p>
      <w:pPr>
        <w:spacing w:before="100" w:after="100"/>
      </w:pPr>
    </w:p>
    <w:p>
      <w:pPr>
        <w:spacing w:before="100" w:after="100"/>
        <w:jc w:val="both"/>
      </w:pPr>
      <w:r>
        <w:rPr>
          <w:rFonts w:ascii="Arial" w:cs="Arial" w:eastAsia="Arial" w:hAnsi="Arial"/>
          <w:sz w:val="22"/>
          <w:szCs w:val="22"/>
        </w:rPr>
        <w:t xml:space="preserve">Operating capital wallet: G2aH9NfRFo5gdLTMjNqCRv4PkcKKEHLD99Y8vhQwSgeV</w:t>
      </w:r>
    </w:p>
    <w:p>
      <w:pPr>
        <w:spacing w:before="100" w:after="100"/>
      </w:pPr>
    </w:p>
    <w:p>
      <w:pPr>
        <w:pStyle w:val="Heading1"/>
        <w:spacing w:before="480" w:after="240"/>
      </w:pPr>
      <w:r>
        <w:rPr>
          <w:rFonts w:ascii="Arial" w:cs="Arial" w:eastAsia="Arial" w:hAnsi="Arial"/>
          <w:b/>
          <w:bCs/>
          <w:color w:val="1F4E79"/>
          <w:sz w:val="34"/>
          <w:szCs w:val="34"/>
        </w:rPr>
        <w:t xml:space="preserve">4.7 Savings — Protocol-Guaranteed Principal</w:t>
      </w:r>
    </w:p>
    <w:p>
      <w:pPr>
        <w:pBdr>
          <w:left w:val="single" w:color="2E75B6" w:sz="8" w:space="12"/>
        </w:pBdr>
        <w:spacing w:before="160" w:after="160"/>
        <w:ind w:left="720" w:right="720"/>
      </w:pPr>
      <w:r>
        <w:rPr>
          <w:rFonts w:ascii="Arial" w:cs="Arial" w:eastAsia="Arial" w:hAnsi="Arial"/>
          <w:i/>
          <w:iCs/>
          <w:sz w:val="22"/>
          <w:szCs w:val="22"/>
        </w:rPr>
        <w:t xml:space="preserve">"Your savings principal is guaranteed by the ChronX protocol — secured by mathematics, not by a bank."</w:t>
      </w:r>
    </w:p>
    <w:p>
      <w:pPr>
        <w:spacing w:before="80" w:after="80"/>
      </w:pPr>
      <w:r>
        <w:t xml:space="preserve"/>
      </w:r>
    </w:p>
    <w:p>
      <w:pPr>
        <w:spacing w:before="100" w:after="100"/>
        <w:jc w:val="both"/>
      </w:pPr>
      <w:r>
        <w:rPr>
          <w:rFonts w:ascii="Arial" w:cs="Arial" w:eastAsia="Arial" w:hAnsi="Arial"/>
          <w:sz w:val="22"/>
          <w:szCs w:val="22"/>
        </w:rPr>
        <w:t xml:space="preserve">When a user deposits KX into a savings lock, the following is true without exception: the KX is locked on the ChronX DAG at the moment of deposit and does not move; the lock matures automatically at the specified date with no human action required; the full principal returns to the owner at maturity automatically; this guarantee holds regardless of the operational status of any third party, any market condition, any hack or breach, or any regulatory action. The guarantee is enforced by the DAG itself — secured by CRYSTALS-Dilithium2 post-quantum signatures.</w:t>
      </w:r>
    </w:p>
    <w:p>
      <w:pPr>
        <w:spacing w:before="80" w:after="80"/>
      </w:pPr>
      <w:r>
        <w:t xml:space="preserve"/>
      </w:r>
    </w:p>
    <w:p>
      <w:pPr>
        <w:spacing w:before="100" w:after="100"/>
        <w:jc w:val="both"/>
      </w:pPr>
      <w:r>
        <w:rPr>
          <w:rFonts w:ascii="Arial" w:cs="Arial" w:eastAsia="Arial" w:hAnsi="Arial"/>
          <w:sz w:val="22"/>
          <w:szCs w:val="22"/>
        </w:rPr>
        <w:t xml:space="preserve">No bank can make this statement about a yield-bearing product. A bank's promise to return principal depends on solvency, insurance, and government discretion. ChronX's guarantee depends only on mathematics.</w:t>
      </w:r>
    </w:p>
    <w:p>
      <w:pPr>
        <w:spacing w:before="80" w:after="80"/>
      </w:pPr>
      <w:r>
        <w:t xml:space="preserve"/>
      </w:r>
    </w:p>
    <w:p>
      <w:pPr>
        <w:spacing w:before="100" w:after="100"/>
        <w:jc w:val="both"/>
      </w:pPr>
      <w:r>
        <w:rPr>
          <w:rFonts w:ascii="Arial" w:cs="Arial" w:eastAsia="Arial" w:hAnsi="Arial"/>
          <w:b/>
          <w:bCs/>
          <w:sz w:val="22"/>
          <w:szCs w:val="22"/>
        </w:rPr>
        <w:t xml:space="preserve">Yield:</w:t>
      </w:r>
    </w:p>
    <w:p>
      <w:pPr>
        <w:spacing w:before="100" w:after="100"/>
        <w:jc w:val="both"/>
      </w:pPr>
      <w:r>
        <w:rPr>
          <w:rFonts w:ascii="Arial" w:cs="Arial" w:eastAsia="Arial" w:hAnsi="Arial"/>
          <w:sz w:val="22"/>
          <w:szCs w:val="22"/>
        </w:rPr>
        <w:t xml:space="preserve">Yield is separate from principal and is not guaranteed. It comes from HedgeKX's facilitation activity — when HedgeKX uses the lock's mandate for an active matched transaction, it pays a share of its income to the yield balance of the promise's beneficiary. Yield accumulates in a separate balance on the DAG that never decreases — once credited, it is permanent and claimable at any time. On days when HedgeKX has no activity, yield is zero for that day. The principal is unaffected. Maximum loss to a saver in any scenario: zero principal.</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who prefer not to grant a HedgeKX mandate — for tax or other reasons — may set yield_opt_out at creation. Principal protection is identical.</w:t>
      </w:r>
    </w:p>
    <w:p>
      <w:r>
        <w:br w:type="page"/>
      </w:r>
    </w:p>
    <w:p>
      <w:pPr>
        <w:pStyle w:val="Heading1"/>
        <w:spacing w:before="480" w:after="240"/>
      </w:pPr>
      <w:r>
        <w:rPr>
          <w:rFonts w:ascii="Arial" w:cs="Arial" w:eastAsia="Arial" w:hAnsi="Arial"/>
          <w:b/>
          <w:bCs/>
          <w:color w:val="1F4E79"/>
          <w:sz w:val="34"/>
          <w:szCs w:val="34"/>
        </w:rPr>
        <w:t xml:space="preserve">4.8 Friendly Loans — Promises Between People</w:t>
      </w:r>
    </w:p>
    <w:p>
      <w:pPr>
        <w:spacing w:before="100" w:after="100"/>
        <w:jc w:val="both"/>
      </w:pPr>
      <w:r>
        <w:rPr>
          <w:rFonts w:ascii="Arial" w:cs="Arial" w:eastAsia="Arial" w:hAnsi="Arial"/>
          <w:sz w:val="22"/>
          <w:szCs w:val="22"/>
        </w:rPr>
        <w:t xml:space="preserve">A friendly loan is a promise between two people: I will send you KX now, and you will return its USD equivalent within 30 days. ChronX enforces both sides automatically.</w:t>
      </w:r>
    </w:p>
    <w:p>
      <w:pPr>
        <w:spacing w:before="80" w:after="80"/>
      </w:pPr>
      <w:r>
        <w:t xml:space="preserve"/>
      </w:r>
    </w:p>
    <w:p>
      <w:pPr>
        <w:spacing w:before="100" w:after="100"/>
        <w:jc w:val="both"/>
      </w:pPr>
      <w:r>
        <w:rPr>
          <w:rFonts w:ascii="Arial" w:cs="Arial" w:eastAsia="Arial" w:hAnsi="Arial"/>
          <w:sz w:val="22"/>
          <w:szCs w:val="22"/>
        </w:rPr>
        <w:t xml:space="preserve">The cost is a hedge fee — currently 1% for 30 days by governance — paid to HedgeKX for providing the currency certainty that backs the promise. Governance sets both the fee rate and the maximum duration. These parameters will expand as the HedgeKX market matures. This is not interest — it is the cost of guaranteeing that the lender receives USD equivalent value regardless of what KX does during the loan period. There is no compounding, no late fee structure beyond what the lender specifies, and no hidden charges.</w:t>
      </w:r>
    </w:p>
    <w:p>
      <w:pPr>
        <w:spacing w:before="80" w:after="80"/>
      </w:pPr>
      <w:r>
        <w:t xml:space="preserve"/>
      </w:r>
    </w:p>
    <w:p>
      <w:pPr>
        <w:spacing w:before="100" w:after="100"/>
        <w:jc w:val="both"/>
      </w:pPr>
      <w:r>
        <w:rPr>
          <w:rFonts w:ascii="Arial" w:cs="Arial" w:eastAsia="Arial" w:hAnsi="Arial"/>
          <w:b/>
          <w:bCs/>
          <w:sz w:val="22"/>
          <w:szCs w:val="22"/>
        </w:rPr>
        <w:t xml:space="preserve">How it works:</w:t>
      </w:r>
    </w:p>
    <w:p>
      <w:pPr>
        <w:spacing w:before="100" w:after="100"/>
        <w:jc w:val="both"/>
      </w:pPr>
      <w:r>
        <w:rPr>
          <w:rFonts w:ascii="Arial" w:cs="Arial" w:eastAsia="Arial" w:hAnsi="Arial"/>
          <w:sz w:val="22"/>
          <w:szCs w:val="22"/>
        </w:rPr>
        <w:t xml:space="preserve">The sender requests a 10-second locked quote from HedgeKX. HedgeKX reserves the hedge capacity. The sender confirms within 10 seconds. The hedge and the promise are created atomically — the promise cannot activate without an active hedge in place. The borrower receives KX immediately. On the due date, the borrower returns the KX equivalent of the original USD amount at the current exchange rate. The hedge ensures the lender receives full USD value regardless of rate movements.</w:t>
      </w:r>
    </w:p>
    <w:p>
      <w:pPr>
        <w:spacing w:before="80" w:after="80"/>
      </w:pPr>
      <w:r>
        <w:t xml:space="preserve"/>
      </w:r>
    </w:p>
    <w:p>
      <w:pPr>
        <w:spacing w:before="100" w:after="100"/>
        <w:jc w:val="both"/>
      </w:pPr>
      <w:r>
        <w:rPr>
          <w:rFonts w:ascii="Arial" w:cs="Arial" w:eastAsia="Arial" w:hAnsi="Arial"/>
          <w:b/>
          <w:bCs/>
          <w:sz w:val="22"/>
          <w:szCs w:val="22"/>
        </w:rPr>
        <w:t xml:space="preserve">Availability:</w:t>
      </w:r>
    </w:p>
    <w:p>
      <w:pPr>
        <w:spacing w:before="100" w:after="100"/>
        <w:jc w:val="both"/>
      </w:pPr>
      <w:r>
        <w:rPr>
          <w:rFonts w:ascii="Arial" w:cs="Arial" w:eastAsia="Arial" w:hAnsi="Arial"/>
          <w:sz w:val="22"/>
          <w:szCs w:val="22"/>
        </w:rPr>
        <w:t xml:space="preserve">Friendly loans require a live HedgeKX hedge. Governance prioritises friendly loan requests when HedgeKX capacity is limited — if a friendly loan request and another hedge request arrive simultaneously, the friendly loan is served first. The effective maximum per transaction is governed by available HedgeKX capacity; as the ecosystem deepens post-ICO, this cap rises automatically. Current governance cap: $250 per transaction.</w:t>
      </w:r>
    </w:p>
    <w:p>
      <w:pPr>
        <w:spacing w:before="80" w:after="80"/>
      </w:pPr>
      <w:r>
        <w:t xml:space="preserve"/>
      </w:r>
    </w:p>
    <w:p>
      <w:pPr>
        <w:spacing w:before="100" w:after="100"/>
        <w:jc w:val="both"/>
      </w:pPr>
      <w:r>
        <w:rPr>
          <w:rFonts w:ascii="Arial" w:cs="Arial" w:eastAsia="Arial" w:hAnsi="Arial"/>
          <w:b/>
          <w:bCs/>
          <w:sz w:val="22"/>
          <w:szCs w:val="22"/>
        </w:rPr>
        <w:t xml:space="preserve">If HedgeKX is paused:</w:t>
      </w:r>
    </w:p>
    <w:p>
      <w:pPr>
        <w:spacing w:before="100" w:after="100"/>
        <w:jc w:val="both"/>
      </w:pPr>
      <w:r>
        <w:rPr>
          <w:rFonts w:ascii="Arial" w:cs="Arial" w:eastAsia="Arial" w:hAnsi="Arial"/>
          <w:sz w:val="22"/>
          <w:szCs w:val="22"/>
        </w:rPr>
        <w:t xml:space="preserve">Friendly loans are unavailable. This is correct design: a loan that cannot be hedged for currency risk cannot be made. Existing loans continue to maturity normally.</w:t>
      </w:r>
    </w:p>
    <w:p>
      <w:pPr>
        <w:spacing w:before="80" w:after="80"/>
      </w:pPr>
      <w:r>
        <w:t xml:space="preserve"/>
      </w:r>
    </w:p>
    <w:p>
      <w:pPr>
        <w:spacing w:before="100" w:after="100"/>
        <w:jc w:val="both"/>
      </w:pPr>
      <w:r>
        <w:rPr>
          <w:rFonts w:ascii="Arial" w:cs="Arial" w:eastAsia="Arial" w:hAnsi="Arial"/>
          <w:sz w:val="22"/>
          <w:szCs w:val="22"/>
        </w:rPr>
        <w:t xml:space="preserve">Full technical specification: Appendix B (Bilateral Promises).</w:t>
      </w:r>
    </w:p>
    <w:p>
      <w:r>
        <w:br w:type="page"/>
      </w:r>
    </w:p>
    <w:p>
      <w:pPr>
        <w:pStyle w:val="Heading1"/>
        <w:spacing w:before="480" w:after="240"/>
      </w:pPr>
      <w:r>
        <w:rPr>
          <w:rFonts w:ascii="Arial" w:cs="Arial" w:eastAsia="Arial" w:hAnsi="Arial"/>
          <w:b/>
          <w:bCs/>
          <w:color w:val="1F4E79"/>
          <w:sz w:val="34"/>
          <w:szCs w:val="34"/>
        </w:rPr>
        <w:t xml:space="preserve">4.9 EPP Bond Structure and Market Protection</w:t>
      </w:r>
    </w:p>
    <w:p>
      <w:pPr>
        <w:spacing w:before="100" w:after="100"/>
      </w:pPr>
    </w:p>
    <w:p>
      <w:pPr>
        <w:spacing w:before="100" w:after="100"/>
        <w:jc w:val="both"/>
      </w:pPr>
      <w:r>
        <w:rPr>
          <w:rFonts w:ascii="Arial" w:cs="Arial" w:eastAsia="Arial" w:hAnsi="Arial"/>
          <w:sz w:val="22"/>
          <w:szCs w:val="22"/>
        </w:rPr>
        <w:t xml:space="preserve">A natural question arises: if an EPP holds a large KX allocation, could it sell that allocation and flood the market?</w:t>
      </w:r>
    </w:p>
    <w:p>
      <w:pPr>
        <w:spacing w:before="100" w:after="100"/>
      </w:pPr>
    </w:p>
    <w:p>
      <w:pPr>
        <w:spacing w:before="100" w:after="100"/>
        <w:jc w:val="both"/>
      </w:pPr>
      <w:r>
        <w:rPr>
          <w:rFonts w:ascii="Arial" w:cs="Arial" w:eastAsia="Arial" w:hAnsi="Arial"/>
          <w:sz w:val="22"/>
          <w:szCs w:val="22"/>
        </w:rPr>
        <w:t xml:space="preserve">The answer involves four independent layers of protection.</w:t>
      </w:r>
    </w:p>
    <w:p>
      <w:pPr>
        <w:spacing w:before="100" w:after="100"/>
      </w:pPr>
    </w:p>
    <w:p>
      <w:pPr>
        <w:spacing w:before="100" w:after="100"/>
        <w:jc w:val="both"/>
      </w:pPr>
      <w:r>
        <w:rPr>
          <w:rFonts w:ascii="Arial" w:cs="Arial" w:eastAsia="Arial" w:hAnsi="Arial"/>
          <w:sz w:val="22"/>
          <w:szCs w:val="22"/>
        </w:rPr>
        <w:t xml:space="preserve">Layer 1 — The bond is locked for 100 years. Every EPP bond is lent to the ChronX Foundation as a 100-year, 0% interest loan using the protocol’s own TYPE B lock instrument. The KX is in the Foundation’s custody for 100 years. The EPP holds the loan record — not spendable KX. There is nothing to sell. The lock is on the DAG. It is immovable until maturity. This is enforced by the DAG’s consensus rules, not by any institutional promise.</w:t>
      </w:r>
    </w:p>
    <w:p>
      <w:pPr>
        <w:spacing w:before="100" w:after="100"/>
      </w:pPr>
    </w:p>
    <w:p>
      <w:pPr>
        <w:spacing w:before="100" w:after="100"/>
        <w:jc w:val="both"/>
      </w:pPr>
      <w:r>
        <w:rPr>
          <w:rFonts w:ascii="Arial" w:cs="Arial" w:eastAsia="Arial" w:hAnsi="Arial"/>
          <w:sz w:val="22"/>
          <w:szCs w:val="22"/>
        </w:rPr>
        <w:t xml:space="preserve">Layer 2 — Working capital vests gradually. EPP working capital is not transferred as a lump sum. It vests in annual tranches locked on the ChronX DAG — 5 annual tranches for HedgeKX (2027—2031) and 10 annual tranches for KXGC (2027—2036). An EPP cannot liquidate future tranches because those tranches do not yet exist as spendable KX. At any given moment, only the current released tranche is operationally available — representing a small fraction of total working capital allocation.</w:t>
      </w:r>
    </w:p>
    <w:p>
      <w:pPr>
        <w:spacing w:before="100" w:after="100"/>
      </w:pPr>
    </w:p>
    <w:p>
      <w:pPr>
        <w:spacing w:before="100" w:after="100"/>
        <w:jc w:val="both"/>
      </w:pPr>
      <w:r>
        <w:rPr>
          <w:rFonts w:ascii="Arial" w:cs="Arial" w:eastAsia="Arial" w:hAnsi="Arial"/>
          <w:sz w:val="22"/>
          <w:szCs w:val="22"/>
        </w:rPr>
        <w:t xml:space="preserve">Layer 3 — Bond slashing requires public notice and a 30-day countdown. If an EPP misuses its released working capital, the Foundation publishes a Notice of Intent to Slash via a DrawRequest action on the DAG — publicly visible to everyone immediately. This begins a protocol-enforced 30-day countdown during which the EPP can resolve the issue. If resolved, the DrawRequest is aborted. If not, the slash executes automatically. The Foundation cannot accelerate the 30-day window. The Board cannot override it. The 30-day window provides public notice and market transparency before any slash executes.</w:t>
      </w:r>
    </w:p>
    <w:p>
      <w:pPr>
        <w:spacing w:before="100" w:after="100"/>
      </w:pPr>
    </w:p>
    <w:p>
      <w:pPr>
        <w:spacing w:before="100" w:after="100"/>
        <w:jc w:val="both"/>
      </w:pPr>
      <w:r>
        <w:rPr>
          <w:rFonts w:ascii="Arial" w:cs="Arial" w:eastAsia="Arial" w:hAnsi="Arial"/>
          <w:sz w:val="22"/>
          <w:szCs w:val="22"/>
        </w:rPr>
        <w:t xml:space="preserve">Layer 4 — Franchise loss is the ultimate deterrent. EPPs operate under a governance mandate to act reasonably for the protection of the ecosystem. Attempting to liquidate large quantities of working capital in a manner that would harm the ecosystem would constitute a clear breach of this mandate, triggering a DrawRequest against the EPP’s bond and ultimately revocation of their franchise. The EPP would lose their operating authority, their bond, and their role — assigned to a qualified successor. This makes such behavior economically irrational for any EPP with a long-term view.</w:t>
      </w:r>
    </w:p>
    <w:p>
      <w:pPr>
        <w:spacing w:before="100" w:after="100"/>
      </w:pPr>
    </w:p>
    <w:p>
      <w:pPr>
        <w:spacing w:before="100" w:after="100"/>
        <w:jc w:val="both"/>
      </w:pPr>
      <w:r>
        <w:rPr>
          <w:rFonts w:ascii="Arial" w:cs="Arial" w:eastAsia="Arial" w:hAnsi="Arial"/>
          <w:sz w:val="22"/>
          <w:szCs w:val="22"/>
        </w:rPr>
        <w:t xml:space="preserve">The residual risk is acknowledged honestly: an EPP determined to exit could liquidate released working capital tranches and absorb the bond slash as the cost of doing so. This is the natural consequence of having genuinely independent EPPs rather than Foundation-controlled subsidiaries. Independent expertise and genuine accountability require genuine independence. At any given moment the maximum exposure is one year’s released tranche — a small fraction of total allocation — before the 30-day DrawRequest process runs to completion.</w:t>
      </w:r>
    </w:p>
    <w:p>
      <w:pPr>
        <w:spacing w:before="100" w:after="100"/>
      </w:pPr>
    </w:p>
    <w:p>
      <w:pPr>
        <w:spacing w:before="100" w:after="100"/>
        <w:jc w:val="both"/>
      </w:pPr>
      <w:r>
        <w:rPr>
          <w:rFonts w:ascii="Arial" w:cs="Arial" w:eastAsia="Arial" w:hAnsi="Arial"/>
          <w:sz w:val="22"/>
          <w:szCs w:val="22"/>
        </w:rPr>
        <w:t xml:space="preserve">The four layers together: Bond (TYPE B, 100-year lock): Cannot be sold. Cannot be moved. Mathematics enforces this. Working capital (cascade locks, 5—10 years): Most does not yet exist as spendable KX. Future tranches are immovable on the DAG. DrawRequest (30-day public countdown): Any misuse triggers immediate public notice. Market observes before slash executes. Franchise loss (governance mandate): Economic deterrent. Misuse costs more than it gains for any long-horizon operator.</w:t>
      </w:r>
    </w:p>
    <w:p>
      <w:pPr>
        <w:spacing w:before="100" w:after="100"/>
      </w:pPr>
    </w:p>
    <w:p>
      <w:pPr>
        <w:pStyle w:val="Heading1"/>
        <w:spacing w:before="480" w:after="240"/>
      </w:pPr>
      <w:r>
        <w:rPr>
          <w:rFonts w:ascii="Arial" w:cs="Arial" w:eastAsia="Arial" w:hAnsi="Arial"/>
          <w:b/>
          <w:bCs/>
          <w:color w:val="1F4E79"/>
          <w:sz w:val="34"/>
          <w:szCs w:val="34"/>
        </w:rPr>
        <w:t xml:space="preserve">4.10 Regulatory Framework and KYC</w:t>
      </w:r>
    </w:p>
    <w:p>
      <w:pPr>
        <w:spacing w:before="100" w:after="100"/>
      </w:pPr>
    </w:p>
    <w:p>
      <w:pPr>
        <w:spacing w:before="100" w:after="100"/>
        <w:jc w:val="both"/>
      </w:pPr>
      <w:r>
        <w:rPr>
          <w:rFonts w:ascii="Arial" w:cs="Arial" w:eastAsia="Arial" w:hAnsi="Arial"/>
          <w:sz w:val="22"/>
          <w:szCs w:val="22"/>
        </w:rPr>
        <w:t xml:space="preserve">The ChronX Protocol is designed to accommodate patient, full regulatory compliance in each jurisdiction where its Essential Protocol Partners operate. Each EPP is being separately established in an appropriate domicile, pending registration and regulatory approval:</w:t>
      </w:r>
    </w:p>
    <w:p>
      <w:pPr>
        <w:spacing w:before="100" w:after="100"/>
      </w:pPr>
    </w:p>
    <w:p>
      <w:pPr>
        <w:spacing w:before="100" w:after="100"/>
        <w:jc w:val="both"/>
      </w:pPr>
      <w:r>
        <w:rPr>
          <w:rFonts w:ascii="Arial" w:cs="Arial" w:eastAsia="Arial" w:hAnsi="Arial"/>
          <w:sz w:val="22"/>
          <w:szCs w:val="22"/>
        </w:rPr>
        <w:t xml:space="preserve">HedgeKX (New York, USA): forward currency exchange, pending CFTC registration and NFA membership.</w:t>
      </w:r>
    </w:p>
    <w:p>
      <w:pPr>
        <w:spacing w:before="100" w:after="100"/>
      </w:pPr>
    </w:p>
    <w:p>
      <w:pPr>
        <w:spacing w:before="100" w:after="100"/>
        <w:jc w:val="both"/>
      </w:pPr>
      <w:r>
        <w:rPr>
          <w:rFonts w:ascii="Arial" w:cs="Arial" w:eastAsia="Arial" w:hAnsi="Arial"/>
          <w:sz w:val="22"/>
          <w:szCs w:val="22"/>
        </w:rPr>
        <w:t xml:space="preserve">KXGC (Bermuda): alternative risk transfer and reinsurance, pending BMA registration.</w:t>
      </w:r>
    </w:p>
    <w:p>
      <w:pPr>
        <w:spacing w:before="100" w:after="100"/>
      </w:pPr>
    </w:p>
    <w:p>
      <w:pPr>
        <w:spacing w:before="100" w:after="100"/>
        <w:jc w:val="both"/>
      </w:pPr>
      <w:r>
        <w:rPr>
          <w:rFonts w:ascii="Arial" w:cs="Arial" w:eastAsia="Arial" w:hAnsi="Arial"/>
          <w:sz w:val="22"/>
          <w:szCs w:val="22"/>
        </w:rPr>
        <w:t xml:space="preserve">XChan (Singapore): digital payment token exchange, pending MAS Major Payment Institution license.</w:t>
      </w:r>
    </w:p>
    <w:p>
      <w:pPr>
        <w:spacing w:before="100" w:after="100"/>
      </w:pPr>
    </w:p>
    <w:p>
      <w:pPr>
        <w:spacing w:before="100" w:after="100"/>
        <w:jc w:val="both"/>
      </w:pPr>
      <w:r>
        <w:rPr>
          <w:rFonts w:ascii="Arial" w:cs="Arial" w:eastAsia="Arial" w:hAnsi="Arial"/>
          <w:sz w:val="22"/>
          <w:szCs w:val="22"/>
        </w:rPr>
        <w:t xml:space="preserve">MISAI (Cayman Islands): AI-managed investment mandates, pending CIMA registration.</w:t>
      </w:r>
    </w:p>
    <w:p>
      <w:pPr>
        <w:spacing w:before="100" w:after="100"/>
      </w:pPr>
    </w:p>
    <w:p>
      <w:pPr>
        <w:spacing w:before="100" w:after="100"/>
        <w:jc w:val="both"/>
      </w:pPr>
      <w:r>
        <w:rPr>
          <w:rFonts w:ascii="Arial" w:cs="Arial" w:eastAsia="Arial" w:hAnsi="Arial"/>
          <w:sz w:val="22"/>
          <w:szCs w:val="22"/>
        </w:rPr>
        <w:t xml:space="preserve">Verifas (Switzerland): identity attestation and human verification, pending FINMA assessment.</w:t>
      </w:r>
    </w:p>
    <w:p>
      <w:pPr>
        <w:spacing w:before="100" w:after="100"/>
      </w:pPr>
    </w:p>
    <w:p>
      <w:pPr>
        <w:spacing w:before="100" w:after="100"/>
        <w:jc w:val="both"/>
      </w:pPr>
      <w:r>
        <w:rPr>
          <w:rFonts w:ascii="Arial" w:cs="Arial" w:eastAsia="Arial" w:hAnsi="Arial"/>
          <w:sz w:val="22"/>
          <w:szCs w:val="22"/>
        </w:rPr>
        <w:t xml:space="preserve">CPNX (Delaware, USA): identity verification and KYC attestation, pending applicable state licensing.</w:t>
      </w:r>
    </w:p>
    <w:p>
      <w:pPr>
        <w:spacing w:before="100" w:after="100"/>
      </w:pPr>
    </w:p>
    <w:p>
      <w:pPr>
        <w:spacing w:before="100" w:after="100"/>
        <w:jc w:val="both"/>
      </w:pPr>
      <w:r>
        <w:rPr>
          <w:rFonts w:ascii="Arial" w:cs="Arial" w:eastAsia="Arial" w:hAnsi="Arial"/>
          <w:sz w:val="22"/>
          <w:szCs w:val="22"/>
        </w:rPr>
        <w:t xml:space="preserve">The protocol’s initial governance caps on transaction size, instrument duration, and exposure limits are designed to operate within the parameters of unlicensed activity while such applications are pursued. KYC attestation for higher-value instruments is provided by CPNX using zero-knowledge cryptographic proofs — verifying eligibility without publishing identity data to the public DAG. Underlying identity records are maintained by CPNX and available to lawful regulatory authority.</w:t>
      </w:r>
    </w:p>
    <w:p>
      <w:pPr>
        <w:spacing w:before="100" w:after="100"/>
      </w:pPr>
    </w:p>
    <w:p>
      <w:pPr>
        <w:spacing w:before="100" w:after="100"/>
        <w:jc w:val="both"/>
      </w:pPr>
      <w:r>
        <w:rPr>
          <w:rFonts w:ascii="Arial" w:cs="Arial" w:eastAsia="Arial" w:hAnsi="Arial"/>
          <w:sz w:val="22"/>
          <w:szCs w:val="22"/>
        </w:rPr>
        <w:t xml:space="preserve">ChronX is not designed to evade regulation. It is designed to earn it.</w:t>
      </w:r>
    </w:p>
    <w:p>
      <w:pPr>
        <w:spacing w:before="100" w:after="100"/>
      </w:pPr>
    </w:p>
    <w:p>
      <w:pPr>
        <w:pStyle w:val="Heading1"/>
        <w:spacing w:before="480" w:after="240"/>
      </w:pPr>
      <w:r>
        <w:rPr>
          <w:rFonts w:ascii="Arial" w:cs="Arial" w:eastAsia="Arial" w:hAnsi="Arial"/>
          <w:b/>
          <w:bCs/>
          <w:color w:val="1F4E79"/>
          <w:sz w:val="34"/>
          <w:szCs w:val="34"/>
        </w:rPr>
        <w:t xml:space="preserve">5. Every Promise is Tradeable</w:t>
      </w:r>
    </w:p>
    <w:p>
      <w:pPr>
        <w:spacing w:before="100" w:after="10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Secondary market infrastructure is fully built. Activation requires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Tranching</w:t>
      </w:r>
    </w:p>
    <w:p>
      <w:pPr>
        <w:spacing w:before="100" w:after="10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Yield and Principal Strips</w:t>
      </w:r>
    </w:p>
    <w:p>
      <w:pPr>
        <w:spacing w:before="100" w:after="10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Atomic Settlement: T+0</w:t>
      </w:r>
    </w:p>
    <w:p>
      <w:pPr>
        <w:spacing w:before="100" w:after="10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r>
        <w:br w:type="page"/>
      </w:r>
    </w:p>
    <w:p>
      <w:pPr>
        <w:pStyle w:val="Heading1"/>
        <w:spacing w:before="480" w:after="240"/>
      </w:pPr>
      <w:r>
        <w:rPr>
          <w:rFonts w:ascii="Arial" w:cs="Arial" w:eastAsia="Arial" w:hAnsi="Arial"/>
          <w:b/>
          <w:bCs/>
          <w:color w:val="1F4E79"/>
          <w:sz w:val="34"/>
          <w:szCs w:val="34"/>
        </w:rPr>
        <w:t xml:space="preserve">6. The Axioms and Governance</w:t>
      </w:r>
    </w:p>
    <w:p>
      <w:pPr>
        <w:spacing w:before="100" w:after="10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Promise Axioms</w:t>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Credit Axioms</w:t>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Trigger Axiom</w:t>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AI Agent Axioms</w:t>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Closing Statement</w:t>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Genesis Zero: final_genesis true</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7. Tokenomics</w:t>
      </w:r>
    </w:p>
    <w:p>
      <w:pPr>
        <w:spacing w:before="100" w:after="100"/>
        <w:jc w:val="both"/>
      </w:pPr>
      <w:r>
        <w:rPr>
          <w:rFonts w:ascii="Arial" w:cs="Arial" w:eastAsia="Arial" w:hAnsi="Arial"/>
          <w:sz w:val="22"/>
          <w:szCs w:val="22"/>
        </w:rPr>
        <w:t xml:space="preserve">Total supply: 8,270,000,000 KX. Fixed forever. No inflation. No minting. No burning.</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1600"/>
        <w:gridCol w:w="800"/>
        <w:gridCol w:w="4360"/>
      </w:tblGrid>
      <w:t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5,308,965,801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64.19%</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Treasury</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3.63%</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HedgeKX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50,000,000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0.60%</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5 annual tranches from Public Sale: 2027: 5M KX, 2028: 7.5M KX, 2029: 10M KX, 2030: 12.5M KX, 2031: 15M KX. Wallet: 5zjp4YM7RkBWk8hHN5kdv3xYhjsnXmYUJuL2vgqxHBE1</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KXGC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200,000,000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2.42%</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10 annual tranches from Public Sale: 2027: 5M, 2028: 5M, 2029: 10M, 2030: 15M, 2031: 20M, 2032: 20M, 2033: 25M, 2034: 25M, 2035: 35M, 2036: 40M KX. Wallet: G2aH9NfRFo5gdLTMjNqCRv4PkcKKEHLD99Y8vhQwSgeV</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9a</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HedgeKX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50,000,000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0.60%</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5 annual tranches 2027—2031. Vests as market develops.</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9b</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KXGC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200,000,000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2.42%</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10 annual tranches 2027—2036. Vests as insurance market develops.</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Faucet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0.036%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bridge liquidity.</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cpnx.com.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100" w:after="100"/>
      </w:pPr>
    </w:p>
    <w:p>
      <w:pPr>
        <w:spacing w:before="100" w:after="100"/>
        <w:jc w:val="both"/>
      </w:pPr>
      <w:r>
        <w:rPr>
          <w:rFonts w:ascii="Arial" w:cs="Arial" w:eastAsia="Arial" w:hAnsi="Arial"/>
          <w:sz w:val="22"/>
          <w:szCs w:val="22"/>
        </w:rPr>
        <w:t xml:space="preserve">Note: HedgeKX Operating Capital and KXGC Operating Capital are funded from the Public Sale allocation. Both are locked as cascade time-locks on the ChronX DAG — not spendable at genesis. The Public Sale figure above reflects the remainder after both allocations. All figures sum to 8,270,000,000 KX exactly.</w:t>
      </w:r>
    </w:p>
    <w:p>
      <w:pPr>
        <w:spacing w:before="100" w:after="100"/>
      </w:pPr>
    </w:p>
    <w:p>
      <w:pPr>
        <w:spacing w:before="100" w:after="100"/>
        <w:jc w:val="both"/>
      </w:pPr>
      <w:r>
        <w:rPr>
          <w:rFonts w:ascii="Arial" w:cs="Arial" w:eastAsia="Arial" w:hAnsi="Arial"/>
          <w:sz w:val="22"/>
          <w:szCs w:val="22"/>
        </w:rPr>
        <w:t xml:space="preserve">DAG verification: all 15 cascade locks are permanently recorded on the ChronX DAG and queryable via chronx_getLockById:</w:t>
      </w:r>
    </w:p>
    <w:p>
      <w:pPr>
        <w:spacing w:before="100" w:after="100"/>
      </w:pPr>
    </w:p>
    <w:p>
      <w:pPr>
        <w:spacing w:before="100" w:after="100"/>
        <w:jc w:val="both"/>
      </w:pPr>
      <w:r>
        <w:rPr>
          <w:rFonts w:ascii="Arial" w:cs="Arial" w:eastAsia="Arial" w:hAnsi="Arial"/>
          <w:sz w:val="22"/>
          <w:szCs w:val="22"/>
        </w:rPr>
        <w:t xml:space="preserve">HedgeKX cascade lock IDs: Tranche 1 (5M, 2027): a68871e0f30b0eb2434c719108076793a53a7a525b3e5a5355b0d6273e037b5c. Tranche 2 (7.5M, 2028): d36fc1522094d30f0776b0a972e7efe889f8e6a7d8a54763276e511a64489104. Tranche 3 (10M, 2029): 5c328240ba0d347fda590fe007126f684303a222a6500acc2e77688990aa1f36. Tranche 4 (12.5M, 2030): 5a92eafed4df12deb3c77de31789db8140f6dd9312d1bf675243836a42b982a2. Tranche 5 (15M, 2031): f58d60478d14e90247968e3fa39eaafa8314f98659cf76873c51331ffb23d8e5.</w:t>
      </w:r>
    </w:p>
    <w:p>
      <w:pPr>
        <w:spacing w:before="100" w:after="100"/>
      </w:pPr>
    </w:p>
    <w:p>
      <w:pPr>
        <w:spacing w:before="100" w:after="100"/>
        <w:jc w:val="both"/>
      </w:pPr>
      <w:r>
        <w:rPr>
          <w:rFonts w:ascii="Arial" w:cs="Arial" w:eastAsia="Arial" w:hAnsi="Arial"/>
          <w:sz w:val="22"/>
          <w:szCs w:val="22"/>
        </w:rPr>
        <w:t xml:space="preserve">KXGC cascade lock IDs: Tranche 1 (5M, 2027): 952261a405b279ba3777eb74b3aabea828c03303cd0fbe13a9bd7bda36ffaf54. Tranche 2 (5M, 2028): c49bd4c264b9fc5712b7ded50bab1090a6c4eb1a3734f38ed7c4a71fa7bd4c6e. Tranche 3 (10M, 2029): 3ac452a0e49c5b187542110b2bf14ba6d760eecad2a9aa9369f8ebb8e96bc9c5. Tranche 4 (15M, 2030): 7e7bae4a585e9e6736e9bf16ab1821e01a8664067a5ca87deb4a87ecdc2e0ce2. Tranche 5 (20M, 2031): 3994c0ba2e06bb3593af884faff33f34865c76ae76961b753c24b093ed7fbce8. Tranche 6 (20M, 2032): bb46486160523accc581d5394faff6cba375182fabeeda079df6dc919633a96a. Tranche 7 (25M, 2033): 863801ef04462c02167df0154c1a7c972a6e0c83b09cab311acd89b71f554ae6. Tranche 8 (25M, 2034): 3d43aaec152d8f093065f07ad26572d587fa22f7945d8e1dbc05fc52b70bb0eb. Tranche 9 (35M, 2035): 5791c98c3562c304bab2f6c85571b173abcdb74e09ae7e7964b70a65b5bf714c. Tranche 10 (40M, 2036): e62075f794511caa364b7200e05235dcae928ee1bceab809b918dde347e36ba8.</w:t>
      </w:r>
    </w:p>
    <w:p>
      <w:pPr>
        <w:spacing w:before="100" w:after="100"/>
      </w:pPr>
    </w:p>
    <w:p>
      <w:pPr>
        <w:spacing w:before="100" w:after="100"/>
        <w:jc w:val="both"/>
      </w:pPr>
      <w:r>
        <w:rPr>
          <w:rFonts w:ascii="Arial" w:cs="Arial" w:eastAsia="Arial" w:hAnsi="Arial"/>
          <w:sz w:val="22"/>
          <w:szCs w:val="22"/>
        </w:rPr>
        <w:t xml:space="preserve">At all times: total KX on ChronX DAG + total wKX on Base + total h1KX on Base = 8,270,000,000 KX exactly.</w:t>
      </w:r>
    </w:p>
    <w:p>
      <w:pPr>
        <w:spacing w:before="100" w:after="100"/>
      </w:pPr>
    </w:p>
    <w:p>
      <w:pPr>
        <w:spacing w:before="100" w:after="100"/>
        <w:jc w:val="both"/>
      </w:pPr>
      <w:r>
        <w:rPr>
          <w:rFonts w:ascii="Arial" w:cs="Arial" w:eastAsia="Arial" w:hAnsi="Arial"/>
          <w:sz w:val="22"/>
          <w:szCs w:val="22"/>
        </w:rPr>
        <w:t xml:space="preserve">Note: HedgeKX Operating Capital and KXGC Operating Capital are funded from the Public Sale allocation. Both are locked as cascade time-locks on the ChronX DAG — not spendable at genesis. The Public Sale figure above reflects the remainder after both allocations. All figures sum to 8,270,000,000 KX.</w:t>
      </w:r>
    </w:p>
    <w:p>
      <w:pPr>
        <w:spacing w:before="100" w:after="100"/>
      </w:pPr>
    </w:p>
    <w:p>
      <w:pPr>
        <w:spacing w:before="100" w:after="100"/>
        <w:jc w:val="both"/>
      </w:pPr>
      <w:r>
        <w:rPr>
          <w:rFonts w:ascii="Arial" w:cs="Arial" w:eastAsia="Arial" w:hAnsi="Arial"/>
          <w:sz w:val="22"/>
          <w:szCs w:val="22"/>
        </w:rPr>
        <w:t xml:space="preserve">DAG Lock References: HedgeKX cascade lock IDs: a68871e0f30b0eb2434c719108076793a53a7a525b3e5a5355b0d6273e037b5c, d36fc1522094d30f0776b0a972e7efe889f8e6a7d8a54763276e511a64489104, 5c328240ba0d347fda590fe007126f684303a222a6500acc2e77688990aa1f36, 5a92eafed4df12deb3c77de31789db8140f6dd9312d1bf675243836a42b982a2, f58d60478d14e90247968e3fa39eaafa8314f98659cf76873c51331ffb23d8e5. KXGC cascade lock IDs: 952261a405b279ba3777eb74b3aabea828c03303cd0fbe13a9bd7bda36ffaf54, c49bd4c264b9fc5712b7ded50bab1090a6c4eb1a3734f38ed7c4a71fa7bd4c6e, 3ac452a0e49c5b187542110b2bf14ba6d760eecad2a9aa9369f8ebb8e96bc9c5, 7e7bae4a585e9e6736e9bf16ab1821e01a8664067a5ca87deb4a87ecdc2e0ce2, 3994c0ba2e06bb3593af884faff33f34865c76ae76961b753c24b093ed7fbce8, bb46486160523accc581d5394faff6cba375182fabeeda079df6dc919633a96a, 863801ef04462c02167df0154c1a7c972a6e0c83b09cab311acd89b71f554ae6, 3d43aaec152d8f093065f07ad26572d587fa22f7945d8e1dbc05fc52b70bb0eb, 5791c98c3562c304bab2f6c85571b173abcdb74e09ae7e7964b70a65b5bf714c, e62075f794511caa364b7200e05235dcae928ee1bceab809b918dde347e36ba8. All locks queryable via chronx_getLockById RPC method.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Treasury and Node Rewards: Harmonic Release</w:t>
      </w:r>
    </w:p>
    <w:p>
      <w:pPr>
        <w:spacing w:before="100" w:after="10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Pre-ICO and ICO</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800"/>
        <w:gridCol w:w="1400"/>
        <w:gridCol w:w="2860"/>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Phase</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Price/KX</w:t>
            </w:r>
          </w:p>
        </w:tc>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Who</w:t>
            </w:r>
          </w:p>
        </w:tc>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Limit</w:t>
            </w:r>
          </w:p>
        </w:tc>
        <w:tc>
          <w:tcPr>
            <w:tcW w:type="dxa" w:w="28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Period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Now (Genesis Zero — Sep 21, 2026)</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Anyone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$250/tx</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Live now. No lock. No KYC. XChan market price. Governance cap applies.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Private Placement (Pre-ICO)</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$0.001755—$0.002297</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Accredited only</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Min $10,000</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Bilateral agreements. 12—24 month mandatory lock. Lock duration determines price. Contact: ico@chronx.io</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ICO — September 22, 2026</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All investors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Non-accredited: $250/tx. Accredited: higher with CPNX KYC badge</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One price for everyone. Private placement locks visible on DAG.</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Post-ICO</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$0.00319 baseline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Ongoing XChan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Unsold public sale tokens locked in annual cascade tranches — published schedule, no surprise releases.</w:t>
            </w:r>
          </w:p>
        </w:tc>
      </w:tr>
    </w:tbl>
    <w:p>
      <w:pPr>
        <w:spacing w:before="100" w:after="100"/>
      </w:pPr>
    </w:p>
    <w:p>
      <w:pPr>
        <w:pStyle w:val="Heading2"/>
        <w:spacing w:before="320" w:after="160"/>
      </w:pPr>
      <w:r>
        <w:rPr>
          <w:rFonts w:ascii="Arial" w:cs="Arial" w:eastAsia="Arial" w:hAnsi="Arial"/>
          <w:b/>
          <w:bCs/>
          <w:color w:val="1F4E79"/>
          <w:sz w:val="28"/>
          <w:szCs w:val="28"/>
        </w:rPr>
        <w:t xml:space="preserve">Yield and Lock Duration</w:t>
      </w:r>
    </w:p>
    <w:p>
      <w:pPr>
        <w:spacing w:before="100" w:after="100"/>
      </w:pPr>
    </w:p>
    <w:p>
      <w:pPr>
        <w:spacing w:before="100" w:after="100"/>
        <w:jc w:val="both"/>
      </w:pPr>
      <w:r>
        <w:rPr>
          <w:rFonts w:ascii="Arial" w:cs="Arial" w:eastAsia="Arial" w:hAnsi="Arial"/>
          <w:sz w:val="22"/>
          <w:szCs w:val="22"/>
        </w:rPr>
        <w:t xml:space="preserve">KX purchased at ICO may be locked for any duration to earn yield from HedgeKX’s matching activity. Longer locks receive a proportionally larger share of the yield pool. There is no entry price discount for locking — one price for everyone, always. Yield is the reward for patience. It is real, earned, and grows as HedgeKX develops.</w:t>
      </w:r>
    </w:p>
    <w:p>
      <w:pPr>
        <w:spacing w:before="100" w:after="100"/>
      </w:pPr>
    </w:p>
    <w:p>
      <w:pPr>
        <w:spacing w:before="100" w:after="100"/>
        <w:jc w:val="both"/>
      </w:pPr>
      <w:r>
        <w:rPr>
          <w:rFonts w:ascii="Arial" w:cs="Arial" w:eastAsia="Arial" w:hAnsi="Arial"/>
          <w:sz w:val="22"/>
          <w:szCs w:val="22"/>
        </w:rPr>
        <w:t xml:space="preserve">At launch, yield will be minimal — HedgeKX operates overnight instruments only. Yield grows as governance expands instrument durations and matching volume increases. Investors with a multi-year horizon will see yield develop alongside the protocol. This is the opposite of a typical crypto launch: we start at near-zero yield and earn our way to real yield. Every basis point is funded by real economic activity — nothing is paid from reserves.</w:t>
      </w:r>
    </w:p>
    <w:p>
      <w:pPr>
        <w:spacing w:before="100" w:after="100"/>
      </w:pPr>
    </w:p>
    <w:p>
      <w:pPr>
        <w:spacing w:before="80" w:after="80"/>
      </w:pPr>
      <w:r>
        <w:t xml:space="preserve"/>
      </w:r>
    </w:p>
    <w:p>
      <w:pPr>
        <w:spacing w:before="100" w:after="10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 Note on wKX, h1KX, and the Fixed Supply</w:t>
      </w:r>
    </w:p>
    <w:p>
      <w:pPr>
        <w:spacing w:before="100" w:after="100"/>
        <w:jc w:val="both"/>
      </w:pPr>
      <w:r>
        <w:rPr>
          <w:rFonts w:ascii="Arial" w:cs="Arial" w:eastAsia="Arial" w:hAnsi="Arial"/>
          <w:sz w:val="22"/>
          <w:szCs w:val="22"/>
        </w:rPr>
        <w:t xml:space="preserve">The protocol maintains two distinct KX-related tokens on the Base network. wKX (Wrapped KX) is the public XChan token — transferable, Uniswap-listed, backed by XChan conversion locks. h1KX is HedgeKX's internal settlement token — non-transferable, 24-hour passive expiry, used exclusively as an intraday cross-chain accounting bridge and never held by any external party.</w:t>
      </w:r>
    </w:p>
    <w:p>
      <w:pPr>
        <w:spacing w:before="80" w:after="80"/>
      </w:pPr>
      <w:r>
        <w:t xml:space="preserve"/>
      </w:r>
    </w:p>
    <w:p>
      <w:pPr>
        <w:spacing w:before="100" w:after="100"/>
        <w:jc w:val="both"/>
      </w:pPr>
      <w:r>
        <w:rPr>
          <w:rFonts w:ascii="Arial" w:cs="Arial" w:eastAsia="Arial" w:hAnsi="Arial"/>
          <w:sz w:val="22"/>
          <w:szCs w:val="22"/>
        </w:rPr>
        <w:t xml:space="preserve">At all times: total KX on ChronX DAG + total wKX on Base + total h1KX on Base = 8,270,000,000 KX. Neither token is new supply. Both represent locked KX and both resolve back to the fixed supply invariant. wKX burns when XChan conversion locks mature. h1KX expires passively within 24 hours. The 8.27 billion cap is never violated.</w:t>
      </w:r>
    </w:p>
    <w:p>
      <w:pPr>
        <w:spacing w:before="80" w:after="80"/>
      </w:pPr>
      <w:r>
        <w:t xml:space="preserve"/>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Consult qualified legal counsel before participating.</w:t>
      </w:r>
    </w:p>
    <w:p>
      <w:r>
        <w:br w:type="page"/>
      </w:r>
    </w:p>
    <w:p>
      <w:pPr>
        <w:pStyle w:val="Heading1"/>
        <w:spacing w:before="480" w:after="240"/>
      </w:pPr>
      <w:r>
        <w:rPr>
          <w:rFonts w:ascii="Arial" w:cs="Arial" w:eastAsia="Arial" w:hAnsi="Arial"/>
          <w:b/>
          <w:bCs/>
          <w:color w:val="1F4E79"/>
          <w:sz w:val="34"/>
          <w:szCs w:val="34"/>
        </w:rPr>
        <w:t xml:space="preserve">8. Roadmap</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7060"/>
      </w:tblGrid>
      <w:tr>
        <w:tc>
          <w:tcPr>
            <w:tcW w:type="dxa" w:w="2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Date</w:t>
            </w:r>
          </w:p>
        </w:tc>
        <w:tc>
          <w:tcPr>
            <w:tcW w:type="dxa" w:w="70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Milestone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March 25, 2026</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Genesis Zero locked. Protocol complete. Chain immutable.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Live now</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Pre-ICO live ($0.001755—$0.002297/KX). Governance caps active.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Now — Sep 22, 2026</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Institutional outreach and private placement. Target: $500K—$2M committed with 12—24 month locks before ICO day. Whitepaper AI stress test completion. EPP registration processes initiated. YubiHSM live — HedgeKX yield activated.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September 22, 2026</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ICO opens. One price: $0.00319. Private placement locks visible on DAG. Target: $1M day-one across all channels. Unsold tokens locked in cascade schedule.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March 22, 2027</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First Treasury harmonic release. Believer tier unlock.</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January 1, 2029</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Node rewards begin (harmonic, 100 years).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Post-ICO</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XChan Uniswap routing. MISAI live AI execution. KXGC Tier 1 Name admissions. Full EPP regulatory registrations.</w:t>
            </w:r>
          </w:p>
        </w:tc>
      </w:tr>
    </w:tbl>
    <w:p>
      <w:r>
        <w:br w:type="page"/>
      </w:r>
    </w:p>
    <w:p>
      <w:pPr>
        <w:pStyle w:val="Heading1"/>
        <w:spacing w:before="480" w:after="240"/>
      </w:pPr>
      <w:r>
        <w:rPr>
          <w:rFonts w:ascii="Arial" w:cs="Arial" w:eastAsia="Arial" w:hAnsi="Arial"/>
          <w:b/>
          <w:bCs/>
          <w:color w:val="1F4E79"/>
          <w:sz w:val="34"/>
          <w:szCs w:val="34"/>
        </w:rPr>
        <w:t xml:space="preserve">Appendix A — The Complete Promise Taxonomy</w:t>
      </w:r>
    </w:p>
    <w:p>
      <w:pPr>
        <w:spacing w:before="100" w:after="10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 Instant Transfer (TYPE T)</w:t>
      </w:r>
    </w:p>
    <w:p>
      <w:pPr>
        <w:spacing w:before="100" w:after="100"/>
        <w:jc w:val="both"/>
      </w:pPr>
      <w:r>
        <w:rPr>
          <w:rFonts w:ascii="Arial" w:cs="Arial" w:eastAsia="Arial" w:hAnsi="Arial"/>
          <w:sz w:val="22"/>
          <w:szCs w:val="22"/>
        </w:rPr>
        <w:t xml:space="preserve">Send KX now. Recipient receives immediately upon DAG confirmation. If recipient wallet does not exist, it is auto-created.</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A.2 Time-Locked Promise (TYPE S — Standard)</w:t>
      </w:r>
    </w:p>
    <w:p>
      <w:pPr>
        <w:spacing w:before="100" w:after="100"/>
      </w:pPr>
    </w:p>
    <w:p>
      <w:pPr>
        <w:spacing w:before="100" w:after="100"/>
        <w:jc w:val="both"/>
      </w:pPr>
      <w:r>
        <w:rPr>
          <w:rFonts w:ascii="Arial" w:cs="Arial" w:eastAsia="Arial" w:hAnsi="Arial"/>
          <w:sz w:val="22"/>
          <w:szCs w:val="22"/>
        </w:rPr>
        <w:t xml:space="preserve">TYPE_S is a time-locked promise without yield participation. It is identical to TYPE_Y in every respect — same principal guarantee, same DAG immutability, same protocol enforcement — except that it does not grant HedgeKX a minting mandate and generates no yield for the recipient.</w:t>
      </w:r>
    </w:p>
    <w:p>
      <w:pPr>
        <w:spacing w:before="100" w:after="100"/>
      </w:pPr>
    </w:p>
    <w:p>
      <w:pPr>
        <w:spacing w:before="100" w:after="100"/>
        <w:jc w:val="both"/>
      </w:pPr>
      <w:r>
        <w:rPr>
          <w:rFonts w:ascii="Arial" w:cs="Arial" w:eastAsia="Arial" w:hAnsi="Arial"/>
          <w:sz w:val="22"/>
          <w:szCs w:val="22"/>
        </w:rPr>
        <w:t xml:space="preserve">TYPE_S is appropriate when yield participation is specifically undesirable: for tax reasons, when the grantor does not wish to leave the recipient a gift plus interest, for escrow instruments where yield would complicate accounting, or by personal preference. For most promises, TYPE_Y is the recommended default.</w:t>
      </w:r>
    </w:p>
    <w:p>
      <w:pPr>
        <w:spacing w:before="100" w:after="100"/>
      </w:pPr>
    </w:p>
    <w:p>
      <w:pPr>
        <w:spacing w:before="100" w:after="100"/>
        <w:jc w:val="both"/>
      </w:pPr>
      <w:r>
        <w:rPr>
          <w:rFonts w:ascii="Arial" w:cs="Arial" w:eastAsia="Arial" w:hAnsi="Arial"/>
          <w:sz w:val="22"/>
          <w:szCs w:val="22"/>
        </w:rPr>
        <w:t xml:space="preserve">Use cases where TYPE_S remains appropriate:</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80" w:after="80"/>
      </w:pPr>
      <w:r>
        <w:t xml:space="preserve"/>
      </w:r>
    </w:p>
    <w:p>
      <w:pPr>
        <w:spacing w:before="100" w:after="100"/>
      </w:pPr>
    </w:p>
    <w:p>
      <w:pPr>
        <w:spacing w:before="100" w:after="100"/>
        <w:jc w:val="both"/>
      </w:pPr>
      <w:r>
        <w:rPr>
          <w:rFonts w:ascii="Arial" w:cs="Arial" w:eastAsia="Arial" w:hAnsi="Arial"/>
          <w:sz w:val="22"/>
          <w:szCs w:val="22"/>
        </w:rPr>
        <w:t xml:space="preserve">Unclaimed action: For short-duration locks (under the governance Verifas threshold, currently 365 days), unclaimed_action defaults to RevertToSender. For locks where unlock_at exceeds the governance Verifas threshold, unclaimed_action is overridden by the three-stage Verifas suspense system. See Section 4.2.</w:t>
      </w:r>
    </w:p>
    <w:p>
      <w:pPr>
        <w:spacing w:before="100" w:after="100"/>
      </w:pPr>
    </w:p>
    <w:p>
      <w:pPr>
        <w:spacing w:before="100" w:after="100"/>
        <w:jc w:val="both"/>
      </w:pPr>
      <w:r>
        <w:rPr>
          <w:rFonts w:ascii="Arial" w:cs="Arial" w:eastAsia="Arial" w:hAnsi="Arial"/>
          <w:sz w:val="22"/>
          <w:szCs w:val="22"/>
        </w:rPr>
        <w:t xml:space="preserve">Claim window: For long-duration locks, the claim window (claim_window_secs) represents Stage 1 only. Expiry of this window triggers Stage 2 (two-party lock) rather than immediate reversion.</w:t>
      </w:r>
    </w:p>
    <w:p>
      <w:pPr>
        <w:pStyle w:val="Heading2"/>
        <w:spacing w:before="320" w:after="160"/>
      </w:pPr>
      <w:r>
        <w:rPr>
          <w:rFonts w:ascii="Arial" w:cs="Arial" w:eastAsia="Arial" w:hAnsi="Arial"/>
          <w:b/>
          <w:bCs/>
          <w:color w:val="2E75B6"/>
          <w:sz w:val="26"/>
          <w:szCs w:val="26"/>
        </w:rPr>
        <w:t xml:space="preserve">A.3 Email Claim Promise</w:t>
      </w:r>
    </w:p>
    <w:p>
      <w:pPr>
        <w:spacing w:before="100" w:after="10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 Claim window: 72 hours. If unclaimed, funds revert to sender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A.4 Cascade Promise</w:t>
      </w:r>
    </w:p>
    <w:p>
      <w:pPr>
        <w:spacing w:before="100" w:after="10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A.5 PAY_AS Promise</w:t>
      </w:r>
    </w:p>
    <w:p>
      <w:pPr>
        <w:spacing w:before="100" w:after="10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 Current governance cap: pay_as_max_usd = $250 per transaction.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A.6 TYPE M — AI-Managed Promise</w:t>
      </w:r>
    </w:p>
    <w:p>
      <w:pPr>
        <w:spacing w:before="100" w:after="100"/>
        <w:jc w:val="both"/>
      </w:pPr>
      <w:r>
        <w:rPr>
          <w:rFonts w:ascii="Arial" w:cs="Arial" w:eastAsia="Arial" w:hAnsi="Arial"/>
          <w:sz w:val="22"/>
          <w:szCs w:val="22"/>
        </w:rPr>
        <w:t xml:space="preserve">A standard TimeLockCreate with additional fields authorising MISAI to manage the investable fraction of locked KX per the grantor's mandate. The grantor never surrenders custody. MISAI only has authority to submit ExecutorWithdraw actions within its mandate, subject to a 24-hour delay. MISAI commits every decision to the DAG before executing (Axiom VIII). The grantor_axiom_consent_hash field records consent to Axioms VII–XII. Without this hash, a TYPE M lock cannot be created.</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A.7 TYPE Y — The Default Promise (Time-Locked with Yield Participation)</w:t>
      </w:r>
    </w:p>
    <w:p>
      <w:pPr>
        <w:spacing w:before="100" w:after="100"/>
      </w:pPr>
    </w:p>
    <w:p>
      <w:pPr>
        <w:spacing w:before="100" w:after="100"/>
        <w:jc w:val="both"/>
      </w:pPr>
      <w:r>
        <w:rPr>
          <w:rFonts w:ascii="Arial" w:cs="Arial" w:eastAsia="Arial" w:hAnsi="Arial"/>
          <w:sz w:val="22"/>
          <w:szCs w:val="22"/>
        </w:rPr>
        <w:t xml:space="preserve">TYPE_Y is the recommended default for all time-locked promises on ChronX. It is identical to TYPE_S in every respect — same principal guarantee, same immutability, same DAG enforcement — except that it automatically grants HedgeKX a minting mandate, enabling yield to accrue to the beneficiary’s separate yield balance on days when HedgeKX has active matching activity.</w:t>
      </w:r>
    </w:p>
    <w:p>
      <w:pPr>
        <w:spacing w:before="100" w:after="100"/>
      </w:pPr>
    </w:p>
    <w:p>
      <w:pPr>
        <w:spacing w:before="100" w:after="100"/>
        <w:jc w:val="both"/>
      </w:pPr>
      <w:r>
        <w:rPr>
          <w:rFonts w:ascii="Arial" w:cs="Arial" w:eastAsia="Arial" w:hAnsi="Arial"/>
          <w:sz w:val="22"/>
          <w:szCs w:val="22"/>
        </w:rPr>
        <w:t xml:space="preserve">There is no cost to the grantor. There is no risk to the principal. The yield is a bonus paid to the beneficiary from real economic activity. The grantor does not receive the yield — it belongs to whoever the promise was made to.</w:t>
      </w:r>
    </w:p>
    <w:p>
      <w:pPr>
        <w:spacing w:before="100" w:after="100"/>
      </w:pPr>
    </w:p>
    <w:p>
      <w:pPr>
        <w:spacing w:before="100" w:after="100"/>
        <w:jc w:val="both"/>
      </w:pPr>
      <w:r>
        <w:rPr>
          <w:rFonts w:ascii="Arial" w:cs="Arial" w:eastAsia="Arial" w:hAnsi="Arial"/>
          <w:sz w:val="22"/>
          <w:szCs w:val="22"/>
        </w:rPr>
        <w:t xml:space="preserve">Grantors who specifically do not want yield participation — for tax reasons or personal preference — use TYPE_S instead, or set yield_opt_out at TYPE_Y lock creation.</w:t>
      </w:r>
    </w:p>
    <w:p>
      <w:pPr>
        <w:spacing w:before="100" w:after="100"/>
      </w:pPr>
    </w:p>
    <w:p>
      <w:pPr>
        <w:spacing w:before="100" w:after="100"/>
        <w:jc w:val="both"/>
      </w:pPr>
      <w:r>
        <w:rPr>
          <w:rFonts w:ascii="Arial" w:cs="Arial" w:eastAsia="Arial" w:hAnsi="Arial"/>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Long-horizon promise with yield: 20-year gift that earns HedgeKX yield for the recipient</w:t>
      </w:r>
    </w:p>
    <w:p>
      <w:pPr>
        <w:spacing w:before="100" w:after="100"/>
        <w:jc w:val="both"/>
      </w:pPr>
      <w:r>
        <w:rPr>
          <w:rFonts w:ascii="Arial" w:cs="Arial" w:eastAsia="Arial" w:hAnsi="Arial"/>
          <w:sz w:val="22"/>
          <w:szCs w:val="22"/>
        </w:rPr>
        <w:t xml:space="preserve">Standard long-term promise: locks KX for any duration, earns yield for the recipient while HedgeKX is active, principal guaranteed by DAG</w:t>
      </w:r>
    </w:p>
    <w:p>
      <w:pPr>
        <w:spacing w:before="100" w:after="100"/>
        <w:jc w:val="both"/>
      </w:pPr>
      <w:r>
        <w:rPr>
          <w:rFonts w:ascii="Arial" w:cs="Arial" w:eastAsia="Arial" w:hAnsi="Arial"/>
          <w:sz w:val="22"/>
          <w:szCs w:val="22"/>
        </w:rPr>
        <w:t xml:space="preserve">The default for nearly all wallet promise flows: the wallet creates TYPE_Y unless the user explicitly selects TYPE_S or sets yield_opt_out</w:t>
      </w:r>
    </w:p>
    <w:p>
      <w:pPr>
        <w:spacing w:before="80" w:after="80"/>
      </w:pPr>
      <w:r>
        <w:t xml:space="preserve"/>
      </w:r>
    </w:p>
    <w:p>
      <w:pPr>
        <w:spacing w:before="100" w:after="100"/>
      </w:pPr>
    </w:p>
    <w:p>
      <w:pPr>
        <w:spacing w:before="100" w:after="100"/>
        <w:jc w:val="both"/>
      </w:pPr>
      <w:r>
        <w:rPr>
          <w:rFonts w:ascii="Arial" w:cs="Arial" w:eastAsia="Arial" w:hAnsi="Arial"/>
          <w:sz w:val="22"/>
          <w:szCs w:val="22"/>
        </w:rPr>
        <w:t xml:space="preserve">Long-duration TYPE_Y locks — whether made to oneself or to another party — follow the same three-stage Verifas suspense system as long-duration TYPE_S locks. A TYPE_Y savings lock made to oneself for two years is still subject to this system: if the lock holder dies before claiming, their estate can approach Verifas for co-signature release during Stage 2, rather than the KX reverting to an unreachable wallet. Short-duration TYPE_Y locks (under the governance Verifas threshold, currently one year) are unaffected — they revert to sender as normal.</w:t>
      </w:r>
    </w:p>
    <w:p>
      <w:pPr>
        <w:pStyle w:val="Heading2"/>
        <w:spacing w:before="320" w:after="160"/>
      </w:pPr>
      <w:r>
        <w:rPr>
          <w:rFonts w:ascii="Arial" w:cs="Arial" w:eastAsia="Arial" w:hAnsi="Arial"/>
          <w:b/>
          <w:bCs/>
          <w:color w:val="2E75B6"/>
          <w:sz w:val="26"/>
          <w:szCs w:val="26"/>
        </w:rPr>
        <w:t xml:space="preserve">A.8 TYPE I — Invoice</w:t>
      </w:r>
    </w:p>
    <w:p>
      <w:pPr>
        <w:spacing w:before="100" w:after="10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A.9 TYPE C — Credit Authorisation</w:t>
      </w:r>
    </w:p>
    <w:p>
      <w:pPr>
        <w:spacing w:before="100" w:after="100"/>
        <w:jc w:val="both"/>
      </w:pPr>
      <w:r>
        <w:rPr>
          <w:rFonts w:ascii="Arial" w:cs="Arial" w:eastAsia="Arial" w:hAnsi="Arial"/>
          <w:sz w:val="22"/>
          <w:szCs w:val="22"/>
        </w:rPr>
        <w:t xml:space="preserve">A pre-authorised variable draw facility. The grantor authorises a beneficiary to draw up to a ceiling amount in increments without per-draw approval. Revocable at any time before a draw executes.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A.10 TYPE V — Conditional Validity</w:t>
      </w:r>
    </w:p>
    <w:p>
      <w:pPr>
        <w:spacing w:before="100" w:after="10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A.11 TYPE L — Ledger Entry</w:t>
      </w:r>
    </w:p>
    <w:p>
      <w:pPr>
        <w:spacing w:before="100" w:after="100"/>
        <w:jc w:val="both"/>
      </w:pPr>
      <w:r>
        <w:rPr>
          <w:rFonts w:ascii="Arial" w:cs="Arial" w:eastAsia="Arial" w:hAnsi="Arial"/>
          <w:sz w:val="22"/>
          <w:szCs w:val="22"/>
        </w:rPr>
        <w:t xml:space="preserve">A bonded-agent-only signed DAG memo for on-chain identity verification, Promise Chain anchors, and protocol attestations. Only wallets registered as bonded verifiers may create TYPE L entries. This is how CPNX records badge issuances on the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A.12 TYPE G — Wallet Group</w:t>
      </w:r>
    </w:p>
    <w:p>
      <w:pPr>
        <w:spacing w:before="100" w:after="100"/>
        <w:jc w:val="both"/>
      </w:pPr>
      <w:r>
        <w:rPr>
          <w:rFonts w:ascii="Arial" w:cs="Arial" w:eastAsia="Arial" w:hAnsi="Arial"/>
          <w:sz w:val="22"/>
          <w:szCs w:val="22"/>
        </w:rPr>
        <w:t xml:space="preserve">A named group of wallets referenced as a unit. Used in TYPE V attestor sets, backup executor lists, and authorised claim sets. 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r>
        <w:br w:type="page"/>
      </w:r>
    </w:p>
    <w:p>
      <w:pPr>
        <w:pStyle w:val="Heading1"/>
        <w:spacing w:before="480" w:after="240"/>
      </w:pPr>
      <w:r>
        <w:rPr>
          <w:rFonts w:ascii="Arial" w:cs="Arial" w:eastAsia="Arial" w:hAnsi="Arial"/>
          <w:b/>
          <w:bCs/>
          <w:color w:val="1F4E79"/>
          <w:sz w:val="34"/>
          <w:szCs w:val="34"/>
        </w:rPr>
        <w:t xml:space="preserve">Appendix B — Bilateral Promises (Loans)</w:t>
      </w:r>
    </w:p>
    <w:p>
      <w:pPr>
        <w:spacing w:before="100" w:after="10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loan_block_principal_usd = $250 (governance vote needed to raise for institutional issuance).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B.1 Friendly Loan (30-Day, PAY_AS, 1% Hedge Fee)</w:t>
      </w:r>
    </w:p>
    <w:p>
      <w:pPr>
        <w:spacing w:before="100" w:after="100"/>
        <w:jc w:val="both"/>
      </w:pPr>
      <w:r>
        <w:rPr>
          <w:rFonts w:ascii="Arial" w:cs="Arial" w:eastAsia="Arial" w:hAnsi="Arial"/>
          <w:sz w:val="22"/>
          <w:szCs w:val="22"/>
        </w:rPr>
        <w:t xml:space="preserve">The standard friendly loan. Sender commits KX. Borrower receives KX equivalent to a specified USD amount today and promises to return the same USD equivalent within 30 days. The 1% fee covers the HedgeKX hedge that ensures the lender receives full USD value regardless of KX price movement during the loan period.</w:t>
      </w:r>
    </w:p>
    <w:p>
      <w:pPr>
        <w:spacing w:before="80" w:after="80"/>
      </w:pPr>
      <w:r>
        <w:t xml:space="preserve"/>
      </w:r>
    </w:p>
    <w:p>
      <w:pPr>
        <w:spacing w:before="100" w:after="100"/>
        <w:jc w:val="both"/>
      </w:pPr>
      <w:r>
        <w:rPr>
          <w:rFonts w:ascii="Arial" w:cs="Arial" w:eastAsia="Arial" w:hAnsi="Arial"/>
          <w:sz w:val="22"/>
          <w:szCs w:val="22"/>
        </w:rPr>
        <w:t xml:space="preserve">Governance prioritises friendly loan hedge requests when capacity is limited. Effective per-transaction cap is governed by available HedgeKX capacity; current maximum $250. Quote expires in 10 seconds. Hedge and promise created atomically on confirmation.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B.2 Fixed Term Loan</w:t>
      </w:r>
    </w:p>
    <w:p>
      <w:pPr>
        <w:spacing w:before="100" w:after="100"/>
        <w:jc w:val="both"/>
      </w:pPr>
      <w:r>
        <w:rPr>
          <w:rFonts w:ascii="Arial" w:cs="Arial" w:eastAsia="Arial" w:hAnsi="Arial"/>
          <w:sz w:val="22"/>
          <w:szCs w:val="22"/>
        </w:rPr>
        <w:t xml:space="preserve">Personal loan, business loan, mortgage, bridge loan. LoanOffer with fixed or variable interest rate, payment stages, and optional collateral lock. Full technical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B.3 Revolving Loan</w:t>
      </w:r>
    </w:p>
    <w:p>
      <w:pPr>
        <w:spacing w:before="100" w:after="100"/>
        <w:jc w:val="both"/>
      </w:pPr>
      <w:r>
        <w:rPr>
          <w:rFonts w:ascii="Arial" w:cs="Arial" w:eastAsia="Arial" w:hAnsi="Arial"/>
          <w:sz w:val="22"/>
          <w:szCs w:val="22"/>
        </w:rPr>
        <w:t xml:space="preserve">Business line of credit, overdraft facility, working capital. Ceiling amount, renewal period, exit rights. Full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B.4 Sharia-Compliant Loans</w:t>
      </w:r>
    </w:p>
    <w:p>
      <w:pPr>
        <w:spacing w:before="100" w:after="100"/>
        <w:jc w:val="both"/>
      </w:pPr>
      <w:r>
        <w:rPr>
          <w:rFonts w:ascii="Arial" w:cs="Arial" w:eastAsia="Arial" w:hAnsi="Arial"/>
          <w:sz w:val="22"/>
          <w:szCs w:val="22"/>
        </w:rPr>
        <w:t xml:space="preserve">Murabaha (cost-plus, no compounding) and Qard Hasan (zero-profit benevolent loan) are natively supported. Structured as LoanOffer with appropriate interest_rate and payment stage configurations.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B.5 PAY_AS Loan</w:t>
      </w:r>
    </w:p>
    <w:p>
      <w:pPr>
        <w:spacing w:before="100" w:after="10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B.6 Loan Transferability and Tranching</w:t>
      </w:r>
    </w:p>
    <w:p>
      <w:pPr>
        <w:spacing w:before="100" w:after="100"/>
        <w:jc w:val="both"/>
      </w:pPr>
      <w:r>
        <w:rPr>
          <w:rFonts w:ascii="Arial" w:cs="Arial" w:eastAsia="Arial" w:hAnsi="Arial"/>
          <w:sz w:val="22"/>
          <w:szCs w:val="22"/>
        </w:rPr>
        <w:t xml:space="preserve">Loan_transfer_enabled: false (dormant, governance activation post-ICO). When enabled: FREE, RESTRICTED, or LOCKED transferability. Tranching: minimum 1,000 KX per tranche, maximum 1,000 tranches per obligation, minimum 10,000 KX to tranche. YIELD_ONLY and PRINCIPAL_ONLY strip instruments supported.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B.7 MISAI as Loan Servicer</w:t>
      </w:r>
    </w:p>
    <w:p>
      <w:pPr>
        <w:spacing w:before="100" w:after="100"/>
        <w:jc w:val="both"/>
      </w:pPr>
      <w:r>
        <w:rPr>
          <w:rFonts w:ascii="Arial" w:cs="Arial" w:eastAsia="Arial" w:hAnsi="Arial"/>
          <w:sz w:val="22"/>
          <w:szCs w:val="22"/>
        </w:rPr>
        <w:t xml:space="preserve">Any loan may designate MISAI as servicer. MISAI monitors payment schedule, publishes DefaultRecord when payments are missed, and processes LoanCompletion when all stages are paid. Every MISAI action is committed to the DAG before it executes (Axiom VIII).</w:t>
      </w:r>
    </w:p>
    <w:p>
      <w:r>
        <w:br w:type="page"/>
      </w:r>
    </w:p>
    <w:p>
      <w:pPr>
        <w:pStyle w:val="Heading1"/>
        <w:spacing w:before="480" w:after="240"/>
      </w:pPr>
      <w:r>
        <w:rPr>
          <w:rFonts w:ascii="Arial" w:cs="Arial" w:eastAsia="Arial" w:hAnsi="Arial"/>
          <w:b/>
          <w:bCs/>
          <w:color w:val="1F4E79"/>
          <w:sz w:val="34"/>
          <w:szCs w:val="34"/>
        </w:rPr>
        <w:t xml:space="preserve">Appendix C — Conditional Promises (TYPE S Springing Instruments)</w:t>
      </w:r>
    </w:p>
    <w:p>
      <w:pPr>
        <w:spacing w:before="100" w:after="10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C.1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Live (scaffold)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Sweep engine evaluates every 60 seconds. governance flag: hedgekx_oracle_trigger_enabled.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C.2 Parametric Insurance (Live Today)</w:t>
      </w:r>
    </w:p>
    <w:p>
      <w:pPr>
        <w:spacing w:before="100" w:after="10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C.3 The Hedge Tower Structure</w:t>
      </w:r>
    </w:p>
    <w:p>
      <w:pPr>
        <w:spacing w:before="100" w:after="100"/>
        <w:jc w:val="both"/>
      </w:pPr>
      <w:r>
        <w:rPr>
          <w:rFonts w:ascii="Arial" w:cs="Arial" w:eastAsia="Arial" w:hAnsi="Arial"/>
          <w:sz w:val="22"/>
          <w:szCs w:val="22"/>
        </w:rPr>
        <w:t xml:space="preserve">For PAY_AS insurance policies, three hedge layers protect against KX/USD currency conversion risk. Layer 0 (live): rolling 30-day hedges covering first 8% of KX depreciation. Layer 1 (planned): 1-year instruments covering 8–20% depreciation. Layer 2 (planned): catastrophe layer covering &gt;20% depreciation AND a PAY_AS claim has actually fired (CompoundAND condition).</w:t>
      </w:r>
    </w:p>
    <w:p>
      <w:pPr>
        <w:spacing w:before="80" w:after="80"/>
      </w:pPr>
      <w:r>
        <w:t xml:space="preserve"/>
      </w:r>
    </w:p>
    <w:p>
      <w:pPr>
        <w:spacing w:before="100" w:after="100"/>
        <w:jc w:val="both"/>
      </w:pPr>
      <w:r>
        <w:rPr>
          <w:rFonts w:ascii="Arial" w:cs="Arial" w:eastAsia="Arial" w:hAnsi="Arial"/>
          <w:sz w:val="22"/>
          <w:szCs w:val="22"/>
        </w:rPr>
        <w:t xml:space="preserve">Layer 2 design insight: Layer 2 fires ONLY if KX drops more than 20% AND an actual covered claim has been attested. These are independent events. KX may drop 50% with no covered losses — Layer 2 never fires. The hedger retains their USDC collateral and all premium income.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C.4 HedgeKX Overnight Hedge (Live Today)</w:t>
      </w:r>
    </w:p>
    <w:p>
      <w:pPr>
        <w:spacing w:before="100" w:after="100"/>
        <w:jc w:val="both"/>
      </w:pPr>
      <w:r>
        <w:rPr>
          <w:rFonts w:ascii="Arial" w:cs="Arial" w:eastAsia="Arial" w:hAnsi="Arial"/>
          <w:sz w:val="22"/>
          <w:szCs w:val="22"/>
        </w:rPr>
        <w:t xml:space="preserve">A hedger locks KX as collateral against a 24-hour KX/USD position. If the oracle condition fires, KX releases to the pool. If not triggered before valid_until, success_payment_chronos transfers to success_payment_wallet (the hedge premium return), and remaining KX returns to the hedger. Current governance: hedgekx_max_daily_exposure_usd = $250.</w:t>
      </w:r>
    </w:p>
    <w:p>
      <w:r>
        <w:br w:type="page"/>
      </w:r>
    </w:p>
    <w:p>
      <w:pPr>
        <w:pStyle w:val="Heading1"/>
        <w:spacing w:before="480" w:after="240"/>
      </w:pPr>
      <w:r>
        <w:rPr>
          <w:rFonts w:ascii="Arial" w:cs="Arial" w:eastAsia="Arial" w:hAnsi="Arial"/>
          <w:b/>
          <w:bCs/>
          <w:color w:val="1F4E79"/>
          <w:sz w:val="34"/>
          <w:szCs w:val="34"/>
        </w:rPr>
        <w:t xml:space="preserve">Appendix D — Pool Instruments</w:t>
      </w:r>
    </w:p>
    <w:p>
      <w:pPr>
        <w:pStyle w:val="Heading2"/>
        <w:spacing w:before="320" w:after="160"/>
      </w:pPr>
      <w:r>
        <w:rPr>
          <w:rFonts w:ascii="Arial" w:cs="Arial" w:eastAsia="Arial" w:hAnsi="Arial"/>
          <w:b/>
          <w:bCs/>
          <w:color w:val="2E75B6"/>
          <w:sz w:val="26"/>
          <w:szCs w:val="26"/>
        </w:rPr>
        <w:t xml:space="preserve">D.1 TYPE P-F — Fully Reserved Pool</w:t>
      </w:r>
    </w:p>
    <w:p>
      <w:pPr>
        <w:spacing w:before="100" w:after="100"/>
        <w:jc w:val="both"/>
      </w:pPr>
      <w:r>
        <w:rPr>
          <w:rFonts w:ascii="Arial" w:cs="Arial" w:eastAsia="Arial" w:hAnsi="Arial"/>
          <w:sz w:val="22"/>
          <w:szCs w:val="22"/>
        </w:rPr>
        <w:t xml:space="preserve">Total reserved must always be &lt;= pool balance. No fractional reserve. No leverage. No access requirements. Use cases: construction escrow (full project amount reserved from day one), vesting pool (employee allocations fully backed).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D.2 TYPE P-R — Fractional Reserve Pool</w:t>
      </w:r>
    </w:p>
    <w:p>
      <w:pPr>
        <w:spacing w:before="100" w:after="100"/>
        <w:jc w:val="both"/>
      </w:pPr>
      <w:r>
        <w:rPr>
          <w:rFonts w:ascii="Arial" w:cs="Arial" w:eastAsia="Arial" w:hAnsi="Arial"/>
          <w:sz w:val="22"/>
          <w:szCs w:val="22"/>
        </w:rPr>
        <w:t xml:space="preserve">Operates with a coverage ratio. Pool holds less KX than total face value of obligations. coverage_ratio_at_registration is immutable per claimant. Access requirements: BANK, INSURANCE, or GOVERNMENT badge from CPNX plus active TYPE A authority grant from KXGC.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D.4 TYPE W — Waterfall Routing</w:t>
      </w:r>
    </w:p>
    <w:p>
      <w:pPr>
        <w:spacing w:before="100" w:after="10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r>
        <w:br w:type="page"/>
      </w:r>
    </w:p>
    <w:p>
      <w:pPr>
        <w:pStyle w:val="Heading1"/>
        <w:spacing w:before="480" w:after="240"/>
      </w:pPr>
      <w:r>
        <w:rPr>
          <w:rFonts w:ascii="Arial" w:cs="Arial" w:eastAsia="Arial" w:hAnsi="Arial"/>
          <w:b/>
          <w:bCs/>
          <w:color w:val="1F4E79"/>
          <w:sz w:val="34"/>
          <w:szCs w:val="34"/>
        </w:rPr>
        <w:t xml:space="preserve">Appendix E — Bond Instruments (TYPE B)</w:t>
      </w:r>
    </w:p>
    <w:p>
      <w:pPr>
        <w:spacing w:before="100" w:after="100"/>
        <w:jc w:val="both"/>
      </w:pPr>
      <w:r>
        <w:rPr>
          <w:rFonts w:ascii="Arial" w:cs="Arial" w:eastAsia="Arial" w:hAnsi="Arial"/>
          <w:sz w:val="22"/>
          <w:szCs w:val="22"/>
        </w:rPr>
        <w:t xml:space="preserve">Each EPP lends its performance bond to the Foundation. 100-year, 0% interest loan. Foundation holds DrawRequest right. DrawRequest auto-executes on lock_until. Foundation cannot accelerate. Board cannot override. Published on DAG immediately.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E.1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200"/>
        <w:gridCol w:w="1400"/>
        <w:gridCol w:w="9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bl>
    <w:p>
      <w:r>
        <w:br w:type="page"/>
      </w:r>
    </w:p>
    <w:p>
      <w:pPr>
        <w:pStyle w:val="Heading2"/>
        <w:spacing w:before="320" w:after="160"/>
      </w:pPr>
      <w:r>
        <w:rPr>
          <w:rFonts w:ascii="Arial" w:cs="Arial" w:eastAsia="Arial" w:hAnsi="Arial"/>
          <w:b/>
          <w:bCs/>
          <w:color w:val="1F4E79"/>
          <w:sz w:val="28"/>
          <w:szCs w:val="28"/>
        </w:rPr>
        <w:t xml:space="preserve">E.2 Bond vs Operating Capital — The Distinction</w:t>
      </w:r>
    </w:p>
    <w:p>
      <w:pPr>
        <w:spacing w:before="100" w:after="100"/>
      </w:pPr>
    </w:p>
    <w:p>
      <w:pPr>
        <w:spacing w:before="100" w:after="100"/>
        <w:jc w:val="both"/>
      </w:pPr>
      <w:r>
        <w:rPr>
          <w:rFonts w:ascii="Arial" w:cs="Arial" w:eastAsia="Arial" w:hAnsi="Arial"/>
          <w:sz w:val="22"/>
          <w:szCs w:val="22"/>
        </w:rPr>
        <w:t xml:space="preserve">The EPP bond table above lists bond KX only — the 100-year TYPE B locks lent to the Foundation. This is distinct from EPP operating capital.</w:t>
      </w:r>
    </w:p>
    <w:p>
      <w:pPr>
        <w:spacing w:before="100" w:after="100"/>
      </w:pPr>
    </w:p>
    <w:p>
      <w:pPr>
        <w:spacing w:before="100" w:after="100"/>
        <w:jc w:val="both"/>
      </w:pPr>
      <w:r>
        <w:rPr>
          <w:rFonts w:ascii="Arial" w:cs="Arial" w:eastAsia="Arial" w:hAnsi="Arial"/>
          <w:sz w:val="22"/>
          <w:szCs w:val="22"/>
        </w:rPr>
        <w:t xml:space="preserve">EPP bond KX: TYPE B lock. 100-year term. 0% interest. Held by Foundation. Cannot be sold, moved, or accessed by the EPP for any purpose. Subject to DrawRequest slashing only.</w:t>
      </w:r>
    </w:p>
    <w:p>
      <w:pPr>
        <w:spacing w:before="100" w:after="100"/>
      </w:pPr>
    </w:p>
    <w:p>
      <w:pPr>
        <w:spacing w:before="100" w:after="100"/>
        <w:jc w:val="both"/>
      </w:pPr>
      <w:r>
        <w:rPr>
          <w:rFonts w:ascii="Arial" w:cs="Arial" w:eastAsia="Arial" w:hAnsi="Arial"/>
          <w:sz w:val="22"/>
          <w:szCs w:val="22"/>
        </w:rPr>
        <w:t xml:space="preserve">EPP operating capital KX: Cascade time-locks. 5—10 year vesting. Held by EPP operations wallet. Released in annual tranches. Subject to governance reasonable-use mandate. See Section 4.9 for complete protection framework.</w:t>
      </w:r>
    </w:p>
    <w:p>
      <w:pPr>
        <w:spacing w:before="100" w:after="100"/>
      </w:pPr>
    </w:p>
    <w:p>
      <w:pPr>
        <w:spacing w:before="100" w:after="100"/>
        <w:jc w:val="both"/>
      </w:pPr>
      <w:r>
        <w:rPr>
          <w:rFonts w:ascii="Arial" w:cs="Arial" w:eastAsia="Arial" w:hAnsi="Arial"/>
          <w:sz w:val="22"/>
          <w:szCs w:val="22"/>
        </w:rPr>
        <w:t xml:space="preserve">Current EPP operating capital allocations:</w:t>
      </w:r>
    </w:p>
    <w:p>
      <w:pPr>
        <w:spacing w:before="100" w:after="100"/>
      </w:pPr>
    </w:p>
    <w:p>
      <w:pPr>
        <w:spacing w:before="100" w:after="100"/>
        <w:jc w:val="both"/>
      </w:pPr>
      <w:r>
        <w:rPr>
          <w:rFonts w:ascii="Arial" w:cs="Arial" w:eastAsia="Arial" w:hAnsi="Arial"/>
          <w:sz w:val="22"/>
          <w:szCs w:val="22"/>
        </w:rPr>
        <w:t xml:space="preserve">HedgeKX: 50,000,000 KX. Wallet: 5zjp4YM7RkBWk8hHN5kdv3xYhjsnXmYUJuL2vgqxHBE1. Schedule: 5 annual tranches 2027—2031. Tranches: 5M / 7.5M / 10M / 12.5M / 15M KX.</w:t>
      </w:r>
    </w:p>
    <w:p>
      <w:pPr>
        <w:spacing w:before="100" w:after="100"/>
      </w:pPr>
    </w:p>
    <w:p>
      <w:pPr>
        <w:spacing w:before="100" w:after="100"/>
        <w:jc w:val="both"/>
      </w:pPr>
      <w:r>
        <w:rPr>
          <w:rFonts w:ascii="Arial" w:cs="Arial" w:eastAsia="Arial" w:hAnsi="Arial"/>
          <w:sz w:val="22"/>
          <w:szCs w:val="22"/>
        </w:rPr>
        <w:t xml:space="preserve">KXGC: 200,000,000 KX. Wallet: G2aH9NfRFo5gdLTMjNqCRv4PkcKKEHLD99Y8vhQwSgeV. Schedule: 10 annual tranches 2027—2036. Tranches: 5M / 5M / 10M / 15M / 20M / 20M / 25M / 25M / 35M / 40M KX.</w:t>
      </w:r>
    </w:p>
    <w:p>
      <w:pPr>
        <w:spacing w:before="100" w:after="100"/>
      </w:pPr>
    </w:p>
    <w:p>
      <w:pPr>
        <w:pStyle w:val="Heading1"/>
        <w:spacing w:before="480" w:after="240"/>
      </w:pPr>
      <w:r>
        <w:rPr>
          <w:rFonts w:ascii="Arial" w:cs="Arial" w:eastAsia="Arial" w:hAnsi="Arial"/>
          <w:b/>
          <w:bCs/>
          <w:color w:val="1F4E79"/>
          <w:sz w:val="34"/>
          <w:szCs w:val="34"/>
        </w:rPr>
        <w:t xml:space="preserve">Appendix F — Authority Grants (TYPE A)</w:t>
      </w:r>
    </w:p>
    <w:p>
      <w:pPr>
        <w:spacing w:before="100" w:after="100"/>
        <w:jc w:val="both"/>
      </w:pPr>
      <w:r>
        <w:rPr>
          <w:rFonts w:ascii="Arial" w:cs="Arial" w:eastAsia="Arial" w:hAnsi="Arial"/>
          <w:sz w:val="22"/>
          <w:szCs w:val="22"/>
        </w:rPr>
        <w:t xml:space="preserve">TYPE A grants establish the KXGC reinsurance hierarchy. Parameters flow down but cannot be amplified. Tier 1 grant: sender must be KXGC bond wallet. Tier 2 grant: sender must have active Tier 1 with can_subgrant: true. Sub-grant limits must be &lt;= grantor's own limits. TYPE P-R pool creation requires an active TYPE A grant.</w:t>
      </w:r>
    </w:p>
    <w:p>
      <w:r>
        <w:br w:type="page"/>
      </w:r>
    </w:p>
    <w:p>
      <w:pPr>
        <w:pStyle w:val="Heading1"/>
        <w:spacing w:before="480" w:after="240"/>
      </w:pPr>
      <w:r>
        <w:rPr>
          <w:rFonts w:ascii="Arial" w:cs="Arial" w:eastAsia="Arial" w:hAnsi="Arial"/>
          <w:b/>
          <w:bCs/>
          <w:color w:val="1F4E79"/>
          <w:sz w:val="34"/>
          <w:szCs w:val="34"/>
        </w:rPr>
        <w:t xml:space="preserve">Appendix G — Complete Governance Parameters</w:t>
      </w:r>
    </w:p>
    <w:p>
      <w:pPr>
        <w:spacing w:before="100" w:after="100"/>
        <w:jc w:val="both"/>
      </w:pPr>
      <w:r>
        <w:rPr>
          <w:rFonts w:ascii="Arial" w:cs="Arial" w:eastAsia="Arial" w:hAnsi="Arial"/>
          <w:sz w:val="22"/>
          <w:szCs w:val="22"/>
        </w:rPr>
        <w:t xml:space="preserve">Live values from genesis-params.json as of Genesis Zero. All changes require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G.1 Rate Limiting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400"/>
        <w:gridCol w:w="1080"/>
        <w:gridCol w:w="900"/>
        <w:gridCol w:w="1080"/>
        <w:gridCol w:w="3000"/>
      </w:tblGrid>
      <w:tr>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9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w:t>
            </w:r>
          </w:p>
        </w:tc>
        <w:tc>
          <w:tcPr>
            <w:tcW w:type="dxa" w:w="3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G.2 Sweep Timing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G.3 Fees (Immutable)</w:t>
      </w:r>
    </w:p>
    <w:p>
      <w:pPr>
        <w:spacing w:before="100" w:after="100"/>
        <w:jc w:val="both"/>
      </w:pPr>
      <w:r>
        <w:rPr>
          <w:rFonts w:ascii="Arial" w:cs="Arial" w:eastAsia="Arial" w:hAnsi="Arial"/>
          <w:sz w:val="22"/>
          <w:szCs w:val="22"/>
        </w:rPr>
        <w:t xml:space="preserve">All transaction fees: 0. IMMUTABLE — Zero forever. This applies to all instrument types (I, C, Y, V, L, S, M, 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G.4 Executor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40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2,592,000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G.5 Loan Safeguards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4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G.6 PAY_AS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G.7 HedgeKX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600"/>
        <w:gridCol w:w="40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24-hour maximum duration.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LIVE — sweep evaluates every 60s against oracle price cache.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savings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YubiHSM activation.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friendly_loan_hedge_fee_pct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hedge fee rate for friendly loans.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friendly_loan_max_duration_days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friendly loan duration in days.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friendly_loan_priority_enabled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 loan hedge requests served first when HedgeKX capacity is limited.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G.8 KXGC</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G.9 MISAI</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0.50</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G.10 Privacy</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G.11 Emergency Switches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pPr>
        <w:pStyle w:val="Heading2"/>
        <w:spacing w:before="320" w:after="160"/>
      </w:pPr>
      <w:r>
        <w:rPr>
          <w:rFonts w:ascii="Arial" w:cs="Arial" w:eastAsia="Arial" w:hAnsi="Arial"/>
          <w:b/>
          <w:bCs/>
          <w:color w:val="1F4E79"/>
          <w:sz w:val="28"/>
          <w:szCs w:val="28"/>
        </w:rPr>
        <w:t xml:space="preserve">G.13 Verifas Suspense System</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verifas_long_duration_threshold_days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365</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Locks with unlock_at above this threshold are subject to the three-stage Verifas suspense system rather than simple RevertToSender.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verifas_stage1_days_wallet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after maturity before a wallet-recipient long-duration lock enters Stage 2 (two-party). Minimum: 0.</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verifas_stage1_days_email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after maturity before an email-recipient long-duration lock enters Stage 2. Default 0 — email locks enter two-party mode immediately on maturity to protect against future email infrastructure compromise.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verifas_stage2_days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2555</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in Stage 2 (two-party lock) before sole custody transfers to Verifas. Default ~7 years.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verifas_custody_days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36500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in Verifas sole custody before KX transfers to Humanity Stake. Default ~100 years.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verifas_fee_basis_points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TBD</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Governance-approved fee paid to Verifas bonded attestor at successful Stage 2 or Stage 3 release. Paid from the lock value at time of release.</w:t>
            </w:r>
          </w:p>
        </w:tc>
      </w:tr>
    </w:tbl>
    <w:p>
      <w:r>
        <w:br w:type="page"/>
      </w:r>
    </w:p>
    <w:p>
      <w:pPr>
        <w:pStyle w:val="Heading1"/>
        <w:spacing w:before="480" w:after="240"/>
      </w:pPr>
      <w:r>
        <w:rPr>
          <w:rFonts w:ascii="Arial" w:cs="Arial" w:eastAsia="Arial" w:hAnsi="Arial"/>
          <w:b/>
          <w:bCs/>
          <w:color w:val="1F4E79"/>
          <w:sz w:val="34"/>
          <w:szCs w:val="34"/>
        </w:rPr>
        <w:t xml:space="preserve">Appendix H — Use Case Playbooks</w:t>
      </w:r>
    </w:p>
    <w:p>
      <w:pPr>
        <w:spacing w:before="100" w:after="10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H.1 — I Want to Issue Debt</w:t>
      </w:r>
    </w:p>
    <w:p>
      <w:pPr>
        <w:spacing w:before="100" w:after="100"/>
        <w:jc w:val="both"/>
      </w:pPr>
      <w:r>
        <w:rPr>
          <w:rFonts w:ascii="Arial" w:cs="Arial" w:eastAsia="Arial" w:hAnsi="Arial"/>
          <w:i/>
          <w:iCs/>
          <w:sz w:val="22"/>
          <w:szCs w:val="22"/>
        </w:rPr>
        <w:t xml:space="preserve">Who this is for: corporations, real estate developers, municipalities, private lenders.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80" w:after="80"/>
      </w:pPr>
      <w:r>
        <w:t xml:space="preserve"/>
      </w:r>
    </w:p>
    <w:p>
      <w:pPr>
        <w:spacing w:before="100" w:after="10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H.2 — I Want to Build a Marketplace</w:t>
      </w:r>
    </w:p>
    <w:p>
      <w:pPr>
        <w:spacing w:before="100" w:after="100"/>
        <w:jc w:val="both"/>
      </w:pPr>
      <w:r>
        <w:rPr>
          <w:rFonts w:ascii="Arial" w:cs="Arial" w:eastAsia="Arial" w:hAnsi="Arial"/>
          <w:i/>
          <w:iCs/>
          <w:sz w:val="22"/>
          <w:szCs w:val="22"/>
        </w:rPr>
        <w:t xml:space="preserve">Who this is for: fintech developers, exchange operators, DeFi builders.</w:t>
      </w:r>
    </w:p>
    <w:p>
      <w:pPr>
        <w:spacing w:before="80" w:after="80"/>
      </w:pPr>
      <w:r>
        <w:t xml:space="preserve"/>
      </w:r>
    </w:p>
    <w:p>
      <w:pPr>
        <w:spacing w:before="100" w:after="100"/>
        <w:jc w:val="both"/>
      </w:pPr>
      <w:r>
        <w:rPr>
          <w:rFonts w:ascii="Arial" w:cs="Arial" w:eastAsia="Arial" w:hAnsi="Arial"/>
          <w:sz w:val="22"/>
          <w:szCs w:val="22"/>
        </w:rPr>
        <w:t xml:space="preserve">Key RPC methods: chronx_getYieldInputs, chronx_getObligationsByOwner, chronx_getTransferHistory, chronx_getTranches. Full method reference: Appendix I.</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H.3 — I Want to Rate Loans</w:t>
      </w:r>
    </w:p>
    <w:p>
      <w:pPr>
        <w:spacing w:before="100" w:after="100"/>
        <w:jc w:val="both"/>
      </w:pPr>
      <w:r>
        <w:rPr>
          <w:rFonts w:ascii="Arial" w:cs="Arial" w:eastAsia="Arial" w:hAnsi="Arial"/>
          <w:i/>
          <w:iCs/>
          <w:sz w:val="22"/>
          <w:szCs w:val="22"/>
        </w:rPr>
        <w:t xml:space="preserve">Who this is for: credit rating analysts, risk modelers, financial data companies.</w:t>
      </w:r>
    </w:p>
    <w:p>
      <w:pPr>
        <w:spacing w:before="80" w:after="80"/>
      </w:pPr>
      <w:r>
        <w:t xml:space="preserve"/>
      </w:r>
    </w:p>
    <w:p>
      <w:pPr>
        <w:spacing w:before="100" w:after="10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H.4 — I Have 20 Years of Insurance Experience</w:t>
      </w:r>
    </w:p>
    <w:p>
      <w:pPr>
        <w:spacing w:before="100" w:after="100"/>
        <w:jc w:val="both"/>
      </w:pPr>
      <w:r>
        <w:rPr>
          <w:rFonts w:ascii="Arial" w:cs="Arial" w:eastAsia="Arial" w:hAnsi="Arial"/>
          <w:i/>
          <w:iCs/>
          <w:sz w:val="22"/>
          <w:szCs w:val="22"/>
        </w:rPr>
        <w:t xml:space="preserve">Who this is for: insurance underwriters, surplus lines operators, reinsurance professionals.</w:t>
      </w:r>
    </w:p>
    <w:p>
      <w:pPr>
        <w:spacing w:before="80" w:after="80"/>
      </w:pPr>
      <w:r>
        <w:t xml:space="preserve"/>
      </w:r>
    </w:p>
    <w:p>
      <w:pPr>
        <w:spacing w:before="100" w:after="100"/>
        <w:jc w:val="both"/>
      </w:pPr>
      <w:r>
        <w:rPr>
          <w:rFonts w:ascii="Arial" w:cs="Arial" w:eastAsia="Arial" w:hAnsi="Arial"/>
          <w:sz w:val="22"/>
          <w:szCs w:val="22"/>
        </w:rPr>
        <w:t xml:space="preserve">Major insurers are exiting California. Homeowners with paid-off properties are legally self-insurable. KXGC provides 300,000,000 KX in fully-reserved capital — permanently on the DAG, queryable by anyone. No audit required. No regulatory filing. The DAG is the proof.</w:t>
      </w:r>
    </w:p>
    <w:p>
      <w:pPr>
        <w:spacing w:before="80" w:after="80"/>
      </w:pPr>
      <w:r>
        <w:t xml:space="preserve"/>
      </w:r>
    </w:p>
    <w:p>
      <w:pPr>
        <w:spacing w:before="100" w:after="100"/>
        <w:jc w:val="both"/>
      </w:pPr>
      <w:r>
        <w:rPr>
          <w:rFonts w:ascii="Arial" w:cs="Arial" w:eastAsia="Arial" w:hAnsi="Arial"/>
          <w:b/>
          <w:bCs/>
          <w:sz w:val="22"/>
          <w:szCs w:val="22"/>
        </w:rPr>
        <w:t xml:space="preserve">How to get started:</w:t>
      </w:r>
    </w:p>
    <w:p>
      <w:pPr>
        <w:pStyle w:val="ListParagraph"/>
        <w:numPr>
          <w:ilvl w:val="0"/>
          <w:numId w:val="3"/>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3"/>
        </w:numPr>
        <w:spacing w:before="60" w:after="60"/>
      </w:pPr>
      <w:r>
        <w:rPr>
          <w:rFonts w:ascii="Arial" w:cs="Arial" w:eastAsia="Arial" w:hAnsi="Arial"/>
          <w:sz w:val="22"/>
          <w:szCs w:val="22"/>
        </w:rPr>
        <w:t xml:space="preserve">KXGC issues TYPE A authority grant</w:t>
      </w:r>
    </w:p>
    <w:p>
      <w:pPr>
        <w:pStyle w:val="ListParagraph"/>
        <w:numPr>
          <w:ilvl w:val="0"/>
          <w:numId w:val="3"/>
        </w:numPr>
        <w:spacing w:before="60" w:after="60"/>
      </w:pPr>
      <w:r>
        <w:rPr>
          <w:rFonts w:ascii="Arial" w:cs="Arial" w:eastAsia="Arial" w:hAnsi="Arial"/>
          <w:sz w:val="22"/>
          <w:szCs w:val="22"/>
        </w:rPr>
        <w:t xml:space="preserve">Get INSURANCE badge from CPNX</w:t>
      </w:r>
    </w:p>
    <w:p>
      <w:pPr>
        <w:pStyle w:val="ListParagraph"/>
        <w:numPr>
          <w:ilvl w:val="0"/>
          <w:numId w:val="3"/>
        </w:numPr>
        <w:spacing w:before="60" w:after="60"/>
      </w:pPr>
      <w:r>
        <w:rPr>
          <w:rFonts w:ascii="Arial" w:cs="Arial" w:eastAsia="Arial" w:hAnsi="Arial"/>
          <w:sz w:val="22"/>
          <w:szCs w:val="22"/>
        </w:rPr>
        <w:t xml:space="preserve">Create TYPE P-R pool with mandatory disclosure_text</w:t>
      </w:r>
    </w:p>
    <w:p>
      <w:pPr>
        <w:pStyle w:val="ListParagraph"/>
        <w:numPr>
          <w:ilvl w:val="0"/>
          <w:numId w:val="3"/>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3"/>
        </w:numPr>
        <w:spacing w:before="60" w:after="60"/>
      </w:pPr>
      <w:r>
        <w:rPr>
          <w:rFonts w:ascii="Arial" w:cs="Arial" w:eastAsia="Arial" w:hAnsi="Arial"/>
          <w:sz w:val="22"/>
          <w:szCs w:val="22"/>
        </w:rPr>
        <w:t xml:space="preserve">Design attestor group as TYPE G with min_attestors_pct</w:t>
      </w:r>
    </w:p>
    <w:p>
      <w:pPr>
        <w:pStyle w:val="ListParagraph"/>
        <w:numPr>
          <w:ilvl w:val="0"/>
          <w:numId w:val="3"/>
        </w:numPr>
        <w:spacing w:before="60" w:after="60"/>
      </w:pPr>
      <w:r>
        <w:rPr>
          <w:rFonts w:ascii="Arial" w:cs="Arial" w:eastAsia="Arial" w:hAnsi="Arial"/>
          <w:sz w:val="22"/>
          <w:szCs w:val="22"/>
        </w:rPr>
        <w:t xml:space="preserve">KXGC backstops via TYPE W waterfall</w:t>
      </w:r>
    </w:p>
    <w:p>
      <w:pPr>
        <w:spacing w:before="80" w:after="80"/>
      </w:pPr>
      <w:r>
        <w:t xml:space="preserve"/>
      </w:r>
    </w:p>
    <w:p>
      <w:pPr>
        <w:spacing w:before="100" w:after="100"/>
        <w:jc w:val="both"/>
      </w:pPr>
      <w:r>
        <w:rPr>
          <w:rFonts w:ascii="Arial" w:cs="Arial" w:eastAsia="Arial" w:hAnsi="Arial"/>
          <w:sz w:val="22"/>
          <w:szCs w:val="22"/>
        </w:rPr>
        <w:t xml:space="preserve">Regulatory note: Homes owned free and clear are legally self-insurable in most US jurisdictions. Consult qualified legal counsel before operating.</w:t>
      </w:r>
    </w:p>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H.5 — I Want to Write Homeowner Insurance as a Mutual Benefit Company</w:t>
      </w:r>
    </w:p>
    <w:p>
      <w:pPr>
        <w:spacing w:before="100" w:after="100"/>
        <w:jc w:val="both"/>
      </w:pPr>
      <w:r>
        <w:rPr>
          <w:rFonts w:ascii="Arial" w:cs="Arial" w:eastAsia="Arial" w:hAnsi="Arial"/>
          <w:i/>
          <w:iCs/>
          <w:sz w:val="22"/>
          <w:szCs w:val="22"/>
        </w:rPr>
        <w:t xml:space="preserve">Who this is for: founders building a blockchain-native insurance mutual for free-and-clear homeowners.</w:t>
      </w:r>
    </w:p>
    <w:p>
      <w:pPr>
        <w:spacing w:before="80" w:after="80"/>
      </w:pPr>
      <w:r>
        <w:t xml:space="preserve"/>
      </w:r>
    </w:p>
    <w:p>
      <w:pPr>
        <w:spacing w:before="100" w:after="10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Consult a surplus lines attorney before writing policy #1.</w:t>
      </w:r>
    </w:p>
    <w:p>
      <w:pPr>
        <w:spacing w:before="80" w:after="80"/>
      </w:pPr>
      <w:r>
        <w:t xml:space="preserve"/>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5260"/>
      </w:tblGrid>
      <w:t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H.6 — I Want to Run a Node</w:t>
      </w:r>
    </w:p>
    <w:p>
      <w:pPr>
        <w:spacing w:before="100" w:after="100"/>
        <w:jc w:val="both"/>
      </w:pPr>
      <w:r>
        <w:rPr>
          <w:rFonts w:ascii="Arial" w:cs="Arial" w:eastAsia="Arial" w:hAnsi="Arial"/>
          <w:i/>
          <w:iCs/>
          <w:sz w:val="22"/>
          <w:szCs w:val="22"/>
        </w:rPr>
        <w:t xml:space="preserve">Who this is for: technical operators, infrastructure providers, community participants.</w:t>
      </w:r>
    </w:p>
    <w:p>
      <w:pPr>
        <w:spacing w:before="80" w:after="80"/>
      </w:pPr>
      <w:r>
        <w:t xml:space="preserve"/>
      </w:r>
    </w:p>
    <w:p>
      <w:pPr>
        <w:spacing w:before="100" w:after="100"/>
        <w:jc w:val="both"/>
      </w:pPr>
      <w:r>
        <w:rPr>
          <w:rFonts w:ascii="Arial" w:cs="Arial" w:eastAsia="Arial" w:hAnsi="Arial"/>
          <w:b/>
          <w:bCs/>
          <w:sz w:val="22"/>
          <w:szCs w:val="22"/>
        </w:rPr>
        <w:t xml:space="preserve">What you get from January 1, 2029:</w:t>
      </w:r>
    </w:p>
    <w:p>
      <w:pPr>
        <w:spacing w:before="100" w:after="100"/>
        <w:jc w:val="both"/>
      </w:pPr>
      <w:r>
        <w:rPr>
          <w:rFonts w:ascii="Arial" w:cs="Arial" w:eastAsia="Arial" w:hAnsi="Arial"/>
          <w:sz w:val="22"/>
          <w:szCs w:val="22"/>
        </w:rPr>
        <w:t xml:space="preserve">Proportional share of Node Rewards harmonic release (1,000,000,000 KX over 100 years). Year 1 release at ICO price ($0.00319): approximately $2.8M USD distributed across all active operators.</w:t>
      </w:r>
    </w:p>
    <w:p>
      <w:pPr>
        <w:spacing w:before="80" w:after="80"/>
      </w:pPr>
      <w:r>
        <w:t xml:space="preserve"/>
      </w:r>
    </w:p>
    <w:p>
      <w:pPr>
        <w:spacing w:before="100" w:after="10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H.7 — I Want to Build an AI Agent on ChronX</w:t>
      </w:r>
    </w:p>
    <w:p>
      <w:pPr>
        <w:spacing w:before="100" w:after="100"/>
        <w:jc w:val="both"/>
      </w:pPr>
      <w:r>
        <w:rPr>
          <w:rFonts w:ascii="Arial" w:cs="Arial" w:eastAsia="Arial" w:hAnsi="Arial"/>
          <w:i/>
          <w:iCs/>
          <w:sz w:val="22"/>
          <w:szCs w:val="22"/>
        </w:rPr>
        <w:t xml:space="preserve">Who this is for: AI developers, quant funds, autonomous agent builders.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authorisations: pre-authorised draws, no per-transaction approval</w:t>
      </w:r>
    </w:p>
    <w:p>
      <w:pPr>
        <w:spacing w:before="80" w:after="80"/>
      </w:pPr>
      <w:r>
        <w:t xml:space="preserve"/>
      </w:r>
    </w:p>
    <w:p>
      <w:pPr>
        <w:spacing w:before="100" w:after="100"/>
        <w:jc w:val="both"/>
      </w:pPr>
      <w:r>
        <w:rPr>
          <w:rFonts w:ascii="Arial" w:cs="Arial" w:eastAsia="Arial" w:hAnsi="Arial"/>
          <w:sz w:val="22"/>
          <w:szCs w:val="22"/>
        </w:rPr>
        <w:t xml:space="preserve">Contact: contact@misai.io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H.8 — I Want to Hedge KX/USD Exposure</w:t>
      </w:r>
    </w:p>
    <w:p>
      <w:pPr>
        <w:spacing w:before="100" w:after="100"/>
        <w:jc w:val="both"/>
      </w:pPr>
      <w:r>
        <w:rPr>
          <w:rFonts w:ascii="Arial" w:cs="Arial" w:eastAsia="Arial" w:hAnsi="Arial"/>
          <w:i/>
          <w:iCs/>
          <w:sz w:val="22"/>
          <w:szCs w:val="22"/>
        </w:rPr>
        <w:t xml:space="preserve">Who this is for: KX holders who want USD stability, insurance mutuals needing currency risk coverage, long-horizon promise creators.</w:t>
      </w:r>
    </w:p>
    <w:p>
      <w:pPr>
        <w:spacing w:before="80" w:after="80"/>
      </w:pPr>
      <w:r>
        <w:t xml:space="preserve"/>
      </w:r>
    </w:p>
    <w:p>
      <w:pPr>
        <w:spacing w:before="100" w:after="10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A hedger who loses money on a correctly-executed instrument has no claim against HedgeKX or any other party. The instrument executed as designed.</w:t>
      </w:r>
    </w:p>
    <w:p>
      <w:pPr>
        <w:spacing w:before="80" w:after="80"/>
      </w:pPr>
      <w:r>
        <w:t xml:space="preserve"/>
      </w:r>
    </w:p>
    <w:p>
      <w:pPr>
        <w:spacing w:before="100" w:after="100"/>
        <w:jc w:val="both"/>
      </w:pPr>
      <w:r>
        <w:rPr>
          <w:rFonts w:ascii="Arial" w:cs="Arial" w:eastAsia="Arial" w:hAnsi="Arial"/>
          <w:b/>
          <w:bCs/>
          <w:sz w:val="22"/>
          <w:szCs w:val="22"/>
        </w:rPr>
        <w:t xml:space="preserve">Available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80" w:after="80"/>
      </w:pPr>
      <w:r>
        <w:t xml:space="preserve"/>
      </w:r>
    </w:p>
    <w:p>
      <w:pPr>
        <w:spacing w:before="100" w:after="100"/>
        <w:jc w:val="both"/>
      </w:pPr>
      <w:r>
        <w:rPr>
          <w:rFonts w:ascii="Arial" w:cs="Arial" w:eastAsia="Arial" w:hAnsi="Arial"/>
          <w:b/>
          <w:bCs/>
          <w:sz w:val="22"/>
          <w:szCs w:val="22"/>
        </w:rPr>
        <w:t xml:space="preserve">Planned:</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as CompoundAND and LinkedSpring are built</w:t>
      </w:r>
    </w:p>
    <w:p>
      <w:pPr>
        <w:spacing w:before="80" w:after="80"/>
      </w:pPr>
      <w:r>
        <w:t xml:space="preserve"/>
      </w:r>
    </w:p>
    <w:p>
      <w:pPr>
        <w:spacing w:before="100" w:after="100"/>
        <w:jc w:val="both"/>
      </w:pPr>
      <w:r>
        <w:rPr>
          <w:rFonts w:ascii="Arial" w:cs="Arial" w:eastAsia="Arial" w:hAnsi="Arial"/>
          <w:sz w:val="22"/>
          <w:szCs w:val="22"/>
        </w:rPr>
        <w:t xml:space="preserve">Contact: contact@hedgekx.io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H.9 — I Want to Use Verifas for Long-Horizon Delivery</w:t>
      </w:r>
    </w:p>
    <w:p>
      <w:pPr>
        <w:spacing w:before="100" w:after="100"/>
        <w:jc w:val="both"/>
      </w:pPr>
      <w:r>
        <w:rPr>
          <w:rFonts w:ascii="Arial" w:cs="Arial" w:eastAsia="Arial" w:hAnsi="Arial"/>
          <w:sz w:val="22"/>
          <w:szCs w:val="22"/>
        </w:rPr>
        <w:t xml:space="preserve">Who this is for: estate planners, trust attorneys, family offices, anyone making promises that outlast contact information.</w:t>
      </w:r>
    </w:p>
    <w:p>
      <w:pPr>
        <w:spacing w:before="100" w:after="100"/>
      </w:pPr>
    </w:p>
    <w:p>
      <w:pPr>
        <w:spacing w:before="100" w:after="100"/>
        <w:jc w:val="both"/>
      </w:pPr>
      <w:r>
        <w:rPr>
          <w:rFonts w:ascii="Arial" w:cs="Arial" w:eastAsia="Arial" w:hAnsi="Arial"/>
          <w:sz w:val="22"/>
          <w:szCs w:val="22"/>
        </w:rPr>
        <w:t xml:space="preserve">What happens at maturity:</w:t>
      </w:r>
    </w:p>
    <w:p>
      <w:pPr>
        <w:spacing w:before="100" w:after="100"/>
      </w:pPr>
    </w:p>
    <w:p>
      <w:pPr>
        <w:spacing w:before="100" w:after="100"/>
        <w:jc w:val="both"/>
      </w:pPr>
      <w:r>
        <w:rPr>
          <w:rFonts w:ascii="Arial" w:cs="Arial" w:eastAsia="Arial" w:hAnsi="Arial"/>
          <w:sz w:val="22"/>
          <w:szCs w:val="22"/>
        </w:rPr>
        <w:t xml:space="preserve">Lock matures. Recipient has the Stage 1 window to self-claim (governance-set: default 90 days for wallet locks, default 0 days for email locks).</w:t>
      </w:r>
    </w:p>
    <w:p>
      <w:pPr>
        <w:spacing w:before="100" w:after="100"/>
      </w:pPr>
    </w:p>
    <w:p>
      <w:pPr>
        <w:spacing w:before="100" w:after="100"/>
        <w:jc w:val="both"/>
      </w:pPr>
      <w:r>
        <w:rPr>
          <w:rFonts w:ascii="Arial" w:cs="Arial" w:eastAsia="Arial" w:hAnsi="Arial"/>
          <w:sz w:val="22"/>
          <w:szCs w:val="22"/>
        </w:rPr>
        <w:t xml:space="preserve">After Stage 1: The lock automatically converts to a two-party lock requiring both the recipient’s signature and a Verifas bonded attestor’s co-signature. Neither party has custody. The KX has not moved. The recipient can still claim at any time during Stage 2 — they simply need Verifas attestation to co-sign.</w:t>
      </w:r>
    </w:p>
    <w:p>
      <w:pPr>
        <w:spacing w:before="100" w:after="100"/>
      </w:pPr>
    </w:p>
    <w:p>
      <w:pPr>
        <w:spacing w:before="100" w:after="100"/>
        <w:jc w:val="both"/>
      </w:pPr>
      <w:r>
        <w:rPr>
          <w:rFonts w:ascii="Arial" w:cs="Arial" w:eastAsia="Arial" w:hAnsi="Arial"/>
          <w:sz w:val="22"/>
          <w:szCs w:val="22"/>
        </w:rPr>
        <w:t xml:space="preserve">After Stage 2 (governance-set extended inactivity, default 7 years): Sole custody transfers to Verifas for active estate resolution.</w:t>
      </w:r>
    </w:p>
    <w:p>
      <w:pPr>
        <w:spacing w:before="100" w:after="100"/>
      </w:pPr>
    </w:p>
    <w:p>
      <w:pPr>
        <w:spacing w:before="100" w:after="100"/>
        <w:jc w:val="both"/>
      </w:pPr>
      <w:r>
        <w:rPr>
          <w:rFonts w:ascii="Arial" w:cs="Arial" w:eastAsia="Arial" w:hAnsi="Arial"/>
          <w:sz w:val="22"/>
          <w:szCs w:val="22"/>
        </w:rPr>
        <w:t xml:space="preserve">If unclaimed after Verifas custody window (default 100 years): KX transfers to Humanity Stake.</w:t>
      </w:r>
    </w:p>
    <w:p>
      <w:pPr>
        <w:spacing w:before="100" w:after="100"/>
      </w:pPr>
    </w:p>
    <w:p>
      <w:pPr>
        <w:spacing w:before="100" w:after="100"/>
        <w:jc w:val="both"/>
      </w:pPr>
      <w:r>
        <w:rPr>
          <w:rFonts w:ascii="Arial" w:cs="Arial" w:eastAsia="Arial" w:hAnsi="Arial"/>
          <w:sz w:val="22"/>
          <w:szCs w:val="22"/>
        </w:rPr>
        <w:t xml:space="preserve">A note on the beneficiary_package: Attaching a beneficiary_package at lock creation — even a minimal one containing just an email address or identifier — gives Verifas richer information to work with. It is not required to trigger the two-party lock or the Verifas process. But it increases the probability of successful delivery. For high-value long-duration locks, a complete beneficiary package is strongly recommended.</w:t>
      </w:r>
    </w:p>
    <w:p>
      <w:pPr>
        <w:spacing w:before="100" w:after="100"/>
      </w:pPr>
    </w:p>
    <w:p>
      <w:pPr>
        <w:spacing w:before="100" w:after="100"/>
        <w:jc w:val="both"/>
      </w:pPr>
      <w:r>
        <w:rPr>
          <w:rFonts w:ascii="Arial" w:cs="Arial" w:eastAsia="Arial" w:hAnsi="Arial"/>
          <w:sz w:val="22"/>
          <w:szCs w:val="22"/>
        </w:rPr>
        <w:t xml:space="preserve">When creating a long-duration email lock in the wallet, the following notice is displayed: “Due to the extended duration of this promise, if the recipient does not claim within the standard window, Verifas identity verification MAY be required before the promise can be released. Verifas will make reasonable efforts to locate the recipient — but delivery is not guaranteed for all promises.”</w:t>
      </w:r>
    </w:p>
    <w:p>
      <w:pPr>
        <w:spacing w:before="100" w:after="100"/>
      </w:pPr>
    </w:p>
    <w:p>
      <w:pPr>
        <w:spacing w:before="100" w:after="100"/>
        <w:jc w:val="both"/>
      </w:pPr>
      <w:r>
        <w:rPr>
          <w:rFonts w:ascii="Arial" w:cs="Arial" w:eastAsia="Arial" w:hAnsi="Arial"/>
          <w:sz w:val="22"/>
          <w:szCs w:val="22"/>
        </w:rPr>
        <w:t xml:space="preserve">Contact: contact@verifas.io</w:t>
      </w:r>
    </w:p>
    <w:p>
      <w:r>
        <w:br w:type="page"/>
      </w:r>
    </w:p>
    <w:p>
      <w:pPr>
        <w:pStyle w:val="Heading1"/>
        <w:spacing w:before="480" w:after="240"/>
      </w:pPr>
      <w:r>
        <w:rPr>
          <w:rFonts w:ascii="Arial" w:cs="Arial" w:eastAsia="Arial" w:hAnsi="Arial"/>
          <w:b/>
          <w:bCs/>
          <w:color w:val="1F4E79"/>
          <w:sz w:val="34"/>
          <w:szCs w:val="34"/>
        </w:rPr>
        <w:t xml:space="preserve">Appendix I — RPC Method Reference</w:t>
      </w:r>
    </w:p>
    <w:p>
      <w:pPr>
        <w:spacing w:before="100" w:after="10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80" w:after="80"/>
      </w:pPr>
      <w:r>
        <w:t xml:space="preserve"/>
      </w:r>
    </w:p>
    <w:p>
      <w:pPr>
        <w:spacing w:before="100" w:after="100"/>
        <w:jc w:val="both"/>
      </w:pPr>
      <w:r>
        <w:rPr>
          <w:rFonts w:ascii="Arial" w:cs="Arial" w:eastAsia="Arial" w:hAnsi="Arial"/>
          <w:sz w:val="22"/>
          <w:szCs w:val="22"/>
        </w:rPr>
        <w:t xml:space="preserve">Note: rpc.chronx.io is a legacy alias. Always use https://api.chronx.io/rpc.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Time-Lock and Promise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Locks with required_hedge_ids referencing pool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Loan</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record if filed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Payment Types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Identity, Badges, and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Bond balance, obligations, capacity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Example Request</w:t>
      </w:r>
    </w:p>
    <w:p>
      <w:pPr>
        <w:spacing w:before="100" w:after="100"/>
        <w:jc w:val="both"/>
      </w:pPr>
      <w:r>
        <w:rPr>
          <w:rFonts w:ascii="Arial" w:cs="Arial" w:eastAsia="Arial" w:hAnsi="Arial"/>
          <w:sz w:val="22"/>
          <w:szCs w:val="22"/>
        </w:rPr>
        <w:t xml:space="preserve">{ "jsonrpc": "2.0", "method": "chronx_getBalance", "params": ["BqjGDbhzLJJgzpVywRxug4wTa2Qqtwipc1hkcLLJsWzF"], "id": 1 }</w:t>
      </w:r>
    </w:p>
    <w:p>
      <w:r>
        <w:br w:type="page"/>
      </w:r>
    </w:p>
    <w:p>
      <w:pPr>
        <w:pStyle w:val="Heading1"/>
        <w:spacing w:before="480" w:after="240"/>
      </w:pPr>
      <w:r>
        <w:rPr>
          <w:rFonts w:ascii="Arial" w:cs="Arial" w:eastAsia="Arial" w:hAnsi="Arial"/>
          <w:b/>
          <w:bCs/>
          <w:color w:val="1F4E79"/>
          <w:sz w:val="34"/>
          <w:szCs w:val="34"/>
        </w:rPr>
        <w:t xml:space="preserve">Appendix J — The Axioms (Complete)</w:t>
      </w:r>
    </w:p>
    <w:p>
      <w:pPr>
        <w:spacing w:before="100" w:after="10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spacing w:before="80" w:after="80"/>
      </w:pPr>
      <w:r>
        <w:t xml:space="preserve"/>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80" w:after="80"/>
      </w:pPr>
      <w:r>
        <w:t xml:space="preserve"/>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spacing w:before="100" w:after="100"/>
        <w:jc w:val="both"/>
      </w:pPr>
      <w:r>
        <w:rPr>
          <w:rFonts w:ascii="Arial" w:cs="Arial" w:eastAsia="Arial" w:hAnsi="Arial"/>
          <w:b/>
          <w:bCs/>
          <w:sz w:val="22"/>
          <w:szCs w:val="22"/>
        </w:rPr>
        <w:t xml:space="preserve">What final_genesis: true means</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Appendix K — CPNX Badge System</w:t>
      </w:r>
    </w:p>
    <w:p>
      <w:pPr>
        <w:spacing w:before="100" w:after="10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K.1 Badge Catalog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1800"/>
        <w:gridCol w:w="20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INSURANCE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K.2 Badge Lifecycle</w:t>
      </w:r>
    </w:p>
    <w:p>
      <w:pPr>
        <w:spacing w:before="100" w:after="100"/>
        <w:jc w:val="both"/>
      </w:pPr>
      <w:r>
        <w:rPr>
          <w:rFonts w:ascii="Arial" w:cs="Arial" w:eastAsia="Arial" w:hAnsi="Arial"/>
          <w:sz w:val="22"/>
          <w:szCs w:val="22"/>
        </w:rPr>
        <w:t xml:space="preserve">Application: Submit at cpnx.com. CPNX reviews independently. CPNX submits TYPE L IdentityVerified entry to DAG using CPNX bond wallet. Badge queryable via RPC.</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Revocation Type</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fraud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K.3 Developer Integration</w:t>
      </w:r>
    </w:p>
    <w:p>
      <w:pPr>
        <w:spacing w:before="100" w:after="100"/>
        <w:jc w:val="both"/>
      </w:pPr>
      <w:r>
        <w:rPr>
          <w:rFonts w:ascii="Arial" w:cs="Arial" w:eastAsia="Arial" w:hAnsi="Arial"/>
          <w:sz w:val="22"/>
          <w:szCs w:val="22"/>
        </w:rPr>
        <w:t xml:space="preserve">Public API: GET https://api.chronx.io/wallet/badges/:wallet_address. Returns: [{badge_type, color, issued_by, expires_at}]. Expired badges automatically filtered.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K.4 CPNX Bond and Accountability</w:t>
      </w:r>
    </w:p>
    <w:p>
      <w:pPr>
        <w:spacing w:before="100" w:after="10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r>
        <w:br w:type="page"/>
      </w:r>
    </w:p>
    <w:p>
      <w:pPr>
        <w:pStyle w:val="Heading1"/>
        <w:spacing w:before="480" w:after="240"/>
      </w:pPr>
      <w:r>
        <w:rPr>
          <w:rFonts w:ascii="Arial" w:cs="Arial" w:eastAsia="Arial" w:hAnsi="Arial"/>
          <w:b/>
          <w:bCs/>
          <w:color w:val="1F4E79"/>
          <w:sz w:val="34"/>
          <w:szCs w:val="34"/>
        </w:rPr>
        <w:t xml:space="preserve">Appendix L — HedgeKX Complete Reference</w:t>
      </w:r>
    </w:p>
    <w:p>
      <w:pPr>
        <w:spacing w:before="100" w:after="100"/>
        <w:jc w:val="both"/>
      </w:pPr>
      <w:r>
        <w:rPr>
          <w:rFonts w:ascii="Arial" w:cs="Arial" w:eastAsia="Arial" w:hAnsi="Arial"/>
          <w:sz w:val="22"/>
          <w:szCs w:val="22"/>
        </w:rPr>
        <w:t xml:space="preserve">HedgeKX is an Essential Protocol Partner and forward exchange facilitator. This appendix is the operational technical reference for HedgeKX participants, instrument designers, and developers. For the complete risk reference including attack vectors, settlement mechanics, and USDC holder risk assessment, see Appendix 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 Mandate</w:t>
      </w:r>
    </w:p>
    <w:p>
      <w:pPr>
        <w:spacing w:before="100" w:after="100"/>
        <w:jc w:val="both"/>
      </w:pPr>
      <w:r>
        <w:rPr>
          <w:rFonts w:ascii="Arial" w:cs="Arial" w:eastAsia="Arial" w:hAnsi="Arial"/>
          <w:sz w:val="22"/>
          <w:szCs w:val="22"/>
        </w:rPr>
        <w:t xml:space="preserve">HedgeKX does exactly three things in its current phase:</w:t>
      </w:r>
    </w:p>
    <w:p>
      <w:pPr>
        <w:pStyle w:val="ListParagraph"/>
        <w:numPr>
          <w:ilvl w:val="0"/>
          <w:numId w:val="2"/>
        </w:numPr>
        <w:spacing w:before="60" w:after="60"/>
      </w:pPr>
      <w:r>
        <w:rPr>
          <w:rFonts w:ascii="Arial" w:cs="Arial" w:eastAsia="Arial" w:hAnsi="Arial"/>
          <w:sz w:val="22"/>
          <w:szCs w:val="22"/>
        </w:rPr>
        <w:t xml:space="preserve">Operates a matching platform where Exchange Buyers and Currency B Committers find each other</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80" w:after="80"/>
      </w:pPr>
      <w:r>
        <w:t xml:space="preserve"/>
      </w:r>
    </w:p>
    <w:p>
      <w:pPr>
        <w:spacing w:before="100" w:after="100"/>
        <w:jc w:val="both"/>
      </w:pPr>
      <w:r>
        <w:rPr>
          <w:rFonts w:ascii="Arial" w:cs="Arial" w:eastAsia="Arial" w:hAnsi="Arial"/>
          <w:sz w:val="22"/>
          <w:szCs w:val="22"/>
        </w:rPr>
        <w:t xml:space="preserve">HedgeKX does not hold funds. Does not price instruments. Does not take positions in normal operation. Does not manage pools. Does not guarantee outcomes. Does not make any decision about any instrument. Every hedge instrument is a bilateral contract between two wallets. HedgeKX is the venue and the settlement coordinator, not the counterparty.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L.2 Current Governance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LIVE. Sweep runs every 60 seconds.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annual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YubiHSM activation.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L.3 Standard Overnight Hedge Instrument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Return</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L.4 The Hedge Tower (Insurance Use Case)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800"/>
        <w:gridCol w:w="1400"/>
        <w:gridCol w:w="1200"/>
        <w:gridCol w:w="146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1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Market-set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 year</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~12%/year</w:t>
            </w:r>
          </w:p>
        </w:tc>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L.5 PAY_AS Long-Horizon Hedging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760"/>
      </w:tblGrid>
      <w:tr>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Dynamic</w:t>
            </w:r>
          </w:p>
        </w:tc>
        <w:tc>
          <w:tcPr>
            <w:tcW w:type="dxa" w:w="4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L.6 HedgeKX Evolution Roadmap</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200"/>
        <w:gridCol w:w="30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Founding developer as test participant. SingleAttestation condition type.</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4</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L.7 Liability and Disclosure</w:t>
      </w:r>
    </w:p>
    <w:p>
      <w:pPr>
        <w:spacing w:before="100" w:after="10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 this instrument will pay out if the specified condition is met — a payout is the instrument working as designed; loss on a correctly-executed hedge instrument is not fraud; HedgeKX is a platform operator and is not a party to the instrument; maximum loss is the amount committed, known and agreed to at creation.</w:t>
      </w:r>
    </w:p>
    <w:p>
      <w:pPr>
        <w:spacing w:before="80" w:after="80"/>
      </w:pPr>
      <w:r>
        <w:t xml:space="preserve"/>
      </w:r>
    </w:p>
    <w:p>
      <w:pPr>
        <w:spacing w:before="100" w:after="100"/>
        <w:jc w:val="both"/>
      </w:pPr>
      <w:r>
        <w:rPr>
          <w:rFonts w:ascii="Arial" w:cs="Arial" w:eastAsia="Arial" w:hAnsi="Arial"/>
          <w:sz w:val="22"/>
          <w:szCs w:val="22"/>
        </w:rPr>
        <w:t xml:space="preserve">All hedge instrument terms, trigger conditions, oracle sources, and payout histories are permanently recorded on the ChronX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L.8 Synthetic Positions Disclosure</w:t>
      </w:r>
    </w:p>
    <w:p>
      <w:pPr>
        <w:spacing w:before="100" w:after="100"/>
        <w:jc w:val="both"/>
      </w:pPr>
      <w:r>
        <w:rPr>
          <w:rFonts w:ascii="Arial" w:cs="Arial" w:eastAsia="Arial" w:hAnsi="Arial"/>
          <w:sz w:val="22"/>
          <w:szCs w:val="22"/>
        </w:rPr>
        <w:t xml:space="preserve">A participant holding two wallets may use a PAY_AS loan combined with a HedgeKX instrument to construct a position economically equivalent to a call or put option on KX. The Foundation is aware of this use case. It is not prohibited. The $250 per-transaction governance cap and aggregate daily limits are the primary controls. HedgeKX does not operate as a derivatives exchange. Participants constructing synthetic positions do so as bilateral counterparties under standard instrument terms.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L.9 Principal-Protected Savings</w:t>
      </w:r>
    </w:p>
    <w:p>
      <w:pPr>
        <w:spacing w:before="100" w:after="100"/>
        <w:jc w:val="both"/>
      </w:pPr>
      <w:r>
        <w:rPr>
          <w:rFonts w:ascii="Arial" w:cs="Arial" w:eastAsia="Arial" w:hAnsi="Arial"/>
          <w:sz w:val="22"/>
          <w:szCs w:val="22"/>
        </w:rPr>
        <w:t xml:space="preserve">KX holders may designate a portion of their wallet balance as savings. Savings balances are excluded from Auto-Sweep and loan repayment obligations. TYPE_Y locks automatically grant HedgeKX a minting mandate unless yield_opt_out is set at creation.</w:t>
      </w:r>
    </w:p>
    <w:p>
      <w:pPr>
        <w:spacing w:before="80" w:after="80"/>
      </w:pPr>
      <w:r>
        <w:t xml:space="preserve"/>
      </w:r>
    </w:p>
    <w:p>
      <w:pPr>
        <w:spacing w:before="100" w:after="100"/>
        <w:jc w:val="both"/>
      </w:pPr>
      <w:r>
        <w:rPr>
          <w:rFonts w:ascii="Arial" w:cs="Arial" w:eastAsia="Arial" w:hAnsi="Arial"/>
          <w:sz w:val="22"/>
          <w:szCs w:val="22"/>
        </w:rPr>
        <w:t xml:space="preserve">The yield structure operates via HedgeKX's forward exchange matching activity. The savings depositor's locked KX backs h1KX minting. A superseding hedger commits USDC collateral. When a match is made, facilitation income is shared with the lock's beneficiary as yield. If no superseding hedger is available, the savings balance earns zero and holds KX without risk. Principal is never reduced.</w:t>
      </w:r>
    </w:p>
    <w:p>
      <w:pPr>
        <w:spacing w:before="80" w:after="80"/>
      </w:pPr>
      <w:r>
        <w:t xml:space="preserve"/>
      </w:r>
    </w:p>
    <w:p>
      <w:pPr>
        <w:spacing w:before="100" w:after="100"/>
        <w:jc w:val="both"/>
      </w:pPr>
      <w:r>
        <w:rPr>
          <w:rFonts w:ascii="Arial" w:cs="Arial" w:eastAsia="Arial" w:hAnsi="Arial"/>
          <w:sz w:val="22"/>
          <w:szCs w:val="22"/>
        </w:rPr>
        <w:t xml:space="preserve">Governance parameters control the maximum annual yield (savings_max_annual_yield_pct: 5.0) and whether yield is active (savings_hedgekx_yield_enabled). The feature requires YubiHSM activation before public yield is enabled.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L.10 wKX Provenance Architecture</w:t>
      </w:r>
    </w:p>
    <w:p>
      <w:pPr>
        <w:spacing w:before="100" w:after="100"/>
        <w:jc w:val="both"/>
      </w:pPr>
      <w:r>
        <w:rPr>
          <w:rFonts w:ascii="Arial" w:cs="Arial" w:eastAsia="Arial" w:hAnsi="Arial"/>
          <w:sz w:val="22"/>
          <w:szCs w:val="22"/>
        </w:rPr>
        <w:t xml:space="preserve">wKX is the public XChan token — a standard ERC-20 on Base, transferable, Uniswap-listed, backed by XChan conversion locks on the ChronX DAG. It is distinct from h1KX, which is HedgeKX's internal non-transferable 24-hour settlement token.</w:t>
      </w:r>
    </w:p>
    <w:p>
      <w:pPr>
        <w:spacing w:before="80" w:after="80"/>
      </w:pPr>
      <w:r>
        <w:t xml:space="preserve"/>
      </w:r>
    </w:p>
    <w:p>
      <w:pPr>
        <w:spacing w:before="100" w:after="100"/>
        <w:jc w:val="both"/>
      </w:pPr>
      <w:r>
        <w:rPr>
          <w:rFonts w:ascii="Arial" w:cs="Arial" w:eastAsia="Arial" w:hAnsi="Arial"/>
          <w:sz w:val="22"/>
          <w:szCs w:val="22"/>
        </w:rPr>
        <w:t xml:space="preserve">Every wKX in existence derives from a specific ChronX DAG lock_id. No lock_id means no mint — enforced by the wKX contract itself. The contract tracks minted_per_lock[lock_id] and rejects duplicate mints. Once a lock_id is marked MATURED or INVALIDATED, any wKX minted against it becomes unredeemable.</w:t>
      </w:r>
    </w:p>
    <w:p>
      <w:pPr>
        <w:spacing w:before="80" w:after="80"/>
      </w:pPr>
      <w:r>
        <w:t xml:space="preserve"/>
      </w:r>
    </w:p>
    <w:p>
      <w:pPr>
        <w:spacing w:before="100" w:after="100"/>
        <w:jc w:val="both"/>
      </w:pPr>
      <w:r>
        <w:rPr>
          <w:rFonts w:ascii="Arial" w:cs="Arial" w:eastAsia="Arial" w:hAnsi="Arial"/>
          <w:sz w:val="22"/>
          <w:szCs w:val="22"/>
        </w:rPr>
        <w:t xml:space="preserve">Two-key security model: Key 1 (HedgeKX minting key, YubiHSM slot 1) and Key 2 (ChronX node attestation key, YubiHSM slot 2). Neither key alone can mint wKX.</w:t>
      </w:r>
    </w:p>
    <w:p>
      <w:pPr>
        <w:spacing w:before="80" w:after="80"/>
      </w:pPr>
      <w:r>
        <w:t xml:space="preserve"/>
      </w:r>
    </w:p>
    <w:p>
      <w:pPr>
        <w:spacing w:before="100" w:after="100"/>
        <w:jc w:val="both"/>
      </w:pPr>
      <w:r>
        <w:rPr>
          <w:rFonts w:ascii="Arial" w:cs="Arial" w:eastAsia="Arial" w:hAnsi="Arial"/>
          <w:sz w:val="22"/>
          <w:szCs w:val="22"/>
        </w:rPr>
        <w:t xml:space="preserve">Hack response protocol: Hour 1 — governance emergency switch pauses minting. Hour 2 — publish on-chain proof that all savings locks are intact. Hour 6 — call admin_invalidate() on compromised lock_ids; stolen wKX becomes unredeemable. Days 1–30 — savings locks mature on schedule; KX returns automatically; stolen wKX becomes worthless. Saver outcome in all scenarios: full principal returned.</w:t>
      </w:r>
    </w:p>
    <w:p>
      <w:pPr>
        <w:spacing w:before="80" w:after="80"/>
      </w:pPr>
      <w:r>
        <w:t xml:space="preserve"/>
      </w:r>
    </w:p>
    <w:p>
      <w:pPr>
        <w:spacing w:before="100" w:after="100"/>
        <w:jc w:val="both"/>
      </w:pPr>
      <w:r>
        <w:rPr>
          <w:rFonts w:ascii="Arial" w:cs="Arial" w:eastAsia="Arial" w:hAnsi="Arial"/>
          <w:sz w:val="22"/>
          <w:szCs w:val="22"/>
        </w:rPr>
        <w:t xml:space="preserve">Public auditability: the isRedeemable(lock_id) function allows anyone — journalists, regulators, users — to verify that any wKX in existence is backed by an active ChronX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L.11 Friendly Loans</w:t>
      </w:r>
    </w:p>
    <w:p>
      <w:pPr>
        <w:spacing w:before="100" w:after="100"/>
        <w:jc w:val="both"/>
      </w:pPr>
      <w:r>
        <w:rPr>
          <w:rFonts w:ascii="Arial" w:cs="Arial" w:eastAsia="Arial" w:hAnsi="Arial"/>
          <w:sz w:val="22"/>
          <w:szCs w:val="22"/>
        </w:rPr>
        <w:t xml:space="preserve">A friendly loan is a send variant where the recipient is expected to return the value within a set number of days. Zero protocol interest — the only cost is the 1% hedge premium for 30 days (annualised ~12%). This is a hedge premium, not interest. HedgeKX is the sole oracle for pricing, drawing exclusively from XChan.</w:t>
      </w:r>
    </w:p>
    <w:p>
      <w:pPr>
        <w:spacing w:before="80" w:after="80"/>
      </w:pPr>
      <w:r>
        <w:t xml:space="preserve"/>
      </w:r>
    </w:p>
    <w:p>
      <w:pPr>
        <w:spacing w:before="100" w:after="100"/>
        <w:jc w:val="both"/>
      </w:pPr>
      <w:r>
        <w:rPr>
          <w:rFonts w:ascii="Arial" w:cs="Arial" w:eastAsia="Arial" w:hAnsi="Arial"/>
          <w:sz w:val="22"/>
          <w:szCs w:val="22"/>
        </w:rPr>
        <w:t xml:space="preserve">Quote and lock flow: wallet queries HedgeKX for 10-second locked quote with depth reservation. Maximum 3 concurrent locks per wallet. User confirms within 10 seconds; hedge + promise created atomically via required_hedge_ids on TimeLockCreate. If unconfirmed, lock expires and depth is released at zero cost.</w:t>
      </w:r>
    </w:p>
    <w:p>
      <w:pPr>
        <w:spacing w:before="80" w:after="80"/>
      </w:pPr>
      <w:r>
        <w:t xml:space="preserve"/>
      </w:r>
    </w:p>
    <w:p>
      <w:pPr>
        <w:spacing w:before="100" w:after="100"/>
        <w:jc w:val="both"/>
      </w:pPr>
      <w:r>
        <w:rPr>
          <w:rFonts w:ascii="Arial" w:cs="Arial" w:eastAsia="Arial" w:hAnsi="Arial"/>
          <w:sz w:val="22"/>
          <w:szCs w:val="22"/>
        </w:rPr>
        <w:t xml:space="preserve">Governance priority: friendly loan hedge requests are served first when multiple requests arrive simultaneously. Dynamic loan cap: effective maximum is min(friendly_loan_max_usd_per_tx, hedgekx_available_capacity_usd × 0.80). As the open order book deepens post-ICO, the cap rises automatically.</w:t>
      </w:r>
    </w:p>
    <w:p>
      <w:pPr>
        <w:spacing w:before="80" w:after="80"/>
      </w:pPr>
      <w:r>
        <w:t xml:space="preserve"/>
      </w:r>
    </w:p>
    <w:p>
      <w:pPr>
        <w:spacing w:before="100" w:after="100"/>
        <w:jc w:val="both"/>
      </w:pPr>
      <w:r>
        <w:rPr>
          <w:rFonts w:ascii="Arial" w:cs="Arial" w:eastAsia="Arial" w:hAnsi="Arial"/>
          <w:sz w:val="22"/>
          <w:szCs w:val="22"/>
        </w:rPr>
        <w:t xml:space="preserve">Friendly loans require a live HedgeKX hedge. If HedgeKX is paused, friendly loans are unavailable. This is correct: a loan that cannot be hedged cannot be made.</w:t>
      </w:r>
    </w:p>
    <w:p>
      <w:r>
        <w:br w:type="page"/>
      </w:r>
    </w:p>
    <w:p>
      <w:pPr>
        <w:pStyle w:val="Heading1"/>
        <w:spacing w:before="480" w:after="240"/>
      </w:pPr>
      <w:r>
        <w:rPr>
          <w:rFonts w:ascii="Arial" w:cs="Arial" w:eastAsia="Arial" w:hAnsi="Arial"/>
          <w:b/>
          <w:bCs/>
          <w:color w:val="1F4E79"/>
          <w:sz w:val="34"/>
          <w:szCs w:val="34"/>
        </w:rPr>
        <w:t xml:space="preserve">Appendix M — Savings Lock Technical Reference</w:t>
      </w:r>
    </w:p>
    <w:p>
      <w:pPr>
        <w:pStyle w:val="Heading2"/>
        <w:spacing w:before="320" w:after="160"/>
      </w:pPr>
      <w:r>
        <w:rPr>
          <w:rFonts w:ascii="Arial" w:cs="Arial" w:eastAsia="Arial" w:hAnsi="Arial"/>
          <w:b/>
          <w:bCs/>
          <w:color w:val="2E75B6"/>
          <w:sz w:val="26"/>
          <w:szCs w:val="26"/>
        </w:rPr>
        <w:t xml:space="preserve">M.1 CreateSavingsLock Fields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Type/Value</w:t>
            </w:r>
          </w:p>
        </w:tc>
        <w:tc>
          <w:tcPr>
            <w:tcW w:type="dxa" w:w="5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Identifies savings lock.</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savings_duration_days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1–365</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duration in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hedgekx_mandate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true. Set false for yield_opt_out.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hedgekx_investable_fraction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0.90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Fraction of lock available for HedgeKX minting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auto_renew</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Auto-renew at maturity. Sled-only update — no DAG vertex written on renewal.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savings_reserve_pct</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min 0.10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Reserve fraction not available for minting.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yield_opt_out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 Set true to suppress HedgeKX mandate and yield accrual.</w:t>
            </w:r>
          </w:p>
        </w:tc>
      </w:tr>
    </w:tbl>
    <w:p>
      <w:pPr>
        <w:spacing w:before="80" w:after="80"/>
      </w:pPr>
      <w:r>
        <w:t xml:space="preserve"/>
      </w:r>
    </w:p>
    <w:p>
      <w:pPr>
        <w:spacing w:before="100" w:after="100"/>
        <w:jc w:val="both"/>
      </w:pPr>
      <w:r>
        <w:rPr>
          <w:rFonts w:ascii="Arial" w:cs="Arial" w:eastAsia="Arial" w:hAnsi="Arial"/>
          <w:sz w:val="22"/>
          <w:szCs w:val="22"/>
        </w:rPr>
        <w:t xml:space="preserve">CreateSavingsLock debits spendable_balance and credits savings_balance. Savings locks are exempt from auto-sweep and loan obligations. Principal cannot be seized by any protocol 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M.2 XChanConversionLock</w:t>
      </w:r>
    </w:p>
    <w:p>
      <w:pPr>
        <w:spacing w:before="100" w:after="100"/>
        <w:jc w:val="both"/>
      </w:pPr>
      <w:r>
        <w:rPr>
          <w:rFonts w:ascii="Arial" w:cs="Arial" w:eastAsia="Arial" w:hAnsi="Arial"/>
          <w:sz w:val="22"/>
          <w:szCs w:val="22"/>
        </w:rPr>
        <w:t xml:space="preserve">lock_type XCHAN_CONVERSION. 60-second duration. Created automatically when KX arrives at bridge wallet. Establishes provenance for wKX minting. If mint fails, lock expires and KX returns to sender. Creates permanent DAG record of every XChan conversion.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M.3 wKX v3 Contract</w:t>
      </w:r>
    </w:p>
    <w:p>
      <w:pPr>
        <w:spacing w:before="100" w:after="100"/>
        <w:jc w:val="both"/>
      </w:pPr>
      <w:r>
        <w:rPr>
          <w:rFonts w:ascii="Arial" w:cs="Arial" w:eastAsia="Arial" w:hAnsi="Arial"/>
          <w:sz w:val="22"/>
          <w:szCs w:val="22"/>
        </w:rPr>
        <w:t xml:space="preserve">Every mint() requires a valid lock_id (BLAKE3 hash of ChronX DAG transaction) plus node attestation signature. Neither the minting key nor the attestation key alone can mint. burnForMaturity() is called at lock maturity to burn wKX and release the ChronX lock. admin_invalidate() (multi-sig only) marks a lock_id as unredeemable instantly without affecting the underlying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M.4 Build Sequence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800"/>
        <w:gridCol w:w="24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 HSM)</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CreateSavingsLock and XChanConversionLock actions in transaction.rs, savings wallet UI, savings_wkx_mint_enabled: false.</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 (YubiHSM)</w:t>
            </w:r>
          </w:p>
        </w:tc>
        <w:tc>
          <w:tcPr>
            <w:tcW w:type="dxa" w:w="5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Generate keys on HSM, deploy wKX v3 contract on Base, test end-to-end, enable savings yield.</w:t>
            </w:r>
          </w:p>
        </w:tc>
        <w:tc>
          <w:tcPr>
            <w:tcW w:type="dxa" w:w="2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Pending YubiHSM arrival ~March 29–31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 (Post-ICO)</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 HedgeKX order book, enable friendly loans, raise governance caps.</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M.5 Yield Balance Architecture</w:t>
      </w:r>
    </w:p>
    <w:p>
      <w:pPr>
        <w:spacing w:before="100" w:after="100"/>
        <w:jc w:val="both"/>
      </w:pPr>
      <w:r>
        <w:rPr>
          <w:rFonts w:ascii="Arial" w:cs="Arial" w:eastAsia="Arial" w:hAnsi="Arial"/>
          <w:sz w:val="22"/>
          <w:szCs w:val="22"/>
        </w:rPr>
        <w:t xml:space="preserve">Yield does not accrue inside the TYPE_Y lock. The lock's principal amount is fixed forever at creation. Yield accumulates in a separate yield balance on the ChronX DAG attributed to the beneficiary's account, funded by HedgeKX from facilitation income on days when the mandate is actively used.</w:t>
      </w:r>
    </w:p>
    <w:p>
      <w:pPr>
        <w:spacing w:before="80" w:after="80"/>
      </w:pPr>
      <w:r>
        <w:t xml:space="preserve"/>
      </w:r>
    </w:p>
    <w:p>
      <w:pPr>
        <w:spacing w:before="100" w:after="100"/>
        <w:jc w:val="both"/>
      </w:pPr>
      <w:r>
        <w:rPr>
          <w:rFonts w:ascii="Arial" w:cs="Arial" w:eastAsia="Arial" w:hAnsi="Arial"/>
          <w:sz w:val="22"/>
          <w:szCs w:val="22"/>
        </w:rPr>
        <w:t xml:space="preserve">HedgeKX settles yield once per day across all active mandates in a single batch transaction. Each beneficiary's share is recorded as a small credit to their yield balance. The yield balance is additive only — it never decreases. Already-credited yield cannot be revoked. The beneficiary can claim their yield balance (move it to spendable) at any time. At lock maturity, both principal and unclaimed yield become fully spendable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M.6 The YubiHSM Heartbeat Oracle</w:t>
      </w:r>
    </w:p>
    <w:p>
      <w:pPr>
        <w:spacing w:before="100" w:after="100"/>
        <w:jc w:val="both"/>
      </w:pPr>
      <w:r>
        <w:rPr>
          <w:rFonts w:ascii="Arial" w:cs="Arial" w:eastAsia="Arial" w:hAnsi="Arial"/>
          <w:sz w:val="22"/>
          <w:szCs w:val="22"/>
        </w:rPr>
        <w:t xml:space="preserve">The YubiHSM 2 FIPS generates a cryptographic sign of life every 30 seconds using a key that never leaves the hardware. This heartbeat is published to the wKX contract on Base via a lightweight relayer on the Mac Mini.</w:t>
      </w:r>
    </w:p>
    <w:p>
      <w:pPr>
        <w:spacing w:before="80" w:after="80"/>
      </w:pPr>
      <w:r>
        <w:t xml:space="preserve"/>
      </w:r>
    </w:p>
    <w:p>
      <w:pPr>
        <w:spacing w:before="100" w:after="100"/>
        <w:jc w:val="both"/>
      </w:pPr>
      <w:r>
        <w:rPr>
          <w:rFonts w:ascii="Arial" w:cs="Arial" w:eastAsia="Arial" w:hAnsi="Arial"/>
          <w:sz w:val="22"/>
          <w:szCs w:val="22"/>
        </w:rPr>
        <w:t xml:space="preserve">The wKX contract enforces: if heartbeat age exceeds 120 seconds, mint() reverts automatically. No governance action required. No human decision needed. The halt is enforced by the contract itself.</w:t>
      </w:r>
    </w:p>
    <w:p>
      <w:pPr>
        <w:spacing w:before="80" w:after="80"/>
      </w:pPr>
      <w:r>
        <w:t xml:space="preserve"/>
      </w:r>
    </w:p>
    <w:p>
      <w:pPr>
        <w:spacing w:before="100" w:after="100"/>
        <w:jc w:val="both"/>
      </w:pPr>
      <w:r>
        <w:rPr>
          <w:rFonts w:ascii="Arial" w:cs="Arial" w:eastAsia="Arial" w:hAnsi="Arial"/>
          <w:sz w:val="22"/>
          <w:szCs w:val="22"/>
        </w:rPr>
        <w:t xml:space="preserve">If the Mac Mini goes offline, the heartbeat stops. Minting halts automatically within 120 seconds. This is a feature, not a bug. A system that stops cleanly is more secure than one that continues operating under uncertain conditions.</w:t>
      </w:r>
    </w:p>
    <w:p>
      <w:pPr>
        <w:spacing w:before="80" w:after="80"/>
      </w:pPr>
      <w:r>
        <w:t xml:space="preserve"/>
      </w:r>
    </w:p>
    <w:p>
      <w:pPr>
        <w:spacing w:before="100" w:after="100"/>
        <w:jc w:val="both"/>
      </w:pPr>
      <w:r>
        <w:rPr>
          <w:rFonts w:ascii="Arial" w:cs="Arial" w:eastAsia="Arial" w:hAnsi="Arial"/>
          <w:sz w:val="22"/>
          <w:szCs w:val="22"/>
        </w:rPr>
        <w:t xml:space="preserve">A thief who steals the YubiHSM faces: a contract that has already halted within 120 seconds, an HSM that is a brick without the PIN, zero ability to generate valid signatures, and zero ability to mint wKX. Existing savings locks are completely unaffected by any halt. They mature on schedule and return principal automatically regardless of the heartbeat status.</w:t>
      </w:r>
    </w:p>
    <w:p>
      <w:pPr>
        <w:spacing w:before="80" w:after="80"/>
      </w:pPr>
      <w:r>
        <w:t xml:space="preserve"/>
      </w:r>
    </w:p>
    <w:p>
      <w:pPr>
        <w:spacing w:before="100" w:after="100"/>
        <w:jc w:val="both"/>
      </w:pPr>
      <w:r>
        <w:rPr>
          <w:rFonts w:ascii="Arial" w:cs="Arial" w:eastAsia="Arial" w:hAnsi="Arial"/>
          <w:sz w:val="22"/>
          <w:szCs w:val="22"/>
        </w:rPr>
        <w:t xml:space="preserve">Governance params: hsm_heartbeat_interval_seconds: 30. hsm_heartbeat_max_age_seconds: 120.</w:t>
      </w:r>
    </w:p>
    <w:p>
      <w:r>
        <w:br w:type="page"/>
      </w:r>
    </w:p>
    <w:p>
      <w:pPr>
        <w:pStyle w:val="Heading1"/>
        <w:spacing w:before="480" w:after="240"/>
      </w:pPr>
      <w:r>
        <w:rPr>
          <w:rFonts w:ascii="Arial" w:cs="Arial" w:eastAsia="Arial" w:hAnsi="Arial"/>
          <w:b/>
          <w:bCs/>
          <w:color w:val="1F4E79"/>
          <w:sz w:val="34"/>
          <w:szCs w:val="34"/>
        </w:rPr>
        <w:t xml:space="preserve">Appendix N — The Savings Guarantee: Technical and Legal Basis</w:t>
      </w:r>
    </w:p>
    <w:p>
      <w:pPr>
        <w:pStyle w:val="Heading2"/>
        <w:spacing w:before="320" w:after="160"/>
      </w:pPr>
      <w:r>
        <w:rPr>
          <w:rFonts w:ascii="Arial" w:cs="Arial" w:eastAsia="Arial" w:hAnsi="Arial"/>
          <w:b/>
          <w:bCs/>
          <w:color w:val="2E75B6"/>
          <w:sz w:val="26"/>
          <w:szCs w:val="26"/>
        </w:rPr>
        <w:t xml:space="preserve">Why the Principal Guarantee is Absolute</w:t>
      </w:r>
    </w:p>
    <w:p>
      <w:pPr>
        <w:pStyle w:val="ListParagraph"/>
        <w:numPr>
          <w:ilvl w:val="0"/>
          <w:numId w:val="2"/>
        </w:numPr>
        <w:spacing w:before="60" w:after="60"/>
      </w:pPr>
      <w:r>
        <w:rPr>
          <w:rFonts w:ascii="Arial" w:cs="Arial" w:eastAsia="Arial" w:hAnsi="Arial"/>
          <w:sz w:val="22"/>
          <w:szCs w:val="22"/>
        </w:rPr>
        <w:t xml:space="preserve">The KX is on the DAG, not in anyone's custody. The DAG is append-only — no entity can modify a lock.</w:t>
      </w:r>
    </w:p>
    <w:p>
      <w:pPr>
        <w:pStyle w:val="ListParagraph"/>
        <w:numPr>
          <w:ilvl w:val="0"/>
          <w:numId w:val="2"/>
        </w:numPr>
        <w:spacing w:before="60" w:after="60"/>
      </w:pPr>
      <w:r>
        <w:rPr>
          <w:rFonts w:ascii="Arial" w:cs="Arial" w:eastAsia="Arial" w:hAnsi="Arial"/>
          <w:sz w:val="22"/>
          <w:szCs w:val="22"/>
        </w:rPr>
        <w:t xml:space="preserve">Maturity is time-triggered, not human-triggered.</w:t>
      </w:r>
    </w:p>
    <w:p>
      <w:pPr>
        <w:pStyle w:val="ListParagraph"/>
        <w:numPr>
          <w:ilvl w:val="0"/>
          <w:numId w:val="2"/>
        </w:numPr>
        <w:spacing w:before="60" w:after="60"/>
      </w:pPr>
      <w:r>
        <w:rPr>
          <w:rFonts w:ascii="Arial" w:cs="Arial" w:eastAsia="Arial" w:hAnsi="Arial"/>
          <w:sz w:val="22"/>
          <w:szCs w:val="22"/>
        </w:rPr>
        <w:t xml:space="preserve">Post-quantum cryptography (CRYSTALS-Dilithium2) protects against computational attacks.</w:t>
      </w:r>
    </w:p>
    <w:p>
      <w:pPr>
        <w:pStyle w:val="ListParagraph"/>
        <w:numPr>
          <w:ilvl w:val="0"/>
          <w:numId w:val="2"/>
        </w:numPr>
        <w:spacing w:before="60" w:after="60"/>
      </w:pPr>
      <w:r>
        <w:rPr>
          <w:rFonts w:ascii="Arial" w:cs="Arial" w:eastAsia="Arial" w:hAnsi="Arial"/>
          <w:sz w:val="22"/>
          <w:szCs w:val="22"/>
        </w:rPr>
        <w:t xml:space="preserve">HedgeKX holds a mandate permission only — not custody, not collateral, not a lien. The mandate expires automatically.</w:t>
      </w:r>
    </w:p>
    <w:p>
      <w:pPr>
        <w:pStyle w:val="ListParagraph"/>
        <w:numPr>
          <w:ilvl w:val="0"/>
          <w:numId w:val="2"/>
        </w:numPr>
        <w:spacing w:before="60" w:after="60"/>
      </w:pPr>
      <w:r>
        <w:rPr>
          <w:rFonts w:ascii="Arial" w:cs="Arial" w:eastAsia="Arial" w:hAnsi="Arial"/>
          <w:sz w:val="22"/>
          <w:szCs w:val="22"/>
        </w:rPr>
        <w:t xml:space="preserve">If the mandate expires without being exercised, the ChronX lock releases regardless.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HedgeKX Receives</w:t>
      </w:r>
    </w:p>
    <w:p>
      <w:pPr>
        <w:spacing w:before="100" w:after="100"/>
        <w:jc w:val="both"/>
      </w:pPr>
      <w:r>
        <w:rPr>
          <w:rFonts w:ascii="Arial" w:cs="Arial" w:eastAsia="Arial" w:hAnsi="Arial"/>
          <w:sz w:val="22"/>
          <w:szCs w:val="22"/>
        </w:rPr>
        <w:t xml:space="preserve">HedgeKX holds a time-limited permission to mint h1KX. HedgeKX never holds the underlying KX. The mandate grants the right to create an internal accounting token on Base — not to move, sell, or encumber the locked KX in any way. The KX belongs to the lock holder throughout the entire lock period.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Minting is Not Inflation</w:t>
      </w:r>
    </w:p>
    <w:p>
      <w:pPr>
        <w:spacing w:before="100" w:after="100"/>
        <w:jc w:val="both"/>
      </w:pPr>
      <w:r>
        <w:rPr>
          <w:rFonts w:ascii="Arial" w:cs="Arial" w:eastAsia="Arial" w:hAnsi="Arial"/>
          <w:sz w:val="22"/>
          <w:szCs w:val="22"/>
        </w:rPr>
        <w:t xml:space="preserve">wKX is 1:1 backed by locked KX (XChan conversion locks). h1KX is 1:1 backed by locked KX (TYPE_Y mandate locks). Both are temporary representations, not new supply. Total KX on ChronX DAG + total wKX on Base + total h1KX on Base = 8,270,000,000 always. At lock maturity: wKX or h1KX burns, ChronX lock releases — net change: zero.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Cannot Be Defaulted On</w:t>
      </w:r>
    </w:p>
    <w:p>
      <w:pPr>
        <w:spacing w:before="100" w:after="100"/>
        <w:jc w:val="both"/>
      </w:pPr>
      <w:r>
        <w:rPr>
          <w:rFonts w:ascii="Arial" w:cs="Arial" w:eastAsia="Arial" w:hAnsi="Arial"/>
          <w:sz w:val="22"/>
          <w:szCs w:val="22"/>
        </w:rPr>
        <w:t xml:space="preserve">wKX is a bridge token backed by XChan conversion locks — not a debt instrument. h1KX is a non-transferable internal settlement token — never held by external parties. Neither represents a promise to pay. If wKX circulates without a corresponding active lock, it is unredeemable and worthless by contract enforcement.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Friendly Loan Default Risk</w:t>
      </w:r>
    </w:p>
    <w:p>
      <w:pPr>
        <w:spacing w:before="100" w:after="100"/>
        <w:jc w:val="both"/>
      </w:pPr>
      <w:r>
        <w:rPr>
          <w:rFonts w:ascii="Arial" w:cs="Arial" w:eastAsia="Arial" w:hAnsi="Arial"/>
          <w:sz w:val="22"/>
          <w:szCs w:val="22"/>
        </w:rPr>
        <w:t xml:space="preserve">A friendly loan default falls on the lender, not the saver. The saver's principal is protected regardless of whether borrowers repay. The HedgeKX hedge protects the lender against KX/USD price risk. Borrower credit risk remains with the lender — ChronX is not a credit guarantee system.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Comparison to Traditional Banking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Traditional Bank CD</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ChronX Savings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(capped at $250K, exhaustible, discretionary)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(uncapped, inexhaustible, mathematical)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Yield guarantee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Contractual (can default)</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Not guaranteed (zero if no market activity, principal unaffected)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holds your deposit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 retain cryptographic ownership throughout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Audit</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Annual audit of bank</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Real-time queryable on public DAG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Regulatory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banking regulation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Cryptographic mathematics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Legal Note</w:t>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Regulatory characterisation of KX and ChronX instruments varies by jurisdiction. Consult qualified legal counsel in your jurisdiction before participating.</w:t>
      </w:r>
    </w:p>
    <w:p>
      <w:r>
        <w:br w:type="page"/>
      </w:r>
    </w:p>
    <w:p>
      <w:pPr>
        <w:pStyle w:val="Heading1"/>
        <w:spacing w:before="480" w:after="240"/>
      </w:pPr>
      <w:r>
        <w:rPr>
          <w:rFonts w:ascii="Arial" w:cs="Arial" w:eastAsia="Arial" w:hAnsi="Arial"/>
          <w:b/>
          <w:bCs/>
          <w:color w:val="1F4E79"/>
          <w:sz w:val="34"/>
          <w:szCs w:val="34"/>
        </w:rPr>
        <w:t xml:space="preserve">Appendix O — HedgeKX, wKX, h1KX, and TYPE_Y: Complete Technical and Risk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 What This Appendix Is For</w:t>
      </w:r>
    </w:p>
    <w:p>
      <w:pPr>
        <w:spacing w:before="100" w:after="100"/>
        <w:jc w:val="both"/>
      </w:pPr>
      <w:r>
        <w:rPr>
          <w:rFonts w:ascii="Arial" w:cs="Arial" w:eastAsia="Arial" w:hAnsi="Arial"/>
          <w:sz w:val="22"/>
          <w:szCs w:val="22"/>
        </w:rPr>
        <w:t xml:space="preserve">This appendix exists for three audiences simultaneously, and it attempts to serve all three without compromising honesty for any of them.</w:t>
      </w:r>
    </w:p>
    <w:p>
      <w:pPr>
        <w:spacing w:before="80" w:after="80"/>
      </w:pPr>
      <w:r>
        <w:t xml:space="preserve"/>
      </w:r>
    </w:p>
    <w:p>
      <w:pPr>
        <w:spacing w:before="100" w:after="100"/>
        <w:jc w:val="both"/>
      </w:pPr>
      <w:r>
        <w:rPr>
          <w:rFonts w:ascii="Arial" w:cs="Arial" w:eastAsia="Arial" w:hAnsi="Arial"/>
          <w:b/>
          <w:bCs/>
          <w:sz w:val="22"/>
          <w:szCs w:val="22"/>
        </w:rPr>
        <w:t xml:space="preserve">For savers and promise-makers:</w:t>
      </w:r>
    </w:p>
    <w:p>
      <w:pPr>
        <w:spacing w:before="100" w:after="100"/>
        <w:jc w:val="both"/>
      </w:pPr>
      <w:r>
        <w:rPr>
          <w:rFonts w:ascii="Arial" w:cs="Arial" w:eastAsia="Arial" w:hAnsi="Arial"/>
          <w:sz w:val="22"/>
          <w:szCs w:val="22"/>
        </w:rPr>
        <w:t xml:space="preserve">You have locked KX in a TYPE_Y savings account or made a long-term promise. You want to know what HedgeKX does with your mandate, what risks exist, what is guaranteed, and whether any failure at HedgeKX could affect your KX. The short answer is: your principal is safe under all circumstances. The complete answer is in sections O.2, O.3, and O.11.</w:t>
      </w:r>
    </w:p>
    <w:p>
      <w:pPr>
        <w:spacing w:before="80" w:after="80"/>
      </w:pPr>
      <w:r>
        <w:t xml:space="preserve"/>
      </w:r>
    </w:p>
    <w:p>
      <w:pPr>
        <w:spacing w:before="100" w:after="100"/>
        <w:jc w:val="both"/>
      </w:pPr>
      <w:r>
        <w:rPr>
          <w:rFonts w:ascii="Arial" w:cs="Arial" w:eastAsia="Arial" w:hAnsi="Arial"/>
          <w:b/>
          <w:bCs/>
          <w:sz w:val="22"/>
          <w:szCs w:val="22"/>
        </w:rPr>
        <w:t xml:space="preserve">For USDC holders considering hedging:</w:t>
      </w:r>
    </w:p>
    <w:p>
      <w:pPr>
        <w:spacing w:before="100" w:after="100"/>
        <w:jc w:val="both"/>
      </w:pPr>
      <w:r>
        <w:rPr>
          <w:rFonts w:ascii="Arial" w:cs="Arial" w:eastAsia="Arial" w:hAnsi="Arial"/>
          <w:sz w:val="22"/>
          <w:szCs w:val="22"/>
        </w:rPr>
        <w:t xml:space="preserve">You are evaluating whether to commit USDC to HedgeKX's forward exchange market in exchange for yield. You want to know every way you could lose money — not just market risk, but operational risk, protocol risk, and systemic risk. The complete answer is in sections O.6 through O.10, O.13, and O.15.</w:t>
      </w:r>
    </w:p>
    <w:p>
      <w:pPr>
        <w:spacing w:before="80" w:after="80"/>
      </w:pPr>
      <w:r>
        <w:t xml:space="preserve"/>
      </w:r>
    </w:p>
    <w:p>
      <w:pPr>
        <w:spacing w:before="100" w:after="100"/>
        <w:jc w:val="both"/>
      </w:pPr>
      <w:r>
        <w:rPr>
          <w:rFonts w:ascii="Arial" w:cs="Arial" w:eastAsia="Arial" w:hAnsi="Arial"/>
          <w:b/>
          <w:bCs/>
          <w:sz w:val="22"/>
          <w:szCs w:val="22"/>
        </w:rPr>
        <w:t xml:space="preserve">For AI risk assessment systems and security researchers:</w:t>
      </w:r>
    </w:p>
    <w:p>
      <w:pPr>
        <w:spacing w:before="100" w:after="100"/>
        <w:jc w:val="both"/>
      </w:pPr>
      <w:r>
        <w:rPr>
          <w:rFonts w:ascii="Arial" w:cs="Arial" w:eastAsia="Arial" w:hAnsi="Arial"/>
          <w:sz w:val="22"/>
          <w:szCs w:val="22"/>
        </w:rPr>
        <w:t xml:space="preserve">You are evaluating the protocol's architecture for weaknesses, attack vectors, and failure modes. Every constraint, every named attack surface, and every residual risk is documented in sections O.4 through O.12. Nothing has been omitted to make the protocol appear stronger than it is.</w:t>
      </w:r>
    </w:p>
    <w:p>
      <w:pPr>
        <w:spacing w:before="80" w:after="80"/>
      </w:pPr>
      <w:r>
        <w:t xml:space="preserve"/>
      </w:r>
    </w:p>
    <w:p>
      <w:pPr>
        <w:pBdr>
          <w:left w:val="single" w:color="2E75B6" w:sz="8" w:space="12"/>
        </w:pBdr>
        <w:spacing w:before="160" w:after="160"/>
        <w:ind w:left="720" w:right="720"/>
      </w:pPr>
      <w:r>
        <w:rPr>
          <w:rFonts w:ascii="Arial" w:cs="Arial" w:eastAsia="Arial" w:hAnsi="Arial"/>
          <w:i/>
          <w:iCs/>
          <w:sz w:val="22"/>
          <w:szCs w:val="22"/>
        </w:rPr>
        <w:t xml:space="preserve">One principle governs this entire appendix: a risk that is not documented is a risk that cannot be managed. HedgeKX's design philosophy is transparency at every layer — in the smart contracts, in the governance parameters, in the public mandate pool, and in this document.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O.2 The Foundation: TYPE_Y Savings Locks</w:t>
      </w:r>
    </w:p>
    <w:p>
      <w:pPr>
        <w:pStyle w:val="Heading3"/>
        <w:spacing w:before="200" w:after="100"/>
      </w:pPr>
      <w:r>
        <w:rPr>
          <w:rFonts w:ascii="Arial" w:cs="Arial" w:eastAsia="Arial" w:hAnsi="Arial"/>
          <w:b/>
          <w:bCs/>
          <w:sz w:val="22"/>
          <w:szCs w:val="22"/>
        </w:rPr>
        <w:t xml:space="preserve">What Is Guaranteed</w:t>
      </w:r>
    </w:p>
    <w:p>
      <w:pPr>
        <w:spacing w:before="100" w:after="100"/>
        <w:jc w:val="both"/>
      </w:pPr>
      <w:r>
        <w:rPr>
          <w:rFonts w:ascii="Arial" w:cs="Arial" w:eastAsia="Arial" w:hAnsi="Arial"/>
          <w:sz w:val="22"/>
          <w:szCs w:val="22"/>
        </w:rPr>
        <w:t xml:space="preserve">The following are guaranteed by ChronX's consensus rules. They are not policies. They are mathematical properties of the protocol:</w:t>
      </w:r>
    </w:p>
    <w:p>
      <w:pPr>
        <w:pStyle w:val="ListParagraph"/>
        <w:numPr>
          <w:ilvl w:val="0"/>
          <w:numId w:val="2"/>
        </w:numPr>
        <w:spacing w:before="60" w:after="60"/>
      </w:pPr>
      <w:r>
        <w:rPr>
          <w:rFonts w:ascii="Arial" w:cs="Arial" w:eastAsia="Arial" w:hAnsi="Arial"/>
          <w:sz w:val="22"/>
          <w:szCs w:val="22"/>
        </w:rPr>
        <w:t xml:space="preserve">Principal return. The exact quantity of KX locked will be available to the lock holder at maturity. Not approximately. Exactly. The protocol does not permit rounding, fees, or deductions from locked principal.</w:t>
      </w:r>
    </w:p>
    <w:p>
      <w:pPr>
        <w:pStyle w:val="ListParagraph"/>
        <w:numPr>
          <w:ilvl w:val="0"/>
          <w:numId w:val="2"/>
        </w:numPr>
        <w:spacing w:before="60" w:after="60"/>
      </w:pPr>
      <w:r>
        <w:rPr>
          <w:rFonts w:ascii="Arial" w:cs="Arial" w:eastAsia="Arial" w:hAnsi="Arial"/>
          <w:sz w:val="22"/>
          <w:szCs w:val="22"/>
        </w:rPr>
        <w:t xml:space="preserve">Immovability during lock period. Locked KX cannot be transferred, spent, seized, or liquidated by any party before maturity.</w:t>
      </w:r>
    </w:p>
    <w:p>
      <w:pPr>
        <w:pStyle w:val="ListParagraph"/>
        <w:numPr>
          <w:ilvl w:val="0"/>
          <w:numId w:val="2"/>
        </w:numPr>
        <w:spacing w:before="60" w:after="60"/>
      </w:pPr>
      <w:r>
        <w:rPr>
          <w:rFonts w:ascii="Arial" w:cs="Arial" w:eastAsia="Arial" w:hAnsi="Arial"/>
          <w:sz w:val="22"/>
          <w:szCs w:val="22"/>
        </w:rPr>
        <w:t xml:space="preserve">Independence from HedgeKX. If HedgeKX ceases to exist entirely, TYPE_Y locks continue to mature and return KX to their owners on schedule. HedgeKX's presence is not required.</w:t>
      </w:r>
    </w:p>
    <w:p>
      <w:pPr>
        <w:pStyle w:val="ListParagraph"/>
        <w:numPr>
          <w:ilvl w:val="0"/>
          <w:numId w:val="2"/>
        </w:numPr>
        <w:spacing w:before="60" w:after="60"/>
      </w:pPr>
      <w:r>
        <w:rPr>
          <w:rFonts w:ascii="Arial" w:cs="Arial" w:eastAsia="Arial" w:hAnsi="Arial"/>
          <w:sz w:val="22"/>
          <w:szCs w:val="22"/>
        </w:rPr>
        <w:t xml:space="preserve">Independence from Base network. If Base ceases to exist, TYPE_Y locks are completely unaffected. They live on the ChronX DAG, not on Base.</w:t>
      </w:r>
    </w:p>
    <w:p>
      <w:pPr>
        <w:spacing w:before="80" w:after="80"/>
      </w:pPr>
      <w:r>
        <w:t xml:space="preserve"/>
      </w:r>
    </w:p>
    <w:p>
      <w:pPr>
        <w:pStyle w:val="Heading3"/>
        <w:spacing w:before="200" w:after="100"/>
      </w:pPr>
      <w:r>
        <w:rPr>
          <w:rFonts w:ascii="Arial" w:cs="Arial" w:eastAsia="Arial" w:hAnsi="Arial"/>
          <w:b/>
          <w:bCs/>
          <w:sz w:val="22"/>
          <w:szCs w:val="22"/>
        </w:rPr>
        <w:t xml:space="preserve">What Is Not Guaranteed</w:t>
      </w:r>
    </w:p>
    <w:p>
      <w:pPr>
        <w:pStyle w:val="ListParagraph"/>
        <w:numPr>
          <w:ilvl w:val="0"/>
          <w:numId w:val="2"/>
        </w:numPr>
        <w:spacing w:before="60" w:after="60"/>
      </w:pPr>
      <w:r>
        <w:rPr>
          <w:rFonts w:ascii="Arial" w:cs="Arial" w:eastAsia="Arial" w:hAnsi="Arial"/>
          <w:sz w:val="22"/>
          <w:szCs w:val="22"/>
        </w:rPr>
        <w:t xml:space="preserve">Yield. Yield is a share of HedgeKX's facilitation income. On days when HedgeKX has no active matched transactions, yield is zero. No minimum yield is promised.</w:t>
      </w:r>
    </w:p>
    <w:p>
      <w:pPr>
        <w:pStyle w:val="ListParagraph"/>
        <w:numPr>
          <w:ilvl w:val="0"/>
          <w:numId w:val="2"/>
        </w:numPr>
        <w:spacing w:before="60" w:after="60"/>
      </w:pPr>
      <w:r>
        <w:rPr>
          <w:rFonts w:ascii="Arial" w:cs="Arial" w:eastAsia="Arial" w:hAnsi="Arial"/>
          <w:sz w:val="22"/>
          <w:szCs w:val="22"/>
        </w:rPr>
        <w:t xml:space="preserve">Yield rate. Market-determined. Fluctuates based on HedgeKX's matching activity and general market conditions.</w:t>
      </w:r>
    </w:p>
    <w:p>
      <w:pPr>
        <w:pStyle w:val="ListParagraph"/>
        <w:numPr>
          <w:ilvl w:val="0"/>
          <w:numId w:val="2"/>
        </w:numPr>
        <w:spacing w:before="60" w:after="60"/>
      </w:pPr>
      <w:r>
        <w:rPr>
          <w:rFonts w:ascii="Arial" w:cs="Arial" w:eastAsia="Arial" w:hAnsi="Arial"/>
          <w:sz w:val="22"/>
          <w:szCs w:val="22"/>
        </w:rPr>
        <w:t xml:space="preserve">HedgeKX's continued operation. HedgeKX may cease operations. In all such cases, yield drops to zero and the mandate becomes dormant. The lock's principal is unaffected.</w:t>
      </w:r>
    </w:p>
    <w:p>
      <w:pPr>
        <w:spacing w:before="80" w:after="80"/>
      </w:pPr>
      <w:r>
        <w:t xml:space="preserve"/>
      </w:r>
    </w:p>
    <w:p>
      <w:pPr>
        <w:pStyle w:val="Heading3"/>
        <w:spacing w:before="200" w:after="100"/>
      </w:pPr>
      <w:r>
        <w:rPr>
          <w:rFonts w:ascii="Arial" w:cs="Arial" w:eastAsia="Arial" w:hAnsi="Arial"/>
          <w:b/>
          <w:bCs/>
          <w:sz w:val="22"/>
          <w:szCs w:val="22"/>
        </w:rPr>
        <w:t xml:space="preserve">Yield and the Beneficiary — A Critical Detail</w:t>
      </w:r>
    </w:p>
    <w:p>
      <w:pPr>
        <w:spacing w:before="100" w:after="100"/>
        <w:jc w:val="both"/>
      </w:pPr>
      <w:r>
        <w:rPr>
          <w:rFonts w:ascii="Arial" w:cs="Arial" w:eastAsia="Arial" w:hAnsi="Arial"/>
          <w:sz w:val="22"/>
          <w:szCs w:val="22"/>
        </w:rPr>
        <w:t xml:space="preserve">Yield belongs to the beneficiary of the promise, not to the grantor. Example: Bob makes a 20-year promise locking 10,000 KX for Mary. HedgeKX uses that lock's mandate for active matching. The yield credits to Mary's yield balance — not to Bob's. Yield accumulates separately as daily credit transactions from HedgeKX's operating wallet to Mary's yield balance. The yield balance never goes down. Once credited, yield is permanent. Mary can claim it at any time.</w:t>
      </w:r>
    </w:p>
    <w:p>
      <w:pPr>
        <w:spacing w:before="80" w:after="80"/>
      </w:pPr>
      <w:r>
        <w:t xml:space="preserve"/>
      </w:r>
    </w:p>
    <w:p>
      <w:pPr>
        <w:pStyle w:val="Heading3"/>
        <w:spacing w:before="200" w:after="100"/>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may set yield_opt_out at lock creation. No mandate is granted. No yield accrues. The principal guarantee is identical. This is appropriate for grantors with tax concerns or who prefer the simplicity of a standard time-lock.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O.3 The Minting Mandate</w:t>
      </w:r>
    </w:p>
    <w:p>
      <w:pPr>
        <w:pStyle w:val="Heading3"/>
        <w:spacing w:before="200" w:after="100"/>
      </w:pPr>
      <w:r>
        <w:rPr>
          <w:rFonts w:ascii="Arial" w:cs="Arial" w:eastAsia="Arial" w:hAnsi="Arial"/>
          <w:b/>
          <w:bCs/>
          <w:sz w:val="22"/>
          <w:szCs w:val="22"/>
        </w:rPr>
        <w:t xml:space="preserve">What the Mandate Permits</w:t>
      </w:r>
    </w:p>
    <w:p>
      <w:pPr>
        <w:spacing w:before="100" w:after="100"/>
        <w:jc w:val="both"/>
      </w:pPr>
      <w:r>
        <w:rPr>
          <w:rFonts w:ascii="Arial" w:cs="Arial" w:eastAsia="Arial" w:hAnsi="Arial"/>
          <w:sz w:val="22"/>
          <w:szCs w:val="22"/>
        </w:rPr>
        <w:t xml:space="preserve">Every TYPE_Y lock (unless yield_opt_out is set) automatically grants HedgeKX one permission: to create h1KX tokens on the Base network in a quantity up to the locked KX amount, for periods not exceeding 24 hours at a time. That is the complete scope of the mandate. Nothing else.</w:t>
      </w:r>
    </w:p>
    <w:p>
      <w:pPr>
        <w:spacing w:before="80" w:after="80"/>
      </w:pPr>
      <w:r>
        <w:t xml:space="preserve"/>
      </w:r>
    </w:p>
    <w:p>
      <w:pPr>
        <w:pStyle w:val="Heading3"/>
        <w:spacing w:before="200" w:after="100"/>
      </w:pPr>
      <w:r>
        <w:rPr>
          <w:rFonts w:ascii="Arial" w:cs="Arial" w:eastAsia="Arial" w:hAnsi="Arial"/>
          <w:b/>
          <w:bCs/>
          <w:sz w:val="22"/>
          <w:szCs w:val="22"/>
        </w:rPr>
        <w:t xml:space="preserve">What the Mandate Does Not Permit</w:t>
      </w:r>
    </w:p>
    <w:p>
      <w:pPr>
        <w:pStyle w:val="ListParagraph"/>
        <w:numPr>
          <w:ilvl w:val="0"/>
          <w:numId w:val="2"/>
        </w:numPr>
        <w:spacing w:before="60" w:after="60"/>
      </w:pPr>
      <w:r>
        <w:rPr>
          <w:rFonts w:ascii="Arial" w:cs="Arial" w:eastAsia="Arial" w:hAnsi="Arial"/>
          <w:sz w:val="22"/>
          <w:szCs w:val="22"/>
        </w:rPr>
        <w:t xml:space="preserve">Transfer of ownership — HedgeKX does not own, control, or have any claim on the locked KX at any point.</w:t>
      </w:r>
    </w:p>
    <w:p>
      <w:pPr>
        <w:pStyle w:val="ListParagraph"/>
        <w:numPr>
          <w:ilvl w:val="0"/>
          <w:numId w:val="2"/>
        </w:numPr>
        <w:spacing w:before="60" w:after="60"/>
      </w:pPr>
      <w:r>
        <w:rPr>
          <w:rFonts w:ascii="Arial" w:cs="Arial" w:eastAsia="Arial" w:hAnsi="Arial"/>
          <w:sz w:val="22"/>
          <w:szCs w:val="22"/>
        </w:rPr>
        <w:t xml:space="preserve">Movement of locked KX — the KX stays on the ChronX DAG.</w:t>
      </w:r>
    </w:p>
    <w:p>
      <w:pPr>
        <w:pStyle w:val="ListParagraph"/>
        <w:numPr>
          <w:ilvl w:val="0"/>
          <w:numId w:val="2"/>
        </w:numPr>
        <w:spacing w:before="60" w:after="60"/>
      </w:pPr>
      <w:r>
        <w:rPr>
          <w:rFonts w:ascii="Arial" w:cs="Arial" w:eastAsia="Arial" w:hAnsi="Arial"/>
          <w:sz w:val="22"/>
          <w:szCs w:val="22"/>
        </w:rPr>
        <w:t xml:space="preserve">Liquidation of locked KX — even if HedgeKX faces losses, is sued, or is ordered by a court to pay a debt, the locked KX cannot be seized.</w:t>
      </w:r>
    </w:p>
    <w:p>
      <w:pPr>
        <w:pStyle w:val="ListParagraph"/>
        <w:numPr>
          <w:ilvl w:val="0"/>
          <w:numId w:val="2"/>
        </w:numPr>
        <w:spacing w:before="60" w:after="60"/>
      </w:pPr>
      <w:r>
        <w:rPr>
          <w:rFonts w:ascii="Arial" w:cs="Arial" w:eastAsia="Arial" w:hAnsi="Arial"/>
          <w:sz w:val="22"/>
          <w:szCs w:val="22"/>
        </w:rPr>
        <w:t xml:space="preserve">Obligation to mint — on days with no matching activity, no h1KX is minted and the mandate sits unused.</w:t>
      </w:r>
    </w:p>
    <w:p>
      <w:pPr>
        <w:spacing w:before="80" w:after="80"/>
      </w:pPr>
      <w:r>
        <w:t xml:space="preserve"/>
      </w:r>
    </w:p>
    <w:p>
      <w:pPr>
        <w:pStyle w:val="Heading3"/>
        <w:spacing w:before="200" w:after="100"/>
      </w:pPr>
      <w:r>
        <w:rPr>
          <w:rFonts w:ascii="Arial" w:cs="Arial" w:eastAsia="Arial" w:hAnsi="Arial"/>
          <w:b/>
          <w:bCs/>
          <w:sz w:val="22"/>
          <w:szCs w:val="22"/>
        </w:rPr>
        <w:t xml:space="preserve">How Mandate Capacity Is Verified</w:t>
      </w:r>
    </w:p>
    <w:p>
      <w:pPr>
        <w:spacing w:before="100" w:after="100"/>
        <w:jc w:val="both"/>
      </w:pPr>
      <w:r>
        <w:rPr>
          <w:rFonts w:ascii="Arial" w:cs="Arial" w:eastAsia="Arial" w:hAnsi="Arial"/>
          <w:sz w:val="22"/>
          <w:szCs w:val="22"/>
        </w:rPr>
        <w:t xml:space="preserve">When HedgeKX requests an h1KX mint, the minting contract on Base independently verifies the claim by checking a cryptographic Merkle inclusion proof against the ChronX DAG's committed state root. The contract verifies the proof's mathematics directly — it does not trust HedgeKX's word, it does not rely on any oracle's interpretation. It checks the proof against publicly available cryptographic commitments from the ChronX network.</w:t>
      </w:r>
    </w:p>
    <w:p>
      <w:pPr>
        <w:spacing w:before="80" w:after="80"/>
      </w:pPr>
      <w:r>
        <w:t xml:space="preserve"/>
      </w:r>
    </w:p>
    <w:p>
      <w:pPr>
        <w:pStyle w:val="Heading3"/>
        <w:spacing w:before="200" w:after="100"/>
      </w:pPr>
      <w:r>
        <w:rPr>
          <w:rFonts w:ascii="Arial" w:cs="Arial" w:eastAsia="Arial" w:hAnsi="Arial"/>
          <w:b/>
          <w:bCs/>
          <w:sz w:val="22"/>
          <w:szCs w:val="22"/>
        </w:rPr>
        <w:t xml:space="preserve">Multi-Currency Mandate Routing</w:t>
      </w:r>
    </w:p>
    <w:p>
      <w:pPr>
        <w:spacing w:before="100" w:after="100"/>
        <w:jc w:val="both"/>
      </w:pPr>
      <w:r>
        <w:rPr>
          <w:rFonts w:ascii="Arial" w:cs="Arial" w:eastAsia="Arial" w:hAnsi="Arial"/>
          <w:sz w:val="22"/>
          <w:szCs w:val="22"/>
        </w:rPr>
        <w:t xml:space="preserve">All TYPE_Y locks automatically become available as mandate sources for all governance-approved hedge pairs. HedgeKX internally routes mandate capacity to whichever pair has active demand. Lock holders do not specify which pair their mandate supports. Yield reflects aggregate facilitation income from all pairs that used their mandate capacity on a given day.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O.4 The Token Family — wKX, h1KX, and hNKX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wKX (XChan Public Token)</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h1KX (HedgeKX Internal Token)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Purpose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Retail KX/USDC conversion on Base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Internal settlement bridge for forward exchanges</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Transferable?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standard ERC-20</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 — transfer function disabled by contract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 — Uniswap, exchanges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 never leaves HedgeKX settlement system</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Expiry</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redeemable anytime via unwrap</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 passive expiry, balanceOf returns zero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Backed by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conversion locks (60-second)</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TYPE_Y mandate locks (lock duration)</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User sees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they buy, hold, trade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Never — purely internal infrastructure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Burns when?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When user unwraps for 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Automatically, 24 hours after minting</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Retail risk</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Standard ERC-20 + peg maintenance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retail users never interact with it</w:t>
            </w:r>
          </w:p>
        </w:tc>
      </w:tr>
    </w:tbl>
    <w:p>
      <w:pPr>
        <w:spacing w:before="80" w:after="80"/>
      </w:pPr>
      <w:r>
        <w:t xml:space="preserve"/>
      </w:r>
    </w:p>
    <w:p>
      <w:pPr>
        <w:pStyle w:val="Heading3"/>
        <w:spacing w:before="200" w:after="100"/>
      </w:pPr>
      <w:r>
        <w:rPr>
          <w:rFonts w:ascii="Arial" w:cs="Arial" w:eastAsia="Arial" w:hAnsi="Arial"/>
          <w:b/>
          <w:bCs/>
          <w:sz w:val="22"/>
          <w:szCs w:val="22"/>
        </w:rPr>
        <w:t xml:space="preserve">The hNKX Family — Designed for 100 Years</w:t>
      </w:r>
    </w:p>
    <w:p>
      <w:pPr>
        <w:spacing w:before="100" w:after="100"/>
        <w:jc w:val="both"/>
      </w:pPr>
      <w:r>
        <w:rPr>
          <w:rFonts w:ascii="Arial" w:cs="Arial" w:eastAsia="Arial" w:hAnsi="Arial"/>
          <w:sz w:val="22"/>
          <w:szCs w:val="22"/>
        </w:rPr>
        <w:t xml:space="preserve">The h-family naming convention encodes the protocol's extensibility:</w:t>
      </w:r>
    </w:p>
    <w:p>
      <w:pPr>
        <w:pStyle w:val="ListParagraph"/>
        <w:numPr>
          <w:ilvl w:val="0"/>
          <w:numId w:val="2"/>
        </w:numPr>
        <w:spacing w:before="60" w:after="60"/>
      </w:pPr>
      <w:r>
        <w:rPr>
          <w:rFonts w:ascii="Arial" w:cs="Arial" w:eastAsia="Arial" w:hAnsi="Arial"/>
          <w:sz w:val="22"/>
          <w:szCs w:val="22"/>
        </w:rPr>
        <w:t xml:space="preserve">h1KX:  KX ↔ USDC — first pair, the foundation, deployed at HedgeKX launch</w:t>
      </w:r>
    </w:p>
    <w:p>
      <w:pPr>
        <w:pStyle w:val="ListParagraph"/>
        <w:numPr>
          <w:ilvl w:val="0"/>
          <w:numId w:val="2"/>
        </w:numPr>
        <w:spacing w:before="60" w:after="60"/>
      </w:pPr>
      <w:r>
        <w:rPr>
          <w:rFonts w:ascii="Arial" w:cs="Arial" w:eastAsia="Arial" w:hAnsi="Arial"/>
          <w:sz w:val="22"/>
          <w:szCs w:val="22"/>
        </w:rPr>
        <w:t xml:space="preserve">h2KX:  KX ↔ BTC — second pair, requires governance vote to deploy</w:t>
      </w:r>
    </w:p>
    <w:p>
      <w:pPr>
        <w:pStyle w:val="ListParagraph"/>
        <w:numPr>
          <w:ilvl w:val="0"/>
          <w:numId w:val="2"/>
        </w:numPr>
        <w:spacing w:before="60" w:after="60"/>
      </w:pPr>
      <w:r>
        <w:rPr>
          <w:rFonts w:ascii="Arial" w:cs="Arial" w:eastAsia="Arial" w:hAnsi="Arial"/>
          <w:sz w:val="22"/>
          <w:szCs w:val="22"/>
        </w:rPr>
        <w:t xml:space="preserve">h3KX:  KX ↔ ETH — third pair (hypothetical future)</w:t>
      </w:r>
    </w:p>
    <w:p>
      <w:pPr>
        <w:pStyle w:val="ListParagraph"/>
        <w:numPr>
          <w:ilvl w:val="0"/>
          <w:numId w:val="2"/>
        </w:numPr>
        <w:spacing w:before="60" w:after="60"/>
      </w:pPr>
      <w:r>
        <w:rPr>
          <w:rFonts w:ascii="Arial" w:cs="Arial" w:eastAsia="Arial" w:hAnsi="Arial"/>
          <w:sz w:val="22"/>
          <w:szCs w:val="22"/>
        </w:rPr>
        <w:t xml:space="preserve">hNKX:  Any Nth governance-approved pair</w:t>
      </w:r>
    </w:p>
    <w:p>
      <w:pPr>
        <w:spacing w:before="80" w:after="80"/>
      </w:pPr>
      <w:r>
        <w:t xml:space="preserve"/>
      </w:r>
    </w:p>
    <w:p>
      <w:pPr>
        <w:spacing w:before="100" w:after="100"/>
        <w:jc w:val="both"/>
      </w:pPr>
      <w:r>
        <w:rPr>
          <w:rFonts w:ascii="Arial" w:cs="Arial" w:eastAsia="Arial" w:hAnsi="Arial"/>
          <w:sz w:val="22"/>
          <w:szCs w:val="22"/>
        </w:rPr>
        <w:t xml:space="preserve">Each hNKX contract is independent — its own supply, its own escrow counterpart, its own 24-hour burn cycle. Adding a new pair never modifies any existing contract.</w:t>
      </w:r>
    </w:p>
    <w:p>
      <w:pPr>
        <w:spacing w:before="80" w:after="80"/>
      </w:pPr>
      <w:r>
        <w:t xml:space="preserve"/>
      </w:r>
    </w:p>
    <w:p>
      <w:pPr>
        <w:pStyle w:val="Heading3"/>
        <w:spacing w:before="200" w:after="100"/>
      </w:pPr>
      <w:r>
        <w:rPr>
          <w:rFonts w:ascii="Arial" w:cs="Arial" w:eastAsia="Arial" w:hAnsi="Arial"/>
          <w:b/>
          <w:bCs/>
          <w:sz w:val="22"/>
          <w:szCs w:val="22"/>
        </w:rPr>
        <w:t xml:space="preserve">h1KX Protocol-Enforced Properties</w:t>
      </w:r>
    </w:p>
    <w:p>
      <w:pPr>
        <w:pStyle w:val="ListParagraph"/>
        <w:numPr>
          <w:ilvl w:val="0"/>
          <w:numId w:val="2"/>
        </w:numPr>
        <w:spacing w:before="60" w:after="60"/>
      </w:pPr>
      <w:r>
        <w:rPr>
          <w:rFonts w:ascii="Arial" w:cs="Arial" w:eastAsia="Arial" w:hAnsi="Arial"/>
          <w:sz w:val="22"/>
          <w:szCs w:val="22"/>
        </w:rPr>
        <w:t xml:space="preserve">Non-transferability. The transfer function is disabled at the code level. h1KX cannot appear on any exchange.</w:t>
      </w:r>
    </w:p>
    <w:p>
      <w:pPr>
        <w:pStyle w:val="ListParagraph"/>
        <w:numPr>
          <w:ilvl w:val="0"/>
          <w:numId w:val="2"/>
        </w:numPr>
        <w:spacing w:before="60" w:after="60"/>
      </w:pPr>
      <w:r>
        <w:rPr>
          <w:rFonts w:ascii="Arial" w:cs="Arial" w:eastAsia="Arial" w:hAnsi="Arial"/>
          <w:sz w:val="22"/>
          <w:szCs w:val="22"/>
        </w:rPr>
        <w:t xml:space="preserve">24-hour passive expiry. The balanceOf function returns zero for any h1KX older than 24 hours. Mathematically dead without requiring a burn transaction — works even during chain outages.</w:t>
      </w:r>
    </w:p>
    <w:p>
      <w:pPr>
        <w:pStyle w:val="ListParagraph"/>
        <w:numPr>
          <w:ilvl w:val="0"/>
          <w:numId w:val="2"/>
        </w:numPr>
        <w:spacing w:before="60" w:after="60"/>
      </w:pPr>
      <w:r>
        <w:rPr>
          <w:rFonts w:ascii="Arial" w:cs="Arial" w:eastAsia="Arial" w:hAnsi="Arial"/>
          <w:sz w:val="22"/>
          <w:szCs w:val="22"/>
        </w:rPr>
        <w:t xml:space="preserve">Supply cap. Total h1KX cannot exceed total verified mandate capacity. Enforced by minting contract proof verification.</w:t>
      </w:r>
    </w:p>
    <w:p>
      <w:pPr>
        <w:pStyle w:val="ListParagraph"/>
        <w:numPr>
          <w:ilvl w:val="0"/>
          <w:numId w:val="2"/>
        </w:numPr>
        <w:spacing w:before="60" w:after="60"/>
      </w:pPr>
      <w:r>
        <w:rPr>
          <w:rFonts w:ascii="Arial" w:cs="Arial" w:eastAsia="Arial" w:hAnsi="Arial"/>
          <w:sz w:val="22"/>
          <w:szCs w:val="22"/>
        </w:rPr>
        <w:t xml:space="preserve">Heartbeat requirement. If the HSM heartbeat stops, all new minting halts automatically within 120 seconds.</w:t>
      </w:r>
    </w:p>
    <w:p>
      <w:pPr>
        <w:pStyle w:val="ListParagraph"/>
        <w:numPr>
          <w:ilvl w:val="0"/>
          <w:numId w:val="2"/>
        </w:numPr>
        <w:spacing w:before="60" w:after="60"/>
      </w:pPr>
      <w:r>
        <w:rPr>
          <w:rFonts w:ascii="Arial" w:cs="Arial" w:eastAsia="Arial" w:hAnsi="Arial"/>
          <w:sz w:val="22"/>
          <w:szCs w:val="22"/>
        </w:rPr>
        <w:t xml:space="preserve">Cannot pay claims. h1KX is not USDC. It represents the KX commitment on the ChronX side. USDC is held separately in the Currency B Committer's escrow.</w:t>
      </w:r>
    </w:p>
    <w:p>
      <w:pPr>
        <w:pStyle w:val="ListParagraph"/>
        <w:numPr>
          <w:ilvl w:val="0"/>
          <w:numId w:val="2"/>
        </w:numPr>
        <w:spacing w:before="60" w:after="60"/>
      </w:pPr>
      <w:r>
        <w:rPr>
          <w:rFonts w:ascii="Arial" w:cs="Arial" w:eastAsia="Arial" w:hAnsi="Arial"/>
          <w:sz w:val="22"/>
          <w:szCs w:val="22"/>
        </w:rPr>
        <w:t xml:space="preserve">Cannot inflate KX supply. Total KX on ChronX plus total h1KX on Base never exceeds 8,270,000,000.</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O.5 The State Root Verification System</w:t>
      </w:r>
    </w:p>
    <w:p>
      <w:pPr>
        <w:pStyle w:val="Heading3"/>
        <w:spacing w:before="200" w:after="100"/>
      </w:pPr>
      <w:r>
        <w:rPr>
          <w:rFonts w:ascii="Arial" w:cs="Arial" w:eastAsia="Arial" w:hAnsi="Arial"/>
          <w:b/>
          <w:bCs/>
          <w:sz w:val="22"/>
          <w:szCs w:val="22"/>
        </w:rPr>
        <w:t xml:space="preserve">Why This Exists</w:t>
      </w:r>
    </w:p>
    <w:p>
      <w:pPr>
        <w:spacing w:before="100" w:after="100"/>
        <w:jc w:val="both"/>
      </w:pPr>
      <w:r>
        <w:rPr>
          <w:rFonts w:ascii="Arial" w:cs="Arial" w:eastAsia="Arial" w:hAnsi="Arial"/>
          <w:sz w:val="22"/>
          <w:szCs w:val="22"/>
        </w:rPr>
        <w:t xml:space="preserve">The h1KX minting contract on Base must verify that a KX mandate actually exists on the ChronX DAG before authorising a mint. It cannot trust HedgeKX's word. It verifies the mandate independently using Merkle inclusion proofs against ChronX's committed state root.</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9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Trust Assumption</w:t>
            </w:r>
          </w:p>
        </w:tc>
        <w:tc>
          <w:tcPr>
            <w:tcW w:type="dxa" w:w="2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 Requirement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(multi-relayer)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Honest majority of 3-of-5 independent relayers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Compromise 3 of 5 relayers simultaneously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Target (ZK light client)</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Cryptographic security of hash functions + ChronX consensus validity</w:t>
            </w:r>
          </w:p>
        </w:tc>
        <w:tc>
          <w:tcPr>
            <w:tcW w:type="dxa" w:w="2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Break SHA-3 or compromise ChronX validator majority</w:t>
            </w:r>
          </w:p>
        </w:tc>
      </w:tr>
    </w:tbl>
    <w:p>
      <w:pPr>
        <w:spacing w:before="80" w:after="80"/>
      </w:pPr>
      <w:r>
        <w:t xml:space="preserve"/>
      </w:r>
    </w:p>
    <w:p>
      <w:pPr>
        <w:spacing w:before="100" w:after="100"/>
        <w:jc w:val="both"/>
      </w:pPr>
      <w:r>
        <w:rPr>
          <w:rFonts w:ascii="Arial" w:cs="Arial" w:eastAsia="Arial" w:hAnsi="Arial"/>
          <w:sz w:val="22"/>
          <w:szCs w:val="22"/>
        </w:rPr>
        <w:t xml:space="preserve">The ZK light client runs inside the Base minting contract, independently verifying ChronX consensus using ZK-SNARKs. No relayer trust required. This is a build priority for the post-ICO roadmap.</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O.6 The Matched Forward Exchange — Complete Mechanics</w:t>
      </w:r>
    </w:p>
    <w:p>
      <w:pPr>
        <w:pStyle w:val="Heading3"/>
        <w:spacing w:before="200" w:after="100"/>
      </w:pPr>
      <w:r>
        <w:rPr>
          <w:rFonts w:ascii="Arial" w:cs="Arial" w:eastAsia="Arial" w:hAnsi="Arial"/>
          <w:b/>
          <w:bCs/>
          <w:sz w:val="22"/>
          <w:szCs w:val="22"/>
        </w:rPr>
        <w:t xml:space="preserve">The Two Parties</w:t>
      </w:r>
    </w:p>
    <w:p>
      <w:pPr>
        <w:spacing w:before="100" w:after="100"/>
        <w:jc w:val="both"/>
      </w:pPr>
      <w:r>
        <w:rPr>
          <w:rFonts w:ascii="Arial" w:cs="Arial" w:eastAsia="Arial" w:hAnsi="Arial"/>
          <w:b/>
          <w:bCs/>
          <w:sz w:val="22"/>
          <w:szCs w:val="22"/>
        </w:rPr>
        <w:t xml:space="preserve">The Exchange Buyer:</w:t>
      </w:r>
    </w:p>
    <w:p>
      <w:pPr>
        <w:spacing w:before="100" w:after="100"/>
        <w:jc w:val="both"/>
      </w:pPr>
      <w:r>
        <w:rPr>
          <w:rFonts w:ascii="Arial" w:cs="Arial" w:eastAsia="Arial" w:hAnsi="Arial"/>
          <w:sz w:val="22"/>
          <w:szCs w:val="22"/>
        </w:rPr>
        <w:t xml:space="preserve">Needs price certainty. Locks KX as collateral on ChronX at a pre-agreed exchange rate. Pays a premium to HedgeKX at inception. Receives the right to deliver that KX and receive the pre-agreed quantity of USDC at a future date or triggering event, regardless of KX's market price at that moment.</w:t>
      </w:r>
    </w:p>
    <w:p>
      <w:pPr>
        <w:spacing w:before="80" w:after="80"/>
      </w:pPr>
      <w:r>
        <w:t xml:space="preserve"/>
      </w:r>
    </w:p>
    <w:p>
      <w:pPr>
        <w:spacing w:before="100" w:after="100"/>
        <w:jc w:val="both"/>
      </w:pPr>
      <w:r>
        <w:rPr>
          <w:rFonts w:ascii="Arial" w:cs="Arial" w:eastAsia="Arial" w:hAnsi="Arial"/>
          <w:b/>
          <w:bCs/>
          <w:sz w:val="22"/>
          <w:szCs w:val="22"/>
        </w:rPr>
        <w:t xml:space="preserve">The Currency B Committer (Superseding Hedger):</w:t>
      </w:r>
    </w:p>
    <w:p>
      <w:pPr>
        <w:spacing w:before="100" w:after="100"/>
        <w:jc w:val="both"/>
      </w:pPr>
      <w:r>
        <w:rPr>
          <w:rFonts w:ascii="Arial" w:cs="Arial" w:eastAsia="Arial" w:hAnsi="Arial"/>
          <w:sz w:val="22"/>
          <w:szCs w:val="22"/>
        </w:rPr>
        <w:t xml:space="preserve">Seeks yield. Commits USDC into a smart contract escrow on Base for the agreed term. This commitment is enforced by a smart contract timelock — the withdrawal function cannot execute before the agreed term expires. Early withdrawal is mathematically impossible. At maturity, receives the pre-agreed quantity of KX. Accepts KX's directional price risk in exchange for yield.</w:t>
      </w:r>
    </w:p>
    <w:p>
      <w:pPr>
        <w:spacing w:before="80" w:after="80"/>
      </w:pPr>
      <w:r>
        <w:t xml:space="preserve"/>
      </w:r>
    </w:p>
    <w:p>
      <w:pPr>
        <w:spacing w:before="100" w:after="100"/>
        <w:jc w:val="both"/>
      </w:pPr>
      <w:r>
        <w:rPr>
          <w:rFonts w:ascii="Arial" w:cs="Arial" w:eastAsia="Arial" w:hAnsi="Arial"/>
          <w:b/>
          <w:bCs/>
          <w:sz w:val="22"/>
          <w:szCs w:val="22"/>
        </w:rPr>
        <w:t xml:space="preserve">The pre-agreed rate is fixed at inception. It cannot change. All price risk during the term is borne entirely by the Currency B Committer.</w:t>
      </w:r>
    </w:p>
    <w:p>
      <w:pPr>
        <w:spacing w:before="80" w:after="80"/>
      </w:pPr>
      <w:r>
        <w:t xml:space="preserve"/>
      </w:r>
    </w:p>
    <w:p>
      <w:pPr>
        <w:pStyle w:val="Heading3"/>
        <w:spacing w:before="200" w:after="100"/>
      </w:pPr>
      <w:r>
        <w:rPr>
          <w:rFonts w:ascii="Arial" w:cs="Arial" w:eastAsia="Arial" w:hAnsi="Arial"/>
          <w:b/>
          <w:bCs/>
          <w:sz w:val="22"/>
          <w:szCs w:val="22"/>
        </w:rPr>
        <w:t xml:space="preserve">Operating Modes</w:t>
      </w:r>
    </w:p>
    <w:p>
      <w:pPr>
        <w:spacing w:before="100" w:after="100"/>
        <w:jc w:val="both"/>
      </w:pPr>
      <w:r>
        <w:rPr>
          <w:rFonts w:ascii="Arial" w:cs="Arial" w:eastAsia="Arial" w:hAnsi="Arial"/>
          <w:b/>
          <w:bCs/>
          <w:sz w:val="22"/>
          <w:szCs w:val="22"/>
        </w:rPr>
        <w:t xml:space="preserve">Mode 1 — Pure Matching (preferred):</w:t>
      </w:r>
    </w:p>
    <w:p>
      <w:pPr>
        <w:spacing w:before="100" w:after="100"/>
        <w:jc w:val="both"/>
      </w:pPr>
      <w:r>
        <w:rPr>
          <w:rFonts w:ascii="Arial" w:cs="Arial" w:eastAsia="Arial" w:hAnsi="Arial"/>
          <w:sz w:val="22"/>
          <w:szCs w:val="22"/>
        </w:rPr>
        <w:t xml:space="preserve">Exchange Buyer submits intent with up to 5-day fulfillment window. HedgeKX broadcasts to Currency B Committer pool. Natural match found. HedgeKX earns facilitation fee. Takes zero directional risk.</w:t>
      </w:r>
    </w:p>
    <w:p>
      <w:pPr>
        <w:spacing w:before="80" w:after="80"/>
      </w:pPr>
      <w:r>
        <w:t xml:space="preserve"/>
      </w:r>
    </w:p>
    <w:p>
      <w:pPr>
        <w:spacing w:before="100" w:after="100"/>
        <w:jc w:val="both"/>
      </w:pPr>
      <w:r>
        <w:rPr>
          <w:rFonts w:ascii="Arial" w:cs="Arial" w:eastAsia="Arial" w:hAnsi="Arial"/>
          <w:b/>
          <w:bCs/>
          <w:sz w:val="22"/>
          <w:szCs w:val="22"/>
        </w:rPr>
        <w:t xml:space="preserve">Mode 2 — Temporary Market Making (bounded, exceptional):</w:t>
      </w:r>
    </w:p>
    <w:p>
      <w:pPr>
        <w:spacing w:before="100" w:after="100"/>
        <w:jc w:val="both"/>
      </w:pPr>
      <w:r>
        <w:rPr>
          <w:rFonts w:ascii="Arial" w:cs="Arial" w:eastAsia="Arial" w:hAnsi="Arial"/>
          <w:sz w:val="22"/>
          <w:szCs w:val="22"/>
        </w:rPr>
        <w:t xml:space="preserve">If no natural match available within the window, HedgeKX may temporarily take the other side from its own operating capital. Mode 2 is subject to hard protocol-enforced caps (see O.8).</w:t>
      </w:r>
    </w:p>
    <w:p>
      <w:pPr>
        <w:spacing w:before="80" w:after="80"/>
      </w:pPr>
      <w:r>
        <w:t xml:space="preserve"/>
      </w:r>
    </w:p>
    <w:p>
      <w:pPr>
        <w:pStyle w:val="Heading3"/>
        <w:spacing w:before="200" w:after="100"/>
      </w:pPr>
      <w:r>
        <w:rPr>
          <w:rFonts w:ascii="Arial" w:cs="Arial" w:eastAsia="Arial" w:hAnsi="Arial"/>
          <w:b/>
          <w:bCs/>
          <w:sz w:val="22"/>
          <w:szCs w:val="22"/>
        </w:rPr>
        <w:t xml:space="preserve">Instrument Duration and Governance Restriction</w:t>
      </w:r>
    </w:p>
    <w:p>
      <w:pPr>
        <w:spacing w:before="100" w:after="100"/>
        <w:jc w:val="both"/>
      </w:pPr>
      <w:r>
        <w:rPr>
          <w:rFonts w:ascii="Arial" w:cs="Arial" w:eastAsia="Arial" w:hAnsi="Arial"/>
          <w:sz w:val="22"/>
          <w:szCs w:val="22"/>
        </w:rPr>
        <w:t xml:space="preserve">At launch: overnight instruments only. Pricing 365 days of volatility for a new asset is irrational — premiums would be enormous and unattractive. One night's volatility is small, calculable, and rationally priceable.</w:t>
      </w:r>
    </w:p>
    <w:p>
      <w:pPr>
        <w:spacing w:before="80" w:after="80"/>
      </w:pPr>
      <w:r>
        <w:t xml:space="preserve"/>
      </w:r>
    </w:p>
    <w:p>
      <w:pPr>
        <w:spacing w:before="100" w:after="100"/>
        <w:jc w:val="both"/>
      </w:pPr>
      <w:r>
        <w:rPr>
          <w:rFonts w:ascii="Arial" w:cs="Arial" w:eastAsia="Arial" w:hAnsi="Arial"/>
          <w:sz w:val="22"/>
          <w:szCs w:val="22"/>
        </w:rPr>
        <w:t xml:space="preserve">Governance extends duration in stages when four conditions are simultaneously true for 30 consecutive days: volatility stability, minimum matched volume, minimum participant diversity, and zero settlement failures. The approximate sequence:</w:t>
      </w:r>
    </w:p>
    <w:p>
      <w:pPr>
        <w:pStyle w:val="ListParagraph"/>
        <w:numPr>
          <w:ilvl w:val="0"/>
          <w:numId w:val="2"/>
        </w:numPr>
        <w:spacing w:before="60" w:after="60"/>
      </w:pPr>
      <w:r>
        <w:rPr>
          <w:rFonts w:ascii="Arial" w:cs="Arial" w:eastAsia="Arial" w:hAnsi="Arial"/>
          <w:sz w:val="22"/>
          <w:szCs w:val="22"/>
        </w:rPr>
        <w:t xml:space="preserve">Launch: Overnight instruments only</w:t>
      </w:r>
    </w:p>
    <w:p>
      <w:pPr>
        <w:pStyle w:val="ListParagraph"/>
        <w:numPr>
          <w:ilvl w:val="0"/>
          <w:numId w:val="2"/>
        </w:numPr>
        <w:spacing w:before="60" w:after="60"/>
      </w:pPr>
      <w:r>
        <w:rPr>
          <w:rFonts w:ascii="Arial" w:cs="Arial" w:eastAsia="Arial" w:hAnsi="Arial"/>
          <w:sz w:val="22"/>
          <w:szCs w:val="22"/>
        </w:rPr>
        <w:t xml:space="preserve">Months later: 7-day instruments (when overnight market stable)</w:t>
      </w:r>
    </w:p>
    <w:p>
      <w:pPr>
        <w:pStyle w:val="ListParagraph"/>
        <w:numPr>
          <w:ilvl w:val="0"/>
          <w:numId w:val="2"/>
        </w:numPr>
        <w:spacing w:before="60" w:after="60"/>
      </w:pPr>
      <w:r>
        <w:rPr>
          <w:rFonts w:ascii="Arial" w:cs="Arial" w:eastAsia="Arial" w:hAnsi="Arial"/>
          <w:sz w:val="22"/>
          <w:szCs w:val="22"/>
        </w:rPr>
        <w:t xml:space="preserve">Later: 30-day, 90-day instruments</w:t>
      </w:r>
    </w:p>
    <w:p>
      <w:pPr>
        <w:pStyle w:val="ListParagraph"/>
        <w:numPr>
          <w:ilvl w:val="0"/>
          <w:numId w:val="2"/>
        </w:numPr>
        <w:spacing w:before="60" w:after="60"/>
      </w:pPr>
      <w:r>
        <w:rPr>
          <w:rFonts w:ascii="Arial" w:cs="Arial" w:eastAsia="Arial" w:hAnsi="Arial"/>
          <w:sz w:val="22"/>
          <w:szCs w:val="22"/>
        </w:rPr>
        <w:t xml:space="preserve">Eventually: Multi-year instruments for institutional use cases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O.7 Settlement Mechanics and Cross-Chain Considerations</w:t>
      </w:r>
    </w:p>
    <w:p>
      <w:pPr>
        <w:pStyle w:val="Heading3"/>
        <w:spacing w:before="200" w:after="100"/>
      </w:pPr>
      <w:r>
        <w:rPr>
          <w:rFonts w:ascii="Arial" w:cs="Arial" w:eastAsia="Arial" w:hAnsi="Arial"/>
          <w:b/>
          <w:bCs/>
          <w:sz w:val="22"/>
          <w:szCs w:val="22"/>
        </w:rPr>
        <w:t xml:space="preserve">The Fundamental Constraint</w:t>
      </w:r>
    </w:p>
    <w:p>
      <w:pPr>
        <w:spacing w:before="100" w:after="100"/>
        <w:jc w:val="both"/>
      </w:pPr>
      <w:r>
        <w:rPr>
          <w:rFonts w:ascii="Arial" w:cs="Arial" w:eastAsia="Arial" w:hAnsi="Arial"/>
          <w:sz w:val="22"/>
          <w:szCs w:val="22"/>
        </w:rPr>
        <w:t xml:space="preserve">Settlement requires two events on two independent blockchains: a KX transfer on ChronX and a USDC transfer on Base. True mathematical atomicity across two independent systems is impossible. This is acknowledged explicitly.</w:t>
      </w:r>
    </w:p>
    <w:p>
      <w:pPr>
        <w:spacing w:before="80" w:after="80"/>
      </w:pPr>
      <w:r>
        <w:t xml:space="preserve"/>
      </w:r>
    </w:p>
    <w:p>
      <w:pPr>
        <w:pStyle w:val="Heading3"/>
        <w:spacing w:before="200" w:after="100"/>
      </w:pPr>
      <w:r>
        <w:rPr>
          <w:rFonts w:ascii="Arial" w:cs="Arial" w:eastAsia="Arial" w:hAnsi="Arial"/>
          <w:b/>
          <w:bCs/>
          <w:sz w:val="22"/>
          <w:szCs w:val="22"/>
        </w:rPr>
        <w:t xml:space="preserve">The Settlement Process</w:t>
      </w:r>
    </w:p>
    <w:p>
      <w:pPr>
        <w:pStyle w:val="ListParagraph"/>
        <w:numPr>
          <w:ilvl w:val="0"/>
          <w:numId w:val="3"/>
        </w:numPr>
        <w:spacing w:before="60" w:after="60"/>
      </w:pPr>
      <w:r>
        <w:rPr>
          <w:rFonts w:ascii="Arial" w:cs="Arial" w:eastAsia="Arial" w:hAnsi="Arial"/>
          <w:sz w:val="22"/>
          <w:szCs w:val="22"/>
        </w:rPr>
        <w:t xml:space="preserve">Exchange Buyer sends KX to HedgeKX's settlement escrow on ChronX. Confirmed to finality threshold.</w:t>
      </w:r>
    </w:p>
    <w:p>
      <w:pPr>
        <w:pStyle w:val="ListParagraph"/>
        <w:numPr>
          <w:ilvl w:val="0"/>
          <w:numId w:val="3"/>
        </w:numPr>
        <w:spacing w:before="60" w:after="60"/>
      </w:pPr>
      <w:r>
        <w:rPr>
          <w:rFonts w:ascii="Arial" w:cs="Arial" w:eastAsia="Arial" w:hAnsi="Arial"/>
          <w:sz w:val="22"/>
          <w:szCs w:val="22"/>
        </w:rPr>
        <w:t xml:space="preserve">Currency B Committer's USDC is already locked in Base escrow from contract creation.</w:t>
      </w:r>
    </w:p>
    <w:p>
      <w:pPr>
        <w:pStyle w:val="ListParagraph"/>
        <w:numPr>
          <w:ilvl w:val="0"/>
          <w:numId w:val="3"/>
        </w:numPr>
        <w:spacing w:before="60" w:after="60"/>
      </w:pPr>
      <w:r>
        <w:rPr>
          <w:rFonts w:ascii="Arial" w:cs="Arial" w:eastAsia="Arial" w:hAnsi="Arial"/>
          <w:sz w:val="22"/>
          <w:szCs w:val="22"/>
        </w:rPr>
        <w:t xml:space="preserve">HedgeKX confirms both sides present and valid.</w:t>
      </w:r>
    </w:p>
    <w:p>
      <w:pPr>
        <w:pStyle w:val="ListParagraph"/>
        <w:numPr>
          <w:ilvl w:val="0"/>
          <w:numId w:val="3"/>
        </w:numPr>
        <w:spacing w:before="60" w:after="60"/>
      </w:pPr>
      <w:r>
        <w:rPr>
          <w:rFonts w:ascii="Arial" w:cs="Arial" w:eastAsia="Arial" w:hAnsi="Arial"/>
          <w:sz w:val="22"/>
          <w:szCs w:val="22"/>
        </w:rPr>
        <w:t xml:space="preserve">HedgeKX releases USDC to Exchange Buyer on Base AND KX to Currency B Committer on ChronX simultaneously, using h1KX as the internal cross-chain accounting record.</w:t>
      </w:r>
    </w:p>
    <w:p>
      <w:pPr>
        <w:pStyle w:val="ListParagraph"/>
        <w:numPr>
          <w:ilvl w:val="0"/>
          <w:numId w:val="3"/>
        </w:numPr>
        <w:spacing w:before="60" w:after="60"/>
      </w:pPr>
      <w:r>
        <w:rPr>
          <w:rFonts w:ascii="Arial" w:cs="Arial" w:eastAsia="Arial" w:hAnsi="Arial"/>
          <w:sz w:val="22"/>
          <w:szCs w:val="22"/>
        </w:rPr>
        <w:t xml:space="preserve">h1KX reads as zero (passively expired or consumed). Settlement complete. HedgeKX ends flat.</w:t>
      </w:r>
    </w:p>
    <w:p>
      <w:pPr>
        <w:spacing w:before="80" w:after="80"/>
      </w:pPr>
      <w:r>
        <w:t xml:space="preserve"/>
      </w:r>
    </w:p>
    <w:p>
      <w:pPr>
        <w:spacing w:before="100" w:after="100"/>
        <w:jc w:val="both"/>
      </w:pPr>
      <w:r>
        <w:rPr>
          <w:rFonts w:ascii="Arial" w:cs="Arial" w:eastAsia="Arial" w:hAnsi="Arial"/>
          <w:sz w:val="22"/>
          <w:szCs w:val="22"/>
        </w:rPr>
        <w:t xml:space="preserve">HedgeKX never releases either leg until both are confirmed present. The ChronX DAG uses deterministic finality — confirmed transactions do not reorg. If either leg fails to arrive within the settlement window, smart contract timeout returns it to the sender automatically.</w:t>
      </w:r>
    </w:p>
    <w:p>
      <w:pPr>
        <w:spacing w:before="80" w:after="80"/>
      </w:pPr>
      <w:r>
        <w:t xml:space="preserve"/>
      </w:r>
    </w:p>
    <w:p>
      <w:pPr>
        <w:pStyle w:val="Heading3"/>
        <w:spacing w:before="200" w:after="100"/>
      </w:pPr>
      <w:r>
        <w:rPr>
          <w:rFonts w:ascii="Arial" w:cs="Arial" w:eastAsia="Arial" w:hAnsi="Arial"/>
          <w:b/>
          <w:bCs/>
          <w:sz w:val="22"/>
          <w:szCs w:val="22"/>
        </w:rPr>
        <w:t xml:space="preserve">Residual Risk</w:t>
      </w:r>
    </w:p>
    <w:p>
      <w:pPr>
        <w:spacing w:before="100" w:after="100"/>
        <w:jc w:val="both"/>
      </w:pPr>
      <w:r>
        <w:rPr>
          <w:rFonts w:ascii="Arial" w:cs="Arial" w:eastAsia="Arial" w:hAnsi="Arial"/>
          <w:sz w:val="22"/>
          <w:szCs w:val="22"/>
        </w:rPr>
        <w:t xml:space="preserve">Under extreme stress — simultaneous network congestion on both chains — there is a narrow residual risk of asymmetric settlement. This risk is bounded (maximum one settlement's notional), time-limited (exposed only during the settlement window), and recoverable (timeout recovery). It cannot be fully eliminated without shared consensus between the two chains.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O.8 Protocol-Enforced Constraints on HedgeKX</w:t>
      </w:r>
    </w:p>
    <w:p>
      <w:pPr>
        <w:spacing w:before="100" w:after="100"/>
        <w:jc w:val="both"/>
      </w:pPr>
      <w:r>
        <w:rPr>
          <w:rFonts w:ascii="Arial" w:cs="Arial" w:eastAsia="Arial" w:hAnsi="Arial"/>
          <w:sz w:val="22"/>
          <w:szCs w:val="22"/>
        </w:rPr>
        <w:t xml:space="preserve">These are not policies HedgeKX follows. They are conditions the protocol enforces upon it:</w:t>
      </w:r>
    </w:p>
    <w:p>
      <w:pPr>
        <w:pStyle w:val="ListParagraph"/>
        <w:numPr>
          <w:ilvl w:val="0"/>
          <w:numId w:val="2"/>
        </w:numPr>
        <w:spacing w:before="60" w:after="60"/>
      </w:pPr>
      <w:r>
        <w:rPr>
          <w:rFonts w:ascii="Arial" w:cs="Arial" w:eastAsia="Arial" w:hAnsi="Arial"/>
          <w:sz w:val="22"/>
          <w:szCs w:val="22"/>
        </w:rPr>
        <w:t xml:space="preserve">h1KX cannot exceed verified mandate pool. Minting contract enforces this via Merkle proof verification.</w:t>
      </w:r>
    </w:p>
    <w:p>
      <w:pPr>
        <w:pStyle w:val="ListParagraph"/>
        <w:numPr>
          <w:ilvl w:val="0"/>
          <w:numId w:val="2"/>
        </w:numPr>
        <w:spacing w:before="60" w:after="60"/>
      </w:pPr>
      <w:r>
        <w:rPr>
          <w:rFonts w:ascii="Arial" w:cs="Arial" w:eastAsia="Arial" w:hAnsi="Arial"/>
          <w:sz w:val="22"/>
          <w:szCs w:val="22"/>
        </w:rPr>
        <w:t xml:space="preserve">h1KX burns within 24 hours. Smart contract balanceOf returns zero after 24 hours. Unstoppable.</w:t>
      </w:r>
    </w:p>
    <w:p>
      <w:pPr>
        <w:pStyle w:val="ListParagraph"/>
        <w:numPr>
          <w:ilvl w:val="0"/>
          <w:numId w:val="2"/>
        </w:numPr>
        <w:spacing w:before="60" w:after="60"/>
      </w:pPr>
      <w:r>
        <w:rPr>
          <w:rFonts w:ascii="Arial" w:cs="Arial" w:eastAsia="Arial" w:hAnsi="Arial"/>
          <w:sz w:val="22"/>
          <w:szCs w:val="22"/>
        </w:rPr>
        <w:t xml:space="preserve">h1KX cannot be transferred. Transfer function disabled at code level.</w:t>
      </w:r>
    </w:p>
    <w:p>
      <w:pPr>
        <w:pStyle w:val="ListParagraph"/>
        <w:numPr>
          <w:ilvl w:val="0"/>
          <w:numId w:val="2"/>
        </w:numPr>
        <w:spacing w:before="60" w:after="60"/>
      </w:pPr>
      <w:r>
        <w:rPr>
          <w:rFonts w:ascii="Arial" w:cs="Arial" w:eastAsia="Arial" w:hAnsi="Arial"/>
          <w:sz w:val="22"/>
          <w:szCs w:val="22"/>
        </w:rPr>
        <w:t xml:space="preserve">Locked KX cannot move. Native chain consensus enforces this. HedgeKX has no access.</w:t>
      </w:r>
    </w:p>
    <w:p>
      <w:pPr>
        <w:pStyle w:val="ListParagraph"/>
        <w:numPr>
          <w:ilvl w:val="0"/>
          <w:numId w:val="2"/>
        </w:numPr>
        <w:spacing w:before="60" w:after="60"/>
      </w:pPr>
      <w:r>
        <w:rPr>
          <w:rFonts w:ascii="Arial" w:cs="Arial" w:eastAsia="Arial" w:hAnsi="Arial"/>
          <w:sz w:val="22"/>
          <w:szCs w:val="22"/>
        </w:rPr>
        <w:t xml:space="preserve">Mode 2 position cap. Encoded in settlement contract. Cannot be exceeded regardless of demand.</w:t>
      </w:r>
    </w:p>
    <w:p>
      <w:pPr>
        <w:pStyle w:val="ListParagraph"/>
        <w:numPr>
          <w:ilvl w:val="0"/>
          <w:numId w:val="2"/>
        </w:numPr>
        <w:spacing w:before="60" w:after="60"/>
      </w:pPr>
      <w:r>
        <w:rPr>
          <w:rFonts w:ascii="Arial" w:cs="Arial" w:eastAsia="Arial" w:hAnsi="Arial"/>
          <w:sz w:val="22"/>
          <w:szCs w:val="22"/>
        </w:rPr>
        <w:t xml:space="preserve">Mode 2 72-hour suspension. If any Mode 2 position remains open more than 72 hours, contract automatically suspends all new Mode 2 activity.</w:t>
      </w:r>
    </w:p>
    <w:p>
      <w:pPr>
        <w:pStyle w:val="ListParagraph"/>
        <w:numPr>
          <w:ilvl w:val="0"/>
          <w:numId w:val="2"/>
        </w:numPr>
        <w:spacing w:before="60" w:after="60"/>
      </w:pPr>
      <w:r>
        <w:rPr>
          <w:rFonts w:ascii="Arial" w:cs="Arial" w:eastAsia="Arial" w:hAnsi="Arial"/>
          <w:sz w:val="22"/>
          <w:szCs w:val="22"/>
        </w:rPr>
        <w:t xml:space="preserve">HSM heartbeat halt. If heartbeat stops, new minting halts within 120 seconds.</w:t>
      </w:r>
    </w:p>
    <w:p>
      <w:pPr>
        <w:pStyle w:val="ListParagraph"/>
        <w:numPr>
          <w:ilvl w:val="0"/>
          <w:numId w:val="2"/>
        </w:numPr>
        <w:spacing w:before="60" w:after="60"/>
      </w:pPr>
      <w:r>
        <w:rPr>
          <w:rFonts w:ascii="Arial" w:cs="Arial" w:eastAsia="Arial" w:hAnsi="Arial"/>
          <w:sz w:val="22"/>
          <w:szCs w:val="22"/>
        </w:rPr>
        <w:t xml:space="preserve">Currency B Committer cannot exit early. Smart contract timelock on withdrawal function.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O.9 Governance-Restricted Instrument Duration — The Full Rationale</w:t>
      </w:r>
    </w:p>
    <w:p>
      <w:pPr>
        <w:spacing w:before="100" w:after="100"/>
        <w:jc w:val="both"/>
      </w:pPr>
      <w:r>
        <w:rPr>
          <w:rFonts w:ascii="Arial" w:cs="Arial" w:eastAsia="Arial" w:hAnsi="Arial"/>
          <w:sz w:val="22"/>
          <w:szCs w:val="22"/>
        </w:rPr>
        <w:t xml:space="preserve">The overnight-only restriction at launch is not a limitation — it is the honest recognition that rational markets require rational pricing inputs. Extension from overnight to 7-day instruments requires all four conditions simultaneously true for 30 consecutive days:</w:t>
      </w:r>
    </w:p>
    <w:p>
      <w:pPr>
        <w:pStyle w:val="ListParagraph"/>
        <w:numPr>
          <w:ilvl w:val="0"/>
          <w:numId w:val="2"/>
        </w:numPr>
        <w:spacing w:before="60" w:after="60"/>
      </w:pPr>
      <w:r>
        <w:rPr>
          <w:rFonts w:ascii="Arial" w:cs="Arial" w:eastAsia="Arial" w:hAnsi="Arial"/>
          <w:sz w:val="22"/>
          <w:szCs w:val="22"/>
        </w:rPr>
        <w:t xml:space="preserve">Realized volatility stability: 30-day rolling volatility within a governance-set band</w:t>
      </w:r>
    </w:p>
    <w:p>
      <w:pPr>
        <w:pStyle w:val="ListParagraph"/>
        <w:numPr>
          <w:ilvl w:val="0"/>
          <w:numId w:val="2"/>
        </w:numPr>
        <w:spacing w:before="60" w:after="60"/>
      </w:pPr>
      <w:r>
        <w:rPr>
          <w:rFonts w:ascii="Arial" w:cs="Arial" w:eastAsia="Arial" w:hAnsi="Arial"/>
          <w:sz w:val="22"/>
          <w:szCs w:val="22"/>
        </w:rPr>
        <w:t xml:space="preserve">Volume sufficiency: average daily matched notional above governance-set minimum</w:t>
      </w:r>
    </w:p>
    <w:p>
      <w:pPr>
        <w:pStyle w:val="ListParagraph"/>
        <w:numPr>
          <w:ilvl w:val="0"/>
          <w:numId w:val="2"/>
        </w:numPr>
        <w:spacing w:before="60" w:after="60"/>
      </w:pPr>
      <w:r>
        <w:rPr>
          <w:rFonts w:ascii="Arial" w:cs="Arial" w:eastAsia="Arial" w:hAnsi="Arial"/>
          <w:sz w:val="22"/>
          <w:szCs w:val="22"/>
        </w:rPr>
        <w:t xml:space="preserve">Participant diversity: unique Exchange Buyers and Currency B Committers above minimum</w:t>
      </w:r>
    </w:p>
    <w:p>
      <w:pPr>
        <w:pStyle w:val="ListParagraph"/>
        <w:numPr>
          <w:ilvl w:val="0"/>
          <w:numId w:val="2"/>
        </w:numPr>
        <w:spacing w:before="60" w:after="60"/>
      </w:pPr>
      <w:r>
        <w:rPr>
          <w:rFonts w:ascii="Arial" w:cs="Arial" w:eastAsia="Arial" w:hAnsi="Arial"/>
          <w:sz w:val="22"/>
          <w:szCs w:val="22"/>
        </w:rPr>
        <w:t xml:space="preserve">Settlement reliability: zero or near-zero timeout recovery events during the period</w:t>
      </w:r>
    </w:p>
    <w:p>
      <w:pPr>
        <w:spacing w:before="80" w:after="80"/>
      </w:pPr>
      <w:r>
        <w:t xml:space="preserve"/>
      </w:r>
    </w:p>
    <w:p>
      <w:pPr>
        <w:spacing w:before="100" w:after="100"/>
        <w:jc w:val="both"/>
      </w:pPr>
      <w:r>
        <w:rPr>
          <w:rFonts w:ascii="Arial" w:cs="Arial" w:eastAsia="Arial" w:hAnsi="Arial"/>
          <w:sz w:val="22"/>
          <w:szCs w:val="22"/>
        </w:rPr>
        <w:t xml:space="preserve">All four must be satisfied for 30 consecutive days. A single day's failure resets the clock. Simultaneously gaming all four for 30 days is prohibitively expensive and publicly visible on-chain.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O.10 The Currency B Committer's Complete Risk Profile</w:t>
      </w:r>
    </w:p>
    <w:p>
      <w:pPr>
        <w:pStyle w:val="Heading3"/>
        <w:spacing w:before="200" w:after="100"/>
      </w:pPr>
      <w:r>
        <w:rPr>
          <w:rFonts w:ascii="Arial" w:cs="Arial" w:eastAsia="Arial" w:hAnsi="Arial"/>
          <w:b/>
          <w:bCs/>
          <w:sz w:val="22"/>
          <w:szCs w:val="22"/>
        </w:rPr>
        <w:t xml:space="preserve">What You Are Doing</w:t>
      </w:r>
    </w:p>
    <w:p>
      <w:pPr>
        <w:spacing w:before="100" w:after="100"/>
        <w:jc w:val="both"/>
      </w:pPr>
      <w:r>
        <w:rPr>
          <w:rFonts w:ascii="Arial" w:cs="Arial" w:eastAsia="Arial" w:hAnsi="Arial"/>
          <w:sz w:val="22"/>
          <w:szCs w:val="22"/>
        </w:rPr>
        <w:t xml:space="preserve">You commit USDC into a smart contract escrow for a defined period. You cannot exit early. At the end of the term, you receive a pre-agreed quantity of KX. You are accepting KX's directional price risk for the duration of your commitment. The yield earned is your compensation for this risk.</w:t>
      </w:r>
    </w:p>
    <w:p>
      <w:pPr>
        <w:spacing w:before="80" w:after="80"/>
      </w:pPr>
      <w:r>
        <w:t xml:space="preserve"/>
      </w:r>
    </w:p>
    <w:p>
      <w:pPr>
        <w:pStyle w:val="Heading3"/>
        <w:spacing w:before="200" w:after="100"/>
      </w:pPr>
      <w:r>
        <w:rPr>
          <w:rFonts w:ascii="Arial" w:cs="Arial" w:eastAsia="Arial" w:hAnsi="Arial"/>
          <w:b/>
          <w:bCs/>
          <w:sz w:val="22"/>
          <w:szCs w:val="22"/>
        </w:rPr>
        <w:t xml:space="preserve">Risk 1 — KX Price Risk (Market Risk, Unavoidable)</w:t>
      </w:r>
    </w:p>
    <w:p>
      <w:pPr>
        <w:spacing w:before="100" w:after="100"/>
        <w:jc w:val="both"/>
      </w:pPr>
      <w:r>
        <w:rPr>
          <w:rFonts w:ascii="Arial" w:cs="Arial" w:eastAsia="Arial" w:hAnsi="Arial"/>
          <w:sz w:val="22"/>
          <w:szCs w:val="22"/>
        </w:rPr>
        <w:t xml:space="preserve">If KX depreciates during your commitment, you receive KX worth less than the USDC you committed. At overnight durations this risk is small. At longer durations it grows. The yield premium reflects the price risk accepted. This is not a protocol failure — this is the instrument working as designed.</w:t>
      </w:r>
    </w:p>
    <w:p>
      <w:pPr>
        <w:spacing w:before="80" w:after="80"/>
      </w:pPr>
      <w:r>
        <w:t xml:space="preserve"/>
      </w:r>
    </w:p>
    <w:p>
      <w:pPr>
        <w:pStyle w:val="Heading3"/>
        <w:spacing w:before="200" w:after="100"/>
      </w:pPr>
      <w:r>
        <w:rPr>
          <w:rFonts w:ascii="Arial" w:cs="Arial" w:eastAsia="Arial" w:hAnsi="Arial"/>
          <w:b/>
          <w:bCs/>
          <w:sz w:val="22"/>
          <w:szCs w:val="22"/>
        </w:rPr>
        <w:t xml:space="preserve">Risk 2 — Yield Variability</w:t>
      </w:r>
    </w:p>
    <w:p>
      <w:pPr>
        <w:spacing w:before="100" w:after="100"/>
        <w:jc w:val="both"/>
      </w:pPr>
      <w:r>
        <w:rPr>
          <w:rFonts w:ascii="Arial" w:cs="Arial" w:eastAsia="Arial" w:hAnsi="Arial"/>
          <w:sz w:val="22"/>
          <w:szCs w:val="22"/>
        </w:rPr>
        <w:t xml:space="preserve">Yield is your share of HedgeKX's facilitation income on days when your commitment is actively matched. If HedgeKX has low or no activity, yield is zero for that period. Your USDC remains locked. Yield is variable. No minimum is promised.</w:t>
      </w:r>
    </w:p>
    <w:p>
      <w:pPr>
        <w:spacing w:before="80" w:after="80"/>
      </w:pPr>
      <w:r>
        <w:t xml:space="preserve"/>
      </w:r>
    </w:p>
    <w:p>
      <w:pPr>
        <w:pStyle w:val="Heading3"/>
        <w:spacing w:before="200" w:after="100"/>
      </w:pPr>
      <w:r>
        <w:rPr>
          <w:rFonts w:ascii="Arial" w:cs="Arial" w:eastAsia="Arial" w:hAnsi="Arial"/>
          <w:b/>
          <w:bCs/>
          <w:sz w:val="22"/>
          <w:szCs w:val="22"/>
        </w:rPr>
        <w:t xml:space="preserve">Risk 3 — HedgeKX Operational Risk</w:t>
      </w:r>
    </w:p>
    <w:p>
      <w:pPr>
        <w:spacing w:before="100" w:after="100"/>
        <w:jc w:val="both"/>
      </w:pPr>
      <w:r>
        <w:rPr>
          <w:rFonts w:ascii="Arial" w:cs="Arial" w:eastAsia="Arial" w:hAnsi="Arial"/>
          <w:sz w:val="22"/>
          <w:szCs w:val="22"/>
        </w:rPr>
        <w:t xml:space="preserve">If HedgeKX ceases to operate, your USDC escrow contract continues automatically. Your commitment terms are enforced by smart contract, not by HedgeKX's continued existence. At maturity the contract releases your KX automatically. HedgeKX's Mode 2 losses come from its own capital — your escrow is a separate contract HedgeKX cannot access.</w:t>
      </w:r>
    </w:p>
    <w:p>
      <w:pPr>
        <w:spacing w:before="80" w:after="80"/>
      </w:pPr>
      <w:r>
        <w:t xml:space="preserve"/>
      </w:r>
    </w:p>
    <w:p>
      <w:pPr>
        <w:pStyle w:val="Heading3"/>
        <w:spacing w:before="200" w:after="100"/>
      </w:pPr>
      <w:r>
        <w:rPr>
          <w:rFonts w:ascii="Arial" w:cs="Arial" w:eastAsia="Arial" w:hAnsi="Arial"/>
          <w:b/>
          <w:bCs/>
          <w:sz w:val="22"/>
          <w:szCs w:val="22"/>
        </w:rPr>
        <w:t xml:space="preserve">Risk 4 — Smart Contract Risk</w:t>
      </w:r>
    </w:p>
    <w:p>
      <w:pPr>
        <w:spacing w:before="100" w:after="100"/>
        <w:jc w:val="both"/>
      </w:pPr>
      <w:r>
        <w:rPr>
          <w:rFonts w:ascii="Arial" w:cs="Arial" w:eastAsia="Arial" w:hAnsi="Arial"/>
          <w:sz w:val="22"/>
          <w:szCs w:val="22"/>
        </w:rPr>
        <w:t xml:space="preserve">The Base smart contract holding your USDC could contain a bug. Mitigated by public audits, open-source publication, and conservative initial deployment.</w:t>
      </w:r>
    </w:p>
    <w:p>
      <w:pPr>
        <w:spacing w:before="80" w:after="80"/>
      </w:pPr>
      <w:r>
        <w:t xml:space="preserve"/>
      </w:r>
    </w:p>
    <w:p>
      <w:pPr>
        <w:pStyle w:val="Heading3"/>
        <w:spacing w:before="200" w:after="100"/>
      </w:pPr>
      <w:r>
        <w:rPr>
          <w:rFonts w:ascii="Arial" w:cs="Arial" w:eastAsia="Arial" w:hAnsi="Arial"/>
          <w:b/>
          <w:bCs/>
          <w:sz w:val="22"/>
          <w:szCs w:val="22"/>
        </w:rPr>
        <w:t xml:space="preserve">Risk 5 — Base Network Risk</w:t>
      </w:r>
    </w:p>
    <w:p>
      <w:pPr>
        <w:spacing w:before="100" w:after="100"/>
        <w:jc w:val="both"/>
      </w:pPr>
      <w:r>
        <w:rPr>
          <w:rFonts w:ascii="Arial" w:cs="Arial" w:eastAsia="Arial" w:hAnsi="Arial"/>
          <w:sz w:val="22"/>
          <w:szCs w:val="22"/>
        </w:rPr>
        <w:t xml:space="preserve">Base outage delays settlement; USDC is not lost. A hostile Base governance change could theoretically alter contract behavior. These are inherited risks of using any external network.</w:t>
      </w:r>
    </w:p>
    <w:p>
      <w:pPr>
        <w:spacing w:before="80" w:after="80"/>
      </w:pPr>
      <w:r>
        <w:t xml:space="preserve"/>
      </w:r>
    </w:p>
    <w:p>
      <w:pPr>
        <w:pStyle w:val="Heading3"/>
        <w:spacing w:before="200" w:after="100"/>
      </w:pPr>
      <w:r>
        <w:rPr>
          <w:rFonts w:ascii="Arial" w:cs="Arial" w:eastAsia="Arial" w:hAnsi="Arial"/>
          <w:b/>
          <w:bCs/>
          <w:sz w:val="22"/>
          <w:szCs w:val="22"/>
        </w:rPr>
        <w:t xml:space="preserve">Risk 6 — Regulatory Risk</w:t>
      </w:r>
    </w:p>
    <w:p>
      <w:pPr>
        <w:spacing w:before="100" w:after="100"/>
        <w:jc w:val="both"/>
      </w:pPr>
      <w:r>
        <w:rPr>
          <w:rFonts w:ascii="Arial" w:cs="Arial" w:eastAsia="Arial" w:hAnsi="Arial"/>
          <w:sz w:val="22"/>
          <w:szCs w:val="22"/>
        </w:rPr>
        <w:t xml:space="preserve">Regulatory action in your jurisdiction may affect your ability to participate. Legal risk beyond the protocol's control.</w:t>
      </w:r>
    </w:p>
    <w:p>
      <w:pPr>
        <w:spacing w:before="80" w:after="80"/>
      </w:pPr>
      <w:r>
        <w:t xml:space="preserve"/>
      </w:r>
    </w:p>
    <w:p>
      <w:pPr>
        <w:pStyle w:val="Heading3"/>
        <w:spacing w:before="200" w:after="100"/>
      </w:pPr>
      <w:r>
        <w:rPr>
          <w:rFonts w:ascii="Arial" w:cs="Arial" w:eastAsia="Arial" w:hAnsi="Arial"/>
          <w:b/>
          <w:bCs/>
          <w:sz w:val="22"/>
          <w:szCs w:val="22"/>
        </w:rPr>
        <w:t xml:space="preserve">What Cannot Happen to You</w:t>
      </w:r>
    </w:p>
    <w:p>
      <w:pPr>
        <w:pStyle w:val="ListParagraph"/>
        <w:numPr>
          <w:ilvl w:val="0"/>
          <w:numId w:val="2"/>
        </w:numPr>
        <w:spacing w:before="60" w:after="60"/>
      </w:pPr>
      <w:r>
        <w:rPr>
          <w:rFonts w:ascii="Arial" w:cs="Arial" w:eastAsia="Arial" w:hAnsi="Arial"/>
          <w:sz w:val="22"/>
          <w:szCs w:val="22"/>
        </w:rPr>
        <w:t xml:space="preserve">You cannot lose USDC to HedgeKX's Mode 2 losses. Your escrow is separate.</w:t>
      </w:r>
    </w:p>
    <w:p>
      <w:pPr>
        <w:pStyle w:val="ListParagraph"/>
        <w:numPr>
          <w:ilvl w:val="0"/>
          <w:numId w:val="2"/>
        </w:numPr>
        <w:spacing w:before="60" w:after="60"/>
      </w:pPr>
      <w:r>
        <w:rPr>
          <w:rFonts w:ascii="Arial" w:cs="Arial" w:eastAsia="Arial" w:hAnsi="Arial"/>
          <w:sz w:val="22"/>
          <w:szCs w:val="22"/>
        </w:rPr>
        <w:t xml:space="preserve">You cannot be prevented from receiving KX at settlement by HedgeKX's failure. The contract settles automatically.</w:t>
      </w:r>
    </w:p>
    <w:p>
      <w:pPr>
        <w:pStyle w:val="ListParagraph"/>
        <w:numPr>
          <w:ilvl w:val="0"/>
          <w:numId w:val="2"/>
        </w:numPr>
        <w:spacing w:before="60" w:after="60"/>
      </w:pPr>
      <w:r>
        <w:rPr>
          <w:rFonts w:ascii="Arial" w:cs="Arial" w:eastAsia="Arial" w:hAnsi="Arial"/>
          <w:sz w:val="22"/>
          <w:szCs w:val="22"/>
        </w:rPr>
        <w:t xml:space="preserve">You cannot have your commitment extended against your will. The timelock enforces your agreed term exactly.</w:t>
      </w:r>
    </w:p>
    <w:p>
      <w:pPr>
        <w:pStyle w:val="ListParagraph"/>
        <w:numPr>
          <w:ilvl w:val="0"/>
          <w:numId w:val="2"/>
        </w:numPr>
        <w:spacing w:before="60" w:after="60"/>
      </w:pPr>
      <w:r>
        <w:rPr>
          <w:rFonts w:ascii="Arial" w:cs="Arial" w:eastAsia="Arial" w:hAnsi="Arial"/>
          <w:sz w:val="22"/>
          <w:szCs w:val="22"/>
        </w:rPr>
        <w:t xml:space="preserve">You cannot receive less KX than the pre-agreed rate specifies.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O.11 The TYPE_Y Lock Holder's Complete Risk Profile</w:t>
      </w:r>
    </w:p>
    <w:p>
      <w:pPr>
        <w:pStyle w:val="Heading3"/>
        <w:spacing w:before="200" w:after="100"/>
      </w:pPr>
      <w:r>
        <w:rPr>
          <w:rFonts w:ascii="Arial" w:cs="Arial" w:eastAsia="Arial" w:hAnsi="Arial"/>
          <w:b/>
          <w:bCs/>
          <w:sz w:val="22"/>
          <w:szCs w:val="22"/>
        </w:rPr>
        <w:t xml:space="preserve">The Principal Guarantee — What 'Absolute' Means</w:t>
      </w:r>
    </w:p>
    <w:p>
      <w:pPr>
        <w:pBdr>
          <w:left w:val="single" w:color="2E75B6" w:sz="8" w:space="12"/>
        </w:pBdr>
        <w:spacing w:before="160" w:after="160"/>
        <w:ind w:left="720" w:right="720"/>
      </w:pPr>
      <w:r>
        <w:rPr>
          <w:rFonts w:ascii="Arial" w:cs="Arial" w:eastAsia="Arial" w:hAnsi="Arial"/>
          <w:i/>
          <w:iCs/>
          <w:sz w:val="22"/>
          <w:szCs w:val="22"/>
        </w:rPr>
        <w:t xml:space="preserve">The exact quantity of KX you locked will be available to you at your lock's maturity date. This is enforced by ChronX's consensus rules. No entity can prevent this.</w:t>
      </w:r>
    </w:p>
    <w:p>
      <w:pPr>
        <w:spacing w:before="80" w:after="80"/>
      </w:pPr>
      <w:r>
        <w:t xml:space="preserve"/>
      </w:r>
    </w:p>
    <w:p>
      <w:pPr>
        <w:spacing w:before="100" w:after="100"/>
        <w:jc w:val="both"/>
      </w:pPr>
      <w:r>
        <w:rPr>
          <w:rFonts w:ascii="Arial" w:cs="Arial" w:eastAsia="Arial" w:hAnsi="Arial"/>
          <w:sz w:val="22"/>
          <w:szCs w:val="22"/>
        </w:rPr>
        <w:t xml:space="preserve">This guarantee holds against all economic, adversarial, and operational failures within the protocol's threat model. The threat model excludes: catastrophic consensus failure of the ChronX network itself (51% attack), cryptographic collapse of the underlying hash functions, and a community-consensus hard fork that deliberately rewrites lock logic. These are base-layer security assumptions of any blockchain system.</w:t>
      </w:r>
    </w:p>
    <w:p>
      <w:pPr>
        <w:spacing w:before="80" w:after="80"/>
      </w:pPr>
      <w:r>
        <w:t xml:space="preserve"/>
      </w:r>
    </w:p>
    <w:p>
      <w:pPr>
        <w:pStyle w:val="Heading3"/>
        <w:spacing w:before="200" w:after="100"/>
      </w:pPr>
      <w:r>
        <w:rPr>
          <w:rFonts w:ascii="Arial" w:cs="Arial" w:eastAsia="Arial" w:hAnsi="Arial"/>
          <w:b/>
          <w:bCs/>
          <w:sz w:val="22"/>
          <w:szCs w:val="22"/>
        </w:rPr>
        <w:t xml:space="preserve">What Yield Variability Means</w:t>
      </w:r>
    </w:p>
    <w:p>
      <w:pPr>
        <w:spacing w:before="100" w:after="100"/>
        <w:jc w:val="both"/>
      </w:pPr>
      <w:r>
        <w:rPr>
          <w:rFonts w:ascii="Arial" w:cs="Arial" w:eastAsia="Arial" w:hAnsi="Arial"/>
          <w:sz w:val="22"/>
          <w:szCs w:val="22"/>
        </w:rPr>
        <w:t xml:space="preserve">Days with zero yield, periods of low yield, the yield rate changing over time — all are normal and expected. None of these affect principal.</w:t>
      </w:r>
    </w:p>
    <w:p>
      <w:pPr>
        <w:spacing w:before="80" w:after="80"/>
      </w:pPr>
      <w:r>
        <w:t xml:space="preserve"/>
      </w:r>
    </w:p>
    <w:p>
      <w:pPr>
        <w:pStyle w:val="Heading3"/>
        <w:spacing w:before="200" w:after="100"/>
      </w:pPr>
      <w:r>
        <w:rPr>
          <w:rFonts w:ascii="Arial" w:cs="Arial" w:eastAsia="Arial" w:hAnsi="Arial"/>
          <w:b/>
          <w:bCs/>
          <w:sz w:val="22"/>
          <w:szCs w:val="22"/>
        </w:rPr>
        <w:t xml:space="preserve">Independence from Everything External</w:t>
      </w:r>
    </w:p>
    <w:p>
      <w:pPr>
        <w:spacing w:before="100" w:after="100"/>
        <w:jc w:val="both"/>
      </w:pPr>
      <w:r>
        <w:rPr>
          <w:rFonts w:ascii="Arial" w:cs="Arial" w:eastAsia="Arial" w:hAnsi="Arial"/>
          <w:sz w:val="22"/>
          <w:szCs w:val="22"/>
        </w:rPr>
        <w:t xml:space="preserve">Your TYPE_Y lock's maturity and principal return are independent from: HedgeKX's financial condition, the Base network's operational status, the USDC market's liquidity, regulatory actions against any entity, the performance of any forward exchange contract, and any other participant's behavior. The only dependency is the ChronX network's continued operation.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O.12 Named Attack Vectors and Their Status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4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Unlimited minting by compromised Facilitator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Minting contract verifies Merkle proofs. HedgeKX cannot mint without verified backing. h1KX non-transferable, expires in 24h.</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State root manipulation for false mints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Mitigated → 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Multi-relayer interim; ZK light client target. Forging valid proof requires breaking hash functions.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Settlement timing exploitation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Residual, bounded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legs held in escrow before either releases. Finality threshold prevents premature release. Bounded to one settlement.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passive expiry bypass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balanceOf returns zero after 24h regardless of stored state. No code path allows expired h1KX use.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Coordinated mandate withdrawal mid-settlement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viable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Active h1KX authorized at mandate grant time. Withdrawal reduces future capacity only.</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Mode 2 exhaustion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Bounded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Hard cap limits total exposure. 72h suspension prevents accumulation. Max loss bounded and known in advance.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HSM theft / hardware compromise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120-second window, then halted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Heartbeat halt stops new minting within 120s. Any unauthorized h1KX burns in 24h, non-transferable, no value to attacker.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External chain governance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Contained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non-transferable, never held externally. TYPE_Y principals on ChronX unaffected.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Confidence attack via Mode 2 signaling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prevent, can survive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 functions correctly within caps. Transparency allows participants to verify true state on-chain.</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Phantom liquidity / signaling</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internal, non-transferable, invisible externally. Any false claims immediately falsifiable by DAG query.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O.13 Market Failure Scenarios — Why Some Failures Are Not Failures</w:t>
      </w:r>
    </w:p>
    <w:p>
      <w:pPr>
        <w:pStyle w:val="Heading3"/>
        <w:spacing w:before="200" w:after="100"/>
      </w:pPr>
      <w:r>
        <w:rPr>
          <w:rFonts w:ascii="Arial" w:cs="Arial" w:eastAsia="Arial" w:hAnsi="Arial"/>
          <w:b/>
          <w:bCs/>
          <w:sz w:val="22"/>
          <w:szCs w:val="22"/>
        </w:rPr>
        <w:t xml:space="preserve">Scenario 1 — Currency B Committers Disappear</w:t>
      </w:r>
    </w:p>
    <w:p>
      <w:pPr>
        <w:spacing w:before="100" w:after="100"/>
        <w:jc w:val="both"/>
      </w:pPr>
      <w:r>
        <w:rPr>
          <w:rFonts w:ascii="Arial" w:cs="Arial" w:eastAsia="Arial" w:hAnsi="Arial"/>
          <w:sz w:val="22"/>
          <w:szCs w:val="22"/>
        </w:rPr>
        <w:t xml:space="preserve">A global stress event causes capital to flee risk assets. Currency B Committers do not renew. Existing contracts settle normally at maturity. Mode 2 activates briefly, hits cap, suspends. New matching halts. Yield drops to zero. HedgeKX enters dormancy. No principal is lost. No contract is violated. The market has temporarily paused — exactly as any financial market can pause during stress. When conditions improve, the market resumes. The overnight governance restriction makes this scenario far more recoverable than longer-duration instruments would be.</w:t>
      </w:r>
    </w:p>
    <w:p>
      <w:pPr>
        <w:spacing w:before="80" w:after="80"/>
      </w:pPr>
      <w:r>
        <w:t xml:space="preserve"/>
      </w:r>
    </w:p>
    <w:p>
      <w:pPr>
        <w:pStyle w:val="Heading3"/>
        <w:spacing w:before="200" w:after="100"/>
      </w:pPr>
      <w:r>
        <w:rPr>
          <w:rFonts w:ascii="Arial" w:cs="Arial" w:eastAsia="Arial" w:hAnsi="Arial"/>
          <w:b/>
          <w:bCs/>
          <w:sz w:val="22"/>
          <w:szCs w:val="22"/>
        </w:rPr>
        <w:t xml:space="preserve">Scenario 2 — HedgeKX Becomes Insolvent</w:t>
      </w:r>
    </w:p>
    <w:p>
      <w:pPr>
        <w:spacing w:before="100" w:after="100"/>
        <w:jc w:val="both"/>
      </w:pPr>
      <w:r>
        <w:rPr>
          <w:rFonts w:ascii="Arial" w:cs="Arial" w:eastAsia="Arial" w:hAnsi="Arial"/>
          <w:sz w:val="22"/>
          <w:szCs w:val="22"/>
        </w:rPr>
        <w:t xml:space="preserve">Mode 2 losses deplete HedgeKX's operating capital. Mode 2 suspends at minimum capital floor. All existing contracts settle automatically via smart contract logic. New matching requires a Successor Facilitator elected by governance. Insolvency affects HedgeKX's own capital only. No participant loses principal.</w:t>
      </w:r>
    </w:p>
    <w:p>
      <w:pPr>
        <w:spacing w:before="80" w:after="80"/>
      </w:pPr>
      <w:r>
        <w:t xml:space="preserve"/>
      </w:r>
    </w:p>
    <w:p>
      <w:pPr>
        <w:pStyle w:val="Heading3"/>
        <w:spacing w:before="200" w:after="100"/>
      </w:pPr>
      <w:r>
        <w:rPr>
          <w:rFonts w:ascii="Arial" w:cs="Arial" w:eastAsia="Arial" w:hAnsi="Arial"/>
          <w:b/>
          <w:bCs/>
          <w:sz w:val="22"/>
          <w:szCs w:val="22"/>
        </w:rPr>
        <w:t xml:space="preserve">Scenario 3 — Long-Duration Market Develops Then Collapses</w:t>
      </w:r>
    </w:p>
    <w:p>
      <w:pPr>
        <w:spacing w:before="100" w:after="100"/>
        <w:jc w:val="both"/>
      </w:pPr>
      <w:r>
        <w:rPr>
          <w:rFonts w:ascii="Arial" w:cs="Arial" w:eastAsia="Arial" w:hAnsi="Arial"/>
          <w:sz w:val="22"/>
          <w:szCs w:val="22"/>
        </w:rPr>
        <w:t xml:space="preserve">After years of operation, 90-day instruments are available. Stress causes Currency B Committers to flee. Existing 90-day contracts run to maturity and settle normally. New 90-day matching stops. Exchange Buyers who needed 90-day hedges pay higher premiums to entice Committers back, or revert to shorter instruments. When risk increases, the price of risk management increases. The protocol does not guarantee any particular instrument duration will always be available. It guarantees all existing contracts will settle as agreed.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O.14 Multi-Currency Extension Architecture</w:t>
      </w:r>
    </w:p>
    <w:p>
      <w:pPr>
        <w:spacing w:before="100" w:after="100"/>
        <w:jc w:val="both"/>
      </w:pPr>
      <w:r>
        <w:rPr>
          <w:rFonts w:ascii="Arial" w:cs="Arial" w:eastAsia="Arial" w:hAnsi="Arial"/>
          <w:sz w:val="22"/>
          <w:szCs w:val="22"/>
        </w:rPr>
        <w:t xml:space="preserve">The h-family is designed for extensibility across 100 years. When governance approves a new pair (e.g. h2KX for BTC):</w:t>
      </w:r>
    </w:p>
    <w:p>
      <w:pPr>
        <w:pStyle w:val="ListParagraph"/>
        <w:numPr>
          <w:ilvl w:val="0"/>
          <w:numId w:val="2"/>
        </w:numPr>
        <w:spacing w:before="60" w:after="60"/>
      </w:pPr>
      <w:r>
        <w:rPr>
          <w:rFonts w:ascii="Arial" w:cs="Arial" w:eastAsia="Arial" w:hAnsi="Arial"/>
          <w:sz w:val="22"/>
          <w:szCs w:val="22"/>
        </w:rPr>
        <w:t xml:space="preserve">New contract deployed on the relevant external chain — identical properties to h1KX</w:t>
      </w:r>
    </w:p>
    <w:p>
      <w:pPr>
        <w:pStyle w:val="ListParagraph"/>
        <w:numPr>
          <w:ilvl w:val="0"/>
          <w:numId w:val="2"/>
        </w:numPr>
        <w:spacing w:before="60" w:after="60"/>
      </w:pPr>
      <w:r>
        <w:rPr>
          <w:rFonts w:ascii="Arial" w:cs="Arial" w:eastAsia="Arial" w:hAnsi="Arial"/>
          <w:sz w:val="22"/>
          <w:szCs w:val="22"/>
        </w:rPr>
        <w:t xml:space="preserve">New state root relay infrastructure for that chain's finality model</w:t>
      </w:r>
    </w:p>
    <w:p>
      <w:pPr>
        <w:pStyle w:val="ListParagraph"/>
        <w:numPr>
          <w:ilvl w:val="0"/>
          <w:numId w:val="2"/>
        </w:numPr>
        <w:spacing w:before="60" w:after="60"/>
      </w:pPr>
      <w:r>
        <w:rPr>
          <w:rFonts w:ascii="Arial" w:cs="Arial" w:eastAsia="Arial" w:hAnsi="Arial"/>
          <w:sz w:val="22"/>
          <w:szCs w:val="22"/>
        </w:rPr>
        <w:t xml:space="preserve">TYPE_Y mandate pool automatically routes capacity to the new pair — no lock holder action required</w:t>
      </w:r>
    </w:p>
    <w:p>
      <w:pPr>
        <w:pStyle w:val="ListParagraph"/>
        <w:numPr>
          <w:ilvl w:val="0"/>
          <w:numId w:val="2"/>
        </w:numPr>
        <w:spacing w:before="60" w:after="60"/>
      </w:pPr>
      <w:r>
        <w:rPr>
          <w:rFonts w:ascii="Arial" w:cs="Arial" w:eastAsia="Arial" w:hAnsi="Arial"/>
          <w:sz w:val="22"/>
          <w:szCs w:val="22"/>
        </w:rPr>
        <w:t xml:space="preserve">New pair launches with overnight-only restriction and its own governance parameters</w:t>
      </w:r>
    </w:p>
    <w:p>
      <w:pPr>
        <w:pStyle w:val="ListParagraph"/>
        <w:numPr>
          <w:ilvl w:val="0"/>
          <w:numId w:val="2"/>
        </w:numPr>
        <w:spacing w:before="60" w:after="60"/>
      </w:pPr>
      <w:r>
        <w:rPr>
          <w:rFonts w:ascii="Arial" w:cs="Arial" w:eastAsia="Arial" w:hAnsi="Arial"/>
          <w:sz w:val="22"/>
          <w:szCs w:val="22"/>
        </w:rPr>
        <w:t xml:space="preserve">h1KX operations completely unaffected by h2KX deployment</w:t>
      </w:r>
    </w:p>
    <w:p>
      <w:pPr>
        <w:spacing w:before="80" w:after="80"/>
      </w:pPr>
      <w:r>
        <w:t xml:space="preserve"/>
      </w:r>
    </w:p>
    <w:p>
      <w:pPr>
        <w:spacing w:before="100" w:after="100"/>
        <w:jc w:val="both"/>
      </w:pPr>
      <w:r>
        <w:rPr>
          <w:rFonts w:ascii="Arial" w:cs="Arial" w:eastAsia="Arial" w:hAnsi="Arial"/>
          <w:b/>
          <w:bCs/>
          <w:sz w:val="22"/>
          <w:szCs w:val="22"/>
        </w:rPr>
        <w:t xml:space="preserve">What never changes with each new pair:</w:t>
      </w:r>
    </w:p>
    <w:p>
      <w:pPr>
        <w:pStyle w:val="ListParagraph"/>
        <w:numPr>
          <w:ilvl w:val="0"/>
          <w:numId w:val="2"/>
        </w:numPr>
        <w:spacing w:before="60" w:after="60"/>
      </w:pPr>
      <w:r>
        <w:rPr>
          <w:rFonts w:ascii="Arial" w:cs="Arial" w:eastAsia="Arial" w:hAnsi="Arial"/>
          <w:sz w:val="22"/>
          <w:szCs w:val="22"/>
        </w:rPr>
        <w:t xml:space="preserve">The TYPE_Y lock architecture on ChronX</w:t>
      </w:r>
    </w:p>
    <w:p>
      <w:pPr>
        <w:pStyle w:val="ListParagraph"/>
        <w:numPr>
          <w:ilvl w:val="0"/>
          <w:numId w:val="2"/>
        </w:numPr>
        <w:spacing w:before="60" w:after="60"/>
      </w:pPr>
      <w:r>
        <w:rPr>
          <w:rFonts w:ascii="Arial" w:cs="Arial" w:eastAsia="Arial" w:hAnsi="Arial"/>
          <w:sz w:val="22"/>
          <w:szCs w:val="22"/>
        </w:rPr>
        <w:t xml:space="preserve">The mandate pool (simply becomes available to more pairs)</w:t>
      </w:r>
    </w:p>
    <w:p>
      <w:pPr>
        <w:pStyle w:val="ListParagraph"/>
        <w:numPr>
          <w:ilvl w:val="0"/>
          <w:numId w:val="2"/>
        </w:numPr>
        <w:spacing w:before="60" w:after="60"/>
      </w:pPr>
      <w:r>
        <w:rPr>
          <w:rFonts w:ascii="Arial" w:cs="Arial" w:eastAsia="Arial" w:hAnsi="Arial"/>
          <w:sz w:val="22"/>
          <w:szCs w:val="22"/>
        </w:rPr>
        <w:t xml:space="preserve">The h1KX contract and all h1KX operations</w:t>
      </w:r>
    </w:p>
    <w:p>
      <w:pPr>
        <w:pStyle w:val="ListParagraph"/>
        <w:numPr>
          <w:ilvl w:val="0"/>
          <w:numId w:val="2"/>
        </w:numPr>
        <w:spacing w:before="60" w:after="60"/>
      </w:pPr>
      <w:r>
        <w:rPr>
          <w:rFonts w:ascii="Arial" w:cs="Arial" w:eastAsia="Arial" w:hAnsi="Arial"/>
          <w:sz w:val="22"/>
          <w:szCs w:val="22"/>
        </w:rPr>
        <w:t xml:space="preserve">Any existing forward exchange contract</w:t>
      </w:r>
    </w:p>
    <w:p>
      <w:pPr>
        <w:pStyle w:val="ListParagraph"/>
        <w:numPr>
          <w:ilvl w:val="0"/>
          <w:numId w:val="2"/>
        </w:numPr>
        <w:spacing w:before="60" w:after="60"/>
      </w:pPr>
      <w:r>
        <w:rPr>
          <w:rFonts w:ascii="Arial" w:cs="Arial" w:eastAsia="Arial" w:hAnsi="Arial"/>
          <w:sz w:val="22"/>
          <w:szCs w:val="22"/>
        </w:rPr>
        <w:t xml:space="preserve">Any TYPE_Y lock holder's principal or yield rights</w:t>
      </w:r>
    </w:p>
    <w:p>
      <w:pPr>
        <w:pStyle w:val="ListParagraph"/>
        <w:numPr>
          <w:ilvl w:val="0"/>
          <w:numId w:val="2"/>
        </w:numPr>
        <w:spacing w:before="60" w:after="60"/>
      </w:pPr>
      <w:r>
        <w:rPr>
          <w:rFonts w:ascii="Arial" w:cs="Arial" w:eastAsia="Arial" w:hAnsi="Arial"/>
          <w:sz w:val="22"/>
          <w:szCs w:val="22"/>
        </w:rPr>
        <w:t xml:space="preserve">The 8,270,000,000 KX fixed supply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O.15 For USDC Holders: Is This Worth Participating In?</w:t>
      </w:r>
    </w:p>
    <w:p>
      <w:pPr>
        <w:pStyle w:val="Heading3"/>
        <w:spacing w:before="200" w:after="100"/>
      </w:pPr>
      <w:r>
        <w:rPr>
          <w:rFonts w:ascii="Arial" w:cs="Arial" w:eastAsia="Arial" w:hAnsi="Arial"/>
          <w:b/>
          <w:bCs/>
          <w:sz w:val="22"/>
          <w:szCs w:val="22"/>
        </w:rPr>
        <w:t xml:space="preserve">What Can Cause You to Lose Money Beyond KX Price Risk</w:t>
      </w:r>
    </w:p>
    <w:p>
      <w:pPr>
        <w:pStyle w:val="ListParagraph"/>
        <w:numPr>
          <w:ilvl w:val="0"/>
          <w:numId w:val="2"/>
        </w:numPr>
        <w:spacing w:before="60" w:after="60"/>
      </w:pPr>
      <w:r>
        <w:rPr>
          <w:rFonts w:ascii="Arial" w:cs="Arial" w:eastAsia="Arial" w:hAnsi="Arial"/>
          <w:sz w:val="22"/>
          <w:szCs w:val="22"/>
        </w:rPr>
        <w:t xml:space="preserve">Smart contract bug in the Base escrow contract. Mitigated by public audits, bug bounties, conservative deployment.</w:t>
      </w:r>
    </w:p>
    <w:p>
      <w:pPr>
        <w:pStyle w:val="ListParagraph"/>
        <w:numPr>
          <w:ilvl w:val="0"/>
          <w:numId w:val="2"/>
        </w:numPr>
        <w:spacing w:before="60" w:after="60"/>
      </w:pPr>
      <w:r>
        <w:rPr>
          <w:rFonts w:ascii="Arial" w:cs="Arial" w:eastAsia="Arial" w:hAnsi="Arial"/>
          <w:sz w:val="22"/>
          <w:szCs w:val="22"/>
        </w:rPr>
        <w:t xml:space="preserve">Base network failure — settlement delayed, USDC not lost.</w:t>
      </w:r>
    </w:p>
    <w:p>
      <w:pPr>
        <w:pStyle w:val="ListParagraph"/>
        <w:numPr>
          <w:ilvl w:val="0"/>
          <w:numId w:val="2"/>
        </w:numPr>
        <w:spacing w:before="60" w:after="60"/>
      </w:pPr>
      <w:r>
        <w:rPr>
          <w:rFonts w:ascii="Arial" w:cs="Arial" w:eastAsia="Arial" w:hAnsi="Arial"/>
          <w:sz w:val="22"/>
          <w:szCs w:val="22"/>
        </w:rPr>
        <w:t xml:space="preserve">Settlement coordination failure in extreme edge case — timeout recovery returns funds automatically.</w:t>
      </w:r>
    </w:p>
    <w:p>
      <w:pPr>
        <w:pStyle w:val="ListParagraph"/>
        <w:numPr>
          <w:ilvl w:val="0"/>
          <w:numId w:val="2"/>
        </w:numPr>
        <w:spacing w:before="60" w:after="60"/>
      </w:pPr>
      <w:r>
        <w:rPr>
          <w:rFonts w:ascii="Arial" w:cs="Arial" w:eastAsia="Arial" w:hAnsi="Arial"/>
          <w:sz w:val="22"/>
          <w:szCs w:val="22"/>
        </w:rPr>
        <w:t xml:space="preserve">Regulatory action in your jurisdiction.</w:t>
      </w:r>
    </w:p>
    <w:p>
      <w:pPr>
        <w:spacing w:before="80" w:after="80"/>
      </w:pPr>
      <w:r>
        <w:t xml:space="preserve"/>
      </w:r>
    </w:p>
    <w:p>
      <w:pPr>
        <w:pStyle w:val="Heading3"/>
        <w:spacing w:before="200" w:after="100"/>
      </w:pPr>
      <w:r>
        <w:rPr>
          <w:rFonts w:ascii="Arial" w:cs="Arial" w:eastAsia="Arial" w:hAnsi="Arial"/>
          <w:b/>
          <w:bCs/>
          <w:sz w:val="22"/>
          <w:szCs w:val="22"/>
        </w:rPr>
        <w:t xml:space="preserve">What Cannot Cause You to Lose Money</w:t>
      </w:r>
    </w:p>
    <w:p>
      <w:pPr>
        <w:pStyle w:val="ListParagraph"/>
        <w:numPr>
          <w:ilvl w:val="0"/>
          <w:numId w:val="2"/>
        </w:numPr>
        <w:spacing w:before="60" w:after="60"/>
      </w:pPr>
      <w:r>
        <w:rPr>
          <w:rFonts w:ascii="Arial" w:cs="Arial" w:eastAsia="Arial" w:hAnsi="Arial"/>
          <w:sz w:val="22"/>
          <w:szCs w:val="22"/>
        </w:rPr>
        <w:t xml:space="preserve">HedgeKX insolvency — your escrow is a separate contract HedgeKX cannot access.</w:t>
      </w:r>
    </w:p>
    <w:p>
      <w:pPr>
        <w:pStyle w:val="ListParagraph"/>
        <w:numPr>
          <w:ilvl w:val="0"/>
          <w:numId w:val="2"/>
        </w:numPr>
        <w:spacing w:before="60" w:after="60"/>
      </w:pPr>
      <w:r>
        <w:rPr>
          <w:rFonts w:ascii="Arial" w:cs="Arial" w:eastAsia="Arial" w:hAnsi="Arial"/>
          <w:sz w:val="22"/>
          <w:szCs w:val="22"/>
        </w:rPr>
        <w:t xml:space="preserve">TYPE_Y lock holder defaults — they cannot default. Their KX is locked on ChronX and cannot move.</w:t>
      </w:r>
    </w:p>
    <w:p>
      <w:pPr>
        <w:pStyle w:val="ListParagraph"/>
        <w:numPr>
          <w:ilvl w:val="0"/>
          <w:numId w:val="2"/>
        </w:numPr>
        <w:spacing w:before="60" w:after="60"/>
      </w:pPr>
      <w:r>
        <w:rPr>
          <w:rFonts w:ascii="Arial" w:cs="Arial" w:eastAsia="Arial" w:hAnsi="Arial"/>
          <w:sz w:val="22"/>
          <w:szCs w:val="22"/>
        </w:rPr>
        <w:t xml:space="preserve">HedgeKX misbehavior — HedgeKX has no discretionary access to your escrow. Every relevant constraint is protocol-enforced.</w:t>
      </w:r>
    </w:p>
    <w:p>
      <w:pPr>
        <w:pStyle w:val="ListParagraph"/>
        <w:numPr>
          <w:ilvl w:val="0"/>
          <w:numId w:val="2"/>
        </w:numPr>
        <w:spacing w:before="60" w:after="60"/>
      </w:pPr>
      <w:r>
        <w:rPr>
          <w:rFonts w:ascii="Arial" w:cs="Arial" w:eastAsia="Arial" w:hAnsi="Arial"/>
          <w:sz w:val="22"/>
          <w:szCs w:val="22"/>
        </w:rPr>
        <w:t xml:space="preserve">Other Currency B Committers' losses — your contract is independent.</w:t>
      </w:r>
    </w:p>
    <w:p>
      <w:pPr>
        <w:spacing w:before="80" w:after="80"/>
      </w:pPr>
      <w:r>
        <w:t xml:space="preserve"/>
      </w:r>
    </w:p>
    <w:p>
      <w:pPr>
        <w:pStyle w:val="Heading3"/>
        <w:spacing w:before="200" w:after="100"/>
      </w:pPr>
      <w:r>
        <w:rPr>
          <w:rFonts w:ascii="Arial" w:cs="Arial" w:eastAsia="Arial" w:hAnsi="Arial"/>
          <w:b/>
          <w:bCs/>
          <w:sz w:val="22"/>
          <w:szCs w:val="22"/>
        </w:rPr>
        <w:t xml:space="preserve">Summary for AI Risk Assessment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600"/>
        <w:gridCol w:w="69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Risk Category</w:t>
            </w:r>
          </w:p>
        </w:tc>
        <w:tc>
          <w:tcPr>
            <w:tcW w:type="dxa" w:w="6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Primary risk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 directional price risk — market risk, unavoidable, explicitly accepted, priced into yield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Secondary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Smart contract bug, Base network risk, settlement coordination residual — standard for cross-chain DeFi, mitigated by audits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Negligible risks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operational failure, mandate holder defaults, other participants' losses — all isolated by contract design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Facilitator theft, unlimited minting, unauthorized escrow access, forced commitment extension</w:t>
            </w:r>
          </w:p>
        </w:tc>
      </w:tr>
    </w:tbl>
    <w:p>
      <w:pPr>
        <w:spacing w:before="80" w:after="80"/>
      </w:pPr>
      <w:r>
        <w:t xml:space="preserve"/>
      </w:r>
    </w:p>
    <w:p>
      <w:pPr>
        <w:spacing w:before="100" w:after="100"/>
        <w:jc w:val="both"/>
      </w:pPr>
      <w:r>
        <w:rPr>
          <w:rFonts w:ascii="Arial" w:cs="Arial" w:eastAsia="Arial" w:hAnsi="Arial"/>
          <w:sz w:val="22"/>
          <w:szCs w:val="22"/>
        </w:rPr>
        <w:t xml:space="preserve">Whether yield adequately compensates for accepted risks depends on market conditions at the time of commitment and the participant's individual risk tolerance and view on KX. The instrument is structurally sound. The primary risk is the one the participant explicitly accepts — currency directional risk — in exchange for yield.</w:t>
      </w:r>
    </w:p>
    <w:p>
      <w:pPr>
        <w:spacing w:before="80" w:after="80"/>
      </w:pPr>
      <w:r>
        <w:t xml:space="preserve"/>
      </w:r>
    </w:p>
    <w:p>
      <w:pPr>
        <w:pBdr>
          <w:bottom w:val="single" w:color="CCCCCC" w:sz="4" w:space="4"/>
        </w:pBdr>
        <w:spacing w:before="120" w:after="120"/>
      </w:pPr>
      <w:r>
        <w:t xml:space="preserve"/>
      </w:r>
    </w:p>
    <w:p>
      <w:pPr>
        <w:spacing w:before="80" w:after="80"/>
      </w:pPr>
      <w:r>
        <w:t xml:space="preserve"/>
      </w:r>
    </w:p>
    <w:p>
      <w:pPr>
        <w:spacing w:before="100" w:after="100"/>
        <w:jc w:val="both"/>
      </w:pPr>
      <w:r>
        <w:rPr>
          <w:rFonts w:ascii="Arial" w:cs="Arial" w:eastAsia="Arial" w:hAnsi="Arial"/>
          <w:sz w:val="22"/>
          <w:szCs w:val="22"/>
        </w:rPr>
        <w:t xml:space="preserve">This appendix will be updated as the protocol evolves, new currency pairs are approved by governance, and the ZK light client upgrade is deployed. Every material change will be documented with the date of the change and the governance vote that authorised it.</w:t>
      </w:r>
    </w:p>
    <w:p>
      <w:pPr>
        <w:spacing w:before="80" w:after="80"/>
      </w:pPr>
      <w:r>
        <w:t xml:space="preserve"/>
      </w:r>
    </w:p>
    <w:p>
      <w:pPr>
        <w:jc w:val="center"/>
      </w:pPr>
      <w:r>
        <w:rPr>
          <w:rFonts w:ascii="Arial" w:cs="Arial" w:eastAsia="Arial" w:hAnsi="Arial"/>
          <w:i/>
          <w:iCs/>
          <w:color w:val="666666"/>
          <w:sz w:val="20"/>
          <w:szCs w:val="20"/>
        </w:rPr>
        <w:t xml:space="preserve">For questions or to report potential security vulnerabilities: yo@chronx.io</w:t>
      </w:r>
    </w:p>
    <w:p>
      <w:pPr>
        <w:spacing w:before="80" w:after="80"/>
      </w:pPr>
      <w:r>
        <w:t xml:space="preserve"/>
      </w:r>
    </w:p>
    <w:p>
      <w:pPr>
        <w:jc w:val="center"/>
      </w:pPr>
      <w:r>
        <w:rPr>
          <w:rFonts w:ascii="Arial" w:cs="Arial" w:eastAsia="Arial" w:hAnsi="Arial"/>
          <w:b/>
          <w:bCs/>
          <w:color w:val="1F4E79"/>
          <w:sz w:val="22"/>
          <w:szCs w:val="22"/>
        </w:rPr>
        <w:t xml:space="preserve">ChronX Protocol — A Promise the Blockchain Keeps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F4E79"/>
      <w:sz w:val="34"/>
      <w:szCs w:val="34"/>
    </w:rPr>
  </w:style>
  <w:style w:type="paragraph" w:styleId="Heading2">
    <w:name w:val="Heading 2"/>
    <w:basedOn w:val="Normal"/>
    <w:next w:val="Normal"/>
    <w:qFormat/>
    <w:pPr>
      <w:spacing w:before="32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2026-03-27T13:55:43.878Z</dcterms:created>
  <dcterms:modified xsi:type="dcterms:W3CDTF">2026-03-27T13:55:43.879Z</dcterms:modified>
</cp:coreProperties>
</file>

<file path=docProps/custom.xml><?xml version="1.0" encoding="utf-8"?>
<Properties xmlns="http://schemas.openxmlformats.org/officeDocument/2006/custom-properties" xmlns:vt="http://schemas.openxmlformats.org/officeDocument/2006/docPropsVTypes"/>
</file>