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B8860B"/>
          <w:sz w:val="72"/>
          <w:szCs w:val="72"/>
        </w:rPr>
        <w:t xml:space="preserve">ChronX Protocol</w:t>
      </w:r>
    </w:p>
    <w:p>
      <w:pPr>
        <w:spacing w:after="200" w:before="0"/>
        <w:jc w:val="center"/>
      </w:pPr>
      <w:r>
        <w:rPr>
          <w:rFonts w:ascii="Arial" w:cs="Arial" w:eastAsia="Arial" w:hAnsi="Arial"/>
          <w:b w:val="false"/>
          <w:bCs w:val="false"/>
          <w:color w:val="555555"/>
          <w:sz w:val="40"/>
          <w:szCs w:val="40"/>
        </w:rPr>
        <w:t xml:space="preserve">Technical Whitepaper</w:t>
      </w:r>
    </w:p>
    <w:p>
      <w:pPr>
        <w:pBdr>
          <w:bottom w:val="single" w:color="B8860B" w:sz="3" w:space="1"/>
        </w:pBdr>
        <w:spacing w:after="160" w:before="160"/>
      </w:pPr>
      <w:r>
        <w:t xml:space="preserve"/>
      </w:r>
    </w:p>
    <w:p>
      <w:pPr>
        <w:spacing w:after="80" w:before="80"/>
        <w:jc w:val="center"/>
      </w:pPr>
      <w:r>
        <w:rPr>
          <w:rFonts w:ascii="Arial" w:cs="Arial" w:eastAsia="Arial" w:hAnsi="Arial"/>
          <w:i/>
          <w:iCs/>
          <w:color w:val="888888"/>
          <w:sz w:val="22"/>
          <w:szCs w:val="22"/>
        </w:rPr>
        <w:t xml:space="preserve">Version 2.8  |  March 2026</w:t>
      </w:r>
    </w:p>
    <w:p>
      <w:pPr>
        <w:spacing w:after="80" w:before="80"/>
        <w:jc w:val="center"/>
      </w:pPr>
      <w:r>
        <w:rPr>
          <w:rFonts w:ascii="Arial" w:cs="Arial" w:eastAsia="Arial" w:hAnsi="Arial"/>
          <w:b/>
          <w:bCs/>
          <w:sz w:val="24"/>
          <w:szCs w:val="24"/>
        </w:rPr>
        <w:t xml:space="preserve">A Purpose-Built Protocol for Time-Locked Value Transfer</w:t>
      </w:r>
    </w:p>
    <w:p>
      <w:pPr>
        <w:spacing w:before="200"/>
      </w:pPr>
    </w:p>
    <w:p>
      <w:pPr>
        <w:spacing w:after="80" w:before="80"/>
        <w:jc w:val="center"/>
      </w:pPr>
      <w:r>
        <w:rPr>
          <w:rFonts w:ascii="Arial" w:cs="Arial" w:eastAsia="Arial" w:hAnsi="Arial"/>
          <w:b/>
          <w:bCs/>
          <w:color w:val="B8860B"/>
          <w:sz w:val="22"/>
          <w:szCs w:val="22"/>
        </w:rPr>
        <w:t xml:space="preserve">chronx.io</w:t>
      </w:r>
    </w:p>
    <w:p>
      <w:pPr>
        <w:spacing w:after="80" w:before="80"/>
        <w:jc w:val="center"/>
      </w:pPr>
      <w:r>
        <w:rPr>
          <w:rFonts w:ascii="Arial" w:cs="Arial" w:eastAsia="Arial" w:hAnsi="Arial"/>
          <w:color w:val="888888"/>
          <w:sz w:val="22"/>
          <w:szCs w:val="22"/>
        </w:rPr>
        <w:t xml:space="preserve">contact@chronx.io</w:t>
      </w:r>
    </w:p>
    <w:p>
      <w:pPr>
        <w:spacing w:before="400"/>
      </w:pPr>
    </w:p>
    <w:p>
      <w:pPr>
        <w:pBdr>
          <w:top w:val="single" w:color="B8860B" w:sz="3"/>
          <w:bottom w:val="single" w:color="B8860B" w:sz="3"/>
        </w:pBdr>
        <w:spacing w:after="120" w:before="120"/>
        <w:jc w:val="center"/>
      </w:pPr>
      <w:r>
        <w:rPr>
          <w:rFonts w:ascii="Arial" w:cs="Arial" w:eastAsia="Arial" w:hAnsi="Arial"/>
          <w:i/>
          <w:iCs/>
          <w:color w:val="CC3300"/>
          <w:sz w:val="18"/>
          <w:szCs w:val="18"/>
        </w:rPr>
        <w:t xml:space="preserve">UTILITY TOKEN — NOT A SECURITY. KX tokens are utility tokens for accessing ChronX protocol services. This document does not constitute an offer to sell or solicitation of an investment. Please read the full disclaimer at chronx.io/disclaimer.</w:t>
      </w:r>
    </w:p>
    <w:p>
      <w:r>
        <w:br w:type="page"/>
      </w:r>
    </w:p>
    <w:p>
      <w:pPr>
        <w:pStyle w:val="Heading1"/>
        <w:spacing w:after="180" w:before="360"/>
      </w:pPr>
      <w:r>
        <w:rPr>
          <w:rFonts w:ascii="Arial" w:cs="Arial" w:eastAsia="Arial" w:hAnsi="Arial"/>
          <w:b/>
          <w:bCs/>
          <w:color w:val="B8860B"/>
          <w:sz w:val="36"/>
          <w:szCs w:val="36"/>
        </w:rPr>
        <w:t xml:space="preserve">Abstract</w:t>
      </w:r>
    </w:p>
    <w:p>
      <w:pPr>
        <w:spacing w:after="120" w:before="80"/>
      </w:pPr>
      <w:r>
        <w:rPr>
          <w:rFonts w:ascii="Arial" w:cs="Arial" w:eastAsia="Arial" w:hAnsi="Arial"/>
          <w:sz w:val="22"/>
          <w:szCs w:val="22"/>
        </w:rPr>
        <w:t xml:space="preserve">ChronX is a purpose-built blockchain protocol enabling native time-locked value transfer. The central innovation is the on-chain Promise: a cryptographically enforced commitment to deliver a specified amount of KX tokens to a recipient at a future date, without reliance on intermediaries, custodians, or smart contract platforms.</w:t>
      </w:r>
    </w:p>
    <w:p>
      <w:pPr>
        <w:spacing w:after="120" w:before="80"/>
      </w:pPr>
      <w:r>
        <w:rPr>
          <w:rFonts w:ascii="Arial" w:cs="Arial" w:eastAsia="Arial" w:hAnsi="Arial"/>
          <w:sz w:val="22"/>
          <w:szCs w:val="22"/>
        </w:rPr>
        <w:t xml:space="preserve">Unlike general-purpose blockchains that implement time-locking through smart contracts, ChronX treats time-locked transfers as a first-class protocol primitive. This architectural decision enables zero-fee transactions, post-quantum cryptographic security, and a user experience accessible to non-technical recipients through email-based delivery and secure claim codes.</w:t>
      </w:r>
    </w:p>
    <w:p>
      <w:pPr>
        <w:spacing w:after="120" w:before="80"/>
      </w:pPr>
      <w:r>
        <w:rPr>
          <w:rFonts w:ascii="Arial" w:cs="Arial" w:eastAsia="Arial" w:hAnsi="Arial"/>
          <w:sz w:val="22"/>
          <w:szCs w:val="22"/>
        </w:rPr>
        <w:t xml:space="preserve">The KX token has a fixed supply of 8,270,000,000 units, calibrated to the approximate world population at genesis (January 1, 2026). The protocol uses CRYSTALS-Dilithium2, a NIST-standardized lattice-based signature scheme designed to remain secure against quantum computing attacks. Transaction fees are zero, enforced at the protocol level and immutable.</w:t>
      </w:r>
    </w:p>
    <w:p>
      <w:pPr>
        <w:spacing w:after="120" w:before="80"/>
      </w:pPr>
      <w:r>
        <w:rPr>
          <w:rFonts w:ascii="Arial" w:cs="Arial" w:eastAsia="Arial" w:hAnsi="Arial"/>
          <w:sz w:val="22"/>
          <w:szCs w:val="22"/>
        </w:rPr>
        <w:t xml:space="preserve">ChronX introduces Cascade Send: a multi-stage delivery mechanism enabling senders to schedule a series of time-locked transfers under a single claim code, creating structured value-release profiles for onboarding, vesting, gifting, or payroll applications.</w:t>
      </w:r>
    </w:p>
    <w:p>
      <w:r>
        <w:br w:type="page"/>
      </w:r>
    </w:p>
    <w:p>
      <w:pPr>
        <w:pStyle w:val="Heading1"/>
        <w:spacing w:after="180" w:before="360"/>
      </w:pPr>
      <w:r>
        <w:rPr>
          <w:rFonts w:ascii="Arial" w:cs="Arial" w:eastAsia="Arial" w:hAnsi="Arial"/>
          <w:b/>
          <w:bCs/>
          <w:color w:val="B8860B"/>
          <w:sz w:val="36"/>
          <w:szCs w:val="36"/>
        </w:rPr>
        <w:t xml:space="preserve">Table of Contents</w:t>
      </w:r>
    </w:p>
    <w:p>
      <w:pPr>
        <w:spacing w:after="120" w:before="80"/>
      </w:pPr>
      <w:r>
        <w:rPr>
          <w:rFonts w:ascii="Arial" w:cs="Arial" w:eastAsia="Arial" w:hAnsi="Arial"/>
          <w:sz w:val="22"/>
          <w:szCs w:val="22"/>
        </w:rPr>
        <w:t xml:space="preserve">1. Introduction</w:t>
      </w:r>
    </w:p>
    <w:p>
      <w:pPr>
        <w:spacing w:after="120" w:before="80"/>
      </w:pPr>
      <w:r>
        <w:rPr>
          <w:rFonts w:ascii="Arial" w:cs="Arial" w:eastAsia="Arial" w:hAnsi="Arial"/>
          <w:sz w:val="22"/>
          <w:szCs w:val="22"/>
        </w:rPr>
        <w:t xml:space="preserve">2. Protocol Architecture</w:t>
      </w:r>
    </w:p>
    <w:p>
      <w:pPr>
        <w:spacing w:after="120" w:before="80"/>
      </w:pPr>
      <w:r>
        <w:rPr>
          <w:rFonts w:ascii="Arial" w:cs="Arial" w:eastAsia="Arial" w:hAnsi="Arial"/>
          <w:sz w:val="22"/>
          <w:szCs w:val="22"/>
        </w:rPr>
        <w:t xml:space="preserve">3. DAG Structure</w:t>
      </w:r>
    </w:p>
    <w:p>
      <w:pPr>
        <w:spacing w:after="120" w:before="80"/>
      </w:pPr>
      <w:r>
        <w:rPr>
          <w:rFonts w:ascii="Arial" w:cs="Arial" w:eastAsia="Arial" w:hAnsi="Arial"/>
          <w:sz w:val="22"/>
          <w:szCs w:val="22"/>
        </w:rPr>
        <w:t xml:space="preserve">4. Cryptographic Foundation</w:t>
      </w:r>
    </w:p>
    <w:p>
      <w:pPr>
        <w:spacing w:after="120" w:before="80"/>
      </w:pPr>
      <w:r>
        <w:rPr>
          <w:rFonts w:ascii="Arial" w:cs="Arial" w:eastAsia="Arial" w:hAnsi="Arial"/>
          <w:sz w:val="22"/>
          <w:szCs w:val="22"/>
        </w:rPr>
        <w:t xml:space="preserve">5. Time-Lock Mechanism</w:t>
      </w:r>
    </w:p>
    <w:p>
      <w:pPr>
        <w:spacing w:after="120" w:before="80"/>
      </w:pPr>
      <w:r>
        <w:rPr>
          <w:rFonts w:ascii="Arial" w:cs="Arial" w:eastAsia="Arial" w:hAnsi="Arial"/>
          <w:sz w:val="22"/>
          <w:szCs w:val="22"/>
        </w:rPr>
        <w:t xml:space="preserve">6. Email Claim System &amp; Privacy</w:t>
      </w:r>
    </w:p>
    <w:p>
      <w:pPr>
        <w:spacing w:after="120" w:before="80"/>
      </w:pPr>
      <w:r>
        <w:rPr>
          <w:rFonts w:ascii="Arial" w:cs="Arial" w:eastAsia="Arial" w:hAnsi="Arial"/>
          <w:sz w:val="22"/>
          <w:szCs w:val="22"/>
        </w:rPr>
        <w:t xml:space="preserve">7. Cascade Send Protocol</w:t>
      </w:r>
    </w:p>
    <w:p>
      <w:pPr>
        <w:spacing w:after="120" w:before="80"/>
      </w:pPr>
      <w:r>
        <w:rPr>
          <w:rFonts w:ascii="Arial" w:cs="Arial" w:eastAsia="Arial" w:hAnsi="Arial"/>
          <w:sz w:val="22"/>
          <w:szCs w:val="22"/>
        </w:rPr>
        <w:t xml:space="preserve">8. Transaction Validation &amp; DAG Integrity</w:t>
      </w:r>
    </w:p>
    <w:p>
      <w:pPr>
        <w:spacing w:after="120" w:before="80"/>
      </w:pPr>
      <w:r>
        <w:rPr>
          <w:rFonts w:ascii="Arial" w:cs="Arial" w:eastAsia="Arial" w:hAnsi="Arial"/>
          <w:sz w:val="22"/>
          <w:szCs w:val="22"/>
        </w:rPr>
        <w:t xml:space="preserve">9. Tokenomics</w:t>
      </w:r>
    </w:p>
    <w:p>
      <w:pPr>
        <w:spacing w:after="120" w:before="80"/>
      </w:pPr>
      <w:r>
        <w:rPr>
          <w:rFonts w:ascii="Arial" w:cs="Arial" w:eastAsia="Arial" w:hAnsi="Arial"/>
          <w:sz w:val="22"/>
          <w:szCs w:val="22"/>
        </w:rPr>
        <w:t xml:space="preserve">10. ICO &amp; Pre-ICO Structure</w:t>
      </w:r>
    </w:p>
    <w:p>
      <w:pPr>
        <w:spacing w:after="120" w:before="80"/>
      </w:pPr>
      <w:r>
        <w:rPr>
          <w:rFonts w:ascii="Arial" w:cs="Arial" w:eastAsia="Arial" w:hAnsi="Arial"/>
          <w:sz w:val="22"/>
          <w:szCs w:val="22"/>
        </w:rPr>
        <w:t xml:space="preserve">11. Node Infrastructure</w:t>
      </w:r>
    </w:p>
    <w:p>
      <w:pPr>
        <w:spacing w:after="120" w:before="80"/>
      </w:pPr>
      <w:r>
        <w:rPr>
          <w:rFonts w:ascii="Arial" w:cs="Arial" w:eastAsia="Arial" w:hAnsi="Arial"/>
          <w:sz w:val="22"/>
          <w:szCs w:val="22"/>
        </w:rPr>
        <w:t xml:space="preserve">12. Roadmap</w:t>
      </w:r>
    </w:p>
    <w:p>
      <w:pPr>
        <w:spacing w:after="120" w:before="80"/>
      </w:pPr>
      <w:r>
        <w:rPr>
          <w:rFonts w:ascii="Arial" w:cs="Arial" w:eastAsia="Arial" w:hAnsi="Arial"/>
          <w:sz w:val="22"/>
          <w:szCs w:val="22"/>
        </w:rPr>
        <w:t xml:space="preserve">13. Governance</w:t>
      </w:r>
    </w:p>
    <w:p>
      <w:pPr>
        <w:spacing w:after="120" w:before="80"/>
      </w:pPr>
      <w:r>
        <w:rPr>
          <w:rFonts w:ascii="Arial" w:cs="Arial" w:eastAsia="Arial" w:hAnsi="Arial"/>
          <w:sz w:val="22"/>
          <w:szCs w:val="22"/>
        </w:rPr>
        <w:t xml:space="preserve">14. Risk Factors</w:t>
      </w:r>
    </w:p>
    <w:p>
      <w:pPr>
        <w:spacing w:after="120" w:before="80"/>
      </w:pPr>
      <w:r>
        <w:rPr>
          <w:rFonts w:ascii="Arial" w:cs="Arial" w:eastAsia="Arial" w:hAnsi="Arial"/>
          <w:sz w:val="22"/>
          <w:szCs w:val="22"/>
        </w:rPr>
        <w:t xml:space="preserve">15. Disclaimer</w:t>
      </w:r>
    </w:p>
    <w:p>
      <w:r>
        <w:br w:type="page"/>
      </w:r>
    </w:p>
    <w:p>
      <w:pPr>
        <w:pStyle w:val="Heading1"/>
        <w:spacing w:after="180" w:before="360"/>
      </w:pPr>
      <w:r>
        <w:rPr>
          <w:rFonts w:ascii="Arial" w:cs="Arial" w:eastAsia="Arial" w:hAnsi="Arial"/>
          <w:b/>
          <w:bCs/>
          <w:color w:val="B8860B"/>
          <w:sz w:val="36"/>
          <w:szCs w:val="36"/>
        </w:rPr>
        <w:t xml:space="preserve">1. Introduction</w:t>
      </w:r>
    </w:p>
    <w:p>
      <w:pPr>
        <w:pStyle w:val="Heading2"/>
        <w:spacing w:after="120" w:before="280"/>
      </w:pPr>
      <w:r>
        <w:rPr>
          <w:rFonts w:ascii="Arial" w:cs="Arial" w:eastAsia="Arial" w:hAnsi="Arial"/>
          <w:b/>
          <w:bCs/>
          <w:color w:val="2C2C54"/>
          <w:sz w:val="28"/>
          <w:szCs w:val="28"/>
        </w:rPr>
        <w:t xml:space="preserve">1.1 The Problem</w:t>
      </w:r>
    </w:p>
    <w:p>
      <w:pPr>
        <w:spacing w:after="120" w:before="80"/>
      </w:pPr>
      <w:r>
        <w:rPr>
          <w:rFonts w:ascii="Arial" w:cs="Arial" w:eastAsia="Arial" w:hAnsi="Arial"/>
          <w:sz w:val="22"/>
          <w:szCs w:val="22"/>
        </w:rPr>
        <w:t xml:space="preserve">Financial promises are fundamental to human society: inheritance, delayed payment, vesting schedules, gifts to be delivered at a future milestone. Today, enforcing these promises requires lawyers, banks, escrow agents, trusts, and custodians. Each intermediary adds cost, delay, counterparty risk, and the possibility of censorship or seizure.</w:t>
      </w:r>
    </w:p>
    <w:p>
      <w:pPr>
        <w:spacing w:after="120" w:before="80"/>
      </w:pPr>
      <w:r>
        <w:rPr>
          <w:rFonts w:ascii="Arial" w:cs="Arial" w:eastAsia="Arial" w:hAnsi="Arial"/>
          <w:sz w:val="22"/>
          <w:szCs w:val="22"/>
        </w:rPr>
        <w:t xml:space="preserve">Existing blockchain solutions address this partially through smart contracts, but smart contract platforms were not designed for time-locked value transfer as a primary use case. The result is complexity, high fees, platform risk, and accessibility barriers for everyday users.</w:t>
      </w:r>
    </w:p>
    <w:p>
      <w:pPr>
        <w:pStyle w:val="Heading2"/>
        <w:spacing w:after="120" w:before="280"/>
      </w:pPr>
      <w:r>
        <w:rPr>
          <w:rFonts w:ascii="Arial" w:cs="Arial" w:eastAsia="Arial" w:hAnsi="Arial"/>
          <w:b/>
          <w:bCs/>
          <w:color w:val="2C2C54"/>
          <w:sz w:val="28"/>
          <w:szCs w:val="28"/>
        </w:rPr>
        <w:t xml:space="preserve">1.2 The ChronX Solution</w:t>
      </w:r>
    </w:p>
    <w:p>
      <w:pPr>
        <w:spacing w:after="120" w:before="80"/>
      </w:pPr>
      <w:r>
        <w:rPr>
          <w:rFonts w:ascii="Arial" w:cs="Arial" w:eastAsia="Arial" w:hAnsi="Arial"/>
          <w:sz w:val="22"/>
          <w:szCs w:val="22"/>
        </w:rPr>
        <w:t xml:space="preserve">ChronX is a single-purpose protocol built around one primitive: the time-locked Promise. Every design decision, from the DAG consensus structure to the email claim system, optimizes for this use case.</w:t>
      </w:r>
    </w:p>
    <w:p>
      <w:pPr>
        <w:spacing w:after="120" w:before="80"/>
      </w:pPr>
      <w:r>
        <w:rPr>
          <w:rFonts w:ascii="Arial" w:cs="Arial" w:eastAsia="Arial" w:hAnsi="Arial"/>
          <w:sz w:val="22"/>
          <w:szCs w:val="22"/>
        </w:rPr>
        <w:t xml:space="preserve">Key properties:</w:t>
      </w:r>
    </w:p>
    <w:p>
      <w:pPr>
        <w:pStyle w:val="ListParagraph"/>
        <w:numPr>
          <w:ilvl w:val="0"/>
          <w:numId w:val="2"/>
        </w:numPr>
        <w:spacing w:after="60" w:before="60"/>
      </w:pPr>
      <w:r>
        <w:rPr>
          <w:rFonts w:ascii="Arial" w:cs="Arial" w:eastAsia="Arial" w:hAnsi="Arial"/>
          <w:sz w:val="22"/>
          <w:szCs w:val="22"/>
        </w:rPr>
        <w:t xml:space="preserve">Zero transaction fees, enforced at the protocol level and immutable</w:t>
      </w:r>
    </w:p>
    <w:p>
      <w:pPr>
        <w:pStyle w:val="ListParagraph"/>
        <w:numPr>
          <w:ilvl w:val="0"/>
          <w:numId w:val="2"/>
        </w:numPr>
        <w:spacing w:after="60" w:before="60"/>
      </w:pPr>
      <w:r>
        <w:rPr>
          <w:rFonts w:ascii="Arial" w:cs="Arial" w:eastAsia="Arial" w:hAnsi="Arial"/>
          <w:sz w:val="22"/>
          <w:szCs w:val="22"/>
        </w:rPr>
        <w:t xml:space="preserve">Post-quantum cryptographic security from day one</w:t>
      </w:r>
    </w:p>
    <w:p>
      <w:pPr>
        <w:pStyle w:val="ListParagraph"/>
        <w:numPr>
          <w:ilvl w:val="0"/>
          <w:numId w:val="2"/>
        </w:numPr>
        <w:spacing w:after="60" w:before="60"/>
      </w:pPr>
      <w:r>
        <w:rPr>
          <w:rFonts w:ascii="Arial" w:cs="Arial" w:eastAsia="Arial" w:hAnsi="Arial"/>
          <w:sz w:val="22"/>
          <w:szCs w:val="22"/>
        </w:rPr>
        <w:t xml:space="preserve">Email-based sending: recipients need no prior wallet to receive KX</w:t>
      </w:r>
    </w:p>
    <w:p>
      <w:pPr>
        <w:pStyle w:val="ListParagraph"/>
        <w:numPr>
          <w:ilvl w:val="0"/>
          <w:numId w:val="2"/>
        </w:numPr>
        <w:spacing w:after="60" w:before="60"/>
      </w:pPr>
      <w:r>
        <w:rPr>
          <w:rFonts w:ascii="Arial" w:cs="Arial" w:eastAsia="Arial" w:hAnsi="Arial"/>
          <w:sz w:val="22"/>
          <w:szCs w:val="22"/>
        </w:rPr>
        <w:t xml:space="preserve">Cascade Send: multi-stage structured delivery under one claim code</w:t>
      </w:r>
    </w:p>
    <w:p>
      <w:pPr>
        <w:pStyle w:val="ListParagraph"/>
        <w:numPr>
          <w:ilvl w:val="0"/>
          <w:numId w:val="2"/>
        </w:numPr>
        <w:spacing w:after="60" w:before="60"/>
      </w:pPr>
      <w:r>
        <w:rPr>
          <w:rFonts w:ascii="Arial" w:cs="Arial" w:eastAsia="Arial" w:hAnsi="Arial"/>
          <w:sz w:val="22"/>
          <w:szCs w:val="22"/>
        </w:rPr>
        <w:t xml:space="preserve">Fixed supply matched to world population at genesis</w:t>
      </w:r>
    </w:p>
    <w:p>
      <w:pPr>
        <w:pStyle w:val="ListParagraph"/>
        <w:numPr>
          <w:ilvl w:val="0"/>
          <w:numId w:val="2"/>
        </w:numPr>
        <w:spacing w:after="60" w:before="60"/>
      </w:pPr>
      <w:r>
        <w:rPr>
          <w:rFonts w:ascii="Arial" w:cs="Arial" w:eastAsia="Arial" w:hAnsi="Arial"/>
          <w:sz w:val="22"/>
          <w:szCs w:val="22"/>
        </w:rPr>
        <w:t xml:space="preserve">72-hour automatic revert on unclaimed email transfers</w:t>
      </w:r>
    </w:p>
    <w:p>
      <w:pPr>
        <w:pStyle w:val="Heading2"/>
        <w:spacing w:after="120" w:before="280"/>
      </w:pPr>
      <w:r>
        <w:rPr>
          <w:rFonts w:ascii="Arial" w:cs="Arial" w:eastAsia="Arial" w:hAnsi="Arial"/>
          <w:b/>
          <w:bCs/>
          <w:color w:val="2C2C54"/>
          <w:sz w:val="28"/>
          <w:szCs w:val="28"/>
        </w:rPr>
        <w:t xml:space="preserve">1.3 Token Overview</w:t>
      </w:r>
    </w:p>
    <w:p>
      <w:pPr>
        <w:spacing w:after="120" w:before="80"/>
      </w:pPr>
      <w:r>
        <w:rPr>
          <w:rFonts w:ascii="Arial" w:cs="Arial" w:eastAsia="Arial" w:hAnsi="Arial"/>
          <w:sz w:val="22"/>
          <w:szCs w:val="22"/>
        </w:rPr>
        <w:t xml:space="preserve">The KX token is the native utility token of the ChronX protocol. It is used to create time-lock contracts, send email-based transfers, and participate in the Cascade Send protocol. KX is not a security, investment instrument, or financial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Symbol</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KX</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Unit</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Chrono (1 KX = 1,000,000 Chronos)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Supply</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8,270,000,000 KX (fixed forever)</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Fees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(protocol-enforced, immutable)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Genesis Date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 2026 00:00:00 UTC</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Cryptography</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CRYSTALS-Dilithium2 (NIST FIPS 204)</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ICO Date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September 22, 2026 (Autumnal Equinox)</w:t>
            </w:r>
          </w:p>
        </w:tc>
      </w:tr>
    </w:tbl>
    <w:p>
      <w:r>
        <w:br w:type="page"/>
      </w:r>
    </w:p>
    <w:p>
      <w:pPr>
        <w:pStyle w:val="Heading1"/>
        <w:spacing w:after="180" w:before="360"/>
      </w:pPr>
      <w:r>
        <w:rPr>
          <w:rFonts w:ascii="Arial" w:cs="Arial" w:eastAsia="Arial" w:hAnsi="Arial"/>
          <w:b/>
          <w:bCs/>
          <w:color w:val="B8860B"/>
          <w:sz w:val="36"/>
          <w:szCs w:val="36"/>
        </w:rPr>
        <w:t xml:space="preserve">2. Protocol Architecture</w:t>
      </w:r>
    </w:p>
    <w:p>
      <w:pPr>
        <w:pStyle w:val="Heading2"/>
        <w:spacing w:after="120" w:before="280"/>
      </w:pPr>
      <w:r>
        <w:rPr>
          <w:rFonts w:ascii="Arial" w:cs="Arial" w:eastAsia="Arial" w:hAnsi="Arial"/>
          <w:b/>
          <w:bCs/>
          <w:color w:val="2C2C54"/>
          <w:sz w:val="28"/>
          <w:szCs w:val="28"/>
        </w:rPr>
        <w:t xml:space="preserve">2.1 Design Philosophy</w:t>
      </w:r>
    </w:p>
    <w:p>
      <w:pPr>
        <w:spacing w:after="120" w:before="80"/>
      </w:pPr>
      <w:r>
        <w:rPr>
          <w:rFonts w:ascii="Arial" w:cs="Arial" w:eastAsia="Arial" w:hAnsi="Arial"/>
          <w:sz w:val="22"/>
          <w:szCs w:val="22"/>
        </w:rPr>
        <w:t xml:space="preserve">ChronX is intentionally narrow in scope. Rather than building a general-purpose virtual machine, ChronX implements exactly the operations required for time-locked value transfer: create, cancel, claim, and revert. This simplicity has several advantages: smaller attack surface, lower computational overhead, zero fees, and easier formal verification.</w:t>
      </w:r>
    </w:p>
    <w:p>
      <w:pPr>
        <w:pStyle w:val="Heading2"/>
        <w:spacing w:after="120" w:before="280"/>
      </w:pPr>
      <w:r>
        <w:rPr>
          <w:rFonts w:ascii="Arial" w:cs="Arial" w:eastAsia="Arial" w:hAnsi="Arial"/>
          <w:b/>
          <w:bCs/>
          <w:color w:val="2C2C54"/>
          <w:sz w:val="28"/>
          <w:szCs w:val="28"/>
        </w:rPr>
        <w:t xml:space="preserve">2.2 Core Components</w:t>
      </w:r>
    </w:p>
    <w:p>
      <w:pPr>
        <w:pStyle w:val="ListParagraph"/>
        <w:numPr>
          <w:ilvl w:val="0"/>
          <w:numId w:val="2"/>
        </w:numPr>
        <w:spacing w:after="60" w:before="60"/>
      </w:pPr>
      <w:r>
        <w:rPr>
          <w:rFonts w:ascii="Arial" w:cs="Arial" w:eastAsia="Arial" w:hAnsi="Arial"/>
          <w:sz w:val="22"/>
          <w:szCs w:val="22"/>
        </w:rPr>
        <w:t xml:space="preserve">ChronX Node: Rust-based consensus and state management node</w:t>
      </w:r>
    </w:p>
    <w:p>
      <w:pPr>
        <w:pStyle w:val="ListParagraph"/>
        <w:numPr>
          <w:ilvl w:val="0"/>
          <w:numId w:val="2"/>
        </w:numPr>
        <w:spacing w:after="60" w:before="60"/>
      </w:pPr>
      <w:r>
        <w:rPr>
          <w:rFonts w:ascii="Arial" w:cs="Arial" w:eastAsia="Arial" w:hAnsi="Arial"/>
          <w:sz w:val="22"/>
          <w:szCs w:val="22"/>
        </w:rPr>
        <w:t xml:space="preserve">Wallet GUI: Tauri + Leptos cross-platform wallet (Windows, Android; iOS/Mac planned)</w:t>
      </w:r>
    </w:p>
    <w:p>
      <w:pPr>
        <w:pStyle w:val="ListParagraph"/>
        <w:numPr>
          <w:ilvl w:val="0"/>
          <w:numId w:val="2"/>
        </w:numPr>
        <w:spacing w:after="60" w:before="60"/>
      </w:pPr>
      <w:r>
        <w:rPr>
          <w:rFonts w:ascii="Arial" w:cs="Arial" w:eastAsia="Arial" w:hAnsi="Arial"/>
          <w:sz w:val="22"/>
          <w:szCs w:val="22"/>
        </w:rPr>
        <w:t xml:space="preserve">Notify API: Email delivery service for claim codes and cascade notifications</w:t>
      </w:r>
    </w:p>
    <w:p>
      <w:pPr>
        <w:pStyle w:val="ListParagraph"/>
        <w:numPr>
          <w:ilvl w:val="0"/>
          <w:numId w:val="2"/>
        </w:numPr>
        <w:spacing w:after="60" w:before="60"/>
      </w:pPr>
      <w:r>
        <w:rPr>
          <w:rFonts w:ascii="Arial" w:cs="Arial" w:eastAsia="Arial" w:hAnsi="Arial"/>
          <w:sz w:val="22"/>
          <w:szCs w:val="22"/>
        </w:rPr>
        <w:t xml:space="preserve">Admin Dashboard: Operational portal for protocol monitoring</w:t>
      </w:r>
    </w:p>
    <w:p>
      <w:pPr>
        <w:pStyle w:val="ListParagraph"/>
        <w:numPr>
          <w:ilvl w:val="0"/>
          <w:numId w:val="2"/>
        </w:numPr>
        <w:spacing w:after="60" w:before="60"/>
      </w:pPr>
      <w:r>
        <w:rPr>
          <w:rFonts w:ascii="Arial" w:cs="Arial" w:eastAsia="Arial" w:hAnsi="Arial"/>
          <w:sz w:val="22"/>
          <w:szCs w:val="22"/>
        </w:rPr>
        <w:t xml:space="preserve">Block Explorer: Public DAG transaction explorer at chronx.io/explorer</w:t>
      </w:r>
    </w:p>
    <w:p>
      <w:pPr>
        <w:pStyle w:val="Heading2"/>
        <w:spacing w:after="120" w:before="280"/>
      </w:pPr>
      <w:r>
        <w:rPr>
          <w:rFonts w:ascii="Arial" w:cs="Arial" w:eastAsia="Arial" w:hAnsi="Arial"/>
          <w:b/>
          <w:bCs/>
          <w:color w:val="2C2C54"/>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Language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Rust</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sled (embedded key-value store)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Networking</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libp2p (Ed25519 identity, persistent)</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Consensus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Proof of Work, SHA3-256, 20-bit difficulty</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Cryptography</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CRYSTALS-Dilithium2 (NIST FIPS 204)</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Wallet Framework</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Tauri v2 + Leptos 0.7 CSR</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Delivery</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Resend API</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RPC Interface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JSON-RPC 2.0 over HTTPS</w:t>
            </w:r>
          </w:p>
        </w:tc>
      </w:tr>
    </w:tbl>
    <w:p>
      <w:r>
        <w:br w:type="page"/>
      </w:r>
    </w:p>
    <w:p>
      <w:pPr>
        <w:pStyle w:val="Heading1"/>
        <w:spacing w:after="180" w:before="360"/>
      </w:pPr>
      <w:r>
        <w:rPr>
          <w:rFonts w:ascii="Arial" w:cs="Arial" w:eastAsia="Arial" w:hAnsi="Arial"/>
          <w:b/>
          <w:bCs/>
          <w:color w:val="B8860B"/>
          <w:sz w:val="36"/>
          <w:szCs w:val="36"/>
        </w:rPr>
        <w:t xml:space="preserve">3. DAG Structure</w:t>
      </w:r>
    </w:p>
    <w:p>
      <w:pPr>
        <w:pStyle w:val="Heading2"/>
        <w:spacing w:after="120" w:before="280"/>
      </w:pPr>
      <w:r>
        <w:rPr>
          <w:rFonts w:ascii="Arial" w:cs="Arial" w:eastAsia="Arial" w:hAnsi="Arial"/>
          <w:b/>
          <w:bCs/>
          <w:color w:val="2C2C54"/>
          <w:sz w:val="28"/>
          <w:szCs w:val="28"/>
        </w:rPr>
        <w:t xml:space="preserve">3.1 Directed Acyclic Graph vs. Linear Blockchain</w:t>
      </w:r>
    </w:p>
    <w:p>
      <w:pPr>
        <w:spacing w:after="120" w:before="80"/>
      </w:pPr>
      <w:r>
        <w:rPr>
          <w:rFonts w:ascii="Arial" w:cs="Arial" w:eastAsia="Arial" w:hAnsi="Arial"/>
          <w:sz w:val="22"/>
          <w:szCs w:val="22"/>
        </w:rPr>
        <w:t xml:space="preserve">ChronX uses a Directed Acyclic Graph (DAG) rather than a traditional linear blockchain. This is a fundamental architectural distinction with meaningful practical consequences.</w:t>
      </w:r>
    </w:p>
    <w:p>
      <w:pPr>
        <w:spacing w:after="120" w:before="80"/>
      </w:pPr>
      <w:r>
        <w:rPr>
          <w:rFonts w:ascii="Arial" w:cs="Arial" w:eastAsia="Arial" w:hAnsi="Arial"/>
          <w:sz w:val="22"/>
          <w:szCs w:val="22"/>
        </w:rPr>
        <w:t xml:space="preserve">In a linear blockchain, transactions are grouped into blocks that form a sequential chain. Each block must wait for the previous block to be finalized before it can be added. This creates inherent throughput limits and is why traditional blockchains charge fees: block space is a scarce resource.</w:t>
      </w:r>
    </w:p>
    <w:p>
      <w:pPr>
        <w:spacing w:after="120" w:before="80"/>
      </w:pPr>
      <w:r>
        <w:rPr>
          <w:rFonts w:ascii="Arial" w:cs="Arial" w:eastAsia="Arial" w:hAnsi="Arial"/>
          <w:sz w:val="22"/>
          <w:szCs w:val="22"/>
        </w:rPr>
        <w:t xml:space="preserve">In ChronX's DAG structure, each transaction (called a vertex) directly references one or more previous vertices as parents. Multiple transactions can be confirmed in parallel without competing for block space. There are no blocks to fill, no block reward auctions, and therefore no rational basis for transaction fees.</w:t>
      </w:r>
    </w:p>
    <w:p>
      <w:pPr>
        <w:pStyle w:val="Heading2"/>
        <w:spacing w:after="120" w:before="280"/>
      </w:pPr>
      <w:r>
        <w:rPr>
          <w:rFonts w:ascii="Arial" w:cs="Arial" w:eastAsia="Arial" w:hAnsi="Arial"/>
          <w:b/>
          <w:bCs/>
          <w:color w:val="2C2C54"/>
          <w:sz w:val="28"/>
          <w:szCs w:val="28"/>
        </w:rPr>
        <w:t xml:space="preserve">3.2 DAG Properties</w:t>
      </w:r>
    </w:p>
    <w:p>
      <w:pPr>
        <w:pStyle w:val="ListParagraph"/>
        <w:numPr>
          <w:ilvl w:val="0"/>
          <w:numId w:val="2"/>
        </w:numPr>
        <w:spacing w:after="60" w:before="60"/>
      </w:pPr>
      <w:r>
        <w:rPr>
          <w:rFonts w:ascii="Arial" w:cs="Arial" w:eastAsia="Arial" w:hAnsi="Arial"/>
          <w:sz w:val="22"/>
          <w:szCs w:val="22"/>
        </w:rPr>
        <w:t xml:space="preserve">Each vertex references parent vertices, creating a directed, acyclic graph</w:t>
      </w:r>
    </w:p>
    <w:p>
      <w:pPr>
        <w:pStyle w:val="ListParagraph"/>
        <w:numPr>
          <w:ilvl w:val="0"/>
          <w:numId w:val="2"/>
        </w:numPr>
        <w:spacing w:after="60" w:before="60"/>
      </w:pPr>
      <w:r>
        <w:rPr>
          <w:rFonts w:ascii="Arial" w:cs="Arial" w:eastAsia="Arial" w:hAnsi="Arial"/>
          <w:sz w:val="22"/>
          <w:szCs w:val="22"/>
        </w:rPr>
        <w:t xml:space="preserve">Multiple vertices can be appended in parallel (no sequential block bottleneck)</w:t>
      </w:r>
    </w:p>
    <w:p>
      <w:pPr>
        <w:pStyle w:val="ListParagraph"/>
        <w:numPr>
          <w:ilvl w:val="0"/>
          <w:numId w:val="2"/>
        </w:numPr>
        <w:spacing w:after="60" w:before="60"/>
      </w:pPr>
      <w:r>
        <w:rPr>
          <w:rFonts w:ascii="Arial" w:cs="Arial" w:eastAsia="Arial" w:hAnsi="Arial"/>
          <w:sz w:val="22"/>
          <w:szCs w:val="22"/>
        </w:rPr>
        <w:t xml:space="preserve">DAG depth replaces block height as the measure of chain progress</w:t>
      </w:r>
    </w:p>
    <w:p>
      <w:pPr>
        <w:pStyle w:val="ListParagraph"/>
        <w:numPr>
          <w:ilvl w:val="0"/>
          <w:numId w:val="2"/>
        </w:numPr>
        <w:spacing w:after="60" w:before="60"/>
      </w:pPr>
      <w:r>
        <w:rPr>
          <w:rFonts w:ascii="Arial" w:cs="Arial" w:eastAsia="Arial" w:hAnsi="Arial"/>
          <w:sz w:val="22"/>
          <w:szCs w:val="22"/>
        </w:rPr>
        <w:t xml:space="preserve">Consensus uses Proof of Work on individual vertices</w:t>
      </w:r>
    </w:p>
    <w:p>
      <w:pPr>
        <w:pStyle w:val="ListParagraph"/>
        <w:numPr>
          <w:ilvl w:val="0"/>
          <w:numId w:val="2"/>
        </w:numPr>
        <w:spacing w:after="60" w:before="60"/>
      </w:pPr>
      <w:r>
        <w:rPr>
          <w:rFonts w:ascii="Arial" w:cs="Arial" w:eastAsia="Arial" w:hAnsi="Arial"/>
          <w:sz w:val="22"/>
          <w:szCs w:val="22"/>
        </w:rPr>
        <w:t xml:space="preserve">DAG tips are the frontier vertices with no children yet</w:t>
      </w:r>
    </w:p>
    <w:p>
      <w:pPr>
        <w:pStyle w:val="Heading2"/>
        <w:spacing w:after="120" w:before="280"/>
      </w:pPr>
      <w:r>
        <w:rPr>
          <w:rFonts w:ascii="Arial" w:cs="Arial" w:eastAsia="Arial" w:hAnsi="Arial"/>
          <w:b/>
          <w:bCs/>
          <w:color w:val="2C2C54"/>
          <w:sz w:val="28"/>
          <w:szCs w:val="28"/>
        </w:rPr>
        <w:t xml:space="preserve">3.3 Why DAG Enables Zero Fees</w:t>
      </w:r>
    </w:p>
    <w:p>
      <w:pPr>
        <w:spacing w:after="120" w:before="80"/>
      </w:pPr>
      <w:r>
        <w:rPr>
          <w:rFonts w:ascii="Arial" w:cs="Arial" w:eastAsia="Arial" w:hAnsi="Arial"/>
          <w:sz w:val="22"/>
          <w:szCs w:val="22"/>
        </w:rPr>
        <w:t xml:space="preserve">Traditional blockchains have fees because block space is limited. Miners select transactions by fee rate, creating a fee market. In ChronX's DAG, there is no block space limit. Every transaction appends directly to the DAG frontier. With no scarcity of confirmation slots, there is no rational basis for a fee market. Zero fees are therefore a structural consequence of the DAG architecture, not a marketing decision.</w:t>
      </w:r>
    </w:p>
    <w:p>
      <w:r>
        <w:br w:type="page"/>
      </w:r>
    </w:p>
    <w:p>
      <w:pPr>
        <w:pStyle w:val="Heading1"/>
        <w:spacing w:after="180" w:before="360"/>
      </w:pPr>
      <w:r>
        <w:rPr>
          <w:rFonts w:ascii="Arial" w:cs="Arial" w:eastAsia="Arial" w:hAnsi="Arial"/>
          <w:b/>
          <w:bCs/>
          <w:color w:val="B8860B"/>
          <w:sz w:val="36"/>
          <w:szCs w:val="36"/>
        </w:rPr>
        <w:t xml:space="preserve">4. Cryptographic Foundation</w:t>
      </w:r>
    </w:p>
    <w:p>
      <w:pPr>
        <w:pStyle w:val="Heading2"/>
        <w:spacing w:after="120" w:before="280"/>
      </w:pPr>
      <w:r>
        <w:rPr>
          <w:rFonts w:ascii="Arial" w:cs="Arial" w:eastAsia="Arial" w:hAnsi="Arial"/>
          <w:b/>
          <w:bCs/>
          <w:color w:val="2C2C54"/>
          <w:sz w:val="28"/>
          <w:szCs w:val="28"/>
        </w:rPr>
        <w:t xml:space="preserve">4.1 Post-Quantum Security</w:t>
      </w:r>
    </w:p>
    <w:p>
      <w:pPr>
        <w:spacing w:after="120" w:before="80"/>
      </w:pPr>
      <w:r>
        <w:rPr>
          <w:rFonts w:ascii="Arial" w:cs="Arial" w:eastAsia="Arial" w:hAnsi="Arial"/>
          <w:sz w:val="22"/>
          <w:szCs w:val="22"/>
        </w:rPr>
        <w:t xml:space="preserve">ChronX is built on CRYSTALS-Dilithium2, standardized by NIST as FIPS 204 in August 2024. This lattice-based signature scheme is designed to remain secure against both classical and quantum computers.</w:t>
      </w:r>
    </w:p>
    <w:p>
      <w:pPr>
        <w:spacing w:after="120" w:before="80"/>
      </w:pPr>
      <w:r>
        <w:rPr>
          <w:rFonts w:ascii="Arial" w:cs="Arial" w:eastAsia="Arial" w:hAnsi="Arial"/>
          <w:sz w:val="22"/>
          <w:szCs w:val="22"/>
        </w:rPr>
        <w:t xml:space="preserve">The quantum threat to conventional cryptography (RSA, ECDSA, EdDSA) is real and approaching. Estimates for cryptographically relevant quantum computers range from 5 to 20 years. ChronX's time-lock protocol is designed to hold value for decades. Building on classical cryptography would mean that time-locks created today could potentially be broken before they mature.</w:t>
      </w:r>
    </w:p>
    <w:p>
      <w:pPr>
        <w:pStyle w:val="Heading2"/>
        <w:spacing w:after="120" w:before="280"/>
      </w:pPr>
      <w:r>
        <w:rPr>
          <w:rFonts w:ascii="Arial" w:cs="Arial" w:eastAsia="Arial" w:hAnsi="Arial"/>
          <w:b/>
          <w:bCs/>
          <w:color w:val="2C2C54"/>
          <w:sz w:val="28"/>
          <w:szCs w:val="28"/>
        </w:rPr>
        <w:t xml:space="preserve">4.2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CRYSTALS-Dilithium2 (lattice-based)</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NIST FIPS 204</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Key Size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1,312 bytes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Key Size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2,528 bytes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Signature Size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2,420 bytes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ID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BLAKE3(public key), Base58 encoded</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Level</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NIST Level 2 (equivalent to AES-128)</w:t>
            </w:r>
          </w:p>
        </w:tc>
      </w:tr>
    </w:tbl>
    <w:p>
      <w:pPr>
        <w:pStyle w:val="Heading2"/>
        <w:spacing w:after="120" w:before="280"/>
      </w:pPr>
      <w:r>
        <w:rPr>
          <w:rFonts w:ascii="Arial" w:cs="Arial" w:eastAsia="Arial" w:hAnsi="Arial"/>
          <w:b/>
          <w:bCs/>
          <w:color w:val="2C2C54"/>
          <w:sz w:val="28"/>
          <w:szCs w:val="28"/>
        </w:rPr>
        <w:t xml:space="preserve">4.3 BLAKE3 Hashing</w:t>
      </w:r>
    </w:p>
    <w:p>
      <w:pPr>
        <w:spacing w:after="120" w:before="80"/>
      </w:pPr>
      <w:r>
        <w:rPr>
          <w:rFonts w:ascii="Arial" w:cs="Arial" w:eastAsia="Arial" w:hAnsi="Arial"/>
          <w:sz w:val="22"/>
          <w:szCs w:val="22"/>
        </w:rPr>
        <w:t xml:space="preserve">ChronX uses BLAKE3 for all hashing operations: account ID derivation, claim secret hashing, and multi-action lock ID generation. BLAKE3 is a cryptographic hash function that is faster than SHA-256 while maintaining equivalent security properties. It is deterministic, collision-resistant, and produces 256-bit outputs.</w:t>
      </w:r>
    </w:p>
    <w:p>
      <w:r>
        <w:br w:type="page"/>
      </w:r>
    </w:p>
    <w:p>
      <w:pPr>
        <w:pStyle w:val="Heading1"/>
        <w:spacing w:after="180" w:before="360"/>
      </w:pPr>
      <w:r>
        <w:rPr>
          <w:rFonts w:ascii="Arial" w:cs="Arial" w:eastAsia="Arial" w:hAnsi="Arial"/>
          <w:b/>
          <w:bCs/>
          <w:color w:val="B8860B"/>
          <w:sz w:val="36"/>
          <w:szCs w:val="36"/>
        </w:rPr>
        <w:t xml:space="preserve">5. Time-Lock Mechanism</w:t>
      </w:r>
    </w:p>
    <w:p>
      <w:pPr>
        <w:pStyle w:val="Heading2"/>
        <w:spacing w:after="120" w:before="280"/>
      </w:pPr>
      <w:r>
        <w:rPr>
          <w:rFonts w:ascii="Arial" w:cs="Arial" w:eastAsia="Arial" w:hAnsi="Arial"/>
          <w:b/>
          <w:bCs/>
          <w:color w:val="2C2C54"/>
          <w:sz w:val="28"/>
          <w:szCs w:val="28"/>
        </w:rPr>
        <w:t xml:space="preserve">5.1 The Promise Primitive</w:t>
      </w:r>
    </w:p>
    <w:p>
      <w:pPr>
        <w:spacing w:after="120" w:before="80"/>
      </w:pPr>
      <w:r>
        <w:rPr>
          <w:rFonts w:ascii="Arial" w:cs="Arial" w:eastAsia="Arial" w:hAnsi="Arial"/>
          <w:sz w:val="22"/>
          <w:szCs w:val="22"/>
        </w:rPr>
        <w:t xml:space="preserve">A Promise is a native protocol object representing a commitment to deliver a specified amount of KX to a recipient at or after a specified Unix timestamp. Unlike smart contract-based time locks, the Promise is enforced by the protocol consensus rules themselves. No code execution is required at claim time; the protocol simply validates maturity and signature before applying the balance transfer.</w:t>
      </w:r>
    </w:p>
    <w:p>
      <w:pPr>
        <w:pStyle w:val="Heading2"/>
        <w:spacing w:after="120" w:before="280"/>
      </w:pPr>
      <w:r>
        <w:rPr>
          <w:rFonts w:ascii="Arial" w:cs="Arial" w:eastAsia="Arial" w:hAnsi="Arial"/>
          <w:b/>
          <w:bCs/>
          <w:color w:val="2C2C54"/>
          <w:sz w:val="28"/>
          <w:szCs w:val="28"/>
        </w:rPr>
        <w:t xml:space="preserve">5.2 Promise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 created, awaiting maturity date or claim window</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Matured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Unlock timestamp has passed; recipient may claim</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Claimed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Recipient has successfully claimed; KX transferred</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Cancelled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 cancelled before claim (subject to rules)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Reverted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Unclaimed email lock auto-reverted to sender after 72 hours</w:t>
            </w:r>
          </w:p>
        </w:tc>
      </w:tr>
    </w:tbl>
    <w:p>
      <w:pPr>
        <w:pStyle w:val="Heading2"/>
        <w:spacing w:after="120" w:before="280"/>
      </w:pPr>
      <w:r>
        <w:rPr>
          <w:rFonts w:ascii="Arial" w:cs="Arial" w:eastAsia="Arial" w:hAnsi="Arial"/>
          <w:b/>
          <w:bCs/>
          <w:color w:val="2C2C54"/>
          <w:sz w:val="28"/>
          <w:szCs w:val="28"/>
        </w:rPr>
        <w:t xml:space="preserve">5.3 Cancellation Rules</w:t>
      </w:r>
    </w:p>
    <w:p>
      <w:pPr>
        <w:spacing w:after="120" w:before="80"/>
      </w:pPr>
      <w:r>
        <w:rPr>
          <w:rFonts w:ascii="Arial" w:cs="Arial" w:eastAsia="Arial" w:hAnsi="Arial"/>
          <w:sz w:val="22"/>
          <w:szCs w:val="22"/>
        </w:rPr>
        <w:t xml:space="preserve">Promises may be cancelled by the sender under the following conditions:</w:t>
      </w:r>
    </w:p>
    <w:p>
      <w:pPr>
        <w:pStyle w:val="ListParagraph"/>
        <w:numPr>
          <w:ilvl w:val="0"/>
          <w:numId w:val="2"/>
        </w:numPr>
        <w:spacing w:after="60" w:before="60"/>
      </w:pPr>
      <w:r>
        <w:rPr>
          <w:rFonts w:ascii="Arial" w:cs="Arial" w:eastAsia="Arial" w:hAnsi="Arial"/>
          <w:sz w:val="22"/>
          <w:szCs w:val="22"/>
        </w:rPr>
        <w:t xml:space="preserve">Email-based locks: cancellable before the recipient claims, subject to the 72-hour revert window</w:t>
      </w:r>
    </w:p>
    <w:p>
      <w:pPr>
        <w:pStyle w:val="ListParagraph"/>
        <w:numPr>
          <w:ilvl w:val="0"/>
          <w:numId w:val="2"/>
        </w:numPr>
        <w:spacing w:after="60" w:before="60"/>
      </w:pPr>
      <w:r>
        <w:rPr>
          <w:rFonts w:ascii="Arial" w:cs="Arial" w:eastAsia="Arial" w:hAnsi="Arial"/>
          <w:sz w:val="22"/>
          <w:szCs w:val="22"/>
        </w:rPr>
        <w:t xml:space="preserve">Address-based locks: cancellable any time before maturity</w:t>
      </w:r>
    </w:p>
    <w:p>
      <w:pPr>
        <w:pStyle w:val="ListParagraph"/>
        <w:numPr>
          <w:ilvl w:val="0"/>
          <w:numId w:val="2"/>
        </w:numPr>
        <w:spacing w:after="60" w:before="60"/>
      </w:pPr>
      <w:r>
        <w:rPr>
          <w:rFonts w:ascii="Arial" w:cs="Arial" w:eastAsia="Arial" w:hAnsi="Arial"/>
          <w:sz w:val="22"/>
          <w:szCs w:val="22"/>
        </w:rPr>
        <w:t xml:space="preserve">Locks with duration &gt;= 1 year: subject to a 24-hour cancellation window after creation</w:t>
      </w:r>
    </w:p>
    <w:p>
      <w:pPr>
        <w:pStyle w:val="ListParagraph"/>
        <w:numPr>
          <w:ilvl w:val="0"/>
          <w:numId w:val="2"/>
        </w:numPr>
        <w:spacing w:after="60" w:before="60"/>
      </w:pPr>
      <w:r>
        <w:rPr>
          <w:rFonts w:ascii="Arial" w:cs="Arial" w:eastAsia="Arial" w:hAnsi="Arial"/>
          <w:sz w:val="22"/>
          <w:szCs w:val="22"/>
        </w:rPr>
        <w:t xml:space="preserve">Cascade Series: cancellable only if no stage has been claimed; once any stage is claimed, the series is locked ('Promised')</w:t>
      </w:r>
    </w:p>
    <w:p>
      <w:pPr>
        <w:pStyle w:val="Heading2"/>
        <w:spacing w:after="120" w:before="280"/>
      </w:pPr>
      <w:r>
        <w:rPr>
          <w:rFonts w:ascii="Arial" w:cs="Arial" w:eastAsia="Arial" w:hAnsi="Arial"/>
          <w:b/>
          <w:bCs/>
          <w:color w:val="2C2C54"/>
          <w:sz w:val="28"/>
          <w:szCs w:val="28"/>
        </w:rPr>
        <w:t xml:space="preserve">5.4 Minimum Lock Duration</w:t>
      </w:r>
    </w:p>
    <w:p>
      <w:pPr>
        <w:spacing w:after="120" w:before="80"/>
      </w:pPr>
      <w:r>
        <w:rPr>
          <w:rFonts w:ascii="Arial" w:cs="Arial" w:eastAsia="Arial" w:hAnsi="Arial"/>
          <w:sz w:val="22"/>
          <w:szCs w:val="22"/>
        </w:rPr>
        <w:t xml:space="preserve">The minimum lock duration is 1 second at the protocol level. The wallet enforces user-facing minimums appropriate to the use case. Send Now email locks use an unlock timestamp of 0 (sentinel value), which the node interprets as immediately claimable.</w:t>
      </w:r>
    </w:p>
    <w:p>
      <w:r>
        <w:br w:type="page"/>
      </w:r>
    </w:p>
    <w:p>
      <w:pPr>
        <w:pStyle w:val="Heading1"/>
        <w:spacing w:after="180" w:before="360"/>
      </w:pPr>
      <w:r>
        <w:rPr>
          <w:rFonts w:ascii="Arial" w:cs="Arial" w:eastAsia="Arial" w:hAnsi="Arial"/>
          <w:b/>
          <w:bCs/>
          <w:color w:val="B8860B"/>
          <w:sz w:val="36"/>
          <w:szCs w:val="36"/>
        </w:rPr>
        <w:t xml:space="preserve">6. Email Claim System &amp; Privacy</w:t>
      </w:r>
    </w:p>
    <w:p>
      <w:pPr>
        <w:pStyle w:val="Heading2"/>
        <w:spacing w:after="120" w:before="280"/>
      </w:pPr>
      <w:r>
        <w:rPr>
          <w:rFonts w:ascii="Arial" w:cs="Arial" w:eastAsia="Arial" w:hAnsi="Arial"/>
          <w:b/>
          <w:bCs/>
          <w:color w:val="2C2C54"/>
          <w:sz w:val="28"/>
          <w:szCs w:val="28"/>
        </w:rPr>
        <w:t xml:space="preserve">6.1 Overview</w:t>
      </w:r>
    </w:p>
    <w:p>
      <w:pPr>
        <w:spacing w:after="120" w:before="80"/>
      </w:pPr>
      <w:r>
        <w:rPr>
          <w:rFonts w:ascii="Arial" w:cs="Arial" w:eastAsia="Arial" w:hAnsi="Arial"/>
          <w:sz w:val="22"/>
          <w:szCs w:val="22"/>
        </w:rPr>
        <w:t xml:space="preserve">ChronX enables sending KX to any email address. The recipient does not need a wallet at send time. They receive an email containing a claim code in the format KX-XXXX-XXXX-XXXX-XXXX. They install the wallet, enter the code, and the KX transfers to their address.</w:t>
      </w:r>
    </w:p>
    <w:p>
      <w:pPr>
        <w:spacing w:after="120" w:before="80"/>
      </w:pPr>
      <w:r>
        <w:rPr>
          <w:rFonts w:ascii="Arial" w:cs="Arial" w:eastAsia="Arial" w:hAnsi="Arial"/>
          <w:sz w:val="22"/>
          <w:szCs w:val="22"/>
        </w:rPr>
        <w:t xml:space="preserve">This design eliminates the largest friction point in cryptocurrency adoption: requiring recipients to have a wallet before they can receive funds.</w:t>
      </w:r>
    </w:p>
    <w:p>
      <w:pPr>
        <w:pStyle w:val="Heading2"/>
        <w:spacing w:after="120" w:before="280"/>
      </w:pPr>
      <w:r>
        <w:rPr>
          <w:rFonts w:ascii="Arial" w:cs="Arial" w:eastAsia="Arial" w:hAnsi="Arial"/>
          <w:b/>
          <w:bCs/>
          <w:color w:val="2C2C54"/>
          <w:sz w:val="28"/>
          <w:szCs w:val="28"/>
        </w:rPr>
        <w:t xml:space="preserve">6.2 Cryptographic Claim Flow</w:t>
      </w:r>
    </w:p>
    <w:p>
      <w:pPr>
        <w:spacing w:after="120" w:before="80"/>
      </w:pPr>
      <w:r>
        <w:rPr>
          <w:rFonts w:ascii="Arial" w:cs="Arial" w:eastAsia="Arial" w:hAnsi="Arial"/>
          <w:sz w:val="22"/>
          <w:szCs w:val="22"/>
        </w:rPr>
        <w:t xml:space="preserve">The email claim system is designed so that no server ever stores the mapping between an email address and a wallet address. The complete flow:</w:t>
      </w:r>
    </w:p>
    <w:p>
      <w:pPr>
        <w:pStyle w:val="ListParagraph"/>
        <w:numPr>
          <w:ilvl w:val="0"/>
          <w:numId w:val="2"/>
        </w:numPr>
        <w:spacing w:after="60" w:before="60"/>
      </w:pPr>
      <w:r>
        <w:rPr>
          <w:rFonts w:ascii="Arial" w:cs="Arial" w:eastAsia="Arial" w:hAnsi="Arial"/>
          <w:sz w:val="22"/>
          <w:szCs w:val="22"/>
        </w:rPr>
        <w:t xml:space="preserve">Sender's wallet generates a 32-byte random claim_secret</w:t>
      </w:r>
    </w:p>
    <w:p>
      <w:pPr>
        <w:pStyle w:val="ListParagraph"/>
        <w:numPr>
          <w:ilvl w:val="0"/>
          <w:numId w:val="2"/>
        </w:numPr>
        <w:spacing w:after="60" w:before="60"/>
      </w:pPr>
      <w:r>
        <w:rPr>
          <w:rFonts w:ascii="Arial" w:cs="Arial" w:eastAsia="Arial" w:hAnsi="Arial"/>
          <w:sz w:val="22"/>
          <w:szCs w:val="22"/>
        </w:rPr>
        <w:t xml:space="preserve">claim_secret is formatted as KX-XXXX-XXXX-XXXX-XXXX and displayed to sender</w:t>
      </w:r>
    </w:p>
    <w:p>
      <w:pPr>
        <w:pStyle w:val="ListParagraph"/>
        <w:numPr>
          <w:ilvl w:val="0"/>
          <w:numId w:val="2"/>
        </w:numPr>
        <w:spacing w:after="60" w:before="60"/>
      </w:pPr>
      <w:r>
        <w:rPr>
          <w:rFonts w:ascii="Arial" w:cs="Arial" w:eastAsia="Arial" w:hAnsi="Arial"/>
          <w:sz w:val="22"/>
          <w:szCs w:val="22"/>
        </w:rPr>
        <w:t xml:space="preserve">BLAKE3(claim_secret) is stored on-chain as the claim authorization hash</w:t>
      </w:r>
    </w:p>
    <w:p>
      <w:pPr>
        <w:pStyle w:val="ListParagraph"/>
        <w:numPr>
          <w:ilvl w:val="0"/>
          <w:numId w:val="2"/>
        </w:numPr>
        <w:spacing w:after="60" w:before="60"/>
      </w:pPr>
      <w:r>
        <w:rPr>
          <w:rFonts w:ascii="Arial" w:cs="Arial" w:eastAsia="Arial" w:hAnsi="Arial"/>
          <w:sz w:val="22"/>
          <w:szCs w:val="22"/>
        </w:rPr>
        <w:t xml:space="preserve">Sender's wallet POSTs the claim code to the notify API, which emails it to the recipient</w:t>
      </w:r>
    </w:p>
    <w:p>
      <w:pPr>
        <w:pStyle w:val="ListParagraph"/>
        <w:numPr>
          <w:ilvl w:val="0"/>
          <w:numId w:val="2"/>
        </w:numPr>
        <w:spacing w:after="60" w:before="60"/>
      </w:pPr>
      <w:r>
        <w:rPr>
          <w:rFonts w:ascii="Arial" w:cs="Arial" w:eastAsia="Arial" w:hAnsi="Arial"/>
          <w:sz w:val="22"/>
          <w:szCs w:val="22"/>
        </w:rPr>
        <w:t xml:space="preserve">Notify API delivers the email and immediately discards the claim code (never stored server-side)</w:t>
      </w:r>
    </w:p>
    <w:p>
      <w:pPr>
        <w:pStyle w:val="ListParagraph"/>
        <w:numPr>
          <w:ilvl w:val="0"/>
          <w:numId w:val="2"/>
        </w:numPr>
        <w:spacing w:after="60" w:before="60"/>
      </w:pPr>
      <w:r>
        <w:rPr>
          <w:rFonts w:ascii="Arial" w:cs="Arial" w:eastAsia="Arial" w:hAnsi="Arial"/>
          <w:sz w:val="22"/>
          <w:szCs w:val="22"/>
        </w:rPr>
        <w:t xml:space="preserve">Recipient enters the code in their wallet</w:t>
      </w:r>
    </w:p>
    <w:p>
      <w:pPr>
        <w:pStyle w:val="ListParagraph"/>
        <w:numPr>
          <w:ilvl w:val="0"/>
          <w:numId w:val="2"/>
        </w:numPr>
        <w:spacing w:after="60" w:before="60"/>
      </w:pPr>
      <w:r>
        <w:rPr>
          <w:rFonts w:ascii="Arial" w:cs="Arial" w:eastAsia="Arial" w:hAnsi="Arial"/>
          <w:sz w:val="22"/>
          <w:szCs w:val="22"/>
        </w:rPr>
        <w:t xml:space="preserve">Wallet computes BLAKE3(claim_code) and submits a TimeLockClaimWithSecret transaction</w:t>
      </w:r>
    </w:p>
    <w:p>
      <w:pPr>
        <w:pStyle w:val="ListParagraph"/>
        <w:numPr>
          <w:ilvl w:val="0"/>
          <w:numId w:val="2"/>
        </w:numPr>
        <w:spacing w:after="60" w:before="60"/>
      </w:pPr>
      <w:r>
        <w:rPr>
          <w:rFonts w:ascii="Arial" w:cs="Arial" w:eastAsia="Arial" w:hAnsi="Arial"/>
          <w:sz w:val="22"/>
          <w:szCs w:val="22"/>
        </w:rPr>
        <w:t xml:space="preserve">Node verifies BLAKE3(claim_code) matches the stored hash and transfers KX</w:t>
      </w:r>
    </w:p>
    <w:p>
      <w:pPr>
        <w:pStyle w:val="Heading2"/>
        <w:spacing w:after="120" w:before="280"/>
      </w:pPr>
      <w:r>
        <w:rPr>
          <w:rFonts w:ascii="Arial" w:cs="Arial" w:eastAsia="Arial" w:hAnsi="Arial"/>
          <w:b/>
          <w:bCs/>
          <w:color w:val="2C2C54"/>
          <w:sz w:val="28"/>
          <w:szCs w:val="28"/>
        </w:rPr>
        <w:t xml:space="preserve">6.3 Privacy Architecture</w:t>
      </w:r>
    </w:p>
    <w:p>
      <w:pPr>
        <w:spacing w:after="120" w:before="80"/>
      </w:pPr>
      <w:r>
        <w:rPr>
          <w:rFonts w:ascii="Arial" w:cs="Arial" w:eastAsia="Arial" w:hAnsi="Arial"/>
          <w:sz w:val="22"/>
          <w:szCs w:val="22"/>
        </w:rPr>
        <w:t xml:space="preserve">The ChronX email claim system provides strong privacy guarantees by design:</w:t>
      </w:r>
    </w:p>
    <w:p>
      <w:pPr>
        <w:pStyle w:val="ListParagraph"/>
        <w:numPr>
          <w:ilvl w:val="0"/>
          <w:numId w:val="2"/>
        </w:numPr>
        <w:spacing w:after="60" w:before="60"/>
      </w:pPr>
      <w:r>
        <w:rPr>
          <w:rFonts w:ascii="Arial" w:cs="Arial" w:eastAsia="Arial" w:hAnsi="Arial"/>
          <w:sz w:val="22"/>
          <w:szCs w:val="22"/>
        </w:rPr>
        <w:t xml:space="preserve">No email-to-wallet mapping is stored at any point in the protocol</w:t>
      </w:r>
    </w:p>
    <w:p>
      <w:pPr>
        <w:pStyle w:val="ListParagraph"/>
        <w:numPr>
          <w:ilvl w:val="0"/>
          <w:numId w:val="2"/>
        </w:numPr>
        <w:spacing w:after="60" w:before="60"/>
      </w:pPr>
      <w:r>
        <w:rPr>
          <w:rFonts w:ascii="Arial" w:cs="Arial" w:eastAsia="Arial" w:hAnsi="Arial"/>
          <w:sz w:val="22"/>
          <w:szCs w:val="22"/>
        </w:rPr>
        <w:t xml:space="preserve">The email address is used only as a delivery mechanism for the claim code</w:t>
      </w:r>
    </w:p>
    <w:p>
      <w:pPr>
        <w:pStyle w:val="ListParagraph"/>
        <w:numPr>
          <w:ilvl w:val="0"/>
          <w:numId w:val="2"/>
        </w:numPr>
        <w:spacing w:after="60" w:before="60"/>
      </w:pPr>
      <w:r>
        <w:rPr>
          <w:rFonts w:ascii="Arial" w:cs="Arial" w:eastAsia="Arial" w:hAnsi="Arial"/>
          <w:sz w:val="22"/>
          <w:szCs w:val="22"/>
        </w:rPr>
        <w:t xml:space="preserve">Possession of the claim code is the sole authentication requirement</w:t>
      </w:r>
    </w:p>
    <w:p>
      <w:pPr>
        <w:pStyle w:val="ListParagraph"/>
        <w:numPr>
          <w:ilvl w:val="0"/>
          <w:numId w:val="2"/>
        </w:numPr>
        <w:spacing w:after="60" w:before="60"/>
      </w:pPr>
      <w:r>
        <w:rPr>
          <w:rFonts w:ascii="Arial" w:cs="Arial" w:eastAsia="Arial" w:hAnsi="Arial"/>
          <w:sz w:val="22"/>
          <w:szCs w:val="22"/>
        </w:rPr>
        <w:t xml:space="preserve">Even the sender cannot determine which wallet address claimed their transfer, only that it was claimed</w:t>
      </w:r>
    </w:p>
    <w:p>
      <w:pPr>
        <w:pStyle w:val="ListParagraph"/>
        <w:numPr>
          <w:ilvl w:val="0"/>
          <w:numId w:val="2"/>
        </w:numPr>
        <w:spacing w:after="60" w:before="60"/>
      </w:pPr>
      <w:r>
        <w:rPr>
          <w:rFonts w:ascii="Arial" w:cs="Arial" w:eastAsia="Arial" w:hAnsi="Arial"/>
          <w:sz w:val="22"/>
          <w:szCs w:val="22"/>
        </w:rPr>
        <w:t xml:space="preserve">The notify server never retains claim codes after delivery; even a full server compromise reveals no claim secrets</w:t>
      </w:r>
    </w:p>
    <w:p>
      <w:pPr>
        <w:pStyle w:val="ListParagraph"/>
        <w:numPr>
          <w:ilvl w:val="0"/>
          <w:numId w:val="2"/>
        </w:numPr>
        <w:spacing w:after="60" w:before="60"/>
      </w:pPr>
      <w:r>
        <w:rPr>
          <w:rFonts w:ascii="Arial" w:cs="Arial" w:eastAsia="Arial" w:hAnsi="Arial"/>
          <w:sz w:val="22"/>
          <w:szCs w:val="22"/>
        </w:rPr>
        <w:t xml:space="preserve">Email addresses are hashed using BLAKE3 for any on-chain reference: BLAKE3(lowercase(email)). This hash is one-way and non-reversible.</w:t>
      </w:r>
    </w:p>
    <w:p>
      <w:pPr>
        <w:spacing w:after="120" w:before="80"/>
      </w:pPr>
      <w:r>
        <w:rPr>
          <w:rFonts w:ascii="Arial" w:cs="Arial" w:eastAsia="Arial" w:hAnsi="Arial"/>
          <w:sz w:val="22"/>
          <w:szCs w:val="22"/>
        </w:rPr>
        <w:t xml:space="preserve">This architecture prevents financial surveillance. A third party cannot query 'does address X have pending KX?' based on an email address, because no such mapping exists on-chain or server-side.</w:t>
      </w:r>
    </w:p>
    <w:p>
      <w:pPr>
        <w:pStyle w:val="Heading2"/>
        <w:spacing w:after="120" w:before="280"/>
      </w:pPr>
      <w:r>
        <w:rPr>
          <w:rFonts w:ascii="Arial" w:cs="Arial" w:eastAsia="Arial" w:hAnsi="Arial"/>
          <w:b/>
          <w:bCs/>
          <w:color w:val="2C2C54"/>
          <w:sz w:val="28"/>
          <w:szCs w:val="28"/>
        </w:rPr>
        <w:t xml:space="preserve">6.4 72-Hour Automatic Revert</w:t>
      </w:r>
    </w:p>
    <w:p>
      <w:pPr>
        <w:spacing w:after="120" w:before="80"/>
      </w:pPr>
      <w:r>
        <w:rPr>
          <w:rFonts w:ascii="Arial" w:cs="Arial" w:eastAsia="Arial" w:hAnsi="Arial"/>
          <w:sz w:val="22"/>
          <w:szCs w:val="22"/>
        </w:rPr>
        <w:t xml:space="preserve">All email-based transfers carry a 72-hour claim window. If the recipient does not claim within this window, the protocol automatically reverts the KX to the sender's wallet. This prevents KX from being permanently locked in unclaimed transfers.</w:t>
      </w:r>
    </w:p>
    <w:p>
      <w:pPr>
        <w:spacing w:after="120" w:before="80"/>
      </w:pPr>
      <w:r>
        <w:rPr>
          <w:rFonts w:ascii="Arial" w:cs="Arial" w:eastAsia="Arial" w:hAnsi="Arial"/>
          <w:sz w:val="22"/>
          <w:szCs w:val="22"/>
        </w:rPr>
        <w:t xml:space="preserve">The revert mechanism runs as a background sweep on all nodes every 5 minutes. Senders can also manually trigger a reclaim via the wallet if they do not wish to wait for the automatic sweep.</w:t>
      </w:r>
    </w:p>
    <w:p>
      <w:pPr>
        <w:pStyle w:val="Heading2"/>
        <w:spacing w:after="120" w:before="280"/>
      </w:pPr>
      <w:r>
        <w:rPr>
          <w:rFonts w:ascii="Arial" w:cs="Arial" w:eastAsia="Arial" w:hAnsi="Arial"/>
          <w:b/>
          <w:bCs/>
          <w:color w:val="2C2C54"/>
          <w:sz w:val="28"/>
          <w:szCs w:val="28"/>
        </w:rPr>
        <w:t xml:space="preserve">6.5 New User Account Creation</w:t>
      </w:r>
    </w:p>
    <w:p>
      <w:pPr>
        <w:spacing w:after="120" w:before="80"/>
      </w:pPr>
      <w:r>
        <w:rPr>
          <w:rFonts w:ascii="Arial" w:cs="Arial" w:eastAsia="Arial" w:hAnsi="Arial"/>
          <w:sz w:val="22"/>
          <w:szCs w:val="22"/>
        </w:rPr>
        <w:t xml:space="preserve">When a new user claims KX for the first time, their wallet address does not yet exist on the DAG. The protocol automatically creates the recipient account when processing a TimeLockClaimWithSecret transaction, provided the sender_public_key correctly derives to the transaction sender address. This enables frictionless onboarding: recipients can claim KX before their address appears anywhere on the chain.</w:t>
      </w:r>
    </w:p>
    <w:p>
      <w:r>
        <w:br w:type="page"/>
      </w:r>
    </w:p>
    <w:p>
      <w:pPr>
        <w:pStyle w:val="Heading1"/>
        <w:spacing w:after="180" w:before="360"/>
      </w:pPr>
      <w:r>
        <w:rPr>
          <w:rFonts w:ascii="Arial" w:cs="Arial" w:eastAsia="Arial" w:hAnsi="Arial"/>
          <w:b/>
          <w:bCs/>
          <w:color w:val="B8860B"/>
          <w:sz w:val="36"/>
          <w:szCs w:val="36"/>
        </w:rPr>
        <w:t xml:space="preserve">7. Cascade Send Protocol</w:t>
      </w:r>
    </w:p>
    <w:p>
      <w:pPr>
        <w:pStyle w:val="Heading2"/>
        <w:spacing w:after="120" w:before="280"/>
      </w:pPr>
      <w:r>
        <w:rPr>
          <w:rFonts w:ascii="Arial" w:cs="Arial" w:eastAsia="Arial" w:hAnsi="Arial"/>
          <w:b/>
          <w:bCs/>
          <w:color w:val="2C2C54"/>
          <w:sz w:val="28"/>
          <w:szCs w:val="28"/>
        </w:rPr>
        <w:t xml:space="preserve">7.1 Overview</w:t>
      </w:r>
    </w:p>
    <w:p>
      <w:pPr>
        <w:spacing w:after="120" w:before="80"/>
      </w:pPr>
      <w:r>
        <w:rPr>
          <w:rFonts w:ascii="Arial" w:cs="Arial" w:eastAsia="Arial" w:hAnsi="Arial"/>
          <w:sz w:val="22"/>
          <w:szCs w:val="22"/>
        </w:rPr>
        <w:t xml:space="preserve">Cascade Send enables a sender to create a series of time-locked transfers under a single shared claim code. The recipient claims once and receives all stages of the cascade as they mature over time. This creates structured value-release profiles without requiring the recipient to take any further action after the initial claim.</w:t>
      </w:r>
    </w:p>
    <w:p>
      <w:pPr>
        <w:pStyle w:val="Heading2"/>
        <w:spacing w:after="120" w:before="280"/>
      </w:pPr>
      <w:r>
        <w:rPr>
          <w:rFonts w:ascii="Arial" w:cs="Arial" w:eastAsia="Arial" w:hAnsi="Arial"/>
          <w:b/>
          <w:bCs/>
          <w:color w:val="2C2C54"/>
          <w:sz w:val="28"/>
          <w:szCs w:val="28"/>
        </w:rPr>
        <w:t xml:space="preserve">7.2 Use Cases</w:t>
      </w:r>
    </w:p>
    <w:p>
      <w:pPr>
        <w:pStyle w:val="ListParagraph"/>
        <w:numPr>
          <w:ilvl w:val="0"/>
          <w:numId w:val="2"/>
        </w:numPr>
        <w:spacing w:after="60" w:before="60"/>
      </w:pPr>
      <w:r>
        <w:rPr>
          <w:rFonts w:ascii="Arial" w:cs="Arial" w:eastAsia="Arial" w:hAnsi="Arial"/>
          <w:sz w:val="22"/>
          <w:szCs w:val="22"/>
        </w:rPr>
        <w:t xml:space="preserve">Onboarding rewards: immediate 100 KX, then staged releases over 60 days</w:t>
      </w:r>
    </w:p>
    <w:p>
      <w:pPr>
        <w:pStyle w:val="ListParagraph"/>
        <w:numPr>
          <w:ilvl w:val="0"/>
          <w:numId w:val="2"/>
        </w:numPr>
        <w:spacing w:after="60" w:before="60"/>
      </w:pPr>
      <w:r>
        <w:rPr>
          <w:rFonts w:ascii="Arial" w:cs="Arial" w:eastAsia="Arial" w:hAnsi="Arial"/>
          <w:sz w:val="22"/>
          <w:szCs w:val="22"/>
        </w:rPr>
        <w:t xml:space="preserve">Employee vesting: monthly KX releases over a multi-year schedule</w:t>
      </w:r>
    </w:p>
    <w:p>
      <w:pPr>
        <w:pStyle w:val="ListParagraph"/>
        <w:numPr>
          <w:ilvl w:val="0"/>
          <w:numId w:val="2"/>
        </w:numPr>
        <w:spacing w:after="60" w:before="60"/>
      </w:pPr>
      <w:r>
        <w:rPr>
          <w:rFonts w:ascii="Arial" w:cs="Arial" w:eastAsia="Arial" w:hAnsi="Arial"/>
          <w:sz w:val="22"/>
          <w:szCs w:val="22"/>
        </w:rPr>
        <w:t xml:space="preserve">Gifting: structured gift that reveals itself over time</w:t>
      </w:r>
    </w:p>
    <w:p>
      <w:pPr>
        <w:pStyle w:val="ListParagraph"/>
        <w:numPr>
          <w:ilvl w:val="0"/>
          <w:numId w:val="2"/>
        </w:numPr>
        <w:spacing w:after="60" w:before="60"/>
      </w:pPr>
      <w:r>
        <w:rPr>
          <w:rFonts w:ascii="Arial" w:cs="Arial" w:eastAsia="Arial" w:hAnsi="Arial"/>
          <w:sz w:val="22"/>
          <w:szCs w:val="22"/>
        </w:rPr>
        <w:t xml:space="preserve">Payroll: weekly or monthly payment schedules under one authorization</w:t>
      </w:r>
    </w:p>
    <w:p>
      <w:pPr>
        <w:pStyle w:val="ListParagraph"/>
        <w:numPr>
          <w:ilvl w:val="0"/>
          <w:numId w:val="2"/>
        </w:numPr>
        <w:spacing w:after="60" w:before="60"/>
      </w:pPr>
      <w:r>
        <w:rPr>
          <w:rFonts w:ascii="Arial" w:cs="Arial" w:eastAsia="Arial" w:hAnsi="Arial"/>
          <w:sz w:val="22"/>
          <w:szCs w:val="22"/>
        </w:rPr>
        <w:t xml:space="preserve">Inheritance: long-dated staged releases to beneficiaries</w:t>
      </w:r>
    </w:p>
    <w:p>
      <w:pPr>
        <w:pStyle w:val="Heading2"/>
        <w:spacing w:after="120" w:before="280"/>
      </w:pPr>
      <w:r>
        <w:rPr>
          <w:rFonts w:ascii="Arial" w:cs="Arial" w:eastAsia="Arial" w:hAnsi="Arial"/>
          <w:b/>
          <w:bCs/>
          <w:color w:val="2C2C54"/>
          <w:sz w:val="28"/>
          <w:szCs w:val="28"/>
        </w:rPr>
        <w:t xml:space="preserve">7.3 Technical Implementation</w:t>
      </w:r>
    </w:p>
    <w:p>
      <w:pPr>
        <w:spacing w:after="120" w:before="80"/>
      </w:pPr>
      <w:r>
        <w:rPr>
          <w:rFonts w:ascii="Arial" w:cs="Arial" w:eastAsia="Arial" w:hAnsi="Arial"/>
          <w:sz w:val="22"/>
          <w:szCs w:val="22"/>
        </w:rPr>
        <w:t xml:space="preserve">A Cascade transaction contains multiple TimeLockCreate actions, each with a different unlock timestamp but sharing the same claim_secret_hash. When the recipient submits a TimeLockClaimWithSecret transaction, the node batch-claims all matured locks sharing that hash in a single atomic operation.</w:t>
      </w:r>
    </w:p>
    <w:p>
      <w:pPr>
        <w:spacing w:after="120" w:before="80"/>
      </w:pPr>
      <w:r>
        <w:rPr>
          <w:rFonts w:ascii="Arial" w:cs="Arial" w:eastAsia="Arial" w:hAnsi="Arial"/>
          <w:sz w:val="22"/>
          <w:szCs w:val="22"/>
        </w:rPr>
        <w:t xml:space="preserve">Lock ID uniqueness in multi-action transactions is ensured by BLAKE3 derivation: action at index 0 uses the transaction ID directly; actions at index N &gt; 0 use BLAKE3(tx_id || N). This prevents lock ID collisions within a single cascade transaction.</w:t>
      </w:r>
    </w:p>
    <w:p>
      <w:pPr>
        <w:pStyle w:val="Heading2"/>
        <w:spacing w:after="120" w:before="280"/>
      </w:pPr>
      <w:r>
        <w:rPr>
          <w:rFonts w:ascii="Arial" w:cs="Arial" w:eastAsia="Arial" w:hAnsi="Arial"/>
          <w:b/>
          <w:bCs/>
          <w:color w:val="2C2C54"/>
          <w:sz w:val="28"/>
          <w:szCs w:val="28"/>
        </w:rPr>
        <w:t xml:space="preserve">7.4 Standard Friend Cascade</w:t>
      </w:r>
    </w:p>
    <w:p>
      <w:pPr>
        <w:spacing w:after="120" w:before="80"/>
      </w:pPr>
      <w:r>
        <w:rPr>
          <w:rFonts w:ascii="Arial" w:cs="Arial" w:eastAsia="Arial" w:hAnsi="Arial"/>
          <w:sz w:val="22"/>
          <w:szCs w:val="22"/>
        </w:rPr>
        <w:t xml:space="preserve">The default cascade template for new user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Unlocks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KX</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Immediately</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250 KX</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7 days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350 KX</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14 days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KX</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21 days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KX</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KX</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60 days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 KX</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pStyle w:val="Heading2"/>
        <w:spacing w:after="120" w:before="280"/>
      </w:pPr>
      <w:r>
        <w:rPr>
          <w:rFonts w:ascii="Arial" w:cs="Arial" w:eastAsia="Arial" w:hAnsi="Arial"/>
          <w:b/>
          <w:bCs/>
          <w:color w:val="2C2C54"/>
          <w:sz w:val="28"/>
          <w:szCs w:val="28"/>
        </w:rPr>
        <w:t xml:space="preserve">7.5 Cascade Integrity</w:t>
      </w:r>
    </w:p>
    <w:p>
      <w:pPr>
        <w:spacing w:after="120" w:before="80"/>
      </w:pPr>
      <w:r>
        <w:rPr>
          <w:rFonts w:ascii="Arial" w:cs="Arial" w:eastAsia="Arial" w:hAnsi="Arial"/>
          <w:sz w:val="22"/>
          <w:szCs w:val="22"/>
        </w:rPr>
        <w:t xml:space="preserve">Once any stage of a cascade has been claimed, the entire series is protected. The sender loses the ability to cancel remaining stages. The wallet UI indicates this state as 'Promised' to communicate that the commitment is now irrevocable. This provides a strong trust guarantee to recipients: if they claim stage 1, they are guaranteed to receive all future stages as they mature.</w:t>
      </w:r>
    </w:p>
    <w:p>
      <w:r>
        <w:br w:type="page"/>
      </w:r>
    </w:p>
    <w:p>
      <w:pPr>
        <w:pStyle w:val="Heading1"/>
        <w:spacing w:after="180" w:before="360"/>
      </w:pPr>
      <w:r>
        <w:rPr>
          <w:rFonts w:ascii="Arial" w:cs="Arial" w:eastAsia="Arial" w:hAnsi="Arial"/>
          <w:b/>
          <w:bCs/>
          <w:color w:val="B8860B"/>
          <w:sz w:val="36"/>
          <w:szCs w:val="36"/>
        </w:rPr>
        <w:t xml:space="preserve">8. Transaction Validation &amp; DAG Integrity</w:t>
      </w:r>
    </w:p>
    <w:p>
      <w:pPr>
        <w:pStyle w:val="Heading2"/>
        <w:spacing w:after="120" w:before="280"/>
      </w:pPr>
      <w:r>
        <w:rPr>
          <w:rFonts w:ascii="Arial" w:cs="Arial" w:eastAsia="Arial" w:hAnsi="Arial"/>
          <w:b/>
          <w:bCs/>
          <w:color w:val="2C2C54"/>
          <w:sz w:val="28"/>
          <w:szCs w:val="28"/>
        </w:rPr>
        <w:t xml:space="preserve">8.1 Overview</w:t>
      </w:r>
    </w:p>
    <w:p>
      <w:pPr>
        <w:spacing w:after="120" w:before="80"/>
      </w:pPr>
      <w:r>
        <w:rPr>
          <w:rFonts w:ascii="Arial" w:cs="Arial" w:eastAsia="Arial" w:hAnsi="Arial"/>
          <w:sz w:val="22"/>
          <w:szCs w:val="22"/>
        </w:rPr>
        <w:t xml:space="preserve">The ChronX node enforces a comprehensive set of validation rules at both the engine and network layers. These rules protect the DAG from spam, malicious data injection, and denial-of-service attacks. Client-side validation in the wallet UI is supplementary only; all security-critical validation occurs server-side on the node.</w:t>
      </w:r>
    </w:p>
    <w:p>
      <w:pPr>
        <w:pStyle w:val="Heading2"/>
        <w:spacing w:after="120" w:before="280"/>
      </w:pPr>
      <w:r>
        <w:rPr>
          <w:rFonts w:ascii="Arial" w:cs="Arial" w:eastAsia="Arial" w:hAnsi="Arial"/>
          <w:b/>
          <w:bCs/>
          <w:color w:val="2C2C54"/>
          <w:sz w:val="28"/>
          <w:szCs w:val="28"/>
        </w:rPr>
        <w:t xml:space="preserve">8.2 Engine-Level Validation</w:t>
      </w:r>
    </w:p>
    <w:p>
      <w:pPr>
        <w:spacing w:after="120" w:before="80"/>
      </w:pPr>
      <w:r>
        <w:rPr>
          <w:rFonts w:ascii="Arial" w:cs="Arial" w:eastAsia="Arial" w:hAnsi="Arial"/>
          <w:sz w:val="22"/>
          <w:szCs w:val="22"/>
        </w:rPr>
        <w:t xml:space="preserve">The following rules are enforced by the node state engine for every submitted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Error</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 size limit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256 bytes per memo field</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MemoTooLong</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 character validation</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 characters (0x00-0x1F) rejected, except tab (0x09) and newline (0x0A)</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MemoInvalidChars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Zero-value rejection</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amount must be greater than zero Chronos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ZeroAmount</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Self-send rejection</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 and recipient address must differ</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SelfTransfer</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Insufficient balance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 balance must cover the transfer amount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InsufficientBalance</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Maturity check</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Claims rejected if lock has not yet reached its unlock timestamp</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LockNotMatured</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check</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Claims rejected if lock is not in Pending status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LockAlreadyClaimed</w:t>
            </w:r>
          </w:p>
        </w:tc>
      </w:tr>
    </w:tbl>
    <w:p>
      <w:pPr>
        <w:pStyle w:val="Heading2"/>
        <w:spacing w:after="120" w:before="280"/>
      </w:pPr>
      <w:r>
        <w:rPr>
          <w:rFonts w:ascii="Arial" w:cs="Arial" w:eastAsia="Arial" w:hAnsi="Arial"/>
          <w:b/>
          <w:bCs/>
          <w:color w:val="2C2C54"/>
          <w:sz w:val="28"/>
          <w:szCs w:val="28"/>
        </w:rPr>
        <w:t xml:space="preserve">8.3 Why Server-Side Validation Matters</w:t>
      </w:r>
    </w:p>
    <w:p>
      <w:pPr>
        <w:spacing w:after="120" w:before="80"/>
      </w:pPr>
      <w:r>
        <w:rPr>
          <w:rFonts w:ascii="Arial" w:cs="Arial" w:eastAsia="Arial" w:hAnsi="Arial"/>
          <w:sz w:val="22"/>
          <w:szCs w:val="22"/>
        </w:rPr>
        <w:t xml:space="preserve">Client-side validation in the wallet UI is trivially bypassed. An attacker can construct raw JSON-RPC calls and submit them directly to the node endpoint, completely bypassing the wallet application. All security-critical validation must therefore occur at the node level, regardless of what the wallet enforces.</w:t>
      </w:r>
    </w:p>
    <w:p>
      <w:pPr>
        <w:spacing w:after="120" w:before="80"/>
      </w:pPr>
      <w:r>
        <w:rPr>
          <w:rFonts w:ascii="Arial" w:cs="Arial" w:eastAsia="Arial" w:hAnsi="Arial"/>
          <w:sz w:val="22"/>
          <w:szCs w:val="22"/>
        </w:rPr>
        <w:t xml:space="preserve">For example: the wallet enforces a 256-byte memo limit in its UI. Without server-side enforcement, an attacker submitting a raw RPC call with a 10MB memo would succeed, permanently storing 10MB in the DAG across all nodes. Server-side validation closes this vector entirely.</w:t>
      </w:r>
    </w:p>
    <w:p>
      <w:pPr>
        <w:pStyle w:val="Heading2"/>
        <w:spacing w:after="120" w:before="280"/>
      </w:pPr>
      <w:r>
        <w:rPr>
          <w:rFonts w:ascii="Arial" w:cs="Arial" w:eastAsia="Arial" w:hAnsi="Arial"/>
          <w:b/>
          <w:bCs/>
          <w:color w:val="2C2C54"/>
          <w:sz w:val="28"/>
          <w:szCs w:val="28"/>
        </w:rPr>
        <w:t xml:space="preserve">8.4 Rate Limiting</w:t>
      </w:r>
    </w:p>
    <w:p>
      <w:pPr>
        <w:spacing w:after="120" w:before="80"/>
      </w:pPr>
      <w:r>
        <w:rPr>
          <w:rFonts w:ascii="Arial" w:cs="Arial" w:eastAsia="Arial" w:hAnsi="Arial"/>
          <w:sz w:val="22"/>
          <w:szCs w:val="22"/>
        </w:rPr>
        <w:t xml:space="preserve">ChronX implements rate limiting at two independent layers:</w:t>
      </w:r>
    </w:p>
    <w:p>
      <w:pPr>
        <w:pStyle w:val="ListParagraph"/>
        <w:numPr>
          <w:ilvl w:val="0"/>
          <w:numId w:val="2"/>
        </w:numPr>
        <w:spacing w:after="60" w:before="60"/>
      </w:pPr>
      <w:r>
        <w:rPr>
          <w:rFonts w:ascii="Arial" w:cs="Arial" w:eastAsia="Arial" w:hAnsi="Arial"/>
          <w:sz w:val="22"/>
          <w:szCs w:val="22"/>
        </w:rPr>
        <w:t xml:space="preserve">Per-wallet rate limit: Maximum 10 transactions per wallet address per 60-second window. Enforced in-memory by the RPC server. Returns JSON-RPC error -32603 with a retry-after countdown.</w:t>
      </w:r>
    </w:p>
    <w:p>
      <w:pPr>
        <w:pStyle w:val="ListParagraph"/>
        <w:numPr>
          <w:ilvl w:val="0"/>
          <w:numId w:val="2"/>
        </w:numPr>
        <w:spacing w:after="60" w:before="60"/>
      </w:pPr>
      <w:r>
        <w:rPr>
          <w:rFonts w:ascii="Arial" w:cs="Arial" w:eastAsia="Arial" w:hAnsi="Arial"/>
          <w:sz w:val="22"/>
          <w:szCs w:val="22"/>
        </w:rPr>
        <w:t xml:space="preserve">Per-IP rate limit: Maximum 30 RPC requests per IP address per minute, enforced at the nginx proxy layer before requests reach the node. Returns HTTP 429.</w:t>
      </w:r>
    </w:p>
    <w:p>
      <w:pPr>
        <w:spacing w:after="120" w:before="80"/>
      </w:pPr>
      <w:r>
        <w:rPr>
          <w:rFonts w:ascii="Arial" w:cs="Arial" w:eastAsia="Arial" w:hAnsi="Arial"/>
          <w:sz w:val="22"/>
          <w:szCs w:val="22"/>
        </w:rPr>
        <w:t xml:space="preserve">These limits are calibrated to be invisible to legitimate users (who rarely submit more than 1-2 transactions per minute) while making scripted spam attacks economically infeasible.</w:t>
      </w:r>
    </w:p>
    <w:p>
      <w:pPr>
        <w:pStyle w:val="Heading2"/>
        <w:spacing w:after="120" w:before="280"/>
      </w:pPr>
      <w:r>
        <w:rPr>
          <w:rFonts w:ascii="Arial" w:cs="Arial" w:eastAsia="Arial" w:hAnsi="Arial"/>
          <w:b/>
          <w:bCs/>
          <w:color w:val="2C2C54"/>
          <w:sz w:val="28"/>
          <w:szCs w:val="28"/>
        </w:rPr>
        <w:t xml:space="preserve">8.5 Network Edge Hardening</w:t>
      </w:r>
    </w:p>
    <w:p>
      <w:pPr>
        <w:spacing w:after="120" w:before="80"/>
      </w:pPr>
      <w:r>
        <w:rPr>
          <w:rFonts w:ascii="Arial" w:cs="Arial" w:eastAsia="Arial" w:hAnsi="Arial"/>
          <w:sz w:val="22"/>
          <w:szCs w:val="22"/>
        </w:rPr>
        <w:t xml:space="preserve">The public RPC endpoint enforces an additional layer of protection at the nginx proxy:</w:t>
      </w:r>
    </w:p>
    <w:p>
      <w:pPr>
        <w:pStyle w:val="ListParagraph"/>
        <w:numPr>
          <w:ilvl w:val="0"/>
          <w:numId w:val="2"/>
        </w:numPr>
        <w:spacing w:after="60" w:before="60"/>
      </w:pPr>
      <w:r>
        <w:rPr>
          <w:rFonts w:ascii="Arial" w:cs="Arial" w:eastAsia="Arial" w:hAnsi="Arial"/>
          <w:sz w:val="22"/>
          <w:szCs w:val="22"/>
        </w:rPr>
        <w:t xml:space="preserve">Request size limit: 10KB maximum per RPC request. Legitimate transactions are always well under 5KB. Oversized requests are rejected before reaching the node.</w:t>
      </w:r>
    </w:p>
    <w:p>
      <w:pPr>
        <w:pStyle w:val="ListParagraph"/>
        <w:numPr>
          <w:ilvl w:val="0"/>
          <w:numId w:val="2"/>
        </w:numPr>
        <w:spacing w:after="60" w:before="60"/>
      </w:pPr>
      <w:r>
        <w:rPr>
          <w:rFonts w:ascii="Arial" w:cs="Arial" w:eastAsia="Arial" w:hAnsi="Arial"/>
          <w:sz w:val="22"/>
          <w:szCs w:val="22"/>
        </w:rPr>
        <w:t xml:space="preserve">IP-level rate limiting via nginx limit_req_zone with burst allowance for brief spikes</w:t>
      </w:r>
    </w:p>
    <w:p>
      <w:pPr>
        <w:pStyle w:val="ListParagraph"/>
        <w:numPr>
          <w:ilvl w:val="0"/>
          <w:numId w:val="2"/>
        </w:numPr>
        <w:spacing w:after="60" w:before="60"/>
      </w:pPr>
      <w:r>
        <w:rPr>
          <w:rFonts w:ascii="Arial" w:cs="Arial" w:eastAsia="Arial" w:hAnsi="Arial"/>
          <w:sz w:val="22"/>
          <w:szCs w:val="22"/>
        </w:rPr>
        <w:t xml:space="preserve">CORS headers set once at the nginx layer; the node does not add duplicate headers</w:t>
      </w:r>
    </w:p>
    <w:p>
      <w:pPr>
        <w:pStyle w:val="Heading2"/>
        <w:spacing w:after="120" w:before="280"/>
      </w:pPr>
      <w:r>
        <w:rPr>
          <w:rFonts w:ascii="Arial" w:cs="Arial" w:eastAsia="Arial" w:hAnsi="Arial"/>
          <w:b/>
          <w:bCs/>
          <w:color w:val="2C2C54"/>
          <w:sz w:val="28"/>
          <w:szCs w:val="28"/>
        </w:rPr>
        <w:t xml:space="preserve">8.6 DAG Integrity Guarantees</w:t>
      </w:r>
    </w:p>
    <w:p>
      <w:pPr>
        <w:spacing w:after="120" w:before="80"/>
      </w:pPr>
      <w:r>
        <w:rPr>
          <w:rFonts w:ascii="Arial" w:cs="Arial" w:eastAsia="Arial" w:hAnsi="Arial"/>
          <w:sz w:val="22"/>
          <w:szCs w:val="22"/>
        </w:rPr>
        <w:t xml:space="preserve">The combination of engine-level validation, rate limiting, and network edge hardening provides the following guarantees:</w:t>
      </w:r>
    </w:p>
    <w:p>
      <w:pPr>
        <w:pStyle w:val="ListParagraph"/>
        <w:numPr>
          <w:ilvl w:val="0"/>
          <w:numId w:val="2"/>
        </w:numPr>
        <w:spacing w:after="60" w:before="60"/>
      </w:pPr>
      <w:r>
        <w:rPr>
          <w:rFonts w:ascii="Arial" w:cs="Arial" w:eastAsia="Arial" w:hAnsi="Arial"/>
          <w:sz w:val="22"/>
          <w:szCs w:val="22"/>
        </w:rPr>
        <w:t xml:space="preserve">No transaction with invalid memo characters, zero value, or self-send can enter the DAG</w:t>
      </w:r>
    </w:p>
    <w:p>
      <w:pPr>
        <w:pStyle w:val="ListParagraph"/>
        <w:numPr>
          <w:ilvl w:val="0"/>
          <w:numId w:val="2"/>
        </w:numPr>
        <w:spacing w:after="60" w:before="60"/>
      </w:pPr>
      <w:r>
        <w:rPr>
          <w:rFonts w:ascii="Arial" w:cs="Arial" w:eastAsia="Arial" w:hAnsi="Arial"/>
          <w:sz w:val="22"/>
          <w:szCs w:val="22"/>
        </w:rPr>
        <w:t xml:space="preserve">No single wallet can flood the DAG with more than 10 transactions per minute</w:t>
      </w:r>
    </w:p>
    <w:p>
      <w:pPr>
        <w:pStyle w:val="ListParagraph"/>
        <w:numPr>
          <w:ilvl w:val="0"/>
          <w:numId w:val="2"/>
        </w:numPr>
        <w:spacing w:after="60" w:before="60"/>
      </w:pPr>
      <w:r>
        <w:rPr>
          <w:rFonts w:ascii="Arial" w:cs="Arial" w:eastAsia="Arial" w:hAnsi="Arial"/>
          <w:sz w:val="22"/>
          <w:szCs w:val="22"/>
        </w:rPr>
        <w:t xml:space="preserve">No single IP can submit more than 30 requests per minute to the RPC endpoint</w:t>
      </w:r>
    </w:p>
    <w:p>
      <w:pPr>
        <w:pStyle w:val="ListParagraph"/>
        <w:numPr>
          <w:ilvl w:val="0"/>
          <w:numId w:val="2"/>
        </w:numPr>
        <w:spacing w:after="60" w:before="60"/>
      </w:pPr>
      <w:r>
        <w:rPr>
          <w:rFonts w:ascii="Arial" w:cs="Arial" w:eastAsia="Arial" w:hAnsi="Arial"/>
          <w:sz w:val="22"/>
          <w:szCs w:val="22"/>
        </w:rPr>
        <w:t xml:space="preserve">No RPC request larger than 10KB will reach the node</w:t>
      </w:r>
    </w:p>
    <w:p>
      <w:pPr>
        <w:pStyle w:val="ListParagraph"/>
        <w:numPr>
          <w:ilvl w:val="0"/>
          <w:numId w:val="2"/>
        </w:numPr>
        <w:spacing w:after="60" w:before="60"/>
      </w:pPr>
      <w:r>
        <w:rPr>
          <w:rFonts w:ascii="Arial" w:cs="Arial" w:eastAsia="Arial" w:hAnsi="Arial"/>
          <w:sz w:val="22"/>
          <w:szCs w:val="22"/>
        </w:rPr>
        <w:t xml:space="preserve">All time-lock claims are validated for maturity and status before any balance transfer occurs</w:t>
      </w:r>
    </w:p>
    <w:p>
      <w:r>
        <w:br w:type="page"/>
      </w:r>
    </w:p>
    <w:p>
      <w:pPr>
        <w:pStyle w:val="Heading1"/>
        <w:spacing w:after="180" w:before="360"/>
      </w:pPr>
      <w:r>
        <w:rPr>
          <w:rFonts w:ascii="Arial" w:cs="Arial" w:eastAsia="Arial" w:hAnsi="Arial"/>
          <w:b/>
          <w:bCs/>
          <w:color w:val="B8860B"/>
          <w:sz w:val="36"/>
          <w:szCs w:val="36"/>
        </w:rPr>
        <w:t xml:space="preserve">9. Tokenomics</w:t>
      </w:r>
    </w:p>
    <w:p>
      <w:pPr>
        <w:pStyle w:val="Heading2"/>
        <w:spacing w:after="120" w:before="280"/>
      </w:pPr>
      <w:r>
        <w:rPr>
          <w:rFonts w:ascii="Arial" w:cs="Arial" w:eastAsia="Arial" w:hAnsi="Arial"/>
          <w:b/>
          <w:bCs/>
          <w:color w:val="2C2C54"/>
          <w:sz w:val="28"/>
          <w:szCs w:val="28"/>
        </w:rPr>
        <w:t xml:space="preserve">9.1 Supply Philosophy</w:t>
      </w:r>
    </w:p>
    <w:p>
      <w:pPr>
        <w:spacing w:after="120" w:before="80"/>
      </w:pPr>
      <w:r>
        <w:rPr>
          <w:rFonts w:ascii="Arial" w:cs="Arial" w:eastAsia="Arial" w:hAnsi="Arial"/>
          <w:sz w:val="22"/>
          <w:szCs w:val="22"/>
        </w:rPr>
        <w:t xml:space="preserve">The total supply of 8,270,000,000 KX was chosen to approximately match the world human population at genesis (January 1, 2026). The supply is fixed forever at the protocol level. No inflation, no minting, no burning mechanism exists. This makes KX a deflationary asset by design: as KX is locked in time-lock contracts, the circulating supply decreases.</w:t>
      </w:r>
    </w:p>
    <w:p>
      <w:pPr>
        <w:pStyle w:val="Heading2"/>
        <w:spacing w:after="120" w:before="280"/>
      </w:pPr>
      <w:r>
        <w:rPr>
          <w:rFonts w:ascii="Arial" w:cs="Arial" w:eastAsia="Arial" w:hAnsi="Arial"/>
          <w:b/>
          <w:bCs/>
          <w:color w:val="2C2C54"/>
          <w:sz w:val="28"/>
          <w:szCs w:val="28"/>
        </w:rPr>
        <w:t xml:space="preserve">9.2 Genesis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34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KX Amount</w:t>
            </w:r>
          </w:p>
        </w:tc>
        <w:tc>
          <w:tcPr>
            <w:tcW w:type="dxa" w:w="234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 of Supply</w:t>
            </w:r>
          </w:p>
        </w:tc>
        <w:tc>
          <w:tcPr>
            <w:tcW w:type="dxa" w:w="234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Lock Condition</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Sale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6,268,000,000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75.79%</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Spendable at genesis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Treasury</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1,000,000,000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12.09%</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annual harmonic releases 2029-2128</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Rewards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1,000,000,000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12.09%</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annual harmonic releases 2029-2128</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Humanity Stake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0.012%</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Locked until January 1, 2126</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Milestone 2076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Locked until January 1, 2076</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 Reserve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Locked until January 1, 2036</w:t>
            </w:r>
          </w:p>
        </w:tc>
      </w:tr>
    </w:tbl>
    <w:p>
      <w:pPr>
        <w:spacing w:after="120" w:before="80"/>
      </w:pPr>
      <w:r>
        <w:rPr>
          <w:rFonts w:ascii="Arial" w:cs="Arial" w:eastAsia="Arial" w:hAnsi="Arial"/>
          <w:sz w:val="22"/>
          <w:szCs w:val="22"/>
        </w:rPr>
        <w:t xml:space="preserve">Additional allocations from Public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KX Amount</w:t>
            </w:r>
          </w:p>
        </w:tc>
        <w:tc>
          <w:tcPr>
            <w:tcW w:type="dxa" w:w="312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100,000,000</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 development and operations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Faucet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3,000,000</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KX distribution for new users</w:t>
            </w:r>
          </w:p>
        </w:tc>
      </w:tr>
    </w:tbl>
    <w:p>
      <w:pPr>
        <w:pStyle w:val="Heading2"/>
        <w:spacing w:after="120" w:before="280"/>
      </w:pPr>
      <w:r>
        <w:rPr>
          <w:rFonts w:ascii="Arial" w:cs="Arial" w:eastAsia="Arial" w:hAnsi="Arial"/>
          <w:b/>
          <w:bCs/>
          <w:color w:val="2C2C54"/>
          <w:sz w:val="28"/>
          <w:szCs w:val="28"/>
        </w:rPr>
        <w:t xml:space="preserve">9.3 Harmonic Release Schedule</w:t>
      </w:r>
    </w:p>
    <w:p>
      <w:pPr>
        <w:spacing w:after="120" w:before="80"/>
      </w:pPr>
      <w:r>
        <w:rPr>
          <w:rFonts w:ascii="Arial" w:cs="Arial" w:eastAsia="Arial" w:hAnsi="Arial"/>
          <w:sz w:val="22"/>
          <w:szCs w:val="22"/>
        </w:rPr>
        <w:t xml:space="preserve">Treasury and Node Rewards use a harmonic series release schedule. This provides the largest releases in the early years (when the network most needs liquidity and incentives) with decreasing releases in later years as the protocol matures.</w:t>
      </w:r>
    </w:p>
    <w:p>
      <w:pPr>
        <w:spacing w:after="120" w:before="80"/>
      </w:pPr>
      <w:r>
        <w:rPr>
          <w:rFonts w:ascii="Arial" w:cs="Arial" w:eastAsia="Arial" w:hAnsi="Arial"/>
          <w:sz w:val="22"/>
          <w:szCs w:val="22"/>
        </w:rPr>
        <w:t xml:space="preserve">Release formula: release_k = floor(POOL / (H_100 x k))</w:t>
      </w:r>
    </w:p>
    <w:p>
      <w:pPr>
        <w:spacing w:after="120" w:before="80"/>
      </w:pPr>
      <w:r>
        <w:rPr>
          <w:rFonts w:ascii="Arial" w:cs="Arial" w:eastAsia="Arial" w:hAnsi="Arial"/>
          <w:sz w:val="22"/>
          <w:szCs w:val="22"/>
        </w:rPr>
        <w:t xml:space="preserve">Where H_100 = 5.187377517639621 (the 100th partial harmonic sum) and k = 1 to 100 (year index from 2029 to 2128).</w:t>
      </w:r>
    </w:p>
    <w:p>
      <w:pPr>
        <w:spacing w:after="120" w:before="80"/>
      </w:pPr>
      <w:r>
        <w:rPr>
          <w:rFonts w:ascii="Arial" w:cs="Arial" w:eastAsia="Arial" w:hAnsi="Arial"/>
          <w:sz w:val="22"/>
          <w:szCs w:val="22"/>
        </w:rPr>
        <w:t xml:space="preserve">This formula produces a mathematically elegant release curve: year 1 releases the largest amount, year 100 releases the smallest, and the total sum equals exactly 1,000,000,000 KX. Any integer rounding dust is added to the year 1 release.</w:t>
      </w:r>
    </w:p>
    <w:p>
      <w:pPr>
        <w:pStyle w:val="Heading2"/>
        <w:spacing w:after="120" w:before="280"/>
      </w:pPr>
      <w:r>
        <w:rPr>
          <w:rFonts w:ascii="Arial" w:cs="Arial" w:eastAsia="Arial" w:hAnsi="Arial"/>
          <w:b/>
          <w:bCs/>
          <w:color w:val="2C2C54"/>
          <w:sz w:val="28"/>
          <w:szCs w:val="28"/>
        </w:rPr>
        <w:t xml:space="preserve">9.4 Deflationary Mechanism</w:t>
      </w:r>
    </w:p>
    <w:p>
      <w:pPr>
        <w:spacing w:after="120" w:before="80"/>
      </w:pPr>
      <w:r>
        <w:rPr>
          <w:rFonts w:ascii="Arial" w:cs="Arial" w:eastAsia="Arial" w:hAnsi="Arial"/>
          <w:sz w:val="22"/>
          <w:szCs w:val="22"/>
        </w:rPr>
        <w:t xml:space="preserve">Every KX locked in a time-lock contract reduces the circulating supply until the lock matures and is claimed. At genesis, over 2 billion KX were immediately locked in long-dated contracts (Treasury, Node Rewards, Humanity Stake, Milestone 2076, Protocol Reserve). As user adoption grows and more KX is locked in user-created promises, circulating supply decreases further. This scarcity effect is a natural consequence of the protocol's core function.</w:t>
      </w:r>
    </w:p>
    <w:p>
      <w:r>
        <w:br w:type="page"/>
      </w:r>
    </w:p>
    <w:p>
      <w:pPr>
        <w:pStyle w:val="Heading1"/>
        <w:spacing w:after="180" w:before="360"/>
      </w:pPr>
      <w:r>
        <w:rPr>
          <w:rFonts w:ascii="Arial" w:cs="Arial" w:eastAsia="Arial" w:hAnsi="Arial"/>
          <w:b/>
          <w:bCs/>
          <w:color w:val="B8860B"/>
          <w:sz w:val="36"/>
          <w:szCs w:val="36"/>
        </w:rPr>
        <w:t xml:space="preserve">10. ICO &amp; Pre-ICO Structure</w:t>
      </w:r>
    </w:p>
    <w:p>
      <w:pPr>
        <w:pStyle w:val="Heading2"/>
        <w:spacing w:after="120" w:before="280"/>
      </w:pPr>
      <w:r>
        <w:rPr>
          <w:rFonts w:ascii="Arial" w:cs="Arial" w:eastAsia="Arial" w:hAnsi="Arial"/>
          <w:b/>
          <w:bCs/>
          <w:color w:val="2C2C54"/>
          <w:sz w:val="28"/>
          <w:szCs w:val="28"/>
        </w:rPr>
        <w:t xml:space="preserve">10.1 Pre-ICO (Live Now)</w:t>
      </w:r>
    </w:p>
    <w:p>
      <w:pPr>
        <w:spacing w:after="120" w:before="80"/>
      </w:pPr>
      <w:r>
        <w:rPr>
          <w:rFonts w:ascii="Arial" w:cs="Arial" w:eastAsia="Arial" w:hAnsi="Arial"/>
          <w:sz w:val="22"/>
          <w:szCs w:val="22"/>
        </w:rPr>
        <w:t xml:space="preserve">The Pre-ICO is currently live. Early participants can purchase KX at the lowest available price before the official ICO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Price per KX</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Now through June 22, 2026</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$0.00040</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22 through September 22, 2026</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$0.00050</w:t>
            </w:r>
          </w:p>
        </w:tc>
      </w:tr>
    </w:tbl>
    <w:p>
      <w:pPr>
        <w:pStyle w:val="Heading2"/>
        <w:spacing w:after="120" w:before="280"/>
      </w:pPr>
      <w:r>
        <w:rPr>
          <w:rFonts w:ascii="Arial" w:cs="Arial" w:eastAsia="Arial" w:hAnsi="Arial"/>
          <w:b/>
          <w:bCs/>
          <w:color w:val="2C2C54"/>
          <w:sz w:val="28"/>
          <w:szCs w:val="28"/>
        </w:rPr>
        <w:t xml:space="preserve">10.2 Official ICO</w:t>
      </w:r>
    </w:p>
    <w:p>
      <w:pPr>
        <w:spacing w:after="120" w:before="80"/>
      </w:pPr>
      <w:r>
        <w:rPr>
          <w:rFonts w:ascii="Arial" w:cs="Arial" w:eastAsia="Arial" w:hAnsi="Arial"/>
          <w:sz w:val="22"/>
          <w:szCs w:val="22"/>
        </w:rPr>
        <w:t xml:space="preserve">The ChronX ICO launches on September 22, 2026, the Autumnal Equinox. This date was chosen deliberately: the equinox represents balance and the beginning of a new cycle, appropriate for a protocol built around the dimension of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72"/>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72"/>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Lock Period</w:t>
            </w:r>
          </w:p>
        </w:tc>
        <w:tc>
          <w:tcPr>
            <w:tcW w:type="dxa" w:w="1872"/>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Discount</w:t>
            </w:r>
          </w:p>
        </w:tc>
        <w:tc>
          <w:tcPr>
            <w:tcW w:type="dxa" w:w="1872"/>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Unlock Date</w:t>
            </w:r>
          </w:p>
        </w:tc>
      </w:tr>
      <w:tr>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Spot</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$0.00055</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r>
      <w:tr>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Believer</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$0.00048</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22, 2027</w:t>
            </w:r>
          </w:p>
        </w:tc>
      </w:tr>
      <w:tr>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$0.00040</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months</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27%</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September 22, 2027</w:t>
            </w:r>
          </w:p>
        </w:tc>
      </w:tr>
      <w:tr>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Visionary</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$0.00032</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18 months</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22, 2028</w:t>
            </w:r>
          </w:p>
        </w:tc>
      </w:tr>
    </w:tbl>
    <w:p>
      <w:pPr>
        <w:pStyle w:val="Heading2"/>
        <w:spacing w:after="120" w:before="280"/>
      </w:pPr>
      <w:r>
        <w:rPr>
          <w:rFonts w:ascii="Arial" w:cs="Arial" w:eastAsia="Arial" w:hAnsi="Arial"/>
          <w:b/>
          <w:bCs/>
          <w:color w:val="2C2C54"/>
          <w:sz w:val="28"/>
          <w:szCs w:val="28"/>
        </w:rPr>
        <w:t xml:space="preserve">10.3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Currency</w:t>
            </w:r>
          </w:p>
        </w:tc>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Address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Bitcoin (BTC)</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bc1qftz4ut7vyeulz9e9k6nsuljdjjxszxhms3tmjh</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Ethereum / USDC (ERC-20)</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0xF5fD6Da90cCaeE370bE7065D5A28e1C9da4d3a54</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Solana (SOL)</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3owKW4ppK76np6um86yd45AzNtLLQVyYoD2iDAGSES7p</w:t>
            </w:r>
          </w:p>
        </w:tc>
      </w:tr>
    </w:tbl>
    <w:p>
      <w:pPr>
        <w:spacing w:after="120" w:before="80"/>
      </w:pPr>
      <w:r>
        <w:rPr>
          <w:rFonts w:ascii="Arial" w:cs="Arial" w:eastAsia="Arial" w:hAnsi="Arial"/>
          <w:sz w:val="22"/>
          <w:szCs w:val="22"/>
        </w:rPr>
        <w:t xml:space="preserve">KX is a utility token for accessing ChronX protocol services. Participation in the Pre-ICO or ICO does not represent an investment in any enterprise or entitle participants to equity, dividends, profit sharing, or any financial return. Please read the full disclaimer at chronx.io/disclaimer before participating.</w:t>
      </w:r>
    </w:p>
    <w:p>
      <w:r>
        <w:br w:type="page"/>
      </w:r>
    </w:p>
    <w:p>
      <w:pPr>
        <w:pStyle w:val="Heading1"/>
        <w:spacing w:after="180" w:before="360"/>
      </w:pPr>
      <w:r>
        <w:rPr>
          <w:rFonts w:ascii="Arial" w:cs="Arial" w:eastAsia="Arial" w:hAnsi="Arial"/>
          <w:b/>
          <w:bCs/>
          <w:color w:val="B8860B"/>
          <w:sz w:val="36"/>
          <w:szCs w:val="36"/>
        </w:rPr>
        <w:t xml:space="preserve">11. Node Infrastructure</w:t>
      </w:r>
    </w:p>
    <w:p>
      <w:pPr>
        <w:pStyle w:val="Heading2"/>
        <w:spacing w:after="120" w:before="280"/>
      </w:pPr>
      <w:r>
        <w:rPr>
          <w:rFonts w:ascii="Arial" w:cs="Arial" w:eastAsia="Arial" w:hAnsi="Arial"/>
          <w:b/>
          <w:bCs/>
          <w:color w:val="2C2C54"/>
          <w:sz w:val="28"/>
          <w:szCs w:val="28"/>
        </w:rPr>
        <w:t xml:space="preserve">11.1 Running a Node</w:t>
      </w:r>
    </w:p>
    <w:p>
      <w:pPr>
        <w:spacing w:after="120" w:before="80"/>
      </w:pPr>
      <w:r>
        <w:rPr>
          <w:rFonts w:ascii="Arial" w:cs="Arial" w:eastAsia="Arial" w:hAnsi="Arial"/>
          <w:sz w:val="22"/>
          <w:szCs w:val="22"/>
        </w:rPr>
        <w:t xml:space="preserve">ChronX nodes can be run by anyone. The node software is available for Linux (x86_64, ARM64) and Windows (x64). Node operators contribute to network security and decentralization.</w:t>
      </w:r>
    </w:p>
    <w:p>
      <w:pPr>
        <w:pStyle w:val="Heading2"/>
        <w:spacing w:after="120" w:before="280"/>
      </w:pPr>
      <w:r>
        <w:rPr>
          <w:rFonts w:ascii="Arial" w:cs="Arial" w:eastAsia="Arial" w:hAnsi="Arial"/>
          <w:b/>
          <w:bCs/>
          <w:color w:val="2C2C54"/>
          <w:sz w:val="28"/>
          <w:szCs w:val="28"/>
        </w:rPr>
        <w:t xml:space="preserve">11.2 Node Rewards</w:t>
      </w:r>
    </w:p>
    <w:p>
      <w:pPr>
        <w:spacing w:after="120" w:before="80"/>
      </w:pPr>
      <w:r>
        <w:rPr>
          <w:rFonts w:ascii="Arial" w:cs="Arial" w:eastAsia="Arial" w:hAnsi="Arial"/>
          <w:sz w:val="22"/>
          <w:szCs w:val="22"/>
        </w:rPr>
        <w:t xml:space="preserve">1,000,000,000 KX is allocated to Node Rewards, released via the harmonic schedule beginning January 1, 2029. The specific distribution mechanism for node operators (staking, uptime-based, transaction-based) will be finalized before the ICO. This is an open design decision that will be made with community input.</w:t>
      </w:r>
    </w:p>
    <w:p>
      <w:pPr>
        <w:pStyle w:val="Heading2"/>
        <w:spacing w:after="120" w:before="280"/>
      </w:pPr>
      <w:r>
        <w:rPr>
          <w:rFonts w:ascii="Arial" w:cs="Arial" w:eastAsia="Arial" w:hAnsi="Arial"/>
          <w:b/>
          <w:bCs/>
          <w:color w:val="2C2C54"/>
          <w:sz w:val="28"/>
          <w:szCs w:val="28"/>
        </w:rPr>
        <w:t xml:space="preserve">11.3 P2P Networking</w:t>
      </w:r>
    </w:p>
    <w:p>
      <w:pPr>
        <w:spacing w:after="120" w:before="80"/>
      </w:pPr>
      <w:r>
        <w:rPr>
          <w:rFonts w:ascii="Arial" w:cs="Arial" w:eastAsia="Arial" w:hAnsi="Arial"/>
          <w:sz w:val="22"/>
          <w:szCs w:val="22"/>
        </w:rPr>
        <w:t xml:space="preserve">Nodes communicate via libp2p with persistent Ed25519 identities. Each node has a permanent peer ID that does not change across restarts, enabling stable peer discovery and bootstrap. The bootstrap peer is published at chronx.io/bootstrap.json.</w:t>
      </w:r>
    </w:p>
    <w:p>
      <w:pPr>
        <w:pStyle w:val="Heading2"/>
        <w:spacing w:after="120" w:before="280"/>
      </w:pPr>
      <w:r>
        <w:rPr>
          <w:rFonts w:ascii="Arial" w:cs="Arial" w:eastAsia="Arial" w:hAnsi="Arial"/>
          <w:b/>
          <w:bCs/>
          <w:color w:val="2C2C54"/>
          <w:sz w:val="28"/>
          <w:szCs w:val="28"/>
        </w:rPr>
        <w:t xml:space="preserve">11.4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C2C54" w:val="clear"/>
            <w:tcMar>
              <w:top w:type="dxa" w:w="80"/>
              <w:left w:type="dxa" w:w="120"/>
              <w:bottom w:type="dxa" w:w="80"/>
              <w:right w:type="dxa" w:w="120"/>
            </w:tcMar>
          </w:tcPr>
          <w:p>
            <w:r>
              <w:rPr>
                <w:rFonts w:ascii="Arial" w:cs="Arial" w:eastAsia="Arial" w:hAnsi="Arial"/>
                <w:b/>
                <w:bCs/>
                <w:color w:val="FFFFFF"/>
                <w:sz w:val="20"/>
                <w:szCs w:val="20"/>
              </w:rPr>
              <w:t xml:space="preserve">Minimum</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CPU</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cores, 64-bit</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RAM</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GB</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20 GB SSD (grows with chain)</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Mbps, stable uptime recommended</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 (Ubuntu 22.04+), Windows 10+</w:t>
            </w:r>
          </w:p>
        </w:tc>
      </w:tr>
    </w:tbl>
    <w:p>
      <w:r>
        <w:br w:type="page"/>
      </w:r>
    </w:p>
    <w:p>
      <w:pPr>
        <w:pStyle w:val="Heading1"/>
        <w:spacing w:after="180" w:before="360"/>
      </w:pPr>
      <w:r>
        <w:rPr>
          <w:rFonts w:ascii="Arial" w:cs="Arial" w:eastAsia="Arial" w:hAnsi="Arial"/>
          <w:b/>
          <w:bCs/>
          <w:color w:val="B8860B"/>
          <w:sz w:val="36"/>
          <w:szCs w:val="36"/>
        </w:rPr>
        <w:t xml:space="preserve">12. Roadmap</w:t>
      </w:r>
    </w:p>
    <w:p>
      <w:pPr>
        <w:pStyle w:val="Heading2"/>
        <w:spacing w:after="120" w:before="280"/>
      </w:pPr>
      <w:r>
        <w:rPr>
          <w:rFonts w:ascii="Arial" w:cs="Arial" w:eastAsia="Arial" w:hAnsi="Arial"/>
          <w:b/>
          <w:bCs/>
          <w:color w:val="2C2C54"/>
          <w:sz w:val="28"/>
          <w:szCs w:val="28"/>
        </w:rPr>
        <w:t xml:space="preserve">12.1 2026 Milestones</w:t>
      </w:r>
    </w:p>
    <w:p>
      <w:pPr>
        <w:pStyle w:val="ListParagraph"/>
        <w:numPr>
          <w:ilvl w:val="0"/>
          <w:numId w:val="2"/>
        </w:numPr>
        <w:spacing w:after="60" w:before="60"/>
      </w:pPr>
      <w:r>
        <w:rPr>
          <w:rFonts w:ascii="Arial" w:cs="Arial" w:eastAsia="Arial" w:hAnsi="Arial"/>
          <w:sz w:val="22"/>
          <w:szCs w:val="22"/>
        </w:rPr>
        <w:t xml:space="preserve">Q1 2026: Mainnet launch, wallet v1.x, Cascade Send protocol (COMPLETE)</w:t>
      </w:r>
    </w:p>
    <w:p>
      <w:pPr>
        <w:pStyle w:val="ListParagraph"/>
        <w:numPr>
          <w:ilvl w:val="0"/>
          <w:numId w:val="2"/>
        </w:numPr>
        <w:spacing w:after="60" w:before="60"/>
      </w:pPr>
      <w:r>
        <w:rPr>
          <w:rFonts w:ascii="Arial" w:cs="Arial" w:eastAsia="Arial" w:hAnsi="Arial"/>
          <w:sz w:val="22"/>
          <w:szCs w:val="22"/>
        </w:rPr>
        <w:t xml:space="preserve">Q1 2026: Windows and Android wallets live (COMPLETE)</w:t>
      </w:r>
    </w:p>
    <w:p>
      <w:pPr>
        <w:pStyle w:val="ListParagraph"/>
        <w:numPr>
          <w:ilvl w:val="0"/>
          <w:numId w:val="2"/>
        </w:numPr>
        <w:spacing w:after="60" w:before="60"/>
      </w:pPr>
      <w:r>
        <w:rPr>
          <w:rFonts w:ascii="Arial" w:cs="Arial" w:eastAsia="Arial" w:hAnsi="Arial"/>
          <w:sz w:val="22"/>
          <w:szCs w:val="22"/>
        </w:rPr>
        <w:t xml:space="preserve">Q1 2026: Email claim system with 72-hour revert (COMPLETE)</w:t>
      </w:r>
    </w:p>
    <w:p>
      <w:pPr>
        <w:pStyle w:val="ListParagraph"/>
        <w:numPr>
          <w:ilvl w:val="0"/>
          <w:numId w:val="2"/>
        </w:numPr>
        <w:spacing w:after="60" w:before="60"/>
      </w:pPr>
      <w:r>
        <w:rPr>
          <w:rFonts w:ascii="Arial" w:cs="Arial" w:eastAsia="Arial" w:hAnsi="Arial"/>
          <w:sz w:val="22"/>
          <w:szCs w:val="22"/>
        </w:rPr>
        <w:t xml:space="preserve">Q1 2026: Admin dashboard, analytics, block explorer (COMPLETE)</w:t>
      </w:r>
    </w:p>
    <w:p>
      <w:pPr>
        <w:pStyle w:val="ListParagraph"/>
        <w:numPr>
          <w:ilvl w:val="0"/>
          <w:numId w:val="2"/>
        </w:numPr>
        <w:spacing w:after="60" w:before="60"/>
      </w:pPr>
      <w:r>
        <w:rPr>
          <w:rFonts w:ascii="Arial" w:cs="Arial" w:eastAsia="Arial" w:hAnsi="Arial"/>
          <w:sz w:val="22"/>
          <w:szCs w:val="22"/>
        </w:rPr>
        <w:t xml:space="preserve">Q2 2026: wKX ERC-20 token on Base network + Uniswap v3 pool</w:t>
      </w:r>
    </w:p>
    <w:p>
      <w:pPr>
        <w:pStyle w:val="ListParagraph"/>
        <w:numPr>
          <w:ilvl w:val="0"/>
          <w:numId w:val="2"/>
        </w:numPr>
        <w:spacing w:after="60" w:before="60"/>
      </w:pPr>
      <w:r>
        <w:rPr>
          <w:rFonts w:ascii="Arial" w:cs="Arial" w:eastAsia="Arial" w:hAnsi="Arial"/>
          <w:sz w:val="22"/>
          <w:szCs w:val="22"/>
        </w:rPr>
        <w:t xml:space="preserve">Q2 2026: CoinMarketCap and CoinGecko listings</w:t>
      </w:r>
    </w:p>
    <w:p>
      <w:pPr>
        <w:pStyle w:val="ListParagraph"/>
        <w:numPr>
          <w:ilvl w:val="0"/>
          <w:numId w:val="2"/>
        </w:numPr>
        <w:spacing w:after="60" w:before="60"/>
      </w:pPr>
      <w:r>
        <w:rPr>
          <w:rFonts w:ascii="Arial" w:cs="Arial" w:eastAsia="Arial" w:hAnsi="Arial"/>
          <w:sz w:val="22"/>
          <w:szCs w:val="22"/>
        </w:rPr>
        <w:t xml:space="preserve">Q2 2026: iOS and macOS wallet</w:t>
      </w:r>
    </w:p>
    <w:p>
      <w:pPr>
        <w:pStyle w:val="ListParagraph"/>
        <w:numPr>
          <w:ilvl w:val="0"/>
          <w:numId w:val="2"/>
        </w:numPr>
        <w:spacing w:after="60" w:before="60"/>
      </w:pPr>
      <w:r>
        <w:rPr>
          <w:rFonts w:ascii="Arial" w:cs="Arial" w:eastAsia="Arial" w:hAnsi="Arial"/>
          <w:sz w:val="22"/>
          <w:szCs w:val="22"/>
        </w:rPr>
        <w:t xml:space="preserve">Q3 2026: Protocol security audit (Certik or Halborn)</w:t>
      </w:r>
    </w:p>
    <w:p>
      <w:pPr>
        <w:pStyle w:val="ListParagraph"/>
        <w:numPr>
          <w:ilvl w:val="0"/>
          <w:numId w:val="2"/>
        </w:numPr>
        <w:spacing w:after="60" w:before="60"/>
      </w:pPr>
      <w:r>
        <w:rPr>
          <w:rFonts w:ascii="Arial" w:cs="Arial" w:eastAsia="Arial" w:hAnsi="Arial"/>
          <w:sz w:val="22"/>
          <w:szCs w:val="22"/>
        </w:rPr>
        <w:t xml:space="preserve">Q3 2026: ICO launch September 22, 2026</w:t>
      </w:r>
    </w:p>
    <w:p>
      <w:pPr>
        <w:pStyle w:val="Heading2"/>
        <w:spacing w:after="120" w:before="280"/>
      </w:pPr>
      <w:r>
        <w:rPr>
          <w:rFonts w:ascii="Arial" w:cs="Arial" w:eastAsia="Arial" w:hAnsi="Arial"/>
          <w:b/>
          <w:bCs/>
          <w:color w:val="2C2C54"/>
          <w:sz w:val="28"/>
          <w:szCs w:val="28"/>
        </w:rPr>
        <w:t xml:space="preserve">12.2 2027-2028 Milestones</w:t>
      </w:r>
    </w:p>
    <w:p>
      <w:pPr>
        <w:pStyle w:val="ListParagraph"/>
        <w:numPr>
          <w:ilvl w:val="0"/>
          <w:numId w:val="2"/>
        </w:numPr>
        <w:spacing w:after="60" w:before="60"/>
      </w:pPr>
      <w:r>
        <w:rPr>
          <w:rFonts w:ascii="Arial" w:cs="Arial" w:eastAsia="Arial" w:hAnsi="Arial"/>
          <w:sz w:val="22"/>
          <w:szCs w:val="22"/>
        </w:rPr>
        <w:t xml:space="preserve">Web wallet (no download required)</w:t>
      </w:r>
    </w:p>
    <w:p>
      <w:pPr>
        <w:pStyle w:val="ListParagraph"/>
        <w:numPr>
          <w:ilvl w:val="0"/>
          <w:numId w:val="2"/>
        </w:numPr>
        <w:spacing w:after="60" w:before="60"/>
      </w:pPr>
      <w:r>
        <w:rPr>
          <w:rFonts w:ascii="Arial" w:cs="Arial" w:eastAsia="Arial" w:hAnsi="Arial"/>
          <w:sz w:val="22"/>
          <w:szCs w:val="22"/>
        </w:rPr>
        <w:t xml:space="preserve">Cascade Send web UI for businesses</w:t>
      </w:r>
    </w:p>
    <w:p>
      <w:pPr>
        <w:pStyle w:val="ListParagraph"/>
        <w:numPr>
          <w:ilvl w:val="0"/>
          <w:numId w:val="2"/>
        </w:numPr>
        <w:spacing w:after="60" w:before="60"/>
      </w:pPr>
      <w:r>
        <w:rPr>
          <w:rFonts w:ascii="Arial" w:cs="Arial" w:eastAsia="Arial" w:hAnsi="Arial"/>
          <w:sz w:val="22"/>
          <w:szCs w:val="22"/>
        </w:rPr>
        <w:t xml:space="preserve">Multi-signature time-locks</w:t>
      </w:r>
    </w:p>
    <w:p>
      <w:pPr>
        <w:pStyle w:val="ListParagraph"/>
        <w:numPr>
          <w:ilvl w:val="0"/>
          <w:numId w:val="2"/>
        </w:numPr>
        <w:spacing w:after="60" w:before="60"/>
      </w:pPr>
      <w:r>
        <w:rPr>
          <w:rFonts w:ascii="Arial" w:cs="Arial" w:eastAsia="Arial" w:hAnsi="Arial"/>
          <w:sz w:val="22"/>
          <w:szCs w:val="22"/>
        </w:rPr>
        <w:t xml:space="preserve">Oracle-triggered conditional releases</w:t>
      </w:r>
    </w:p>
    <w:p>
      <w:pPr>
        <w:pStyle w:val="ListParagraph"/>
        <w:numPr>
          <w:ilvl w:val="0"/>
          <w:numId w:val="2"/>
        </w:numPr>
        <w:spacing w:after="60" w:before="60"/>
      </w:pPr>
      <w:r>
        <w:rPr>
          <w:rFonts w:ascii="Arial" w:cs="Arial" w:eastAsia="Arial" w:hAnsi="Arial"/>
          <w:sz w:val="22"/>
          <w:szCs w:val="22"/>
        </w:rPr>
        <w:t xml:space="preserve">Exchange listings (CEX)</w:t>
      </w:r>
    </w:p>
    <w:p>
      <w:pPr>
        <w:pStyle w:val="ListParagraph"/>
        <w:numPr>
          <w:ilvl w:val="0"/>
          <w:numId w:val="2"/>
        </w:numPr>
        <w:spacing w:after="60" w:before="60"/>
      </w:pPr>
      <w:r>
        <w:rPr>
          <w:rFonts w:ascii="Arial" w:cs="Arial" w:eastAsia="Arial" w:hAnsi="Arial"/>
          <w:sz w:val="22"/>
          <w:szCs w:val="22"/>
        </w:rPr>
        <w:t xml:space="preserve">Node rewards distribution mechanism finalized</w:t>
      </w:r>
    </w:p>
    <w:p>
      <w:pPr>
        <w:pStyle w:val="Heading2"/>
        <w:spacing w:after="120" w:before="280"/>
      </w:pPr>
      <w:r>
        <w:rPr>
          <w:rFonts w:ascii="Arial" w:cs="Arial" w:eastAsia="Arial" w:hAnsi="Arial"/>
          <w:b/>
          <w:bCs/>
          <w:color w:val="2C2C54"/>
          <w:sz w:val="28"/>
          <w:szCs w:val="28"/>
        </w:rPr>
        <w:t xml:space="preserve">12.3 Long-Term Vision (2029-2076)</w:t>
      </w:r>
    </w:p>
    <w:p>
      <w:pPr>
        <w:pStyle w:val="ListParagraph"/>
        <w:numPr>
          <w:ilvl w:val="0"/>
          <w:numId w:val="2"/>
        </w:numPr>
        <w:spacing w:after="60" w:before="60"/>
      </w:pPr>
      <w:r>
        <w:rPr>
          <w:rFonts w:ascii="Arial" w:cs="Arial" w:eastAsia="Arial" w:hAnsi="Arial"/>
          <w:sz w:val="22"/>
          <w:szCs w:val="22"/>
        </w:rPr>
        <w:t xml:space="preserve">January 1, 2029: First Treasury and Node Rewards harmonic release</w:t>
      </w:r>
    </w:p>
    <w:p>
      <w:pPr>
        <w:pStyle w:val="ListParagraph"/>
        <w:numPr>
          <w:ilvl w:val="0"/>
          <w:numId w:val="2"/>
        </w:numPr>
        <w:spacing w:after="60" w:before="60"/>
      </w:pPr>
      <w:r>
        <w:rPr>
          <w:rFonts w:ascii="Arial" w:cs="Arial" w:eastAsia="Arial" w:hAnsi="Arial"/>
          <w:sz w:val="22"/>
          <w:szCs w:val="22"/>
        </w:rPr>
        <w:t xml:space="preserve">Node rewards active: distributed to node operators globally</w:t>
      </w:r>
    </w:p>
    <w:p>
      <w:pPr>
        <w:pStyle w:val="ListParagraph"/>
        <w:numPr>
          <w:ilvl w:val="0"/>
          <w:numId w:val="2"/>
        </w:numPr>
        <w:spacing w:after="60" w:before="60"/>
      </w:pPr>
      <w:r>
        <w:rPr>
          <w:rFonts w:ascii="Arial" w:cs="Arial" w:eastAsia="Arial" w:hAnsi="Arial"/>
          <w:sz w:val="22"/>
          <w:szCs w:val="22"/>
        </w:rPr>
        <w:t xml:space="preserve">Humanity Stake (1,000,000 KX): locked until January 1, 2126, representing a 100-year commitment to the protocol's longevity</w:t>
      </w:r>
    </w:p>
    <w:p>
      <w:pPr>
        <w:pStyle w:val="ListParagraph"/>
        <w:numPr>
          <w:ilvl w:val="0"/>
          <w:numId w:val="2"/>
        </w:numPr>
        <w:spacing w:after="60" w:before="60"/>
      </w:pPr>
      <w:r>
        <w:rPr>
          <w:rFonts w:ascii="Arial" w:cs="Arial" w:eastAsia="Arial" w:hAnsi="Arial"/>
          <w:sz w:val="22"/>
          <w:szCs w:val="22"/>
        </w:rPr>
        <w:t xml:space="preserve">Milestone 2076 (500,000 KX): locked until January 1, 2076, a 50-year anchor in the DAG</w:t>
      </w:r>
    </w:p>
    <w:p>
      <w:pPr>
        <w:pStyle w:val="ListParagraph"/>
        <w:numPr>
          <w:ilvl w:val="0"/>
          <w:numId w:val="2"/>
        </w:numPr>
        <w:spacing w:after="60" w:before="60"/>
      </w:pPr>
      <w:r>
        <w:rPr>
          <w:rFonts w:ascii="Arial" w:cs="Arial" w:eastAsia="Arial" w:hAnsi="Arial"/>
          <w:sz w:val="22"/>
          <w:szCs w:val="22"/>
        </w:rPr>
        <w:t xml:space="preserve">The protocol is designed to operate without human intervention through 2128 (final harmonic release)</w:t>
      </w:r>
    </w:p>
    <w:p>
      <w:r>
        <w:br w:type="page"/>
      </w:r>
    </w:p>
    <w:p>
      <w:pPr>
        <w:pStyle w:val="Heading1"/>
        <w:spacing w:after="180" w:before="360"/>
      </w:pPr>
      <w:r>
        <w:rPr>
          <w:rFonts w:ascii="Arial" w:cs="Arial" w:eastAsia="Arial" w:hAnsi="Arial"/>
          <w:b/>
          <w:bCs/>
          <w:color w:val="B8860B"/>
          <w:sz w:val="36"/>
          <w:szCs w:val="36"/>
        </w:rPr>
        <w:t xml:space="preserve">13. Governance</w:t>
      </w:r>
    </w:p>
    <w:p>
      <w:pPr>
        <w:pStyle w:val="Heading2"/>
        <w:spacing w:after="120" w:before="280"/>
      </w:pPr>
      <w:r>
        <w:rPr>
          <w:rFonts w:ascii="Arial" w:cs="Arial" w:eastAsia="Arial" w:hAnsi="Arial"/>
          <w:b/>
          <w:bCs/>
          <w:color w:val="2C2C54"/>
          <w:sz w:val="28"/>
          <w:szCs w:val="28"/>
        </w:rPr>
        <w:t xml:space="preserve">13.1 Current Phase</w:t>
      </w:r>
    </w:p>
    <w:p>
      <w:pPr>
        <w:spacing w:after="120" w:before="80"/>
      </w:pPr>
      <w:r>
        <w:rPr>
          <w:rFonts w:ascii="Arial" w:cs="Arial" w:eastAsia="Arial" w:hAnsi="Arial"/>
          <w:sz w:val="22"/>
          <w:szCs w:val="22"/>
        </w:rPr>
        <w:t xml:space="preserve">ChronX is currently in its founding phase. Protocol decisions are made by the founding developer. As the network matures and a community forms, governance will evolve toward a more decentralized model.</w:t>
      </w:r>
    </w:p>
    <w:p>
      <w:pPr>
        <w:pStyle w:val="Heading2"/>
        <w:spacing w:after="120" w:before="280"/>
      </w:pPr>
      <w:r>
        <w:rPr>
          <w:rFonts w:ascii="Arial" w:cs="Arial" w:eastAsia="Arial" w:hAnsi="Arial"/>
          <w:b/>
          <w:bCs/>
          <w:color w:val="2C2C54"/>
          <w:sz w:val="28"/>
          <w:szCs w:val="28"/>
        </w:rPr>
        <w:t xml:space="preserve">13.2 Protocol Immutability</w:t>
      </w:r>
    </w:p>
    <w:p>
      <w:pPr>
        <w:spacing w:after="120" w:before="80"/>
      </w:pPr>
      <w:r>
        <w:rPr>
          <w:rFonts w:ascii="Arial" w:cs="Arial" w:eastAsia="Arial" w:hAnsi="Arial"/>
          <w:sz w:val="22"/>
          <w:szCs w:val="22"/>
        </w:rPr>
        <w:t xml:space="preserve">Certain protocol properties are considered immutable and will not be changed:</w:t>
      </w:r>
    </w:p>
    <w:p>
      <w:pPr>
        <w:pStyle w:val="ListParagraph"/>
        <w:numPr>
          <w:ilvl w:val="0"/>
          <w:numId w:val="2"/>
        </w:numPr>
        <w:spacing w:after="60" w:before="60"/>
      </w:pPr>
      <w:r>
        <w:rPr>
          <w:rFonts w:ascii="Arial" w:cs="Arial" w:eastAsia="Arial" w:hAnsi="Arial"/>
          <w:sz w:val="22"/>
          <w:szCs w:val="22"/>
        </w:rPr>
        <w:t xml:space="preserve">Total supply: 8,270,000,000 KX. Fixed forever.</w:t>
      </w:r>
    </w:p>
    <w:p>
      <w:pPr>
        <w:pStyle w:val="ListParagraph"/>
        <w:numPr>
          <w:ilvl w:val="0"/>
          <w:numId w:val="2"/>
        </w:numPr>
        <w:spacing w:after="60" w:before="60"/>
      </w:pPr>
      <w:r>
        <w:rPr>
          <w:rFonts w:ascii="Arial" w:cs="Arial" w:eastAsia="Arial" w:hAnsi="Arial"/>
          <w:sz w:val="22"/>
          <w:szCs w:val="22"/>
        </w:rPr>
        <w:t xml:space="preserve">Transaction fees: Zero. Forever. This is enforced at the protocol level.</w:t>
      </w:r>
    </w:p>
    <w:p>
      <w:pPr>
        <w:pStyle w:val="ListParagraph"/>
        <w:numPr>
          <w:ilvl w:val="0"/>
          <w:numId w:val="2"/>
        </w:numPr>
        <w:spacing w:after="60" w:before="60"/>
      </w:pPr>
      <w:r>
        <w:rPr>
          <w:rFonts w:ascii="Arial" w:cs="Arial" w:eastAsia="Arial" w:hAnsi="Arial"/>
          <w:sz w:val="22"/>
          <w:szCs w:val="22"/>
        </w:rPr>
        <w:t xml:space="preserve">Genesis allocations: The genesis block is immutable by definition.</w:t>
      </w:r>
    </w:p>
    <w:p>
      <w:pPr>
        <w:pStyle w:val="ListParagraph"/>
        <w:numPr>
          <w:ilvl w:val="0"/>
          <w:numId w:val="2"/>
        </w:numPr>
        <w:spacing w:after="60" w:before="60"/>
      </w:pPr>
      <w:r>
        <w:rPr>
          <w:rFonts w:ascii="Arial" w:cs="Arial" w:eastAsia="Arial" w:hAnsi="Arial"/>
          <w:sz w:val="22"/>
          <w:szCs w:val="22"/>
        </w:rPr>
        <w:t xml:space="preserve">ICO date: September 22, 2026. The Autumnal Equinox. Never changes.</w:t>
      </w:r>
    </w:p>
    <w:p>
      <w:pPr>
        <w:pStyle w:val="Heading2"/>
        <w:spacing w:after="120" w:before="280"/>
      </w:pPr>
      <w:r>
        <w:rPr>
          <w:rFonts w:ascii="Arial" w:cs="Arial" w:eastAsia="Arial" w:hAnsi="Arial"/>
          <w:b/>
          <w:bCs/>
          <w:color w:val="2C2C54"/>
          <w:sz w:val="28"/>
          <w:szCs w:val="28"/>
        </w:rPr>
        <w:t xml:space="preserve">13.3 Upgradeable Properties</w:t>
      </w:r>
    </w:p>
    <w:p>
      <w:pPr>
        <w:spacing w:after="120" w:before="80"/>
      </w:pPr>
      <w:r>
        <w:rPr>
          <w:rFonts w:ascii="Arial" w:cs="Arial" w:eastAsia="Arial" w:hAnsi="Arial"/>
          <w:sz w:val="22"/>
          <w:szCs w:val="22"/>
        </w:rPr>
        <w:t xml:space="preserve">Node operators may run updated versions of the node software that add new features. Protocol upgrades must be backward compatible. Breaking changes require network-wide coordination and are subject to community review.</w:t>
      </w:r>
    </w:p>
    <w:p>
      <w:r>
        <w:br w:type="page"/>
      </w:r>
    </w:p>
    <w:p>
      <w:pPr>
        <w:pStyle w:val="Heading1"/>
        <w:spacing w:after="180" w:before="360"/>
      </w:pPr>
      <w:r>
        <w:rPr>
          <w:rFonts w:ascii="Arial" w:cs="Arial" w:eastAsia="Arial" w:hAnsi="Arial"/>
          <w:b/>
          <w:bCs/>
          <w:color w:val="B8860B"/>
          <w:sz w:val="36"/>
          <w:szCs w:val="36"/>
        </w:rPr>
        <w:t xml:space="preserve">14. Risk Factors</w:t>
      </w:r>
    </w:p>
    <w:p>
      <w:pPr>
        <w:spacing w:after="120" w:before="80"/>
      </w:pPr>
      <w:r>
        <w:rPr>
          <w:rFonts w:ascii="Arial" w:cs="Arial" w:eastAsia="Arial" w:hAnsi="Arial"/>
          <w:sz w:val="22"/>
          <w:szCs w:val="22"/>
        </w:rPr>
        <w:t xml:space="preserve">Participants should carefully consider the following risks before participating in the ChronX Pre-ICO or ICO:</w:t>
      </w:r>
    </w:p>
    <w:p>
      <w:pPr>
        <w:pStyle w:val="Heading2"/>
        <w:spacing w:after="120" w:before="280"/>
      </w:pPr>
      <w:r>
        <w:rPr>
          <w:rFonts w:ascii="Arial" w:cs="Arial" w:eastAsia="Arial" w:hAnsi="Arial"/>
          <w:b/>
          <w:bCs/>
          <w:color w:val="2C2C54"/>
          <w:sz w:val="28"/>
          <w:szCs w:val="28"/>
        </w:rPr>
        <w:t xml:space="preserve">14.1 Technology Risk</w:t>
      </w:r>
    </w:p>
    <w:p>
      <w:pPr>
        <w:pStyle w:val="ListParagraph"/>
        <w:numPr>
          <w:ilvl w:val="0"/>
          <w:numId w:val="2"/>
        </w:numPr>
        <w:spacing w:after="60" w:before="60"/>
      </w:pPr>
      <w:r>
        <w:rPr>
          <w:rFonts w:ascii="Arial" w:cs="Arial" w:eastAsia="Arial" w:hAnsi="Arial"/>
          <w:sz w:val="22"/>
          <w:szCs w:val="22"/>
        </w:rPr>
        <w:t xml:space="preserve">The protocol is novel and may contain bugs not yet discovered</w:t>
      </w:r>
    </w:p>
    <w:p>
      <w:pPr>
        <w:pStyle w:val="ListParagraph"/>
        <w:numPr>
          <w:ilvl w:val="0"/>
          <w:numId w:val="2"/>
        </w:numPr>
        <w:spacing w:after="60" w:before="60"/>
      </w:pPr>
      <w:r>
        <w:rPr>
          <w:rFonts w:ascii="Arial" w:cs="Arial" w:eastAsia="Arial" w:hAnsi="Arial"/>
          <w:sz w:val="22"/>
          <w:szCs w:val="22"/>
        </w:rPr>
        <w:t xml:space="preserve">Post-quantum cryptography, while NIST-standardized, is relatively new in production deployments</w:t>
      </w:r>
    </w:p>
    <w:p>
      <w:pPr>
        <w:pStyle w:val="ListParagraph"/>
        <w:numPr>
          <w:ilvl w:val="0"/>
          <w:numId w:val="2"/>
        </w:numPr>
        <w:spacing w:after="60" w:before="60"/>
      </w:pPr>
      <w:r>
        <w:rPr>
          <w:rFonts w:ascii="Arial" w:cs="Arial" w:eastAsia="Arial" w:hAnsi="Arial"/>
          <w:sz w:val="22"/>
          <w:szCs w:val="22"/>
        </w:rPr>
        <w:t xml:space="preserve">Node infrastructure may experience outages</w:t>
      </w:r>
    </w:p>
    <w:p>
      <w:pPr>
        <w:pStyle w:val="Heading2"/>
        <w:spacing w:after="120" w:before="280"/>
      </w:pPr>
      <w:r>
        <w:rPr>
          <w:rFonts w:ascii="Arial" w:cs="Arial" w:eastAsia="Arial" w:hAnsi="Arial"/>
          <w:b/>
          <w:bCs/>
          <w:color w:val="2C2C54"/>
          <w:sz w:val="28"/>
          <w:szCs w:val="28"/>
        </w:rPr>
        <w:t xml:space="preserve">14.2 Regulatory Risk</w:t>
      </w:r>
    </w:p>
    <w:p>
      <w:pPr>
        <w:pStyle w:val="ListParagraph"/>
        <w:numPr>
          <w:ilvl w:val="0"/>
          <w:numId w:val="2"/>
        </w:numPr>
        <w:spacing w:after="60" w:before="60"/>
      </w:pPr>
      <w:r>
        <w:rPr>
          <w:rFonts w:ascii="Arial" w:cs="Arial" w:eastAsia="Arial" w:hAnsi="Arial"/>
          <w:sz w:val="22"/>
          <w:szCs w:val="22"/>
        </w:rPr>
        <w:t xml:space="preserve">Cryptocurrency regulation varies by jurisdiction and is evolving rapidly</w:t>
      </w:r>
    </w:p>
    <w:p>
      <w:pPr>
        <w:pStyle w:val="ListParagraph"/>
        <w:numPr>
          <w:ilvl w:val="0"/>
          <w:numId w:val="2"/>
        </w:numPr>
        <w:spacing w:after="60" w:before="60"/>
      </w:pPr>
      <w:r>
        <w:rPr>
          <w:rFonts w:ascii="Arial" w:cs="Arial" w:eastAsia="Arial" w:hAnsi="Arial"/>
          <w:sz w:val="22"/>
          <w:szCs w:val="22"/>
        </w:rPr>
        <w:t xml:space="preserve">KX is a utility token, but regulatory classification may vary by country</w:t>
      </w:r>
    </w:p>
    <w:p>
      <w:pPr>
        <w:pStyle w:val="ListParagraph"/>
        <w:numPr>
          <w:ilvl w:val="0"/>
          <w:numId w:val="2"/>
        </w:numPr>
        <w:spacing w:after="60" w:before="60"/>
      </w:pPr>
      <w:r>
        <w:rPr>
          <w:rFonts w:ascii="Arial" w:cs="Arial" w:eastAsia="Arial" w:hAnsi="Arial"/>
          <w:sz w:val="22"/>
          <w:szCs w:val="22"/>
        </w:rPr>
        <w:t xml:space="preserve">Participants are responsible for compliance with their local laws</w:t>
      </w:r>
    </w:p>
    <w:p>
      <w:pPr>
        <w:pStyle w:val="Heading2"/>
        <w:spacing w:after="120" w:before="280"/>
      </w:pPr>
      <w:r>
        <w:rPr>
          <w:rFonts w:ascii="Arial" w:cs="Arial" w:eastAsia="Arial" w:hAnsi="Arial"/>
          <w:b/>
          <w:bCs/>
          <w:color w:val="2C2C54"/>
          <w:sz w:val="28"/>
          <w:szCs w:val="28"/>
        </w:rPr>
        <w:t xml:space="preserve">14.3 Market Risk</w:t>
      </w:r>
    </w:p>
    <w:p>
      <w:pPr>
        <w:pStyle w:val="ListParagraph"/>
        <w:numPr>
          <w:ilvl w:val="0"/>
          <w:numId w:val="2"/>
        </w:numPr>
        <w:spacing w:after="60" w:before="60"/>
      </w:pPr>
      <w:r>
        <w:rPr>
          <w:rFonts w:ascii="Arial" w:cs="Arial" w:eastAsia="Arial" w:hAnsi="Arial"/>
          <w:sz w:val="22"/>
          <w:szCs w:val="22"/>
        </w:rPr>
        <w:t xml:space="preserve">KX has no established market price prior to exchange listing</w:t>
      </w:r>
    </w:p>
    <w:p>
      <w:pPr>
        <w:pStyle w:val="ListParagraph"/>
        <w:numPr>
          <w:ilvl w:val="0"/>
          <w:numId w:val="2"/>
        </w:numPr>
        <w:spacing w:after="60" w:before="60"/>
      </w:pPr>
      <w:r>
        <w:rPr>
          <w:rFonts w:ascii="Arial" w:cs="Arial" w:eastAsia="Arial" w:hAnsi="Arial"/>
          <w:sz w:val="22"/>
          <w:szCs w:val="22"/>
        </w:rPr>
        <w:t xml:space="preserve">Cryptocurrency markets are highly volatile</w:t>
      </w:r>
    </w:p>
    <w:p>
      <w:pPr>
        <w:pStyle w:val="ListParagraph"/>
        <w:numPr>
          <w:ilvl w:val="0"/>
          <w:numId w:val="2"/>
        </w:numPr>
        <w:spacing w:after="60" w:before="60"/>
      </w:pPr>
      <w:r>
        <w:rPr>
          <w:rFonts w:ascii="Arial" w:cs="Arial" w:eastAsia="Arial" w:hAnsi="Arial"/>
          <w:sz w:val="22"/>
          <w:szCs w:val="22"/>
        </w:rPr>
        <w:t xml:space="preserve">There is no guarantee of liquidity after the ICO</w:t>
      </w:r>
    </w:p>
    <w:p>
      <w:pPr>
        <w:pStyle w:val="Heading2"/>
        <w:spacing w:after="120" w:before="280"/>
      </w:pPr>
      <w:r>
        <w:rPr>
          <w:rFonts w:ascii="Arial" w:cs="Arial" w:eastAsia="Arial" w:hAnsi="Arial"/>
          <w:b/>
          <w:bCs/>
          <w:color w:val="2C2C54"/>
          <w:sz w:val="28"/>
          <w:szCs w:val="28"/>
        </w:rPr>
        <w:t xml:space="preserve">14.4 Operational Risk</w:t>
      </w:r>
    </w:p>
    <w:p>
      <w:pPr>
        <w:pStyle w:val="ListParagraph"/>
        <w:numPr>
          <w:ilvl w:val="0"/>
          <w:numId w:val="2"/>
        </w:numPr>
        <w:spacing w:after="60" w:before="60"/>
      </w:pPr>
      <w:r>
        <w:rPr>
          <w:rFonts w:ascii="Arial" w:cs="Arial" w:eastAsia="Arial" w:hAnsi="Arial"/>
          <w:sz w:val="22"/>
          <w:szCs w:val="22"/>
        </w:rPr>
        <w:t xml:space="preserve">The project is currently maintained by a solo founding developer</w:t>
      </w:r>
    </w:p>
    <w:p>
      <w:pPr>
        <w:pStyle w:val="ListParagraph"/>
        <w:numPr>
          <w:ilvl w:val="0"/>
          <w:numId w:val="2"/>
        </w:numPr>
        <w:spacing w:after="60" w:before="60"/>
      </w:pPr>
      <w:r>
        <w:rPr>
          <w:rFonts w:ascii="Arial" w:cs="Arial" w:eastAsia="Arial" w:hAnsi="Arial"/>
          <w:sz w:val="22"/>
          <w:szCs w:val="22"/>
        </w:rPr>
        <w:t xml:space="preserve">Loss of key personnel could affect development velocity</w:t>
      </w:r>
    </w:p>
    <w:p>
      <w:pPr>
        <w:pStyle w:val="ListParagraph"/>
        <w:numPr>
          <w:ilvl w:val="0"/>
          <w:numId w:val="2"/>
        </w:numPr>
        <w:spacing w:after="60" w:before="60"/>
      </w:pPr>
      <w:r>
        <w:rPr>
          <w:rFonts w:ascii="Arial" w:cs="Arial" w:eastAsia="Arial" w:hAnsi="Arial"/>
          <w:sz w:val="22"/>
          <w:szCs w:val="22"/>
        </w:rPr>
        <w:t xml:space="preserve">Infrastructure providers (Hostinger, Vultr) represent centralization risk for the website and bootstrap node</w:t>
      </w:r>
    </w:p>
    <w:p>
      <w:r>
        <w:br w:type="page"/>
      </w:r>
    </w:p>
    <w:p>
      <w:pPr>
        <w:pStyle w:val="Heading1"/>
        <w:spacing w:after="180" w:before="360"/>
      </w:pPr>
      <w:r>
        <w:rPr>
          <w:rFonts w:ascii="Arial" w:cs="Arial" w:eastAsia="Arial" w:hAnsi="Arial"/>
          <w:b/>
          <w:bCs/>
          <w:color w:val="B8860B"/>
          <w:sz w:val="36"/>
          <w:szCs w:val="36"/>
        </w:rPr>
        <w:t xml:space="preserve">15. Disclaimer</w:t>
      </w:r>
    </w:p>
    <w:p>
      <w:pPr>
        <w:spacing w:after="120" w:before="80"/>
      </w:pPr>
      <w:r>
        <w:rPr>
          <w:rFonts w:ascii="Arial" w:cs="Arial" w:eastAsia="Arial" w:hAnsi="Arial"/>
          <w:sz w:val="22"/>
          <w:szCs w:val="22"/>
        </w:rPr>
        <w:t xml:space="preserve">KX tokens are utility tokens for accessing services on the ChronX protocol. They are not securities, investments, shares, bonds, or financial instruments of any kind. Nothing in this whitepaper constitutes an offer to sell, a solicitation to buy, or investment advice.</w:t>
      </w:r>
    </w:p>
    <w:p>
      <w:pPr>
        <w:spacing w:after="120" w:before="80"/>
      </w:pPr>
      <w:r>
        <w:rPr>
          <w:rFonts w:ascii="Arial" w:cs="Arial" w:eastAsia="Arial" w:hAnsi="Arial"/>
          <w:sz w:val="22"/>
          <w:szCs w:val="22"/>
        </w:rPr>
        <w:t xml:space="preserve">Participation in the ChronX Pre-ICO or ICO is entirely at the participant's own risk. The value of KX tokens may fluctuate significantly. Participants may lose all or part of their participation amount.</w:t>
      </w:r>
    </w:p>
    <w:p>
      <w:pPr>
        <w:spacing w:after="120" w:before="80"/>
      </w:pPr>
      <w:r>
        <w:rPr>
          <w:rFonts w:ascii="Arial" w:cs="Arial" w:eastAsia="Arial" w:hAnsi="Arial"/>
          <w:sz w:val="22"/>
          <w:szCs w:val="22"/>
        </w:rPr>
        <w:t xml:space="preserve">This whitepaper is provided for informational purposes only. ChronX makes no representations or warranties regarding the accuracy, completeness, or fitness for any purpose of the information contained herein.</w:t>
      </w:r>
    </w:p>
    <w:p>
      <w:pPr>
        <w:spacing w:after="120" w:before="80"/>
      </w:pPr>
      <w:r>
        <w:rPr>
          <w:rFonts w:ascii="Arial" w:cs="Arial" w:eastAsia="Arial" w:hAnsi="Arial"/>
          <w:sz w:val="22"/>
          <w:szCs w:val="22"/>
        </w:rPr>
        <w:t xml:space="preserve">Participants in jurisdictions where participation in cryptocurrency token sales is restricted or prohibited are not permitted to participate.</w:t>
      </w:r>
    </w:p>
    <w:p>
      <w:pPr>
        <w:spacing w:after="120" w:before="80"/>
      </w:pPr>
      <w:r>
        <w:rPr>
          <w:rFonts w:ascii="Arial" w:cs="Arial" w:eastAsia="Arial" w:hAnsi="Arial"/>
          <w:sz w:val="22"/>
          <w:szCs w:val="22"/>
        </w:rPr>
        <w:t xml:space="preserve">For the complete disclaimer, please visit: chronx.io/disclaimer</w:t>
      </w:r>
    </w:p>
    <w:p>
      <w:pPr>
        <w:pBdr>
          <w:bottom w:val="single" w:color="B8860B" w:sz="3" w:space="1"/>
        </w:pBdr>
        <w:spacing w:after="160" w:before="160"/>
      </w:pPr>
      <w:r>
        <w:t xml:space="preserve"/>
      </w:r>
    </w:p>
    <w:p>
      <w:pPr>
        <w:spacing w:before="240"/>
      </w:pPr>
    </w:p>
    <w:p>
      <w:pPr>
        <w:spacing w:after="80" w:before="80"/>
        <w:jc w:val="center"/>
      </w:pPr>
      <w:r>
        <w:rPr>
          <w:rFonts w:ascii="Arial" w:cs="Arial" w:eastAsia="Arial" w:hAnsi="Arial"/>
          <w:b/>
          <w:bCs/>
          <w:color w:val="B8860B"/>
          <w:sz w:val="22"/>
          <w:szCs w:val="22"/>
        </w:rPr>
        <w:t xml:space="preserve">ChronX Protocol Whitepaper v2.8</w:t>
      </w:r>
    </w:p>
    <w:p>
      <w:pPr>
        <w:spacing w:after="80" w:before="80"/>
        <w:jc w:val="center"/>
      </w:pPr>
      <w:r>
        <w:rPr>
          <w:rFonts w:ascii="Arial" w:cs="Arial" w:eastAsia="Arial" w:hAnsi="Arial"/>
          <w:i/>
          <w:iCs/>
          <w:color w:val="888888"/>
          <w:sz w:val="22"/>
          <w:szCs w:val="22"/>
        </w:rPr>
        <w:t xml:space="preserve">March 2026  |  chronx.io  |  contact@chronx.io</w:t>
      </w:r>
    </w:p>
    <w:p>
      <w:pPr>
        <w:spacing w:after="80" w:before="80"/>
        <w:jc w:val="center"/>
      </w:pPr>
      <w:r>
        <w:rPr>
          <w:rFonts w:ascii="Arial" w:cs="Arial" w:eastAsia="Arial" w:hAnsi="Arial"/>
          <w:color w:val="888888"/>
          <w:sz w:val="18"/>
          <w:szCs w:val="18"/>
        </w:rPr>
        <w:t xml:space="preserve">Copyright 2026 ChronX. All rights reserved.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ChronX Protocol Whitepaper v2.8  |  chronx.io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B8860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2C5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2026-03-05T02:53:24.502Z</dcterms:created>
  <dcterms:modified xsi:type="dcterms:W3CDTF">2026-03-05T02:53:24.503Z</dcterms:modified>
</cp:coreProperties>
</file>

<file path=docProps/custom.xml><?xml version="1.0" encoding="utf-8"?>
<Properties xmlns="http://schemas.openxmlformats.org/officeDocument/2006/custom-properties" xmlns:vt="http://schemas.openxmlformats.org/officeDocument/2006/docPropsVTypes"/>
</file>