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160"/>
        <w:jc w:val="center"/>
      </w:pPr>
      <w:r>
        <w:rPr>
          <w:rFonts w:ascii="Arial" w:cs="Arial" w:eastAsia="Arial" w:hAnsi="Arial"/>
          <w:b/>
          <w:bCs/>
          <w:color w:val="1F4E79"/>
          <w:sz w:val="64"/>
          <w:szCs w:val="64"/>
        </w:rPr>
        <w:t xml:space="preserve">CHRONX PROTOCOL</w:t>
      </w:r>
    </w:p>
    <w:p>
      <w:pPr>
        <w:spacing w:before="0" w:after="160"/>
        <w:jc w:val="center"/>
      </w:pPr>
      <w:r>
        <w:rPr>
          <w:rFonts w:ascii="Arial" w:cs="Arial" w:eastAsia="Arial" w:hAnsi="Arial"/>
          <w:b/>
          <w:bCs/>
          <w:sz w:val="40"/>
          <w:szCs w:val="40"/>
        </w:rPr>
        <w:t xml:space="preserve">Whitepaper One</w:t>
      </w:r>
    </w:p>
    <w:p>
      <w:pPr>
        <w:spacing w:before="0" w:after="80"/>
        <w:jc w:val="center"/>
      </w:pPr>
      <w:r>
        <w:rPr>
          <w:rFonts w:ascii="Arial" w:cs="Arial" w:eastAsia="Arial" w:hAnsi="Arial"/>
          <w:i/>
          <w:iCs/>
          <w:color w:val="555555"/>
          <w:sz w:val="28"/>
          <w:szCs w:val="28"/>
        </w:rPr>
        <w:t xml:space="preserve">The Promise Protocol — Genesis Zero</w:t>
      </w:r>
    </w:p>
    <w:p>
      <w:pPr>
        <w:spacing w:before="0" w:after="320"/>
        <w:jc w:val="center"/>
      </w:pPr>
      <w:r>
        <w:rPr>
          <w:rFonts w:ascii="Arial" w:cs="Arial" w:eastAsia="Arial" w:hAnsi="Arial"/>
          <w:color w:val="888888"/>
          <w:sz w:val="22"/>
          <w:szCs w:val="22"/>
        </w:rPr>
        <w:t xml:space="preserve">Genesis Zero  ·  Post-Quantum Cryptography  ·  Zero Fees</w:t>
      </w:r>
    </w:p>
    <w:p>
      <w:pPr>
        <w:pBdr>
          <w:bottom w:val="single" w:color="CCCCCC" w:sz="4" w:space="4"/>
        </w:pBdr>
        <w:spacing w:before="120" w:after="120"/>
      </w:pPr>
      <w:r>
        <w:t xml:space="preserve"/>
      </w:r>
    </w:p>
    <w:p>
      <w:pPr>
        <w:spacing w:before="200" w:after="80"/>
        <w:jc w:val="center"/>
      </w:pPr>
      <w:r>
        <w:rPr>
          <w:rFonts w:ascii="Arial" w:cs="Arial" w:eastAsia="Arial" w:hAnsi="Arial"/>
          <w:b/>
          <w:bCs/>
          <w:sz w:val="24"/>
          <w:szCs w:val="24"/>
        </w:rPr>
        <w:t xml:space="preserve">ICO: September 22, 2026  ·  $0.00319 per KX</w:t>
      </w:r>
    </w:p>
    <w:p>
      <w:pPr>
        <w:spacing w:before="0" w:after="400"/>
        <w:jc w:val="center"/>
      </w:pPr>
      <w:r>
        <w:rPr>
          <w:rFonts w:ascii="Arial" w:cs="Arial" w:eastAsia="Arial" w:hAnsi="Arial"/>
          <w:color w:val="2E75B6"/>
          <w:sz w:val="22"/>
          <w:szCs w:val="22"/>
        </w:rPr>
        <w:t xml:space="preserve">chronx.io</w:t>
      </w:r>
    </w:p>
    <w:p>
      <w:pPr>
        <w:pBdr>
          <w:left w:val="single" w:color="2E75B6" w:sz="8" w:space="12"/>
        </w:pBdr>
        <w:spacing w:before="160" w:after="160"/>
        <w:ind w:left="720" w:right="720"/>
      </w:pPr>
      <w:r>
        <w:rPr>
          <w:rFonts w:ascii="Arial" w:cs="Arial" w:eastAsia="Arial" w:hAnsi="Arial"/>
          <w:i/>
          <w:iCs/>
          <w:sz w:val="22"/>
          <w:szCs w:val="22"/>
        </w:rPr>
        <w:t xml:space="preserve">"ChronX does not merely record that a promise was made. ChronX makes the promise inevitable."</w:t>
      </w:r>
    </w:p>
    <w:p>
      <w:pPr>
        <w:spacing w:before="80" w:after="80"/>
      </w:pPr>
      <w:r>
        <w:t xml:space="preserve"/>
      </w:r>
    </w:p>
    <w:p>
      <w:pPr>
        <w:jc w:val="center"/>
      </w:pPr>
      <w:r>
        <w:rPr>
          <w:rFonts w:ascii="Arial" w:cs="Arial" w:eastAsia="Arial" w:hAnsi="Arial"/>
          <w:color w:val="999999"/>
          <w:sz w:val="20"/>
          <w:szCs w:val="20"/>
        </w:rPr>
        <w:t xml:space="preserve">March 2026</w:t>
      </w:r>
    </w:p>
    <w:p>
      <w:r>
        <w:br w:type="page"/>
      </w:r>
    </w:p>
    <w:p>
      <w:pPr>
        <w:pStyle w:val="Heading1"/>
        <w:spacing w:before="480" w:after="240"/>
      </w:pPr>
      <w:r>
        <w:rPr>
          <w:rFonts w:ascii="Arial" w:cs="Arial" w:eastAsia="Arial" w:hAnsi="Arial"/>
          <w:b/>
          <w:bCs/>
          <w:color w:val="1F4E79"/>
          <w:sz w:val="34"/>
          <w:szCs w:val="34"/>
        </w:rPr>
        <w:t xml:space="preserve">1. Everything is a Promise</w:t>
      </w:r>
    </w:p>
    <w:p>
      <w:pPr>
        <w:spacing w:before="100" w:after="100"/>
        <w:jc w:val="both"/>
      </w:pPr>
      <w:r>
        <w:rPr>
          <w:rFonts w:ascii="Arial" w:cs="Arial" w:eastAsia="Arial" w:hAnsi="Arial"/>
          <w:sz w:val="22"/>
          <w:szCs w:val="22"/>
        </w:rPr>
        <w:t xml:space="preserve">On ChronX Protocol, everything is a promise.</w:t>
      </w:r>
    </w:p>
    <w:p>
      <w:pPr>
        <w:spacing w:before="80" w:after="80"/>
      </w:pPr>
      <w:r>
        <w:t xml:space="preserve"/>
      </w:r>
    </w:p>
    <w:p>
      <w:pPr>
        <w:spacing w:before="100" w:after="100"/>
        <w:jc w:val="both"/>
      </w:pPr>
      <w:r>
        <w:rPr>
          <w:rFonts w:ascii="Arial" w:cs="Arial" w:eastAsia="Arial" w:hAnsi="Arial"/>
          <w:sz w:val="22"/>
          <w:szCs w:val="22"/>
        </w:rPr>
        <w:t xml:space="preserve">A time-locked gift to your daughter on her eighteenth birthday: a promise. A 30-day friendly loan between friends: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80"/>
      </w:pPr>
      <w:r>
        <w:t xml:space="preserve"/>
      </w:r>
    </w:p>
    <w:p>
      <w:pPr>
        <w:spacing w:before="100" w:after="100"/>
        <w:jc w:val="both"/>
      </w:pPr>
      <w:r>
        <w:rPr>
          <w:rFonts w:ascii="Arial" w:cs="Arial" w:eastAsia="Arial" w:hAnsi="Arial"/>
          <w:sz w:val="22"/>
          <w:szCs w:val="22"/>
        </w:rPr>
        <w:t xml:space="preserve">One idea. Infinite applications.</w:t>
      </w:r>
    </w:p>
    <w:p>
      <w:pPr>
        <w:spacing w:before="80" w:after="80"/>
      </w:pPr>
      <w:r>
        <w:t xml:space="preserve"/>
      </w:r>
    </w:p>
    <w:p>
      <w:pPr>
        <w:spacing w:before="100" w:after="10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80"/>
      </w:pPr>
      <w:r>
        <w:t xml:space="preserve"/>
      </w:r>
    </w:p>
    <w:p>
      <w:pPr>
        <w:spacing w:before="100" w:after="100"/>
        <w:jc w:val="both"/>
      </w:pPr>
      <w:r>
        <w:rPr>
          <w:rFonts w:ascii="Arial" w:cs="Arial" w:eastAsia="Arial" w:hAnsi="Arial"/>
          <w:sz w:val="22"/>
          <w:szCs w:val="22"/>
        </w:rPr>
        <w:t xml:space="preserve">The protocol does not judge the wisdom of a promise. It enforces it.</w:t>
      </w:r>
    </w:p>
    <w:p>
      <w:pPr>
        <w:spacing w:before="100" w:after="100"/>
      </w:pPr>
    </w:p>
    <w:p>
      <w:pPr>
        <w:spacing w:before="100" w:after="100"/>
        <w:jc w:val="both"/>
      </w:pPr>
      <w:r>
        <w:rPr>
          <w:rFonts w:ascii="Arial" w:cs="Arial" w:eastAsia="Arial" w:hAnsi="Arial"/>
          <w:sz w:val="22"/>
          <w:szCs w:val="22"/>
        </w:rPr>
        <w:t xml:space="preserve">By default, every time-locked promise on ChronX participates in the HedgeKX yield system — earning real yield for the recipient from real economic activity, with no additional risk and no cost to the grantor. This is not a feature added on top of a promise. It is simply what a promise on ChronX does.</w:t>
      </w:r>
    </w:p>
    <w:p>
      <w:pPr>
        <w:spacing w:before="100" w:after="100"/>
      </w:pPr>
    </w:p>
    <w:p>
      <w:pPr>
        <w:spacing w:before="100" w:after="100"/>
        <w:jc w:val="both"/>
      </w:pPr>
      <w:r>
        <w:rPr>
          <w:rFonts w:ascii="Arial" w:cs="Arial" w:eastAsia="Arial" w:hAnsi="Arial"/>
          <w:sz w:val="22"/>
          <w:szCs w:val="22"/>
        </w:rPr>
        <w:t xml:space="preserve">The precise language matters here: promises on ChronX are mechanically enforced under predefined resolution rules. The protocol executes every promise exactly as recorded. For the vast majority of promises — claimed at maturity by an available recipient — this means the intended outcome is delivered with mathematical certainty. For long-duration promises where the recipient cannot be located, the Verifas resolution system and the Humanity Stake provide a defined path that ensures funds are never lost, even when delivery to the specific intended recipient is not possible after an extended period. See Section 4.2 for the complete Verifas system.</w:t>
      </w:r>
    </w:p>
    <w:p>
      <w:pPr>
        <w:spacing w:before="80" w:after="80"/>
      </w:pPr>
      <w:r>
        <w:t xml:space="preserve"/>
      </w:r>
    </w:p>
    <w:p>
      <w:pPr>
        <w:spacing w:before="100" w:after="10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r>
        <w:br w:type="page"/>
      </w:r>
    </w:p>
    <w:p>
      <w:pPr>
        <w:pStyle w:val="Heading1"/>
        <w:spacing w:before="480" w:after="240"/>
      </w:pPr>
      <w:r>
        <w:rPr>
          <w:rFonts w:ascii="Arial" w:cs="Arial" w:eastAsia="Arial" w:hAnsi="Arial"/>
          <w:b/>
          <w:bCs/>
          <w:color w:val="1F4E79"/>
          <w:sz w:val="34"/>
          <w:szCs w:val="34"/>
        </w:rPr>
        <w:t xml:space="preserve">2. The DAG</w:t>
      </w:r>
    </w:p>
    <w:p>
      <w:pPr>
        <w:spacing w:before="100" w:after="10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80"/>
      </w:pPr>
      <w:r>
        <w:t xml:space="preserve"/>
      </w:r>
    </w:p>
    <w:p>
      <w:pPr>
        <w:spacing w:before="100" w:after="10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Free Matters</w:t>
      </w:r>
    </w:p>
    <w:p>
      <w:pPr>
        <w:spacing w:before="100" w:after="10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80"/>
      </w:pPr>
      <w:r>
        <w:t xml:space="preserve"/>
      </w:r>
    </w:p>
    <w:p>
      <w:pPr>
        <w:spacing w:before="100" w:after="10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Immutability Matters for Promises</w:t>
      </w:r>
    </w:p>
    <w:p>
      <w:pPr>
        <w:spacing w:before="100" w:after="100"/>
        <w:jc w:val="both"/>
      </w:pPr>
      <w:r>
        <w:rPr>
          <w:rFonts w:ascii="Arial" w:cs="Arial" w:eastAsia="Arial" w:hAnsi="Arial"/>
          <w:sz w:val="22"/>
          <w:szCs w:val="22"/>
        </w:rPr>
        <w:t xml:space="preserve">A promise is only as good as the system that enforces it. If a centralised database can be edited, the promise can be edited. ChronX's DAG is append-only. Once a promise is recorded, it exists forever. The sender cannot take it back unless they specified a cancellation window. The protocol cannot modify it. The Foundation cannot override it.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KX: The Unit of Account</w:t>
      </w:r>
    </w:p>
    <w:p>
      <w:pPr>
        <w:spacing w:before="100" w:after="10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Nodes and Security</w:t>
      </w:r>
    </w:p>
    <w:p>
      <w:pPr>
        <w:spacing w:before="100" w:after="10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and CRYSTALS-Dilithium2 post-quantum digital signatures. Every wallet is quantum-resistant from day one.</w:t>
      </w:r>
    </w:p>
    <w:p>
      <w:pPr>
        <w:spacing w:before="80" w:after="80"/>
      </w:pPr>
      <w:r>
        <w:t xml:space="preserve"/>
      </w:r>
    </w:p>
    <w:p>
      <w:pPr>
        <w:spacing w:before="100" w:after="10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r>
        <w:br w:type="page"/>
      </w:r>
    </w:p>
    <w:p>
      <w:pPr>
        <w:pStyle w:val="Heading1"/>
        <w:spacing w:before="480" w:after="240"/>
      </w:pPr>
      <w:r>
        <w:rPr>
          <w:rFonts w:ascii="Arial" w:cs="Arial" w:eastAsia="Arial" w:hAnsi="Arial"/>
          <w:b/>
          <w:bCs/>
          <w:color w:val="1F4E79"/>
          <w:sz w:val="34"/>
          <w:szCs w:val="34"/>
        </w:rPr>
        <w:t xml:space="preserve">3. Promises in Any Currency</w:t>
      </w:r>
    </w:p>
    <w:p>
      <w:pPr>
        <w:spacing w:before="100" w:after="100"/>
        <w:jc w:val="both"/>
      </w:pPr>
      <w:r>
        <w:rPr>
          <w:rFonts w:ascii="Arial" w:cs="Arial" w:eastAsia="Arial" w:hAnsi="Arial"/>
          <w:sz w:val="22"/>
          <w:szCs w:val="22"/>
        </w:rPr>
        <w:t xml:space="preserve">KX is the reserve. Not necessarily the currency you see.</w:t>
      </w:r>
    </w:p>
    <w:p>
      <w:pPr>
        <w:spacing w:before="80" w:after="80"/>
      </w:pPr>
      <w:r>
        <w:t xml:space="preserve"/>
      </w:r>
    </w:p>
    <w:p>
      <w:pPr>
        <w:spacing w:before="100" w:after="10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80" w:after="80"/>
      </w:pPr>
      <w:r>
        <w:t xml:space="preserve"/>
      </w:r>
    </w:p>
    <w:p>
      <w:pPr>
        <w:spacing w:before="100" w:after="100"/>
        <w:jc w:val="both"/>
      </w:pPr>
      <w:r>
        <w:rPr>
          <w:rFonts w:ascii="Arial" w:cs="Arial" w:eastAsia="Arial" w:hAnsi="Arial"/>
          <w:sz w:val="22"/>
          <w:szCs w:val="22"/>
        </w:rPr>
        <w:t xml:space="preserve">Governance: pay_as_max_usd = $250 per transaction. Subject to governance adjustment.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2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3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80" w:after="80"/>
      </w:pPr>
      <w:r>
        <w:t xml:space="preserve"/>
      </w:r>
    </w:p>
    <w:p>
      <w:pPr>
        <w:spacing w:before="100" w:after="10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r>
        <w:br w:type="page"/>
      </w:r>
    </w:p>
    <w:p>
      <w:pPr>
        <w:pStyle w:val="Heading2"/>
        <w:spacing w:before="320" w:after="160"/>
      </w:pPr>
      <w:r>
        <w:rPr>
          <w:rFonts w:ascii="Arial" w:cs="Arial" w:eastAsia="Arial" w:hAnsi="Arial"/>
          <w:b/>
          <w:bCs/>
          <w:color w:val="1F4E79"/>
          <w:sz w:val="28"/>
          <w:szCs w:val="28"/>
        </w:rPr>
        <w:t xml:space="preserve">Why KX? The Answer to the Obvious Question</w:t>
      </w:r>
    </w:p>
    <w:p>
      <w:pPr>
        <w:spacing w:before="100" w:after="100"/>
      </w:pPr>
    </w:p>
    <w:p>
      <w:pPr>
        <w:spacing w:before="100" w:after="100"/>
        <w:jc w:val="both"/>
      </w:pPr>
      <w:r>
        <w:rPr>
          <w:rFonts w:ascii="Arial" w:cs="Arial" w:eastAsia="Arial" w:hAnsi="Arial"/>
          <w:sz w:val="22"/>
          <w:szCs w:val="22"/>
        </w:rPr>
        <w:t xml:space="preserve">A natural question arises for participants who earn and spend in USD: if my obligation is in USD and I get paid in USD, why use KX at all — and why accept the added complexity of hedging?</w:t>
      </w:r>
    </w:p>
    <w:p>
      <w:pPr>
        <w:spacing w:before="100" w:after="100"/>
      </w:pPr>
    </w:p>
    <w:p>
      <w:pPr>
        <w:spacing w:before="100" w:after="100"/>
        <w:jc w:val="both"/>
      </w:pPr>
      <w:r>
        <w:rPr>
          <w:rFonts w:ascii="Arial" w:cs="Arial" w:eastAsia="Arial" w:hAnsi="Arial"/>
          <w:sz w:val="22"/>
          <w:szCs w:val="22"/>
        </w:rPr>
        <w:t xml:space="preserve">The answer is four things USD cannot do.</w:t>
      </w:r>
    </w:p>
    <w:p>
      <w:pPr>
        <w:spacing w:before="100" w:after="100"/>
      </w:pPr>
    </w:p>
    <w:p>
      <w:pPr>
        <w:spacing w:before="100" w:after="100"/>
        <w:jc w:val="both"/>
      </w:pPr>
      <w:r>
        <w:rPr>
          <w:rFonts w:ascii="Arial" w:cs="Arial" w:eastAsia="Arial" w:hAnsi="Arial"/>
          <w:sz w:val="22"/>
          <w:szCs w:val="22"/>
        </w:rPr>
        <w:t xml:space="preserve">USD cannot make a promise inevitable. A USD promise is a legal instrument — enforceable by courts, subject to bankruptcy, modifiable by judges, and dependent on counterparty solvency. A KX promise on the ChronX DAG is enforced by mathematics. No court order can prevent a matured lock from releasing. No bankruptcy filing can intercept it. This is structurally impossible with USD.</w:t>
      </w:r>
    </w:p>
    <w:p>
      <w:pPr>
        <w:spacing w:before="100" w:after="100"/>
      </w:pPr>
    </w:p>
    <w:p>
      <w:pPr>
        <w:spacing w:before="100" w:after="100"/>
        <w:jc w:val="both"/>
      </w:pPr>
      <w:r>
        <w:rPr>
          <w:rFonts w:ascii="Arial" w:cs="Arial" w:eastAsia="Arial" w:hAnsi="Arial"/>
          <w:sz w:val="22"/>
          <w:szCs w:val="22"/>
        </w:rPr>
        <w:t xml:space="preserve">USD cannot be zero-fee forever. Every USD transfer involves fees — bank, processor, wire, ACH, SWIFT, or card network. These compound over 100 years of settlements. KX transactions cost exactly zero, encoded at genesis and immutable forever. For long-horizon instruments this difference is material.</w:t>
      </w:r>
    </w:p>
    <w:p>
      <w:pPr>
        <w:spacing w:before="100" w:after="100"/>
      </w:pPr>
    </w:p>
    <w:p>
      <w:pPr>
        <w:spacing w:before="100" w:after="100"/>
        <w:jc w:val="both"/>
      </w:pPr>
      <w:r>
        <w:rPr>
          <w:rFonts w:ascii="Arial" w:cs="Arial" w:eastAsia="Arial" w:hAnsi="Arial"/>
          <w:sz w:val="22"/>
          <w:szCs w:val="22"/>
        </w:rPr>
        <w:t xml:space="preserve">USD cannot be post-quantum secure. CRYSTALS-Dilithium2 secures every KX wallet and transaction against the cryptographic threats of 2076 and beyond. The banking system’s cryptographic foundations were not designed for a 100-year threat horizon.</w:t>
      </w:r>
    </w:p>
    <w:p>
      <w:pPr>
        <w:spacing w:before="100" w:after="100"/>
      </w:pPr>
    </w:p>
    <w:p>
      <w:pPr>
        <w:spacing w:before="100" w:after="100"/>
        <w:jc w:val="both"/>
      </w:pPr>
      <w:r>
        <w:rPr>
          <w:rFonts w:ascii="Arial" w:cs="Arial" w:eastAsia="Arial" w:hAnsi="Arial"/>
          <w:sz w:val="22"/>
          <w:szCs w:val="22"/>
        </w:rPr>
        <w:t xml:space="preserve">The hedge is not a burden — it is the bridge. The 1% fee for a 30-day friendly loan (approximately 12% annualized) is the price of currency certainty. A bank charges roughly the same for a letter of credit. The difference: a bank keeps the fee. ChronX routes it into yield for savers, operating capital for KXGC, and liquidity for the ecosystem. The fee does the same job and simultaneously builds the infrastructure that makes the entire protocol more valuable.</w:t>
      </w:r>
    </w:p>
    <w:p>
      <w:pPr>
        <w:spacing w:before="100" w:after="100"/>
      </w:pPr>
    </w:p>
    <w:p>
      <w:pPr>
        <w:spacing w:before="100" w:after="100"/>
        <w:jc w:val="both"/>
      </w:pPr>
      <w:r>
        <w:rPr>
          <w:rFonts w:ascii="Arial" w:cs="Arial" w:eastAsia="Arial" w:hAnsi="Arial"/>
          <w:sz w:val="22"/>
          <w:szCs w:val="22"/>
        </w:rPr>
        <w:t xml:space="preserve">KX is not a currency used instead of USD. It is the substrate that makes USD promises mathematically inevitable, permanently free, quantum-secure, and economically productive. You continue to earn, spend, and think in USD. The protocol handles the rest.</w:t>
      </w:r>
    </w:p>
    <w:p>
      <w:pPr>
        <w:spacing w:before="100" w:after="100"/>
      </w:pPr>
    </w:p>
    <w:p>
      <w:pPr>
        <w:pStyle w:val="Heading1"/>
        <w:spacing w:before="480" w:after="240"/>
      </w:pPr>
      <w:r>
        <w:rPr>
          <w:rFonts w:ascii="Arial" w:cs="Arial" w:eastAsia="Arial" w:hAnsi="Arial"/>
          <w:b/>
          <w:bCs/>
          <w:color w:val="1F4E79"/>
          <w:sz w:val="34"/>
          <w:szCs w:val="34"/>
        </w:rPr>
        <w:t xml:space="preserve">4. The Essential Protocol Partners</w:t>
      </w:r>
    </w:p>
    <w:p>
      <w:pPr>
        <w:spacing w:before="100" w:after="100"/>
        <w:jc w:val="both"/>
      </w:pPr>
      <w:r>
        <w:rPr>
          <w:rFonts w:ascii="Arial" w:cs="Arial" w:eastAsia="Arial" w:hAnsi="Arial"/>
          <w:sz w:val="22"/>
          <w:szCs w:val="22"/>
        </w:rPr>
        <w:t xml:space="preserve">ChronX is the protocol. Around it, six bonded organisations extend its capabilities into specialised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spacing w:before="80" w:after="80"/>
      </w:pPr>
      <w:r>
        <w:t xml:space="preserve"/>
      </w:r>
    </w:p>
    <w:p>
      <w:pPr>
        <w:spacing w:before="100" w:after="100"/>
        <w:jc w:val="both"/>
      </w:pPr>
      <w:r>
        <w:rPr>
          <w:rFonts w:ascii="Arial" w:cs="Arial" w:eastAsia="Arial" w:hAnsi="Arial"/>
          <w:sz w:val="22"/>
          <w:szCs w:val="22"/>
        </w:rPr>
        <w:t xml:space="preserve">These six partners form a self-reinforcing ecosystem. XChan provides liquidity and exchange rates. HedgeKX converts that liquidity into price certainty for lenders, savers, and insurers. KXGC backstops the entire insurance and lending stack. MISAI manages long-horizon AI investment mandates. Verifas ensures long-horizon promises reach their intended recipients. CPNX establishes institutional identity. Each partner makes the others more powerful.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4.1 MISAI — The AI Executor</w:t>
      </w:r>
    </w:p>
    <w:p>
      <w:pPr>
        <w:spacing w:before="100" w:after="10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80" w:after="80"/>
      </w:pPr>
      <w:r>
        <w:t xml:space="preserve"/>
      </w:r>
    </w:p>
    <w:p>
      <w:pPr>
        <w:spacing w:before="100" w:after="100"/>
        <w:jc w:val="both"/>
      </w:pPr>
      <w:r>
        <w:rPr>
          <w:rFonts w:ascii="Arial" w:cs="Arial" w:eastAsia="Arial" w:hAnsi="Arial"/>
          <w:sz w:val="22"/>
          <w:szCs w:val="22"/>
        </w:rPr>
        <w:t xml:space="preserve">Governance: misai_conservative_batch_only = true. Full autonomous operation requires a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4.2 Verifas — The Human Attestation Layer</w:t>
      </w:r>
    </w:p>
    <w:p>
      <w:pPr>
        <w:spacing w:before="100" w:after="100"/>
        <w:jc w:val="both"/>
      </w:pPr>
      <w:r>
        <w:rPr>
          <w:rFonts w:ascii="Arial" w:cs="Arial" w:eastAsia="Arial" w:hAnsi="Arial"/>
          <w:sz w:val="22"/>
          <w:szCs w:val="22"/>
        </w:rPr>
        <w:t xml:space="preserve">Verifas (verifas.io) is a network of bonded human attestors whose job is to ensure that long-duration promises reach their intended recipients even when wallets go offline, email addresses change, or decades pass between a promise being made and it maturing.</w:t>
      </w:r>
    </w:p>
    <w:p>
      <w:pPr>
        <w:spacing w:before="100" w:after="100"/>
      </w:pPr>
    </w:p>
    <w:p>
      <w:pPr>
        <w:spacing w:before="100" w:after="100"/>
        <w:jc w:val="both"/>
      </w:pPr>
      <w:r>
        <w:rPr>
          <w:rFonts w:ascii="Arial" w:cs="Arial" w:eastAsia="Arial" w:hAnsi="Arial"/>
          <w:sz w:val="22"/>
          <w:szCs w:val="22"/>
        </w:rPr>
        <w:t xml:space="preserve">For short-duration locks (under the governance-set threshold, currently one year), normal claim behavior applies: if unclaimed within the claim window, funds revert to sender. This is correct for operational instruments — payroll, savings deposits, friendly loans.</w:t>
      </w:r>
    </w:p>
    <w:p>
      <w:pPr>
        <w:spacing w:before="100" w:after="100"/>
      </w:pPr>
    </w:p>
    <w:p>
      <w:pPr>
        <w:spacing w:before="100" w:after="100"/>
        <w:jc w:val="both"/>
      </w:pPr>
      <w:r>
        <w:rPr>
          <w:rFonts w:ascii="Arial" w:cs="Arial" w:eastAsia="Arial" w:hAnsi="Arial"/>
          <w:sz w:val="22"/>
          <w:szCs w:val="22"/>
        </w:rPr>
        <w:t xml:space="preserve">For long-duration locks (above the governance-set threshold), the following three-stage system applies:</w:t>
      </w:r>
    </w:p>
    <w:p>
      <w:pPr>
        <w:spacing w:before="100" w:after="100"/>
      </w:pPr>
    </w:p>
    <w:p>
      <w:pPr>
        <w:spacing w:before="100" w:after="100"/>
        <w:jc w:val="both"/>
      </w:pPr>
      <w:r>
        <w:rPr>
          <w:rFonts w:ascii="Arial" w:cs="Arial" w:eastAsia="Arial" w:hAnsi="Arial"/>
          <w:sz w:val="22"/>
          <w:szCs w:val="22"/>
        </w:rPr>
        <w:t xml:space="preserve">Stage 1 — Normal claim window (governance-set, default 90 days for wallet locks, default 0 days for email locks): The recipient claims directly via wallet or email claim code. No Verifas involvement. This is the intended path for the vast majority of long-duration locks.</w:t>
      </w:r>
    </w:p>
    <w:p>
      <w:pPr>
        <w:spacing w:before="100" w:after="100"/>
      </w:pPr>
    </w:p>
    <w:p>
      <w:pPr>
        <w:spacing w:before="100" w:after="100"/>
        <w:jc w:val="both"/>
      </w:pPr>
      <w:r>
        <w:rPr>
          <w:rFonts w:ascii="Arial" w:cs="Arial" w:eastAsia="Arial" w:hAnsi="Arial"/>
          <w:sz w:val="22"/>
          <w:szCs w:val="22"/>
        </w:rPr>
        <w:t xml:space="preserve">Stage 2 — Two-party lock (begins after Stage 1 expires): The lock automatically requires two signatures to release: the recipient’s signature AND a Verifas bonded attestor confirming the claimant’s identity. Neither party has custody. The KX does not move. A hacked email address cannot claim alone — the attacker also needs Verifas to co-sign, which requires identity attestation. A legitimate slow claimant can still claim with slightly more friction. Verifas earns a governance-approved fee only at successful release — aligning their incentive with finding the correct claimant, not the fastest claimant.</w:t>
      </w:r>
    </w:p>
    <w:p>
      <w:pPr>
        <w:spacing w:before="100" w:after="100"/>
      </w:pPr>
    </w:p>
    <w:p>
      <w:pPr>
        <w:spacing w:before="100" w:after="100"/>
        <w:jc w:val="both"/>
      </w:pPr>
      <w:r>
        <w:rPr>
          <w:rFonts w:ascii="Arial" w:cs="Arial" w:eastAsia="Arial" w:hAnsi="Arial"/>
          <w:sz w:val="22"/>
          <w:szCs w:val="22"/>
        </w:rPr>
        <w:t xml:space="preserve">Stage 3 — Verifas sole custody (after governance-set extended inactivity, default 7 years in Stage 2): After years of continued inactivity, sole custody transfers to Verifas for active estate resolution. Verifas uses all available on-chain information — email hash, wallet address, CPNX identity records, DAG history — to locate the rightful claimant or their estate.</w:t>
      </w:r>
    </w:p>
    <w:p>
      <w:pPr>
        <w:spacing w:before="100" w:after="100"/>
      </w:pPr>
    </w:p>
    <w:p>
      <w:pPr>
        <w:spacing w:before="100" w:after="100"/>
        <w:jc w:val="both"/>
      </w:pPr>
      <w:r>
        <w:rPr>
          <w:rFonts w:ascii="Arial" w:cs="Arial" w:eastAsia="Arial" w:hAnsi="Arial"/>
          <w:sz w:val="22"/>
          <w:szCs w:val="22"/>
        </w:rPr>
        <w:t xml:space="preserve">Last resort — Humanity Stake (after governance-set custody window, default 100 years): If Verifas cannot locate a claimant within the custody window, KX transfers to the Humanity Stake, locked until 2126. Coins are never permanently lost.</w:t>
      </w:r>
    </w:p>
    <w:p>
      <w:pPr>
        <w:spacing w:before="100" w:after="100"/>
      </w:pPr>
    </w:p>
    <w:p>
      <w:pPr>
        <w:spacing w:before="100" w:after="100"/>
        <w:jc w:val="both"/>
      </w:pPr>
      <w:r>
        <w:rPr>
          <w:rFonts w:ascii="Arial" w:cs="Arial" w:eastAsia="Arial" w:hAnsi="Arial"/>
          <w:sz w:val="22"/>
          <w:szCs w:val="22"/>
        </w:rPr>
        <w:t xml:space="preserve">Verifas holds a 10,000,000 KX bond ensuring meaningful accountability. Verifas attestors are bonded and financially incentivised to locate claimants. For high-value long-duration locks this incentive is strong. For low-value locks, delivery through Verifas is not guaranteed — the protocol provides the mechanism, but economics governs its application.</w:t>
      </w:r>
    </w:p>
    <w:p>
      <w:pPr>
        <w:spacing w:before="100" w:after="100"/>
      </w:pPr>
    </w:p>
    <w:p>
      <w:pPr>
        <w:spacing w:before="100" w:after="100"/>
        <w:jc w:val="both"/>
      </w:pPr>
      <w:r>
        <w:rPr>
          <w:rFonts w:ascii="Arial" w:cs="Arial" w:eastAsia="Arial" w:hAnsi="Arial"/>
          <w:sz w:val="22"/>
          <w:szCs w:val="22"/>
        </w:rPr>
        <w:t xml:space="preserve">All four thresholds — Stage 1 duration, Stage 2 duration, Stage 3 custody window, and Humanity Stake window — are governance parameters adjustable without a node rebuild. In 2046, if email infrastructure has become trivially compromisable, governance can set the email lock Stage 1 window to zero seconds, ensuring all email-recipient long-duration locks enter two-party mode immediately on maturity. The mechanism is stable. The parameters are flexible. This is correct design for a 100-year protocol.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4.3 XChan — The Protocol Exchange</w:t>
      </w:r>
    </w:p>
    <w:p>
      <w:pPr>
        <w:spacing w:before="100" w:after="100"/>
        <w:jc w:val="both"/>
      </w:pPr>
      <w:r>
        <w:rPr>
          <w:rFonts w:ascii="Arial" w:cs="Arial" w:eastAsia="Arial" w:hAnsi="Arial"/>
          <w:sz w:val="22"/>
          <w:szCs w:val="22"/>
        </w:rPr>
        <w:t xml:space="preserve">XChan (xchan.io) provides two services. First: the price oracle — a 7-day volume-weighted average of KX/USDC trades — that determines how much KX is required to deliver a promised USD amount for PAY_AS instruments. Second: direct KX/USDC conversion via wKX, a publicly tradeable ERC-20 token on the Base network listed on Uniswap v3.</w:t>
      </w:r>
    </w:p>
    <w:p>
      <w:pPr>
        <w:spacing w:before="80" w:after="80"/>
      </w:pPr>
      <w:r>
        <w:t xml:space="preserve"/>
      </w:r>
    </w:p>
    <w:p>
      <w:pPr>
        <w:spacing w:before="100" w:after="100"/>
        <w:jc w:val="both"/>
      </w:pPr>
      <w:r>
        <w:rPr>
          <w:rFonts w:ascii="Arial" w:cs="Arial" w:eastAsia="Arial" w:hAnsi="Arial"/>
          <w:sz w:val="22"/>
          <w:szCs w:val="22"/>
        </w:rPr>
        <w:t xml:space="preserve">wKX (Wrapped KX) is backed by XChan conversion locks on the ChronX DAG. It is a public token — transferable, redeemable, and available on Uniswap. It is not designed as a long-term investment product; it is a liquidity mechanism for KX/USDC conversion. Total KX on ChronX DAG plus total wKX on Base always equals 8,270,000,000 KX. wKX is not new supply. It is representation.</w:t>
      </w:r>
    </w:p>
    <w:p>
      <w:pPr>
        <w:spacing w:before="80" w:after="80"/>
      </w:pPr>
      <w:r>
        <w:t xml:space="preserve"/>
      </w:r>
    </w:p>
    <w:p>
      <w:pPr>
        <w:spacing w:before="100" w:after="100"/>
        <w:jc w:val="both"/>
      </w:pPr>
      <w:r>
        <w:rPr>
          <w:rFonts w:ascii="Arial" w:cs="Arial" w:eastAsia="Arial" w:hAnsi="Arial"/>
          <w:sz w:val="22"/>
          <w:szCs w:val="22"/>
        </w:rPr>
        <w:t xml:space="preserve">XChan holds a 10,000,000 KX bond. In the future XChan may license third-party conversion services.</w:t>
      </w:r>
    </w:p>
    <w:p>
      <w:pPr>
        <w:spacing w:before="80" w:after="80"/>
      </w:pPr>
      <w:r>
        <w:t xml:space="preserve"/>
      </w:r>
    </w:p>
    <w:p>
      <w:pPr>
        <w:spacing w:before="100" w:after="100"/>
        <w:jc w:val="both"/>
      </w:pPr>
      <w:r>
        <w:rPr>
          <w:rFonts w:ascii="Arial" w:cs="Arial" w:eastAsia="Arial" w:hAnsi="Arial"/>
          <w:sz w:val="22"/>
          <w:szCs w:val="22"/>
        </w:rPr>
        <w:t xml:space="preserve">Contract addresses: wKX on Base: 0x0BBC24a0cBBC5d3fF1B9b90ce5195fC04FE0dD56. Uniswap v3 pool: 0x0B1865E9519EFf7De80539d986C5abCC5e8667De (wKX/USDC, 1% fee).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4.4 HedgeKX — The Forward Exchange Engine</w:t>
      </w:r>
    </w:p>
    <w:p>
      <w:pPr>
        <w:spacing w:before="100" w:after="100"/>
        <w:jc w:val="both"/>
      </w:pPr>
      <w:r>
        <w:rPr>
          <w:rFonts w:ascii="Arial" w:cs="Arial" w:eastAsia="Arial" w:hAnsi="Arial"/>
          <w:sz w:val="22"/>
          <w:szCs w:val="22"/>
        </w:rPr>
        <w:t xml:space="preserve">HedgeKX (hedgekx.io) is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When KX is locked in a savings account or a long-term promise, it sits dormant — protected, immovable, guaranteed to return. HedgeKX changes this without changing anything about the protection. Every TYPE_Y lock automatically grants HedgeKX a time-limited minting mandate: permission to create an internal settlement token called h1KX on the Base network, backed 1:1 by the locked KX, for up to 24 hours at a time. HedgeKX uses h1KX exclusively as an intraday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h1KX is not wKX. It is not public. It cannot be transferred, held, or traded by anyone. It burns automatically every 24 hours. It exists only inside HedgeKX's settlement infrastructure as a mathematical accounting record.</w:t>
      </w:r>
    </w:p>
    <w:p>
      <w:pPr>
        <w:spacing w:before="80" w:after="80"/>
      </w:pPr>
      <w:r>
        <w:t xml:space="preserve"/>
      </w:r>
    </w:p>
    <w:p>
      <w:pPr>
        <w:spacing w:before="100" w:after="100"/>
        <w:jc w:val="both"/>
      </w:pPr>
      <w:r>
        <w:rPr>
          <w:rFonts w:ascii="Arial" w:cs="Arial" w:eastAsia="Arial" w:hAnsi="Arial"/>
          <w:b/>
          <w:bCs/>
          <w:sz w:val="22"/>
          <w:szCs w:val="22"/>
        </w:rPr>
        <w:t xml:space="preserve">The guarantee that never changes:</w:t>
      </w:r>
    </w:p>
    <w:p>
      <w:pPr>
        <w:spacing w:before="100" w:after="100"/>
        <w:jc w:val="both"/>
      </w:pPr>
      <w:r>
        <w:rPr>
          <w:rFonts w:ascii="Arial" w:cs="Arial" w:eastAsia="Arial" w:hAnsi="Arial"/>
          <w:sz w:val="22"/>
          <w:szCs w:val="22"/>
        </w:rPr>
        <w:t xml:space="preserve">No one committing KX for yield can ever lose their KX. Because they never give it up. The KX remains locked on the ChronX DAG, owned by the lock holder, protected by post-quantum cryptography. The mandate grants HedgeKX a temporary minting right — not ownership, not custody, not collateral, not a lien. At maturity, the protocol automatically unlocks the KX and returns it to the owner. This happens regardless of what HedgeKX does, regardless of whether HedgeKX exists, regardless of whether Base exists. The guarantee is enforced by the ChronX DAG's consensus rules — mathematics, not institutional goodwill.</w:t>
      </w:r>
    </w:p>
    <w:p>
      <w:pPr>
        <w:spacing w:before="80" w:after="80"/>
      </w:pPr>
      <w:r>
        <w:t xml:space="preserve"/>
      </w:r>
    </w:p>
    <w:p>
      <w:pPr>
        <w:spacing w:before="100" w:after="100"/>
        <w:jc w:val="both"/>
      </w:pPr>
      <w:r>
        <w:rPr>
          <w:rFonts w:ascii="Arial" w:cs="Arial" w:eastAsia="Arial" w:hAnsi="Arial"/>
          <w:b/>
          <w:bCs/>
          <w:sz w:val="22"/>
          <w:szCs w:val="22"/>
        </w:rPr>
        <w:t xml:space="preserve">What yield means:</w:t>
      </w:r>
    </w:p>
    <w:p>
      <w:pPr>
        <w:spacing w:before="100" w:after="100"/>
        <w:jc w:val="both"/>
      </w:pPr>
      <w:r>
        <w:rPr>
          <w:rFonts w:ascii="Arial" w:cs="Arial" w:eastAsia="Arial" w:hAnsi="Arial"/>
          <w:sz w:val="22"/>
          <w:szCs w:val="22"/>
        </w:rPr>
        <w:t xml:space="preserve">HedgeKX earns facilitation income when it matches Exchange Buyers (parties needing price certainty) with Currency B Committers (parties willing to commit USDC in exchange for yield). When a mandate is actively used in a matched transaction, yield accrues to the beneficiary of the promise — not to the grantor. If Bob makes a 20-year promise to Mary, yield credits to Mary's separate yield balance on the DAG. Mary's yield balance never decreases. It can be claimed at any time. On days when HedgeKX has no matching activity, yield is zero for that day. Principal is unaffected.</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A grantor who wishes to make a TYPE_Y promise without granting a HedgeKX mandate — for tax reasons, for simplicity, or by personal preference — may set yield_opt_out at lock creation. The lock behaves identically to a standard time-locked promise. No mandate is granted. No yield accrues. The principal guarantee is identical.</w:t>
      </w:r>
    </w:p>
    <w:p>
      <w:pPr>
        <w:spacing w:before="80" w:after="80"/>
      </w:pPr>
      <w:r>
        <w:t xml:space="preserve"/>
      </w:r>
    </w:p>
    <w:p>
      <w:pPr>
        <w:spacing w:before="100" w:after="100"/>
        <w:jc w:val="both"/>
      </w:pPr>
      <w:r>
        <w:rPr>
          <w:rFonts w:ascii="Arial" w:cs="Arial" w:eastAsia="Arial" w:hAnsi="Arial"/>
          <w:b/>
          <w:bCs/>
          <w:sz w:val="22"/>
          <w:szCs w:val="22"/>
        </w:rPr>
        <w:t xml:space="preserve">The market develops gradually:</w:t>
      </w:r>
    </w:p>
    <w:p>
      <w:pPr>
        <w:spacing w:before="100" w:after="100"/>
        <w:jc w:val="both"/>
      </w:pPr>
      <w:r>
        <w:rPr>
          <w:rFonts w:ascii="Arial" w:cs="Arial" w:eastAsia="Arial" w:hAnsi="Arial"/>
          <w:sz w:val="22"/>
          <w:szCs w:val="22"/>
        </w:rPr>
        <w:t xml:space="preserve">HedgeKX launches in founding phase with overnight instruments only and a $250 daily governance cap. This is honest: pricing multi-year hedges requires price history that does not yet exist at launch. Governance expands instrument duration as the market matures and volatility data accumulates. The flywheel — savings providing mandate capacity, HedgeKX providing yield, yield attracting more savings — is the mature state. It develops over time. Appendix O contains the complete HedgeKX technical and risk reference.</w:t>
      </w:r>
    </w:p>
    <w:p>
      <w:pPr>
        <w:spacing w:before="80" w:after="80"/>
      </w:pPr>
      <w:r>
        <w:t xml:space="preserve"/>
      </w:r>
    </w:p>
    <w:p>
      <w:pPr>
        <w:spacing w:before="100" w:after="100"/>
        <w:jc w:val="both"/>
      </w:pPr>
      <w:r>
        <w:rPr>
          <w:rFonts w:ascii="Arial" w:cs="Arial" w:eastAsia="Arial" w:hAnsi="Arial"/>
          <w:b/>
          <w:bCs/>
          <w:sz w:val="22"/>
          <w:szCs w:val="22"/>
        </w:rPr>
        <w:t xml:space="preserve">HedgeKX's constraints are protocol-enforced, not policy:</w:t>
      </w:r>
    </w:p>
    <w:p>
      <w:pPr>
        <w:spacing w:before="100" w:after="100"/>
        <w:jc w:val="both"/>
      </w:pPr>
      <w:r>
        <w:rPr>
          <w:rFonts w:ascii="Arial" w:cs="Arial" w:eastAsia="Arial" w:hAnsi="Arial"/>
          <w:sz w:val="22"/>
          <w:szCs w:val="22"/>
        </w:rPr>
        <w:t xml:space="preserve">HedgeKX cannot mint h1KX beyond the verified mandate pool. It cannot extend h1KX beyond 24 hours. It cannot access locked KX under any circumstances. It cannot exceed its governance-set market making limit. These are conditions the protocol enforces upon it — not commitments it makes.</w:t>
      </w:r>
    </w:p>
    <w:p>
      <w:pPr>
        <w:spacing w:before="80" w:after="80"/>
      </w:pPr>
      <w:r>
        <w:t xml:space="preserve"/>
      </w:r>
    </w:p>
    <w:p>
      <w:pPr>
        <w:spacing w:before="100" w:after="100"/>
        <w:jc w:val="both"/>
      </w:pPr>
      <w:r>
        <w:rPr>
          <w:rFonts w:ascii="Arial" w:cs="Arial" w:eastAsia="Arial" w:hAnsi="Arial"/>
          <w:b/>
          <w:bCs/>
          <w:sz w:val="22"/>
          <w:szCs w:val="22"/>
        </w:rPr>
        <w:t xml:space="preserve">The hNKX family:</w:t>
      </w:r>
    </w:p>
    <w:p>
      <w:pPr>
        <w:spacing w:before="100" w:after="100"/>
        <w:jc w:val="both"/>
      </w:pPr>
      <w:r>
        <w:rPr>
          <w:rFonts w:ascii="Arial" w:cs="Arial" w:eastAsia="Arial" w:hAnsi="Arial"/>
          <w:sz w:val="22"/>
          <w:szCs w:val="22"/>
        </w:rPr>
        <w:t xml:space="preserve">USDC is the first currency pair for HedgeKX hedging, using h1KX as the internal settlement token. As governance approves additional pairs — BTC (h2KX), ETH (h3KX), and so on — each deploys as a separate contract without modifying existing h1KX operations. The naming convention reflects the protocol's 100-year design horizon.</w:t>
      </w:r>
    </w:p>
    <w:p>
      <w:pPr>
        <w:spacing w:before="80" w:after="80"/>
      </w:pPr>
      <w:r>
        <w:t xml:space="preserve"/>
      </w:r>
    </w:p>
    <w:p>
      <w:pPr>
        <w:pStyle w:val="Heading3"/>
        <w:spacing w:before="240" w:after="120"/>
      </w:pPr>
      <w:r>
        <w:rPr>
          <w:rFonts w:ascii="Arial" w:cs="Arial" w:eastAsia="Arial" w:hAnsi="Arial"/>
          <w:b/>
          <w:bCs/>
          <w:color w:val="1F4E79"/>
          <w:sz w:val="24"/>
          <w:szCs w:val="24"/>
        </w:rPr>
        <w:t xml:space="preserve">Three Natural Currency B Committer Pools</w:t>
      </w:r>
    </w:p>
    <w:p>
      <w:pPr>
        <w:spacing w:before="100" w:after="100"/>
      </w:pPr>
    </w:p>
    <w:p>
      <w:pPr>
        <w:spacing w:before="100" w:after="100"/>
        <w:jc w:val="both"/>
      </w:pPr>
      <w:r>
        <w:rPr>
          <w:rFonts w:ascii="Arial" w:cs="Arial" w:eastAsia="Arial" w:hAnsi="Arial"/>
          <w:sz w:val="22"/>
          <w:szCs w:val="22"/>
        </w:rPr>
        <w:t xml:space="preserve">HedgeKX’s Currency B Committer pool has three natural sources that exist independently of external market speculation, providing organic rational demand from the first day of operation.</w:t>
      </w:r>
    </w:p>
    <w:p>
      <w:pPr>
        <w:spacing w:before="100" w:after="100"/>
      </w:pPr>
    </w:p>
    <w:p>
      <w:pPr>
        <w:spacing w:before="100" w:after="100"/>
        <w:jc w:val="both"/>
      </w:pPr>
      <w:r>
        <w:rPr>
          <w:rFonts w:ascii="Arial" w:cs="Arial" w:eastAsia="Arial" w:hAnsi="Arial"/>
          <w:sz w:val="22"/>
          <w:szCs w:val="22"/>
        </w:rPr>
        <w:t xml:space="preserve">Pool 1 — Loan settlement liquidity. For friendly loans and PAY_AS loans, the Currency B Committer provides USDC as settlement liquidity for collateralized loans with contractually obligated repayment. The borrower must repay. Settlement is automatic — time plus repayment (or absence of repayment) is the complete mechanism. No oracle. No attestation. No optionality. The Currency B Committer earns approximately 12% annualized on 30-day instruments and receives KX collateral at the locked rate if the borrower defaults. This is not speculation on KX’s price — it is provision of settlement liquidity for a known collateralized instrument.</w:t>
      </w:r>
    </w:p>
    <w:p>
      <w:pPr>
        <w:spacing w:before="100" w:after="100"/>
      </w:pPr>
    </w:p>
    <w:p>
      <w:pPr>
        <w:spacing w:before="100" w:after="100"/>
        <w:jc w:val="both"/>
      </w:pPr>
      <w:r>
        <w:rPr>
          <w:rFonts w:ascii="Arial" w:cs="Arial" w:eastAsia="Arial" w:hAnsi="Arial"/>
          <w:sz w:val="22"/>
          <w:szCs w:val="22"/>
        </w:rPr>
        <w:t xml:space="preserve">Pool 2 — KXGC premium float. KXGC receives insurance premiums in USDC. Those premiums sit as reserves against future claims. KXGC deploys this reserve as a Currency B Committer — earning yield on its float while simultaneously hedging its own claim liabilities as an Exchange Buyer. KXGC is the natural two-sided participant: it locks KX as collateral when hedging claims (Exchange Buyer) and commits USDC premium income when deploying reserves (Currency B Committer). This is standard insurance treasury management — not speculation.</w:t>
      </w:r>
    </w:p>
    <w:p>
      <w:pPr>
        <w:spacing w:before="100" w:after="100"/>
      </w:pPr>
    </w:p>
    <w:p>
      <w:pPr>
        <w:spacing w:before="100" w:after="100"/>
        <w:jc w:val="both"/>
      </w:pPr>
      <w:r>
        <w:rPr>
          <w:rFonts w:ascii="Arial" w:cs="Arial" w:eastAsia="Arial" w:hAnsi="Arial"/>
          <w:sz w:val="22"/>
          <w:szCs w:val="22"/>
        </w:rPr>
        <w:t xml:space="preserve">Pool 3 — External yield-seeking capital. As the ecosystem matures, short-duration collateralized instruments with observable repayment statistics and known yield history attract external capital seeking stable returns. This pool develops over time as Pools 1 and 2 establish the track record that makes rational external participation straightforward.</w:t>
      </w:r>
    </w:p>
    <w:p>
      <w:pPr>
        <w:spacing w:before="100" w:after="100"/>
      </w:pPr>
    </w:p>
    <w:p>
      <w:pPr>
        <w:spacing w:before="100" w:after="100"/>
        <w:jc w:val="both"/>
      </w:pPr>
      <w:r>
        <w:rPr>
          <w:rFonts w:ascii="Arial" w:cs="Arial" w:eastAsia="Arial" w:hAnsi="Arial"/>
          <w:sz w:val="22"/>
          <w:szCs w:val="22"/>
        </w:rPr>
        <w:t xml:space="preserve">These three pools mean HedgeKX has genuine two-sided flow from its first day of operation — not from speculators betting on KX, but from participants providing settlement liquidity for real obligations that must be discharged.</w:t>
      </w:r>
    </w:p>
    <w:p>
      <w:pPr>
        <w:spacing w:before="100" w:after="100"/>
      </w:pPr>
    </w:p>
    <w:p>
      <w:pPr>
        <w:spacing w:before="100" w:after="100"/>
        <w:jc w:val="both"/>
      </w:pPr>
      <w:r>
        <w:rPr>
          <w:rFonts w:ascii="Arial" w:cs="Arial" w:eastAsia="Arial" w:hAnsi="Arial"/>
          <w:sz w:val="22"/>
          <w:szCs w:val="22"/>
        </w:rPr>
        <w:t xml:space="preserve">HedgeKX holds a 10,000,000 KX bond. Governance parameters: hedgekx_max_daily_exposure_usd = $250. hedgekx_max_instrument_duration_seconds = 86,400 (24 hours). Both subject to governance expansion.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4.5 CPNX — Identity and Badges</w:t>
      </w:r>
    </w:p>
    <w:p>
      <w:pPr>
        <w:spacing w:before="100" w:after="10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4.6 KXGC — KX Guarantee Co.</w:t>
      </w:r>
    </w:p>
    <w:p>
      <w:pPr>
        <w:spacing w:before="100" w:after="100"/>
      </w:pPr>
    </w:p>
    <w:p>
      <w:pPr>
        <w:spacing w:before="100" w:after="100"/>
        <w:jc w:val="both"/>
      </w:pPr>
      <w:r>
        <w:rPr>
          <w:rFonts w:ascii="Arial" w:cs="Arial" w:eastAsia="Arial" w:hAnsi="Arial"/>
          <w:sz w:val="22"/>
          <w:szCs w:val="22"/>
        </w:rPr>
        <w:t xml:space="preserve">KXGC (kxgc.io) is the capital of last resort for the entire ChronX insurance and lending stack. It holds 300,000,000 KX in fully-reserved catastrophic bond capital — permanently visible on the DAG, queryable by anyone, at any time. KXGC operates the Lloyd’s of London model: a three-tier hierarchy of bonded guarantors. Tier 0 (KXGC, 300M KX, never writes policies directly). Tier 1 (bonded Names, 5—25M KX each, write guarantee instruments, bond the first portion of claims before KXGC’s backstop is ever touched). Tier 2 (retail pools, backed by Tier 1 sponsors).</w:t>
      </w:r>
    </w:p>
    <w:p>
      <w:pPr>
        <w:spacing w:before="100" w:after="100"/>
      </w:pPr>
    </w:p>
    <w:p>
      <w:pPr>
        <w:spacing w:before="100" w:after="100"/>
        <w:jc w:val="both"/>
      </w:pPr>
      <w:r>
        <w:rPr>
          <w:rFonts w:ascii="Arial" w:cs="Arial" w:eastAsia="Arial" w:hAnsi="Arial"/>
          <w:sz w:val="22"/>
          <w:szCs w:val="22"/>
        </w:rPr>
        <w:t xml:space="preserve">KXGC provides the backstop that makes PAY_AS insurance, long-horizon lending, and multi-party conditional payments viable at scale. KXGC is also the primary institutional Exchange Buyer for HedgeKX — the largest single source of structured hedging demand as it writes insurance policies requiring currency certainty.</w:t>
      </w:r>
    </w:p>
    <w:p>
      <w:pPr>
        <w:spacing w:before="100" w:after="100"/>
      </w:pPr>
    </w:p>
    <w:p>
      <w:pPr>
        <w:spacing w:before="100" w:after="100"/>
        <w:jc w:val="both"/>
      </w:pPr>
      <w:r>
        <w:rPr>
          <w:rFonts w:ascii="Arial" w:cs="Arial" w:eastAsia="Arial" w:hAnsi="Arial"/>
          <w:sz w:val="22"/>
          <w:szCs w:val="22"/>
        </w:rPr>
        <w:t xml:space="preserve">KXGC operates on a 100-year horizon. There is no requirement — and no pressure — to begin underwriting at launch. The 300M KX catastrophic bond exists to provide an unconditional backstop when the market is ready, not to manufacture activity before it is. Tier 1 Names are admitted by KXGC when they demonstrate genuine expertise, adequate personal bonding, and a prudent underwriting philosophy. The first policy written on ChronX will be written when a qualified Name believes the market conditions, the protocol’s track record, and the available hedge capacity make it responsible to do so. Not before.</w:t>
      </w:r>
    </w:p>
    <w:p>
      <w:pPr>
        <w:spacing w:before="100" w:after="100"/>
      </w:pPr>
    </w:p>
    <w:p>
      <w:pPr>
        <w:spacing w:before="100" w:after="100"/>
        <w:jc w:val="both"/>
      </w:pPr>
      <w:r>
        <w:rPr>
          <w:rFonts w:ascii="Arial" w:cs="Arial" w:eastAsia="Arial" w:hAnsi="Arial"/>
          <w:sz w:val="22"/>
          <w:szCs w:val="22"/>
        </w:rPr>
        <w:t xml:space="preserve">In addition to the catastrophic bond, KXGC holds 200,000,000 KX in operating capital, vesting in annual tranches from 2027 to 2036. This working capital funds policy underwriting liquidity, claim payment float, and hedge collateral as the market develops. The vesting schedule front-loads small tranches in the early years — when KXGC has no active policies — and delivers larger tranches in later years when an established policy book and admitted Tier 1 Names create genuine operational need. The cascade structure means most of this capital does not yet exist as spendable KX, providing an additional layer of market protection.</w:t>
      </w:r>
    </w:p>
    <w:p>
      <w:pPr>
        <w:spacing w:before="100" w:after="100"/>
      </w:pPr>
    </w:p>
    <w:p>
      <w:pPr>
        <w:spacing w:before="100" w:after="100"/>
        <w:jc w:val="both"/>
      </w:pPr>
      <w:r>
        <w:rPr>
          <w:rFonts w:ascii="Arial" w:cs="Arial" w:eastAsia="Arial" w:hAnsi="Arial"/>
          <w:sz w:val="22"/>
          <w:szCs w:val="22"/>
        </w:rPr>
        <w:t xml:space="preserve">The Tier 1 bonding requirement is the mechanism that makes KXGC prudent rather than reckless: Tier 1 Names bond the first portion of claims before KXGC’s backstop is ever touched. A Tier 1 Name must exhaust their own bond before KXGC steps in. This personal exposure gives Tier 1 Names strong incentive to underwrite carefully, price correctly, and maintain adequate reserves. KXGC only absorbs what survives both the Tier 1 and Tier 2 layers. This is the Lloyd’s Names model encoded in the protocol.</w:t>
      </w:r>
    </w:p>
    <w:p>
      <w:pPr>
        <w:spacing w:before="100" w:after="100"/>
      </w:pPr>
    </w:p>
    <w:p>
      <w:pPr>
        <w:spacing w:before="100" w:after="100"/>
        <w:jc w:val="both"/>
      </w:pPr>
      <w:r>
        <w:rPr>
          <w:rFonts w:ascii="Arial" w:cs="Arial" w:eastAsia="Arial" w:hAnsi="Arial"/>
          <w:sz w:val="22"/>
          <w:szCs w:val="22"/>
        </w:rPr>
        <w:t xml:space="preserve">Catastrophic bond wallet: BqjGDbhzLJJgzpVywRxug4wTa2Qqtwipc1hkcLLJsWzF</w:t>
      </w:r>
    </w:p>
    <w:p>
      <w:pPr>
        <w:spacing w:before="100" w:after="100"/>
      </w:pPr>
    </w:p>
    <w:p>
      <w:pPr>
        <w:spacing w:before="100" w:after="100"/>
        <w:jc w:val="both"/>
      </w:pPr>
      <w:r>
        <w:rPr>
          <w:rFonts w:ascii="Arial" w:cs="Arial" w:eastAsia="Arial" w:hAnsi="Arial"/>
          <w:sz w:val="22"/>
          <w:szCs w:val="22"/>
        </w:rPr>
        <w:t xml:space="preserve">Operating capital wallet: G2aH9NfRFo5gdLTMjNqCRv4PkcKKEHLD99Y8vhQwSgeV</w:t>
      </w:r>
    </w:p>
    <w:p>
      <w:pPr>
        <w:spacing w:before="100" w:after="100"/>
      </w:pPr>
    </w:p>
    <w:p>
      <w:pPr>
        <w:pStyle w:val="Heading1"/>
        <w:spacing w:before="480" w:after="240"/>
      </w:pPr>
      <w:r>
        <w:rPr>
          <w:rFonts w:ascii="Arial" w:cs="Arial" w:eastAsia="Arial" w:hAnsi="Arial"/>
          <w:b/>
          <w:bCs/>
          <w:color w:val="1F4E79"/>
          <w:sz w:val="34"/>
          <w:szCs w:val="34"/>
        </w:rPr>
        <w:t xml:space="preserve">4.7 Savings — Protocol-Guaranteed Principal</w:t>
      </w:r>
    </w:p>
    <w:p>
      <w:pPr>
        <w:pBdr>
          <w:left w:val="single" w:color="2E75B6" w:sz="8" w:space="12"/>
        </w:pBdr>
        <w:spacing w:before="160" w:after="160"/>
        <w:ind w:left="720" w:right="720"/>
      </w:pPr>
      <w:r>
        <w:rPr>
          <w:rFonts w:ascii="Arial" w:cs="Arial" w:eastAsia="Arial" w:hAnsi="Arial"/>
          <w:i/>
          <w:iCs/>
          <w:sz w:val="22"/>
          <w:szCs w:val="22"/>
        </w:rPr>
        <w:t xml:space="preserve">"Your savings principal is guaranteed by the ChronX protocol — secured by mathematics, not by a bank."</w:t>
      </w:r>
    </w:p>
    <w:p>
      <w:pPr>
        <w:spacing w:before="80" w:after="80"/>
      </w:pPr>
      <w:r>
        <w:t xml:space="preserve"/>
      </w:r>
    </w:p>
    <w:p>
      <w:pPr>
        <w:spacing w:before="100" w:after="100"/>
        <w:jc w:val="both"/>
      </w:pPr>
      <w:r>
        <w:rPr>
          <w:rFonts w:ascii="Arial" w:cs="Arial" w:eastAsia="Arial" w:hAnsi="Arial"/>
          <w:sz w:val="22"/>
          <w:szCs w:val="22"/>
        </w:rPr>
        <w:t xml:space="preserve">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w:t>
      </w:r>
    </w:p>
    <w:p>
      <w:pPr>
        <w:spacing w:before="80" w:after="80"/>
      </w:pPr>
      <w:r>
        <w:t xml:space="preserve"/>
      </w:r>
    </w:p>
    <w:p>
      <w:pPr>
        <w:spacing w:before="100" w:after="100"/>
        <w:jc w:val="both"/>
      </w:pPr>
      <w:r>
        <w:rPr>
          <w:rFonts w:ascii="Arial" w:cs="Arial" w:eastAsia="Arial" w:hAnsi="Arial"/>
          <w:sz w:val="22"/>
          <w:szCs w:val="22"/>
        </w:rPr>
        <w:t xml:space="preserve">No bank can make this statement about a yield-bearing product. A bank's promise to return principal depends on solvency, insurance, and government discretion. ChronX's guarantee depends only on mathematics.</w:t>
      </w:r>
    </w:p>
    <w:p>
      <w:pPr>
        <w:spacing w:before="80" w:after="80"/>
      </w:pPr>
      <w:r>
        <w:t xml:space="preserve"/>
      </w:r>
    </w:p>
    <w:p>
      <w:pPr>
        <w:spacing w:before="100" w:after="100"/>
        <w:jc w:val="both"/>
      </w:pPr>
      <w:r>
        <w:rPr>
          <w:rFonts w:ascii="Arial" w:cs="Arial" w:eastAsia="Arial" w:hAnsi="Arial"/>
          <w:b/>
          <w:bCs/>
          <w:sz w:val="22"/>
          <w:szCs w:val="22"/>
        </w:rPr>
        <w:t xml:space="preserve">Yield:</w:t>
      </w:r>
    </w:p>
    <w:p>
      <w:pPr>
        <w:spacing w:before="100" w:after="100"/>
        <w:jc w:val="both"/>
      </w:pPr>
      <w:r>
        <w:rPr>
          <w:rFonts w:ascii="Arial" w:cs="Arial" w:eastAsia="Arial" w:hAnsi="Arial"/>
          <w:sz w:val="22"/>
          <w:szCs w:val="22"/>
        </w:rPr>
        <w:t xml:space="preserve">Yield is separate from principal and is not guaranteed. It comes from HedgeKX's facilitation activity — when HedgeKX uses the lock's mandate for an active matched transaction, it pays a share of its income to the yield balance of the promise's beneficiary. Yield accumulates in a separate balance on the DAG that never decreases — once credited, it is permanent and claimable at any time. On days when HedgeKX has no activity, yield is zero for that day. The principal is unaffected. Maximum loss to a saver in any scenario: zero principal.</w:t>
      </w:r>
    </w:p>
    <w:p>
      <w:pPr>
        <w:spacing w:before="80" w:after="80"/>
      </w:pPr>
      <w:r>
        <w:t xml:space="preserve"/>
      </w:r>
    </w:p>
    <w:p>
      <w:pPr>
        <w:spacing w:before="100" w:after="100"/>
        <w:jc w:val="both"/>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who prefer not to grant a HedgeKX mandate — for tax or other reasons — may set yield_opt_out at creation. Principal protection is identical.</w:t>
      </w:r>
    </w:p>
    <w:p>
      <w:r>
        <w:br w:type="page"/>
      </w:r>
    </w:p>
    <w:p>
      <w:pPr>
        <w:pStyle w:val="Heading1"/>
        <w:spacing w:before="480" w:after="240"/>
      </w:pPr>
      <w:r>
        <w:rPr>
          <w:rFonts w:ascii="Arial" w:cs="Arial" w:eastAsia="Arial" w:hAnsi="Arial"/>
          <w:b/>
          <w:bCs/>
          <w:color w:val="1F4E79"/>
          <w:sz w:val="34"/>
          <w:szCs w:val="34"/>
        </w:rPr>
        <w:t xml:space="preserve">4.8 Friendly Loans — Promises Between People</w:t>
      </w:r>
    </w:p>
    <w:p>
      <w:pPr>
        <w:spacing w:before="100" w:after="100"/>
        <w:jc w:val="both"/>
      </w:pPr>
      <w:r>
        <w:rPr>
          <w:rFonts w:ascii="Arial" w:cs="Arial" w:eastAsia="Arial" w:hAnsi="Arial"/>
          <w:sz w:val="22"/>
          <w:szCs w:val="22"/>
        </w:rPr>
        <w:t xml:space="preserve">A friendly loan is a promise between two people: I will send you KX now, and you will return its USD equivalent within 30 days. ChronX enforces both sides automatically.</w:t>
      </w:r>
    </w:p>
    <w:p>
      <w:pPr>
        <w:spacing w:before="80" w:after="80"/>
      </w:pPr>
      <w:r>
        <w:t xml:space="preserve"/>
      </w:r>
    </w:p>
    <w:p>
      <w:pPr>
        <w:spacing w:before="100" w:after="100"/>
        <w:jc w:val="both"/>
      </w:pPr>
      <w:r>
        <w:rPr>
          <w:rFonts w:ascii="Arial" w:cs="Arial" w:eastAsia="Arial" w:hAnsi="Arial"/>
          <w:sz w:val="22"/>
          <w:szCs w:val="22"/>
        </w:rPr>
        <w:t xml:space="preserve">The cost is a hedge fee — currently 1% for 30 days by governance — paid to HedgeKX for providing the currency certainty that backs the promise. Governance sets both the fee rate and the maximum duration. These parameters will expand as the HedgeKX market matures. This is not interest — it is the cost of guaranteeing that the lender receives USD equivalent value regardless of what KX does during the loan period. There is no compounding, no late fee structure beyond what the lender specifies, and no hidden charges.</w:t>
      </w:r>
    </w:p>
    <w:p>
      <w:pPr>
        <w:spacing w:before="80" w:after="80"/>
      </w:pPr>
      <w:r>
        <w:t xml:space="preserve"/>
      </w:r>
    </w:p>
    <w:p>
      <w:pPr>
        <w:spacing w:before="100" w:after="100"/>
        <w:jc w:val="both"/>
      </w:pPr>
      <w:r>
        <w:rPr>
          <w:rFonts w:ascii="Arial" w:cs="Arial" w:eastAsia="Arial" w:hAnsi="Arial"/>
          <w:b/>
          <w:bCs/>
          <w:sz w:val="22"/>
          <w:szCs w:val="22"/>
        </w:rPr>
        <w:t xml:space="preserve">How it works:</w:t>
      </w:r>
    </w:p>
    <w:p>
      <w:pPr>
        <w:spacing w:before="100" w:after="100"/>
        <w:jc w:val="both"/>
      </w:pPr>
      <w:r>
        <w:rPr>
          <w:rFonts w:ascii="Arial" w:cs="Arial" w:eastAsia="Arial" w:hAnsi="Arial"/>
          <w:sz w:val="22"/>
          <w:szCs w:val="22"/>
        </w:rPr>
        <w:t xml:space="preserve">The sender requests a 10-second locked quote from HedgeKX. HedgeKX reserves the hedge capacity. The sender confirms within 10 seconds. The hedge and the promise are created atomically — the promise cannot activate without an active hedge in place. The borrower receives KX immediately. On the due date, the borrower returns the KX equivalent of the original USD amount at the current exchange rate. The hedge ensures the lender receives full USD value regardless of rate movements.</w:t>
      </w:r>
    </w:p>
    <w:p>
      <w:pPr>
        <w:spacing w:before="80" w:after="80"/>
      </w:pPr>
      <w:r>
        <w:t xml:space="preserve"/>
      </w:r>
    </w:p>
    <w:p>
      <w:pPr>
        <w:spacing w:before="100" w:after="100"/>
        <w:jc w:val="both"/>
      </w:pPr>
      <w:r>
        <w:rPr>
          <w:rFonts w:ascii="Arial" w:cs="Arial" w:eastAsia="Arial" w:hAnsi="Arial"/>
          <w:b/>
          <w:bCs/>
          <w:sz w:val="22"/>
          <w:szCs w:val="22"/>
        </w:rPr>
        <w:t xml:space="preserve">Availability:</w:t>
      </w:r>
    </w:p>
    <w:p>
      <w:pPr>
        <w:spacing w:before="100" w:after="100"/>
        <w:jc w:val="both"/>
      </w:pPr>
      <w:r>
        <w:rPr>
          <w:rFonts w:ascii="Arial" w:cs="Arial" w:eastAsia="Arial" w:hAnsi="Arial"/>
          <w:sz w:val="22"/>
          <w:szCs w:val="22"/>
        </w:rPr>
        <w:t xml:space="preserve">Friendly loans require a live HedgeKX hedge. Governance prioritises friendly loan requests when HedgeKX capacity is limited — if a friendly loan request and another hedge request arrive simultaneously, the friendly loan is served first. The effective maximum per transaction is governed by available HedgeKX capacity; as the ecosystem deepens post-ICO, this cap rises automatically. Current governance cap: $250 per transaction.</w:t>
      </w:r>
    </w:p>
    <w:p>
      <w:pPr>
        <w:spacing w:before="80" w:after="80"/>
      </w:pPr>
      <w:r>
        <w:t xml:space="preserve"/>
      </w:r>
    </w:p>
    <w:p>
      <w:pPr>
        <w:spacing w:before="100" w:after="100"/>
        <w:jc w:val="both"/>
      </w:pPr>
      <w:r>
        <w:rPr>
          <w:rFonts w:ascii="Arial" w:cs="Arial" w:eastAsia="Arial" w:hAnsi="Arial"/>
          <w:b/>
          <w:bCs/>
          <w:sz w:val="22"/>
          <w:szCs w:val="22"/>
        </w:rPr>
        <w:t xml:space="preserve">If HedgeKX is paused:</w:t>
      </w:r>
    </w:p>
    <w:p>
      <w:pPr>
        <w:spacing w:before="100" w:after="100"/>
        <w:jc w:val="both"/>
      </w:pPr>
      <w:r>
        <w:rPr>
          <w:rFonts w:ascii="Arial" w:cs="Arial" w:eastAsia="Arial" w:hAnsi="Arial"/>
          <w:sz w:val="22"/>
          <w:szCs w:val="22"/>
        </w:rPr>
        <w:t xml:space="preserve">Friendly loans are unavailable. This is correct design: a loan that cannot be hedged for currency risk cannot be made. Existing loans continue to maturity normally.</w:t>
      </w:r>
    </w:p>
    <w:p>
      <w:pPr>
        <w:spacing w:before="80" w:after="80"/>
      </w:pPr>
      <w:r>
        <w:t xml:space="preserve"/>
      </w:r>
    </w:p>
    <w:p>
      <w:pPr>
        <w:spacing w:before="100" w:after="100"/>
        <w:jc w:val="both"/>
      </w:pPr>
      <w:r>
        <w:rPr>
          <w:rFonts w:ascii="Arial" w:cs="Arial" w:eastAsia="Arial" w:hAnsi="Arial"/>
          <w:sz w:val="22"/>
          <w:szCs w:val="22"/>
        </w:rPr>
        <w:t xml:space="preserve">Full technical specification: Appendix B (Bilateral Promises).</w:t>
      </w:r>
    </w:p>
    <w:p>
      <w:r>
        <w:br w:type="page"/>
      </w:r>
    </w:p>
    <w:p>
      <w:pPr>
        <w:pStyle w:val="Heading1"/>
        <w:spacing w:before="480" w:after="240"/>
      </w:pPr>
      <w:r>
        <w:rPr>
          <w:rFonts w:ascii="Arial" w:cs="Arial" w:eastAsia="Arial" w:hAnsi="Arial"/>
          <w:b/>
          <w:bCs/>
          <w:color w:val="1F4E79"/>
          <w:sz w:val="34"/>
          <w:szCs w:val="34"/>
        </w:rPr>
        <w:t xml:space="preserve">4.9 EPP Bond Structure and Market Protection</w:t>
      </w:r>
    </w:p>
    <w:p>
      <w:pPr>
        <w:spacing w:before="100" w:after="100"/>
      </w:pPr>
    </w:p>
    <w:p>
      <w:pPr>
        <w:spacing w:before="100" w:after="100"/>
        <w:jc w:val="both"/>
      </w:pPr>
      <w:r>
        <w:rPr>
          <w:rFonts w:ascii="Arial" w:cs="Arial" w:eastAsia="Arial" w:hAnsi="Arial"/>
          <w:sz w:val="22"/>
          <w:szCs w:val="22"/>
        </w:rPr>
        <w:t xml:space="preserve">A natural question arises: if an EPP holds a large KX allocation, could it sell that allocation and flood the market?</w:t>
      </w:r>
    </w:p>
    <w:p>
      <w:pPr>
        <w:spacing w:before="100" w:after="100"/>
      </w:pPr>
    </w:p>
    <w:p>
      <w:pPr>
        <w:spacing w:before="100" w:after="100"/>
        <w:jc w:val="both"/>
      </w:pPr>
      <w:r>
        <w:rPr>
          <w:rFonts w:ascii="Arial" w:cs="Arial" w:eastAsia="Arial" w:hAnsi="Arial"/>
          <w:sz w:val="22"/>
          <w:szCs w:val="22"/>
        </w:rPr>
        <w:t xml:space="preserve">The answer involves four independent layers of protection.</w:t>
      </w:r>
    </w:p>
    <w:p>
      <w:pPr>
        <w:spacing w:before="100" w:after="100"/>
      </w:pPr>
    </w:p>
    <w:p>
      <w:pPr>
        <w:spacing w:before="100" w:after="100"/>
        <w:jc w:val="both"/>
      </w:pPr>
      <w:r>
        <w:rPr>
          <w:rFonts w:ascii="Arial" w:cs="Arial" w:eastAsia="Arial" w:hAnsi="Arial"/>
          <w:sz w:val="22"/>
          <w:szCs w:val="22"/>
        </w:rPr>
        <w:t xml:space="preserve">Layer 1 — The bond is locked for 100 years. Every EPP bond is lent to the ChronX Foundation as a 100-year, 0% interest loan using the protocol’s own TYPE B lock instrument. The KX is in the Foundation’s custody for 100 years. The EPP holds the loan record — not spendable KX. There is nothing to sell. The lock is on the DAG. It is immovable until maturity. This is enforced by the DAG’s consensus rules, not by any institutional promise.</w:t>
      </w:r>
    </w:p>
    <w:p>
      <w:pPr>
        <w:spacing w:before="100" w:after="100"/>
      </w:pPr>
    </w:p>
    <w:p>
      <w:pPr>
        <w:spacing w:before="100" w:after="100"/>
        <w:jc w:val="both"/>
      </w:pPr>
      <w:r>
        <w:rPr>
          <w:rFonts w:ascii="Arial" w:cs="Arial" w:eastAsia="Arial" w:hAnsi="Arial"/>
          <w:sz w:val="22"/>
          <w:szCs w:val="22"/>
        </w:rPr>
        <w:t xml:space="preserve">Layer 2 — Working capital vests gradually. EPP working capital is not transferred as a lump sum. It vests in annual tranches locked on the ChronX DAG — 5 annual tranches for HedgeKX (2027—2031) and 10 annual tranches for KXGC (2027—2036). An EPP cannot liquidate future tranches because those tranches do not yet exist as spendable KX. At any given moment, only the current released tranche is operationally available — representing a small fraction of total working capital allocation.</w:t>
      </w:r>
    </w:p>
    <w:p>
      <w:pPr>
        <w:spacing w:before="100" w:after="100"/>
      </w:pPr>
    </w:p>
    <w:p>
      <w:pPr>
        <w:spacing w:before="100" w:after="100"/>
        <w:jc w:val="both"/>
      </w:pPr>
      <w:r>
        <w:rPr>
          <w:rFonts w:ascii="Arial" w:cs="Arial" w:eastAsia="Arial" w:hAnsi="Arial"/>
          <w:sz w:val="22"/>
          <w:szCs w:val="22"/>
        </w:rPr>
        <w:t xml:space="preserve">Layer 3 — Bond slashing requires public notice and a 30-day countdown. If an EPP misuses its released working capital, the Foundation publishes a Notice of Intent to Slash via a DrawRequest action on the DAG — publicly visible to everyone immediately. This begins a protocol-enforced 30-day countdown during which the EPP can resolve the issue. If resolved, the DrawRequest is aborted. If not, the slash executes automatically. The Foundation cannot accelerate the 30-day window. The Board cannot override it. The 30-day window provides public notice and market transparency before any slash executes.</w:t>
      </w:r>
    </w:p>
    <w:p>
      <w:pPr>
        <w:spacing w:before="100" w:after="100"/>
      </w:pPr>
    </w:p>
    <w:p>
      <w:pPr>
        <w:spacing w:before="100" w:after="100"/>
        <w:jc w:val="both"/>
      </w:pPr>
      <w:r>
        <w:rPr>
          <w:rFonts w:ascii="Arial" w:cs="Arial" w:eastAsia="Arial" w:hAnsi="Arial"/>
          <w:sz w:val="22"/>
          <w:szCs w:val="22"/>
        </w:rPr>
        <w:t xml:space="preserve">Layer 4 — Franchise loss is the ultimate deterrent. EPPs operate under a governance mandate to act reasonably for the protection of the ecosystem. Attempting to liquidate large quantities of working capital in a manner that would harm the ecosystem would constitute a clear breach of this mandate, triggering a DrawRequest against the EPP’s bond and ultimately revocation of their franchise. The EPP would lose their operating authority, their bond, and their role — assigned to a qualified successor. This makes such behavior economically irrational for any EPP with a long-term view.</w:t>
      </w:r>
    </w:p>
    <w:p>
      <w:pPr>
        <w:spacing w:before="100" w:after="100"/>
      </w:pPr>
    </w:p>
    <w:p>
      <w:pPr>
        <w:spacing w:before="100" w:after="100"/>
        <w:jc w:val="both"/>
      </w:pPr>
      <w:r>
        <w:rPr>
          <w:rFonts w:ascii="Arial" w:cs="Arial" w:eastAsia="Arial" w:hAnsi="Arial"/>
          <w:sz w:val="22"/>
          <w:szCs w:val="22"/>
        </w:rPr>
        <w:t xml:space="preserve">The residual risk is acknowledged honestly: an EPP determined to exit could liquidate released working capital tranches and absorb the bond slash as the cost of doing so. This is the natural consequence of having genuinely independent EPPs rather than Foundation-controlled subsidiaries. Independent expertise and genuine accountability require genuine independence. At any given moment the maximum exposure is one year’s released tranche — a small fraction of total allocation — before the 30-day DrawRequest process runs to completion.</w:t>
      </w:r>
    </w:p>
    <w:p>
      <w:pPr>
        <w:spacing w:before="100" w:after="100"/>
      </w:pPr>
    </w:p>
    <w:p>
      <w:pPr>
        <w:spacing w:before="100" w:after="100"/>
        <w:jc w:val="both"/>
      </w:pPr>
      <w:r>
        <w:rPr>
          <w:rFonts w:ascii="Arial" w:cs="Arial" w:eastAsia="Arial" w:hAnsi="Arial"/>
          <w:sz w:val="22"/>
          <w:szCs w:val="22"/>
        </w:rPr>
        <w:t xml:space="preserve">The four layers together: Bond (TYPE B, 100-year lock): Cannot be sold. Cannot be moved. Mathematics enforces this. Working capital (cascade locks, 5—10 years): Most does not yet exist as spendable KX. Future tranches are immovable on the DAG. DrawRequest (30-day public countdown): Any misuse triggers immediate public notice. Market observes before slash executes. Franchise loss (governance mandate): Economic deterrent. Misuse costs more than it gains for any long-horizon operator.</w:t>
      </w:r>
    </w:p>
    <w:p>
      <w:pPr>
        <w:spacing w:before="100" w:after="100"/>
      </w:pPr>
    </w:p>
    <w:p>
      <w:pPr>
        <w:pStyle w:val="Heading1"/>
        <w:spacing w:before="480" w:after="240"/>
      </w:pPr>
      <w:r>
        <w:rPr>
          <w:rFonts w:ascii="Arial" w:cs="Arial" w:eastAsia="Arial" w:hAnsi="Arial"/>
          <w:b/>
          <w:bCs/>
          <w:color w:val="1F4E79"/>
          <w:sz w:val="34"/>
          <w:szCs w:val="34"/>
        </w:rPr>
        <w:t xml:space="preserve">4.10 Regulatory Framework and KYC</w:t>
      </w:r>
    </w:p>
    <w:p>
      <w:pPr>
        <w:spacing w:before="100" w:after="100"/>
      </w:pPr>
    </w:p>
    <w:p>
      <w:pPr>
        <w:spacing w:before="100" w:after="100"/>
        <w:jc w:val="both"/>
      </w:pPr>
      <w:r>
        <w:rPr>
          <w:rFonts w:ascii="Arial" w:cs="Arial" w:eastAsia="Arial" w:hAnsi="Arial"/>
          <w:sz w:val="22"/>
          <w:szCs w:val="22"/>
        </w:rPr>
        <w:t xml:space="preserve">The ChronX Protocol is designed to accommodate patient, full regulatory compliance in each jurisdiction where its Essential Protocol Partners operate. Each EPP is being established as a United States entity — initially in New York or Delaware — with regulatory filings in progress. International domiciles will be added as the ecosystem develops and specific jurisdictional requirements emerge.</w:t>
      </w:r>
    </w:p>
    <w:p>
      <w:pPr>
        <w:spacing w:before="100" w:after="100"/>
      </w:pPr>
    </w:p>
    <w:p>
      <w:pPr>
        <w:spacing w:before="100" w:after="100"/>
        <w:jc w:val="both"/>
      </w:pPr>
      <w:r>
        <w:rPr>
          <w:rFonts w:ascii="Arial" w:cs="Arial" w:eastAsia="Arial" w:hAnsi="Arial"/>
          <w:sz w:val="22"/>
          <w:szCs w:val="22"/>
        </w:rPr>
        <w:t xml:space="preserve">Planned US regulatory filings per EPP:</w:t>
      </w:r>
    </w:p>
    <w:p>
      <w:pPr>
        <w:spacing w:before="100" w:after="100"/>
      </w:pPr>
    </w:p>
    <w:p>
      <w:pPr>
        <w:spacing w:before="100" w:after="100"/>
        <w:jc w:val="both"/>
      </w:pPr>
      <w:r>
        <w:rPr>
          <w:rFonts w:ascii="Arial" w:cs="Arial" w:eastAsia="Arial" w:hAnsi="Arial"/>
          <w:sz w:val="22"/>
          <w:szCs w:val="22"/>
        </w:rPr>
        <w:t xml:space="preserve">HedgeKX (New York): forward currency exchange. NFA membership and CFTC registration.</w:t>
      </w:r>
    </w:p>
    <w:p>
      <w:pPr>
        <w:spacing w:before="100" w:after="100"/>
      </w:pPr>
    </w:p>
    <w:p>
      <w:pPr>
        <w:spacing w:before="100" w:after="100"/>
        <w:jc w:val="both"/>
      </w:pPr>
      <w:r>
        <w:rPr>
          <w:rFonts w:ascii="Arial" w:cs="Arial" w:eastAsia="Arial" w:hAnsi="Arial"/>
          <w:sz w:val="22"/>
          <w:szCs w:val="22"/>
        </w:rPr>
        <w:t xml:space="preserve">KXGC (New York / Delaware): insurance holding company. NYDFS or risk retention group structure.</w:t>
      </w:r>
    </w:p>
    <w:p>
      <w:pPr>
        <w:spacing w:before="100" w:after="100"/>
      </w:pPr>
    </w:p>
    <w:p>
      <w:pPr>
        <w:spacing w:before="100" w:after="100"/>
        <w:jc w:val="both"/>
      </w:pPr>
      <w:r>
        <w:rPr>
          <w:rFonts w:ascii="Arial" w:cs="Arial" w:eastAsia="Arial" w:hAnsi="Arial"/>
          <w:sz w:val="22"/>
          <w:szCs w:val="22"/>
        </w:rPr>
        <w:t xml:space="preserve">XChan (New York): digital asset exchange. NYDFS BitLicense.</w:t>
      </w:r>
    </w:p>
    <w:p>
      <w:pPr>
        <w:spacing w:before="100" w:after="100"/>
      </w:pPr>
    </w:p>
    <w:p>
      <w:pPr>
        <w:spacing w:before="100" w:after="100"/>
        <w:jc w:val="both"/>
      </w:pPr>
      <w:r>
        <w:rPr>
          <w:rFonts w:ascii="Arial" w:cs="Arial" w:eastAsia="Arial" w:hAnsi="Arial"/>
          <w:sz w:val="22"/>
          <w:szCs w:val="22"/>
        </w:rPr>
        <w:t xml:space="preserve">MISAI (Delaware): AI-managed investment mandates. SEC registered investment adviser or exempt reporting adviser.</w:t>
      </w:r>
    </w:p>
    <w:p>
      <w:pPr>
        <w:spacing w:before="100" w:after="100"/>
      </w:pPr>
    </w:p>
    <w:p>
      <w:pPr>
        <w:spacing w:before="100" w:after="100"/>
        <w:jc w:val="both"/>
      </w:pPr>
      <w:r>
        <w:rPr>
          <w:rFonts w:ascii="Arial" w:cs="Arial" w:eastAsia="Arial" w:hAnsi="Arial"/>
          <w:sz w:val="22"/>
          <w:szCs w:val="22"/>
        </w:rPr>
        <w:t xml:space="preserve">Verifas (New York): identity attestation and human verification. General business entity; specific licensing assessed per activity scope.</w:t>
      </w:r>
    </w:p>
    <w:p>
      <w:pPr>
        <w:spacing w:before="100" w:after="100"/>
      </w:pPr>
    </w:p>
    <w:p>
      <w:pPr>
        <w:spacing w:before="100" w:after="100"/>
        <w:jc w:val="both"/>
      </w:pPr>
      <w:r>
        <w:rPr>
          <w:rFonts w:ascii="Arial" w:cs="Arial" w:eastAsia="Arial" w:hAnsi="Arial"/>
          <w:sz w:val="22"/>
          <w:szCs w:val="22"/>
        </w:rPr>
        <w:t xml:space="preserve">CPNX (Delaware): identity verification and KYC attestation. FCRA compliance and applicable state licensing.</w:t>
      </w:r>
    </w:p>
    <w:p>
      <w:pPr>
        <w:spacing w:before="100" w:after="100"/>
      </w:pPr>
    </w:p>
    <w:p>
      <w:pPr>
        <w:spacing w:before="100" w:after="100"/>
        <w:jc w:val="both"/>
      </w:pPr>
      <w:r>
        <w:rPr>
          <w:rFonts w:ascii="Arial" w:cs="Arial" w:eastAsia="Arial" w:hAnsi="Arial"/>
          <w:sz w:val="22"/>
          <w:szCs w:val="22"/>
        </w:rPr>
        <w:t xml:space="preserve">The protocol’s initial governance caps on transaction size, instrument duration, and exposure limits are designed to operate within the parameters of unlicensed activity while filings are pursued. KYC attestation for higher-value instruments is provided by CPNX using zero-knowledge cryptographic proofs — verifying eligibility without publishing identity data to the public DAG. Underlying identity records are maintained by CPNX and available to lawful regulatory authority.</w:t>
      </w:r>
    </w:p>
    <w:p>
      <w:pPr>
        <w:spacing w:before="100" w:after="100"/>
      </w:pPr>
    </w:p>
    <w:p>
      <w:pPr>
        <w:spacing w:before="100" w:after="100"/>
        <w:jc w:val="both"/>
      </w:pPr>
      <w:r>
        <w:rPr>
          <w:rFonts w:ascii="Arial" w:cs="Arial" w:eastAsia="Arial" w:hAnsi="Arial"/>
          <w:sz w:val="22"/>
          <w:szCs w:val="22"/>
        </w:rPr>
        <w:t xml:space="preserve">ChronX is not designed to evade regulation. It is designed to earn it.</w:t>
      </w:r>
    </w:p>
    <w:p>
      <w:pPr>
        <w:spacing w:before="100" w:after="100"/>
      </w:pPr>
    </w:p>
    <w:p>
      <w:pPr>
        <w:pStyle w:val="Heading1"/>
        <w:spacing w:before="480" w:after="240"/>
      </w:pPr>
      <w:r>
        <w:rPr>
          <w:rFonts w:ascii="Arial" w:cs="Arial" w:eastAsia="Arial" w:hAnsi="Arial"/>
          <w:b/>
          <w:bCs/>
          <w:color w:val="1F4E79"/>
          <w:sz w:val="34"/>
          <w:szCs w:val="34"/>
        </w:rPr>
        <w:t xml:space="preserve">5. Every Promise is Tradeable</w:t>
      </w:r>
    </w:p>
    <w:p>
      <w:pPr>
        <w:spacing w:before="100" w:after="10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Secondary market infrastructure is fully built. Activation requires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Tranching</w:t>
      </w:r>
    </w:p>
    <w:p>
      <w:pPr>
        <w:spacing w:before="100" w:after="10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Yield and Principal Strips</w:t>
      </w:r>
    </w:p>
    <w:p>
      <w:pPr>
        <w:spacing w:before="100" w:after="10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Atomic Settlement: T+0</w:t>
      </w:r>
    </w:p>
    <w:p>
      <w:pPr>
        <w:spacing w:before="100" w:after="10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r>
        <w:br w:type="page"/>
      </w:r>
    </w:p>
    <w:p>
      <w:pPr>
        <w:pStyle w:val="Heading1"/>
        <w:spacing w:before="480" w:after="240"/>
      </w:pPr>
      <w:r>
        <w:rPr>
          <w:rFonts w:ascii="Arial" w:cs="Arial" w:eastAsia="Arial" w:hAnsi="Arial"/>
          <w:b/>
          <w:bCs/>
          <w:color w:val="1F4E79"/>
          <w:sz w:val="34"/>
          <w:szCs w:val="34"/>
        </w:rPr>
        <w:t xml:space="preserve">6. The Axioms and Governance</w:t>
      </w:r>
    </w:p>
    <w:p>
      <w:pPr>
        <w:spacing w:before="100" w:after="10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Promise Axioms</w:t>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Credit Axioms</w:t>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Trigger Axiom</w:t>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AI Agent Axioms</w:t>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Closing Statement</w:t>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Genesis Zero: final_genesis true</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7. Tokenomics</w:t>
      </w:r>
    </w:p>
    <w:p>
      <w:pPr>
        <w:spacing w:before="100" w:after="100"/>
        <w:jc w:val="both"/>
      </w:pPr>
      <w:r>
        <w:rPr>
          <w:rFonts w:ascii="Arial" w:cs="Arial" w:eastAsia="Arial" w:hAnsi="Arial"/>
          <w:sz w:val="22"/>
          <w:szCs w:val="22"/>
        </w:rPr>
        <w:t xml:space="preserve">Total supply: 8,270,000,000 KX. Fixed forever. No inflation. No minting. No burning.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800"/>
        <w:gridCol w:w="4360"/>
      </w:tblGrid>
      <w:tr>
        <w:tc>
          <w:tcPr>
            <w:tcW w:type="dxa" w:w="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5,308,965,801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64.19%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Treasury</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3.63%</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from Public Sale: 2027: 5M KX, 2028: 7.5M KX, 2029: 10M KX, 2030: 12.5M KX, 2031: 15M KX. Wallet: 5zjp4YM7RkBWk8hHN5kdv3xYhjsnXmYUJuL2vgqxHBE1</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from Public Sale: 2027: 5M, 2028: 5M, 2029: 10M, 2030: 15M, 2031: 20M, 2032: 20M, 2033: 25M, 2034: 25M, 2035: 35M, 2036: 40M KX. Wallet: G2aH9NfRFo5gdLTMjNqCRv4PkcKKEHLD99Y8vhQwSgeV</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9a</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HedgeKX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50,000,000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0.60%</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5 annual tranches 2027—2031. Vests as market develops.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9b</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KXGC Operating Capital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200,000,000</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2.42%</w:t>
            </w:r>
          </w:p>
        </w:tc>
        <w:tc>
          <w:tcPr>
            <w:tcW w:type="dxa" w:w="3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Cascade. 10 annual tranches 2027—2036. Vests as insurance market develops.</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Faucet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0.036%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bridge liquidity.</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 Bond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Performance bond. cpnx.com.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0.012%</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500,000</w:t>
            </w:r>
          </w:p>
        </w:tc>
        <w:tc>
          <w:tcPr>
            <w:tcW w:type="dxa" w:w="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0.006%</w:t>
            </w:r>
          </w:p>
        </w:tc>
        <w:tc>
          <w:tcPr>
            <w:tcW w:type="dxa" w:w="43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 exactly.</w:t>
      </w:r>
    </w:p>
    <w:p>
      <w:pPr>
        <w:spacing w:before="100" w:after="100"/>
      </w:pPr>
    </w:p>
    <w:p>
      <w:pPr>
        <w:spacing w:before="100" w:after="100"/>
        <w:jc w:val="both"/>
      </w:pPr>
      <w:r>
        <w:rPr>
          <w:rFonts w:ascii="Arial" w:cs="Arial" w:eastAsia="Arial" w:hAnsi="Arial"/>
          <w:sz w:val="22"/>
          <w:szCs w:val="22"/>
        </w:rPr>
        <w:t xml:space="preserve">DAG verification: all 15 cascade locks are permanently recorded on the ChronX DAG and queryable via chronx_getLockById:</w:t>
      </w:r>
    </w:p>
    <w:p>
      <w:pPr>
        <w:spacing w:before="100" w:after="100"/>
      </w:pPr>
    </w:p>
    <w:p>
      <w:pPr>
        <w:spacing w:before="100" w:after="100"/>
        <w:jc w:val="both"/>
      </w:pPr>
      <w:r>
        <w:rPr>
          <w:rFonts w:ascii="Arial" w:cs="Arial" w:eastAsia="Arial" w:hAnsi="Arial"/>
          <w:sz w:val="22"/>
          <w:szCs w:val="22"/>
        </w:rPr>
        <w:t xml:space="preserve">HedgeKX cascade lock IDs: Tranche 1 (5M, 2027): a68871e0f30b0eb2434c719108076793a53a7a525b3e5a5355b0d6273e037b5c. Tranche 2 (7.5M, 2028): d36fc1522094d30f0776b0a972e7efe889f8e6a7d8a54763276e511a64489104. Tranche 3 (10M, 2029): 5c328240ba0d347fda590fe007126f684303a222a6500acc2e77688990aa1f36. Tranche 4 (12.5M, 2030): 5a92eafed4df12deb3c77de31789db8140f6dd9312d1bf675243836a42b982a2. Tranche 5 (15M, 2031): f58d60478d14e90247968e3fa39eaafa8314f98659cf76873c51331ffb23d8e5.</w:t>
      </w:r>
    </w:p>
    <w:p>
      <w:pPr>
        <w:spacing w:before="100" w:after="100"/>
      </w:pPr>
    </w:p>
    <w:p>
      <w:pPr>
        <w:spacing w:before="100" w:after="100"/>
        <w:jc w:val="both"/>
      </w:pPr>
      <w:r>
        <w:rPr>
          <w:rFonts w:ascii="Arial" w:cs="Arial" w:eastAsia="Arial" w:hAnsi="Arial"/>
          <w:sz w:val="22"/>
          <w:szCs w:val="22"/>
        </w:rPr>
        <w:t xml:space="preserve">KXGC cascade lock IDs: Tranche 1 (5M, 2027): 952261a405b279ba3777eb74b3aabea828c03303cd0fbe13a9bd7bda36ffaf54. Tranche 2 (5M, 2028): c49bd4c264b9fc5712b7ded50bab1090a6c4eb1a3734f38ed7c4a71fa7bd4c6e. Tranche 3 (10M, 2029): 3ac452a0e49c5b187542110b2bf14ba6d760eecad2a9aa9369f8ebb8e96bc9c5. Tranche 4 (15M, 2030): 7e7bae4a585e9e6736e9bf16ab1821e01a8664067a5ca87deb4a87ecdc2e0ce2. Tranche 5 (20M, 2031): 3994c0ba2e06bb3593af884faff33f34865c76ae76961b753c24b093ed7fbce8. Tranche 6 (20M, 2032): bb46486160523accc581d5394faff6cba375182fabeeda079df6dc919633a96a. Tranche 7 (25M, 2033): 863801ef04462c02167df0154c1a7c972a6e0c83b09cab311acd89b71f554ae6. Tranche 8 (25M, 2034): 3d43aaec152d8f093065f07ad26572d587fa22f7945d8e1dbc05fc52b70bb0eb. Tranche 9 (35M, 2035): 5791c98c3562c304bab2f6c85571b173abcdb74e09ae7e7964b70a65b5bf714c. Tranche 10 (40M, 2036): e62075f794511caa364b7200e05235dcae928ee1bceab809b918dde347e36ba8.</w:t>
      </w:r>
    </w:p>
    <w:p>
      <w:pPr>
        <w:spacing w:before="100" w:after="100"/>
      </w:pPr>
    </w:p>
    <w:p>
      <w:pPr>
        <w:spacing w:before="100" w:after="100"/>
        <w:jc w:val="both"/>
      </w:pPr>
      <w:r>
        <w:rPr>
          <w:rFonts w:ascii="Arial" w:cs="Arial" w:eastAsia="Arial" w:hAnsi="Arial"/>
          <w:sz w:val="22"/>
          <w:szCs w:val="22"/>
        </w:rPr>
        <w:t xml:space="preserve">At all times: total KX on ChronX DAG + total wKX on Base + total h1KX on Base = 8,270,000,000 KX exactly.</w:t>
      </w:r>
    </w:p>
    <w:p>
      <w:pPr>
        <w:spacing w:before="100" w:after="100"/>
      </w:pPr>
    </w:p>
    <w:p>
      <w:pPr>
        <w:spacing w:before="100" w:after="100"/>
        <w:jc w:val="both"/>
      </w:pPr>
      <w:r>
        <w:rPr>
          <w:rFonts w:ascii="Arial" w:cs="Arial" w:eastAsia="Arial" w:hAnsi="Arial"/>
          <w:sz w:val="22"/>
          <w:szCs w:val="22"/>
        </w:rPr>
        <w:t xml:space="preserve">Note: HedgeKX Operating Capital and KXGC Operating Capital are funded from the Public Sale allocation. Both are locked as cascade time-locks on the ChronX DAG — not spendable at genesis. The Public Sale figure above reflects the remainder after both allocations. All figures sum to 8,270,000,000 KX.</w:t>
      </w:r>
    </w:p>
    <w:p>
      <w:pPr>
        <w:spacing w:before="100" w:after="100"/>
      </w:pPr>
    </w:p>
    <w:p>
      <w:pPr>
        <w:spacing w:before="100" w:after="100"/>
        <w:jc w:val="both"/>
      </w:pPr>
      <w:r>
        <w:rPr>
          <w:rFonts w:ascii="Arial" w:cs="Arial" w:eastAsia="Arial" w:hAnsi="Arial"/>
          <w:sz w:val="22"/>
          <w:szCs w:val="22"/>
        </w:rPr>
        <w:t xml:space="preserve">DAG Lock References: HedgeKX cascade lock IDs: a68871e0f30b0eb2434c719108076793a53a7a525b3e5a5355b0d6273e037b5c, d36fc1522094d30f0776b0a972e7efe889f8e6a7d8a54763276e511a64489104, 5c328240ba0d347fda590fe007126f684303a222a6500acc2e77688990aa1f36, 5a92eafed4df12deb3c77de31789db8140f6dd9312d1bf675243836a42b982a2, f58d60478d14e90247968e3fa39eaafa8314f98659cf76873c51331ffb23d8e5. KXGC cascade lock IDs: 952261a405b279ba3777eb74b3aabea828c03303cd0fbe13a9bd7bda36ffaf54, c49bd4c264b9fc5712b7ded50bab1090a6c4eb1a3734f38ed7c4a71fa7bd4c6e, 3ac452a0e49c5b187542110b2bf14ba6d760eecad2a9aa9369f8ebb8e96bc9c5, 7e7bae4a585e9e6736e9bf16ab1821e01a8664067a5ca87deb4a87ecdc2e0ce2, 3994c0ba2e06bb3593af884faff33f34865c76ae76961b753c24b093ed7fbce8, bb46486160523accc581d5394faff6cba375182fabeeda079df6dc919633a96a, 863801ef04462c02167df0154c1a7c972a6e0c83b09cab311acd89b71f554ae6, 3d43aaec152d8f093065f07ad26572d587fa22f7945d8e1dbc05fc52b70bb0eb, 5791c98c3562c304bab2f6c85571b173abcdb74e09ae7e7964b70a65b5bf714c, e62075f794511caa364b7200e05235dcae928ee1bceab809b918dde347e36ba8. All locks queryable via chronx_getLockById RPC method.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Treasury and Node Rewards: Harmonic Release</w:t>
      </w:r>
    </w:p>
    <w:p>
      <w:pPr>
        <w:spacing w:before="100" w:after="10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Pre-ICO and ICO</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800"/>
        <w:gridCol w:w="1400"/>
        <w:gridCol w:w="28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Phase</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Price/KX</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Who</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Limit</w:t>
            </w:r>
          </w:p>
        </w:tc>
        <w:tc>
          <w:tcPr>
            <w:tcW w:type="dxa" w:w="2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Period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(Genesis Zero — Sep 21,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Anyone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$250/tx</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 No lock. No KYC. XChan market price. Governance cap applies.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Private Placement (Pre-ICO)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$0.001755—$0.002297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Accredited only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Min $10,000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Bilateral agreements. 12—24 month mandatory lock. Lock duration determines price. Contact: ico@chronx.io</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 September 22, 2026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All investors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Non-accredited: $250/tx. Accredited: higher with CPNX KYC badge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One price for everyone. Private placement locks visible on DAG.</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$0.00319 baseline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Ongoing XChan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2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Unsold public sale tokens locked in annual cascade tranches — published schedule, no surprise releases.</w:t>
            </w:r>
          </w:p>
        </w:tc>
      </w:tr>
    </w:tbl>
    <w:p>
      <w:pPr>
        <w:spacing w:before="100" w:after="100"/>
      </w:pPr>
    </w:p>
    <w:p>
      <w:pPr>
        <w:pStyle w:val="Heading2"/>
        <w:spacing w:before="320" w:after="160"/>
      </w:pPr>
      <w:r>
        <w:rPr>
          <w:rFonts w:ascii="Arial" w:cs="Arial" w:eastAsia="Arial" w:hAnsi="Arial"/>
          <w:b/>
          <w:bCs/>
          <w:color w:val="1F4E79"/>
          <w:sz w:val="28"/>
          <w:szCs w:val="28"/>
        </w:rPr>
        <w:t xml:space="preserve">Yield and Lock Duration</w:t>
      </w:r>
    </w:p>
    <w:p>
      <w:pPr>
        <w:spacing w:before="100" w:after="100"/>
      </w:pPr>
    </w:p>
    <w:p>
      <w:pPr>
        <w:spacing w:before="100" w:after="100"/>
        <w:jc w:val="both"/>
      </w:pPr>
      <w:r>
        <w:rPr>
          <w:rFonts w:ascii="Arial" w:cs="Arial" w:eastAsia="Arial" w:hAnsi="Arial"/>
          <w:sz w:val="22"/>
          <w:szCs w:val="22"/>
        </w:rPr>
        <w:t xml:space="preserve">KX purchased at ICO may be locked for any duration to earn yield from HedgeKX’s matching activity. Longer locks receive a proportionally larger share of the yield pool. There is no entry price discount for locking — one price for everyone, always. Yield is the reward for patience. It is real, earned, and grows as HedgeKX develops.</w:t>
      </w:r>
    </w:p>
    <w:p>
      <w:pPr>
        <w:spacing w:before="100" w:after="100"/>
      </w:pPr>
    </w:p>
    <w:p>
      <w:pPr>
        <w:spacing w:before="100" w:after="100"/>
        <w:jc w:val="both"/>
      </w:pPr>
      <w:r>
        <w:rPr>
          <w:rFonts w:ascii="Arial" w:cs="Arial" w:eastAsia="Arial" w:hAnsi="Arial"/>
          <w:sz w:val="22"/>
          <w:szCs w:val="22"/>
        </w:rPr>
        <w:t xml:space="preserve">At launch, yield will be minimal — HedgeKX operates overnight instruments only. Yield grows as governance expands instrument durations and matching volume increases. Investors with a multi-year horizon will see yield develop alongside the protocol. This is the opposite of a typical crypto launch: we start at near-zero yield and earn our way to real yield. Every basis point is funded by real economic activity — nothing is paid from reserves.</w:t>
      </w:r>
    </w:p>
    <w:p>
      <w:pPr>
        <w:spacing w:before="100" w:after="100"/>
      </w:pPr>
    </w:p>
    <w:p>
      <w:pPr>
        <w:spacing w:before="80" w:after="80"/>
      </w:pPr>
      <w:r>
        <w:t xml:space="preserve"/>
      </w:r>
    </w:p>
    <w:p>
      <w:pPr>
        <w:spacing w:before="100" w:after="10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 Note on wKX, h1KX, and the Fixed Supply</w:t>
      </w:r>
    </w:p>
    <w:p>
      <w:pPr>
        <w:spacing w:before="100" w:after="100"/>
        <w:jc w:val="both"/>
      </w:pPr>
      <w:r>
        <w:rPr>
          <w:rFonts w:ascii="Arial" w:cs="Arial" w:eastAsia="Arial" w:hAnsi="Arial"/>
          <w:sz w:val="22"/>
          <w:szCs w:val="22"/>
        </w:rPr>
        <w:t xml:space="preserve">The protocol maintains two distinct KX-related tokens on the Base network. wKX (Wrapped KX) is the public XChan token — transferable, Uniswap-listed, backed by XChan conversion locks. h1KX is HedgeKX's internal settlement token — non-transferable, 24-hour passive expiry, used exclusively as an intraday cross-chain accounting bridge and never held by any external party.</w:t>
      </w:r>
    </w:p>
    <w:p>
      <w:pPr>
        <w:spacing w:before="80" w:after="80"/>
      </w:pPr>
      <w:r>
        <w:t xml:space="preserve"/>
      </w:r>
    </w:p>
    <w:p>
      <w:pPr>
        <w:spacing w:before="100" w:after="100"/>
        <w:jc w:val="both"/>
      </w:pPr>
      <w:r>
        <w:rPr>
          <w:rFonts w:ascii="Arial" w:cs="Arial" w:eastAsia="Arial" w:hAnsi="Arial"/>
          <w:sz w:val="22"/>
          <w:szCs w:val="22"/>
        </w:rPr>
        <w:t xml:space="preserve">At all times: total KX on ChronX DAG + total wKX on Base + total h1KX on Base = 8,270,000,000 KX. Neither token is new supply. Both represent locked KX and both resolve back to the fixed supply invariant. wKX burns when XChan conversion locks mature. h1KX expires passively within 24 hours. The 8.27 billion cap is never violated.</w:t>
      </w:r>
    </w:p>
    <w:p>
      <w:pPr>
        <w:spacing w:before="80" w:after="80"/>
      </w:pPr>
      <w:r>
        <w:t xml:space="preserve"/>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Consult qualified legal counsel before participating.</w:t>
      </w:r>
    </w:p>
    <w:p>
      <w:r>
        <w:br w:type="page"/>
      </w:r>
    </w:p>
    <w:p>
      <w:pPr>
        <w:pStyle w:val="Heading1"/>
        <w:spacing w:before="480" w:after="240"/>
      </w:pPr>
      <w:r>
        <w:rPr>
          <w:rFonts w:ascii="Arial" w:cs="Arial" w:eastAsia="Arial" w:hAnsi="Arial"/>
          <w:b/>
          <w:bCs/>
          <w:color w:val="1F4E79"/>
          <w:sz w:val="34"/>
          <w:szCs w:val="34"/>
        </w:rPr>
        <w:t xml:space="preserve">8.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70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Date</w:t>
            </w:r>
          </w:p>
        </w:tc>
        <w:tc>
          <w:tcPr>
            <w:tcW w:type="dxa" w:w="7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r>
              <w:rPr>
                <w:rFonts w:ascii="Arial" w:cs="Arial" w:eastAsia="Arial" w:hAnsi="Arial"/>
                <w:b/>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25,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Genesis Zero locked. Protocol complete. Chain immutable.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Live now</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Pre-ICO live ($0.001755—$0.002297/KX). Governance caps active.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Now — Sep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Institutional outreach and private placement. Target: $500K—$2M committed with 12—24 month locks before ICO day. Whitepaper AI stress test completion. EPP registration processes initiated. YubiHSM live — HedgeKX yield activated.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September 22, 2026</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ICO opens. One price: $0.00319. Private placement locks visible on DAG. Target: $1M day-one across all channels. Unsold tokens locked in cascade schedule.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March 22, 2027</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First Treasury harmonic release. Believer tier unlock.</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January 1, 2029</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Post-ICO</w:t>
            </w:r>
          </w:p>
        </w:tc>
        <w:tc>
          <w:tcPr>
            <w:tcW w:type="dxa" w:w="7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20"/>
                <w:szCs w:val="20"/>
              </w:rPr>
              <w:t xml:space="preserve">XChan Uniswap routing. MISAI live AI execution. KXGC Tier 1 Name admissions. Full EPP regulatory registrations.</w:t>
            </w:r>
          </w:p>
        </w:tc>
      </w:tr>
    </w:tbl>
    <w:p>
      <w:r>
        <w:br w:type="page"/>
      </w:r>
    </w:p>
    <w:p>
      <w:pPr>
        <w:pStyle w:val="Heading1"/>
        <w:spacing w:before="480" w:after="240"/>
      </w:pPr>
      <w:r>
        <w:rPr>
          <w:rFonts w:ascii="Arial" w:cs="Arial" w:eastAsia="Arial" w:hAnsi="Arial"/>
          <w:b/>
          <w:bCs/>
          <w:color w:val="1F4E79"/>
          <w:sz w:val="34"/>
          <w:szCs w:val="34"/>
        </w:rPr>
        <w:t xml:space="preserve">Appendix A — The Complete Promise Taxonomy</w:t>
      </w:r>
    </w:p>
    <w:p>
      <w:pPr>
        <w:spacing w:before="100" w:after="10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 Instant Transfer (TYPE T)</w:t>
      </w:r>
    </w:p>
    <w:p>
      <w:pPr>
        <w:spacing w:before="100" w:after="100"/>
        <w:jc w:val="both"/>
      </w:pPr>
      <w:r>
        <w:rPr>
          <w:rFonts w:ascii="Arial" w:cs="Arial" w:eastAsia="Arial" w:hAnsi="Arial"/>
          <w:sz w:val="22"/>
          <w:szCs w:val="22"/>
        </w:rPr>
        <w:t xml:space="preserve">Send KX now. Recipient receives immediately upon DAG confirmation. If recipient wallet does not exist, it is auto-created.</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A.2 Time-Locked Promise (TYPE S — Standard)</w:t>
      </w:r>
    </w:p>
    <w:p>
      <w:pPr>
        <w:spacing w:before="100" w:after="100"/>
      </w:pPr>
    </w:p>
    <w:p>
      <w:pPr>
        <w:spacing w:before="100" w:after="100"/>
        <w:jc w:val="both"/>
      </w:pPr>
      <w:r>
        <w:rPr>
          <w:rFonts w:ascii="Arial" w:cs="Arial" w:eastAsia="Arial" w:hAnsi="Arial"/>
          <w:sz w:val="22"/>
          <w:szCs w:val="22"/>
        </w:rPr>
        <w:t xml:space="preserve">TYPE_S is a time-locked promise without yield participation. It is identical to TYPE_Y in every respect — same principal guarantee, same DAG immutability, same protocol enforcement — except that it does not grant HedgeKX a minting mandate and generates no yield for the recipient.</w:t>
      </w:r>
    </w:p>
    <w:p>
      <w:pPr>
        <w:spacing w:before="100" w:after="100"/>
      </w:pPr>
    </w:p>
    <w:p>
      <w:pPr>
        <w:spacing w:before="100" w:after="100"/>
        <w:jc w:val="both"/>
      </w:pPr>
      <w:r>
        <w:rPr>
          <w:rFonts w:ascii="Arial" w:cs="Arial" w:eastAsia="Arial" w:hAnsi="Arial"/>
          <w:sz w:val="22"/>
          <w:szCs w:val="22"/>
        </w:rPr>
        <w:t xml:space="preserve">TYPE_S is the correct choice when yield participation is specifically undesirable:</w:t>
      </w:r>
    </w:p>
    <w:p>
      <w:pPr>
        <w:spacing w:before="100" w:after="100"/>
      </w:pPr>
    </w:p>
    <w:p>
      <w:pPr>
        <w:pStyle w:val="ListParagraph"/>
        <w:spacing w:before="60" w:after="60"/>
        <w:ind w:left="720"/>
      </w:pPr>
      <w:r>
        <w:rPr>
          <w:rFonts w:ascii="Arial" w:cs="Arial" w:eastAsia="Arial" w:hAnsi="Arial"/>
          <w:sz w:val="22"/>
          <w:szCs w:val="22"/>
        </w:rPr>
        <w:t xml:space="preserve">Escrow and security deposits: a tenant’s security deposit held by a landlord should not generate yield for the landlord that was not agreed at inception</w:t>
      </w:r>
    </w:p>
    <w:p>
      <w:pPr>
        <w:pStyle w:val="ListParagraph"/>
        <w:spacing w:before="60" w:after="60"/>
        <w:ind w:left="720"/>
      </w:pPr>
      <w:r>
        <w:rPr>
          <w:rFonts w:ascii="Arial" w:cs="Arial" w:eastAsia="Arial" w:hAnsi="Arial"/>
          <w:sz w:val="22"/>
          <w:szCs w:val="22"/>
        </w:rPr>
        <w:t xml:space="preserve">Legal settlements: structured settlement payments where the exact amount is legally specified and variable yield would complicate enforcement</w:t>
      </w:r>
    </w:p>
    <w:p>
      <w:pPr>
        <w:pStyle w:val="ListParagraph"/>
        <w:spacing w:before="60" w:after="60"/>
        <w:ind w:left="720"/>
      </w:pPr>
      <w:r>
        <w:rPr>
          <w:rFonts w:ascii="Arial" w:cs="Arial" w:eastAsia="Arial" w:hAnsi="Arial"/>
          <w:sz w:val="22"/>
          <w:szCs w:val="22"/>
        </w:rPr>
        <w:t xml:space="preserve">Tax considerations: grantors who do not wish the beneficiary to receive variable additional income with potential tax implications</w:t>
      </w:r>
    </w:p>
    <w:p>
      <w:pPr>
        <w:pStyle w:val="ListParagraph"/>
        <w:spacing w:before="60" w:after="60"/>
        <w:ind w:left="720"/>
      </w:pPr>
      <w:r>
        <w:rPr>
          <w:rFonts w:ascii="Arial" w:cs="Arial" w:eastAsia="Arial" w:hAnsi="Arial"/>
          <w:sz w:val="22"/>
          <w:szCs w:val="22"/>
        </w:rPr>
        <w:t xml:space="preserve">Simple intent: grantors who wish to give a specific fixed amount and nothing more</w:t>
      </w:r>
    </w:p>
    <w:p>
      <w:pPr>
        <w:pStyle w:val="ListParagraph"/>
        <w:spacing w:before="60" w:after="60"/>
        <w:ind w:left="720"/>
      </w:pPr>
      <w:r>
        <w:rPr>
          <w:rFonts w:ascii="Arial" w:cs="Arial" w:eastAsia="Arial" w:hAnsi="Arial"/>
          <w:sz w:val="22"/>
          <w:szCs w:val="22"/>
        </w:rPr>
        <w:t xml:space="preserve">Old-fashioned preference: some people simply prefer a clean fixed promise</w:t>
      </w:r>
    </w:p>
    <w:p>
      <w:pPr>
        <w:spacing w:before="100" w:after="100"/>
      </w:pPr>
    </w:p>
    <w:p>
      <w:pPr>
        <w:spacing w:before="100" w:after="100"/>
        <w:jc w:val="both"/>
      </w:pPr>
      <w:r>
        <w:rPr>
          <w:rFonts w:ascii="Arial" w:cs="Arial" w:eastAsia="Arial" w:hAnsi="Arial"/>
          <w:sz w:val="22"/>
          <w:szCs w:val="22"/>
        </w:rPr>
        <w:t xml:space="preserve">For all other time-locked promises, TYPE_Y is the recommended default. The protocol creates TYPE_Y unless the user explicitly selects TYPE_S or sets yield_opt_out.</w:t>
      </w:r>
    </w:p>
    <w:p>
      <w:pPr>
        <w:spacing w:before="100" w:after="100"/>
      </w:pPr>
    </w:p>
    <w:p>
      <w:pPr>
        <w:spacing w:before="100" w:after="100"/>
        <w:jc w:val="both"/>
      </w:pPr>
      <w:r>
        <w:rPr>
          <w:rFonts w:ascii="Arial" w:cs="Arial" w:eastAsia="Arial" w:hAnsi="Arial"/>
          <w:sz w:val="22"/>
          <w:szCs w:val="22"/>
        </w:rPr>
        <w:t xml:space="preserve">TYPE_S use cases (where fixed delivery without yield is specifically intended):</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Unclaimed action: For short-duration locks (under the governance Verifas threshold, currently 365 days), unclaimed_action defaults to RevertToSender. For locks where unlock_at exceeds the governance Verifas threshold, unclaimed_action is overridden by the three-stage Verifas suspense system. See Section 4.2.</w:t>
      </w:r>
    </w:p>
    <w:p>
      <w:pPr>
        <w:spacing w:before="100" w:after="100"/>
      </w:pPr>
    </w:p>
    <w:p>
      <w:pPr>
        <w:spacing w:before="100" w:after="100"/>
        <w:jc w:val="both"/>
      </w:pPr>
      <w:r>
        <w:rPr>
          <w:rFonts w:ascii="Arial" w:cs="Arial" w:eastAsia="Arial" w:hAnsi="Arial"/>
          <w:sz w:val="22"/>
          <w:szCs w:val="22"/>
        </w:rPr>
        <w:t xml:space="preserve">Claim window: For long-duration locks, the claim window (claim_window_secs) represents Stage 1 only. Expiry of this window triggers Stage 2 (two-party lock) rather than immediate reversion.</w:t>
      </w:r>
    </w:p>
    <w:p>
      <w:pPr>
        <w:pStyle w:val="Heading2"/>
        <w:spacing w:before="320" w:after="160"/>
      </w:pPr>
      <w:r>
        <w:rPr>
          <w:rFonts w:ascii="Arial" w:cs="Arial" w:eastAsia="Arial" w:hAnsi="Arial"/>
          <w:b/>
          <w:bCs/>
          <w:color w:val="2E75B6"/>
          <w:sz w:val="26"/>
          <w:szCs w:val="26"/>
        </w:rPr>
        <w:t xml:space="preserve">A.3 Email Claim Promise</w:t>
      </w:r>
    </w:p>
    <w:p>
      <w:pPr>
        <w:spacing w:before="100" w:after="10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 Claim window: 72 hours. If unclaimed, funds revert to sender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A.4 Cascade Promise</w:t>
      </w:r>
    </w:p>
    <w:p>
      <w:pPr>
        <w:spacing w:before="100" w:after="10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A.5 PAY_AS Promise</w:t>
      </w:r>
    </w:p>
    <w:p>
      <w:pPr>
        <w:spacing w:before="100" w:after="10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 Current governance cap: pay_as_max_usd = $250 per transaction.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A.6 TYPE M — AI-Managed Promise</w:t>
      </w:r>
    </w:p>
    <w:p>
      <w:pPr>
        <w:spacing w:before="100" w:after="100"/>
        <w:jc w:val="both"/>
      </w:pPr>
      <w:r>
        <w:rPr>
          <w:rFonts w:ascii="Arial" w:cs="Arial" w:eastAsia="Arial" w:hAnsi="Arial"/>
          <w:sz w:val="22"/>
          <w:szCs w:val="22"/>
        </w:rPr>
        <w:t xml:space="preserve">A standard TimeLockCreate with additional fields authorising MISAI to manage the investable fraction of locked KX per the grantor's mandate. The grantor never surrenders custody. MISAI only has authority to submit ExecutorWithdraw actions within its mandate, subject to a 24-hour delay. MISAI commits every decision to the DAG before executing (Axiom VIII). The grantor_axiom_consent_hash field records consent to Axioms VII–XII. Without this hash, a TYPE M lock cannot be created.</w:t>
      </w:r>
    </w:p>
    <w:p>
      <w:pPr>
        <w:spacing w:before="80" w:after="80"/>
      </w:pPr>
      <w:r>
        <w:t xml:space="preserve"/>
      </w:r>
    </w:p>
    <w:p>
      <w:pPr>
        <w:pStyle w:val="Heading2"/>
        <w:spacing w:before="320" w:after="160"/>
      </w:pPr>
      <w:r>
        <w:rPr>
          <w:rFonts w:ascii="Arial" w:cs="Arial" w:eastAsia="Arial" w:hAnsi="Arial"/>
          <w:b/>
          <w:bCs/>
          <w:color w:val="1F4E79"/>
          <w:sz w:val="28"/>
          <w:szCs w:val="28"/>
        </w:rPr>
        <w:t xml:space="preserve">A.7 TYPE Y — The Default Promise (Time-Locked with Yield Participation)</w:t>
      </w:r>
    </w:p>
    <w:p>
      <w:pPr>
        <w:spacing w:before="100" w:after="100"/>
      </w:pPr>
    </w:p>
    <w:p>
      <w:pPr>
        <w:spacing w:before="100" w:after="100"/>
        <w:jc w:val="both"/>
      </w:pPr>
      <w:r>
        <w:rPr>
          <w:rFonts w:ascii="Arial" w:cs="Arial" w:eastAsia="Arial" w:hAnsi="Arial"/>
          <w:sz w:val="22"/>
          <w:szCs w:val="22"/>
        </w:rPr>
        <w:t xml:space="preserve">TYPE_Y is the recommended default for all time-locked promises on ChronX. It is identical to TYPE_S in every respect — same principal guarantee, same immutability, same DAG enforcement — with one addition: it automatically grants HedgeKX a minting mandate, enabling yield to accrue to the beneficiary’s separate yield balance from real economic activity.</w:t>
      </w:r>
    </w:p>
    <w:p>
      <w:pPr>
        <w:spacing w:before="100" w:after="100"/>
      </w:pPr>
    </w:p>
    <w:p>
      <w:pPr>
        <w:spacing w:before="100" w:after="100"/>
        <w:jc w:val="both"/>
      </w:pPr>
      <w:r>
        <w:rPr>
          <w:rFonts w:ascii="Arial" w:cs="Arial" w:eastAsia="Arial" w:hAnsi="Arial"/>
          <w:sz w:val="22"/>
          <w:szCs w:val="22"/>
        </w:rPr>
        <w:t xml:space="preserve">There is no cost to the grantor. There is no risk to the principal. The yield belongs to whoever the promise was made to — not to the grantor. It accumulates in a separate balance that never decreases, claimable at any time.</w:t>
      </w:r>
    </w:p>
    <w:p>
      <w:pPr>
        <w:spacing w:before="100" w:after="100"/>
      </w:pPr>
    </w:p>
    <w:p>
      <w:pPr>
        <w:spacing w:before="100" w:after="100"/>
        <w:jc w:val="both"/>
      </w:pPr>
      <w:r>
        <w:rPr>
          <w:rFonts w:ascii="Arial" w:cs="Arial" w:eastAsia="Arial" w:hAnsi="Arial"/>
          <w:sz w:val="22"/>
          <w:szCs w:val="22"/>
        </w:rPr>
        <w:t xml:space="preserve">Grantors who specifically do not want yield participation use TYPE_S instead, or set yield_opt_out at TYPE_Y lock creation. Common reasons: escrow instruments, legal settlements, tax considerations, or simple preference for a fixed delivery amount. See A.2 for the complete list of TYPE_S use cases.</w:t>
      </w:r>
    </w:p>
    <w:p>
      <w:pPr>
        <w:spacing w:before="100" w:after="100"/>
      </w:pPr>
    </w:p>
    <w:p>
      <w:pPr>
        <w:spacing w:before="100" w:after="100"/>
        <w:jc w:val="both"/>
      </w:pPr>
      <w:r>
        <w:rPr>
          <w:rFonts w:ascii="Arial" w:cs="Arial" w:eastAsia="Arial" w:hAnsi="Arial"/>
          <w:sz w:val="22"/>
          <w:szCs w:val="22"/>
        </w:rPr>
        <w:t xml:space="preserve">The wallet creates TYPE_Y by default. The user must explicitly choose TYPE_S or set yield_opt_out to suppress yield participation.</w:t>
      </w:r>
    </w:p>
    <w:p>
      <w:pPr>
        <w:spacing w:before="100" w:after="100"/>
      </w:pPr>
    </w:p>
    <w:p>
      <w:pPr>
        <w:spacing w:before="100" w:after="100"/>
        <w:jc w:val="both"/>
      </w:pPr>
      <w:r>
        <w:rPr>
          <w:rFonts w:ascii="Arial" w:cs="Arial" w:eastAsia="Arial" w:hAnsi="Arial"/>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Long-horizon promise with yield: 20-year gift that earns HedgeKX yield for the recipient</w:t>
      </w:r>
    </w:p>
    <w:p>
      <w:pPr>
        <w:pStyle w:val="ListParagraph"/>
        <w:spacing w:before="60" w:after="60"/>
        <w:ind w:left="720"/>
      </w:pPr>
      <w:r>
        <w:rPr>
          <w:rFonts w:ascii="Arial" w:cs="Arial" w:eastAsia="Arial" w:hAnsi="Arial"/>
          <w:sz w:val="22"/>
          <w:szCs w:val="22"/>
        </w:rPr>
        <w:t xml:space="preserve">Standard promise (the default): any time-locked transfer where the grantor intends to give KX and has no reason to suppress the yield bonus for the recipient</w:t>
      </w:r>
    </w:p>
    <w:p>
      <w:pPr>
        <w:pStyle w:val="ListParagraph"/>
        <w:spacing w:before="60" w:after="60"/>
        <w:ind w:left="720"/>
      </w:pPr>
      <w:r>
        <w:rPr>
          <w:rFonts w:ascii="Arial" w:cs="Arial" w:eastAsia="Arial" w:hAnsi="Arial"/>
          <w:sz w:val="22"/>
          <w:szCs w:val="22"/>
        </w:rPr>
        <w:t xml:space="preserve">Long-horizon promises: 10-year, 20-year gifts and inheritance arrangements where yield accumulates meaningfully over time for the beneficiary</w:t>
      </w:r>
    </w:p>
    <w:p>
      <w:pPr>
        <w:pStyle w:val="ListParagraph"/>
        <w:spacing w:before="60" w:after="60"/>
        <w:ind w:left="720"/>
      </w:pPr>
      <w:r>
        <w:rPr>
          <w:rFonts w:ascii="Arial" w:cs="Arial" w:eastAsia="Arial" w:hAnsi="Arial"/>
          <w:sz w:val="22"/>
          <w:szCs w:val="22"/>
        </w:rPr>
        <w:t xml:space="preserve">ICO participant locks: KX purchased at ICO and locked for any duration automatically participates in HedgeKX yield — the lock duration determines the share of the yield pool</w:t>
      </w:r>
    </w:p>
    <w:p>
      <w:pPr>
        <w:spacing w:before="80" w:after="80"/>
      </w:pPr>
      <w:r>
        <w:t xml:space="preserve"/>
      </w:r>
    </w:p>
    <w:p>
      <w:pPr>
        <w:spacing w:before="100" w:after="100"/>
      </w:pPr>
    </w:p>
    <w:p>
      <w:pPr>
        <w:spacing w:before="100" w:after="100"/>
        <w:jc w:val="both"/>
      </w:pPr>
      <w:r>
        <w:rPr>
          <w:rFonts w:ascii="Arial" w:cs="Arial" w:eastAsia="Arial" w:hAnsi="Arial"/>
          <w:sz w:val="22"/>
          <w:szCs w:val="22"/>
        </w:rPr>
        <w:t xml:space="preserve">Long-duration TYPE_Y locks — whether made to oneself or to another party — follow the same three-stage Verifas suspense system as long-duration TYPE_S locks. A TYPE_Y savings lock made to oneself for two years is still subject to this system: if the lock holder dies before claiming, their estate can approach Verifas for co-signature release during Stage 2, rather than the KX reverting to an unreachable wallet. Short-duration TYPE_Y locks (under the governance Verifas threshold, currently one year) are unaffected — they revert to sender as normal.</w:t>
      </w:r>
    </w:p>
    <w:p>
      <w:pPr>
        <w:pStyle w:val="Heading2"/>
        <w:spacing w:before="320" w:after="160"/>
      </w:pPr>
      <w:r>
        <w:rPr>
          <w:rFonts w:ascii="Arial" w:cs="Arial" w:eastAsia="Arial" w:hAnsi="Arial"/>
          <w:b/>
          <w:bCs/>
          <w:color w:val="2E75B6"/>
          <w:sz w:val="26"/>
          <w:szCs w:val="26"/>
        </w:rPr>
        <w:t xml:space="preserve">A.8 TYPE I — Invoice</w:t>
      </w:r>
    </w:p>
    <w:p>
      <w:pPr>
        <w:spacing w:before="100" w:after="10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A.9 TYPE C — Credit Authorisation</w:t>
      </w:r>
    </w:p>
    <w:p>
      <w:pPr>
        <w:spacing w:before="100" w:after="100"/>
        <w:jc w:val="both"/>
      </w:pPr>
      <w:r>
        <w:rPr>
          <w:rFonts w:ascii="Arial" w:cs="Arial" w:eastAsia="Arial" w:hAnsi="Arial"/>
          <w:sz w:val="22"/>
          <w:szCs w:val="22"/>
        </w:rPr>
        <w:t xml:space="preserve">A pre-authorised variable draw facility. The grantor authorises a beneficiary to draw up to a ceiling amount in increments without per-draw approval. Revocable at any time before a draw executes.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A.10 TYPE V — Conditional Validity</w:t>
      </w:r>
    </w:p>
    <w:p>
      <w:pPr>
        <w:spacing w:before="100" w:after="10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A.11 TYPE L — Ledger Entry</w:t>
      </w:r>
    </w:p>
    <w:p>
      <w:pPr>
        <w:spacing w:before="100" w:after="100"/>
        <w:jc w:val="both"/>
      </w:pPr>
      <w:r>
        <w:rPr>
          <w:rFonts w:ascii="Arial" w:cs="Arial" w:eastAsia="Arial" w:hAnsi="Arial"/>
          <w:sz w:val="22"/>
          <w:szCs w:val="22"/>
        </w:rPr>
        <w:t xml:space="preserve">A bonded-agent-only signed DAG memo for on-chain identity verification, Promise Chain anchors, and protocol attestations. Only wallets registered as bonded verifiers may create TYPE L entries. This is how CPNX records badge issuances on the DAG.</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A.12 TYPE G — Wallet Group</w:t>
      </w:r>
    </w:p>
    <w:p>
      <w:pPr>
        <w:spacing w:before="100" w:after="100"/>
        <w:jc w:val="both"/>
      </w:pPr>
      <w:r>
        <w:rPr>
          <w:rFonts w:ascii="Arial" w:cs="Arial" w:eastAsia="Arial" w:hAnsi="Arial"/>
          <w:sz w:val="22"/>
          <w:szCs w:val="22"/>
        </w:rPr>
        <w:t xml:space="preserve">A named group of wallets referenced as a unit. Used in TYPE V attestor sets, backup executor lists, and authorised claim sets. 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r>
        <w:br w:type="page"/>
      </w:r>
    </w:p>
    <w:p>
      <w:pPr>
        <w:pStyle w:val="Heading1"/>
        <w:spacing w:before="480" w:after="240"/>
      </w:pPr>
      <w:r>
        <w:rPr>
          <w:rFonts w:ascii="Arial" w:cs="Arial" w:eastAsia="Arial" w:hAnsi="Arial"/>
          <w:b/>
          <w:bCs/>
          <w:color w:val="1F4E79"/>
          <w:sz w:val="34"/>
          <w:szCs w:val="34"/>
        </w:rPr>
        <w:t xml:space="preserve">Appendix B — Bilateral Promises (Loans)</w:t>
      </w:r>
    </w:p>
    <w:p>
      <w:pPr>
        <w:spacing w:before="100" w:after="10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80" w:after="80"/>
      </w:pPr>
      <w:r>
        <w:t xml:space="preserve"/>
      </w:r>
    </w:p>
    <w:p>
      <w:pPr>
        <w:spacing w:before="100" w:after="100"/>
        <w:jc w:val="both"/>
      </w:pPr>
      <w:r>
        <w:rPr>
          <w:rFonts w:ascii="Arial" w:cs="Arial" w:eastAsia="Arial" w:hAnsi="Arial"/>
          <w:sz w:val="22"/>
          <w:szCs w:val="22"/>
        </w:rPr>
        <w:t xml:space="preserve">Governance: loan_transfer_enabled = false (dormant). loan_block_principal_usd = $250 (governance vote needed to raise for institutional issuance).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B.1 Friendly Loan (30-Day, PAY_AS, 1% Hedge Fee)</w:t>
      </w:r>
    </w:p>
    <w:p>
      <w:pPr>
        <w:spacing w:before="100" w:after="100"/>
        <w:jc w:val="both"/>
      </w:pPr>
      <w:r>
        <w:rPr>
          <w:rFonts w:ascii="Arial" w:cs="Arial" w:eastAsia="Arial" w:hAnsi="Arial"/>
          <w:sz w:val="22"/>
          <w:szCs w:val="22"/>
        </w:rPr>
        <w:t xml:space="preserve">The standard friendly loan. Sender commits KX. Borrower receives KX equivalent to a specified USD amount today and promises to return the same USD equivalent within 30 days. The 1% fee covers the HedgeKX hedge that ensures the lender receives full USD value regardless of KX price movement during the loan period.</w:t>
      </w:r>
    </w:p>
    <w:p>
      <w:pPr>
        <w:spacing w:before="80" w:after="80"/>
      </w:pPr>
      <w:r>
        <w:t xml:space="preserve"/>
      </w:r>
    </w:p>
    <w:p>
      <w:pPr>
        <w:spacing w:before="100" w:after="100"/>
        <w:jc w:val="both"/>
      </w:pPr>
      <w:r>
        <w:rPr>
          <w:rFonts w:ascii="Arial" w:cs="Arial" w:eastAsia="Arial" w:hAnsi="Arial"/>
          <w:sz w:val="22"/>
          <w:szCs w:val="22"/>
        </w:rPr>
        <w:t xml:space="preserve">Governance prioritises friendly loan hedge requests when capacity is limited. Effective per-transaction cap is governed by available HedgeKX capacity; current maximum $250. Quote expires in 10 seconds. Hedge and promise created atomically on confirmation.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B.2 Fixed Term Loan</w:t>
      </w:r>
    </w:p>
    <w:p>
      <w:pPr>
        <w:spacing w:before="100" w:after="100"/>
        <w:jc w:val="both"/>
      </w:pPr>
      <w:r>
        <w:rPr>
          <w:rFonts w:ascii="Arial" w:cs="Arial" w:eastAsia="Arial" w:hAnsi="Arial"/>
          <w:sz w:val="22"/>
          <w:szCs w:val="22"/>
        </w:rPr>
        <w:t xml:space="preserve">Personal loan, business loan, mortgage, bridge loan. LoanOffer with fixed or variable interest rate, payment stages, and optional collateral lock. Full technical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B.3 Revolving Loan</w:t>
      </w:r>
    </w:p>
    <w:p>
      <w:pPr>
        <w:spacing w:before="100" w:after="100"/>
        <w:jc w:val="both"/>
      </w:pPr>
      <w:r>
        <w:rPr>
          <w:rFonts w:ascii="Arial" w:cs="Arial" w:eastAsia="Arial" w:hAnsi="Arial"/>
          <w:sz w:val="22"/>
          <w:szCs w:val="22"/>
        </w:rPr>
        <w:t xml:space="preserve">Business line of credit, overdraft facility, working capital. Ceiling amount, renewal period, exit rights. Full parameters in Appendix B technical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B.4 Sharia-Compliant Loans</w:t>
      </w:r>
    </w:p>
    <w:p>
      <w:pPr>
        <w:spacing w:before="100" w:after="100"/>
        <w:jc w:val="both"/>
      </w:pPr>
      <w:r>
        <w:rPr>
          <w:rFonts w:ascii="Arial" w:cs="Arial" w:eastAsia="Arial" w:hAnsi="Arial"/>
          <w:sz w:val="22"/>
          <w:szCs w:val="22"/>
        </w:rPr>
        <w:t xml:space="preserve">Murabaha (cost-plus, no compounding) and Qard Hasan (zero-profit benevolent loan) are natively supported. Structured as LoanOffer with appropriate interest_rate and payment stage configurations.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B.5 PAY_AS Loan</w:t>
      </w:r>
    </w:p>
    <w:p>
      <w:pPr>
        <w:spacing w:before="100" w:after="10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B.6 Loan Transferability and Tranching</w:t>
      </w:r>
    </w:p>
    <w:p>
      <w:pPr>
        <w:spacing w:before="100" w:after="100"/>
        <w:jc w:val="both"/>
      </w:pPr>
      <w:r>
        <w:rPr>
          <w:rFonts w:ascii="Arial" w:cs="Arial" w:eastAsia="Arial" w:hAnsi="Arial"/>
          <w:sz w:val="22"/>
          <w:szCs w:val="22"/>
        </w:rPr>
        <w:t xml:space="preserve">Loan_transfer_enabled: false (dormant, governance activation post-ICO). When enabled: FREE, RESTRICTED, or LOCKED transferability. Tranching: minimum 1,000 KX per tranche, maximum 1,000 tranches per obligation, minimum 10,000 KX to tranche. YIELD_ONLY and PRINCIPAL_ONLY strip instruments supported.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B.7 MISAI as Loan Servicer</w:t>
      </w:r>
    </w:p>
    <w:p>
      <w:pPr>
        <w:spacing w:before="100" w:after="100"/>
        <w:jc w:val="both"/>
      </w:pPr>
      <w:r>
        <w:rPr>
          <w:rFonts w:ascii="Arial" w:cs="Arial" w:eastAsia="Arial" w:hAnsi="Arial"/>
          <w:sz w:val="22"/>
          <w:szCs w:val="22"/>
        </w:rPr>
        <w:t xml:space="preserve">Any loan may designate MISAI as servicer. MISAI monitors payment schedule, publishes DefaultRecord when payments are missed, and processes LoanCompletion when all stages are paid. Every MISAI action is committed to the DAG before it executes (Axiom VIII).</w:t>
      </w:r>
    </w:p>
    <w:p>
      <w:r>
        <w:br w:type="page"/>
      </w:r>
    </w:p>
    <w:p>
      <w:pPr>
        <w:pStyle w:val="Heading1"/>
        <w:spacing w:before="480" w:after="240"/>
      </w:pPr>
      <w:r>
        <w:rPr>
          <w:rFonts w:ascii="Arial" w:cs="Arial" w:eastAsia="Arial" w:hAnsi="Arial"/>
          <w:b/>
          <w:bCs/>
          <w:color w:val="1F4E79"/>
          <w:sz w:val="34"/>
          <w:szCs w:val="34"/>
        </w:rPr>
        <w:t xml:space="preserve">Appendix C — Conditional Promises (TYPE S Springing Instruments)</w:t>
      </w:r>
    </w:p>
    <w:p>
      <w:pPr>
        <w:spacing w:before="100" w:after="10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C.1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Live (scaffold)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Sweep engine evaluates every 60 seconds. governance flag: hedgekx_oracle_trigger_enabled.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55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C.2 Parametric Insurance (Live Today)</w:t>
      </w:r>
    </w:p>
    <w:p>
      <w:pPr>
        <w:spacing w:before="100" w:after="10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C.3 The Hedge Tower Structure</w:t>
      </w:r>
    </w:p>
    <w:p>
      <w:pPr>
        <w:spacing w:before="100" w:after="100"/>
        <w:jc w:val="both"/>
      </w:pPr>
      <w:r>
        <w:rPr>
          <w:rFonts w:ascii="Arial" w:cs="Arial" w:eastAsia="Arial" w:hAnsi="Arial"/>
          <w:sz w:val="22"/>
          <w:szCs w:val="22"/>
        </w:rPr>
        <w:t xml:space="preserve">For PAY_AS insurance policies, three hedge layers protect against KX/USD currency conversion risk. Layer 0 (live): rolling 30-day hedges covering first 8% of KX depreciation. Layer 1 (planned): 1-year instruments covering 8–20% depreciation. Layer 2 (planned): catastrophe layer covering &gt;20% depreciation AND a PAY_AS claim has actually fired (CompoundAND condition).</w:t>
      </w:r>
    </w:p>
    <w:p>
      <w:pPr>
        <w:spacing w:before="80" w:after="80"/>
      </w:pPr>
      <w:r>
        <w:t xml:space="preserve"/>
      </w:r>
    </w:p>
    <w:p>
      <w:pPr>
        <w:spacing w:before="100" w:after="100"/>
        <w:jc w:val="both"/>
      </w:pPr>
      <w:r>
        <w:rPr>
          <w:rFonts w:ascii="Arial" w:cs="Arial" w:eastAsia="Arial" w:hAnsi="Arial"/>
          <w:sz w:val="22"/>
          <w:szCs w:val="22"/>
        </w:rPr>
        <w:t xml:space="preserve">Layer 2 design insight: Layer 2 fires ONLY if KX drops more than 20% AND an actual covered claim has been attested. These are independent events. KX may drop 50% with no covered losses — Layer 2 never fires. The hedger retains their USDC collateral and all premium income.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C.4 HedgeKX Overnight Hedge (Live Today)</w:t>
      </w:r>
    </w:p>
    <w:p>
      <w:pPr>
        <w:spacing w:before="100" w:after="100"/>
        <w:jc w:val="both"/>
      </w:pPr>
      <w:r>
        <w:rPr>
          <w:rFonts w:ascii="Arial" w:cs="Arial" w:eastAsia="Arial" w:hAnsi="Arial"/>
          <w:sz w:val="22"/>
          <w:szCs w:val="22"/>
        </w:rPr>
        <w:t xml:space="preserve">A hedger locks KX as collateral against a 24-hour KX/USD position. If the oracle condition fires, KX releases to the pool. If not triggered before valid_until, success_payment_chronos transfers to success_payment_wallet (the hedge premium return), and remaining KX returns to the hedger. Current governance: hedgekx_max_daily_exposure_usd = $250.</w:t>
      </w:r>
    </w:p>
    <w:p>
      <w:r>
        <w:br w:type="page"/>
      </w:r>
    </w:p>
    <w:p>
      <w:pPr>
        <w:pStyle w:val="Heading1"/>
        <w:spacing w:before="480" w:after="240"/>
      </w:pPr>
      <w:r>
        <w:rPr>
          <w:rFonts w:ascii="Arial" w:cs="Arial" w:eastAsia="Arial" w:hAnsi="Arial"/>
          <w:b/>
          <w:bCs/>
          <w:color w:val="1F4E79"/>
          <w:sz w:val="34"/>
          <w:szCs w:val="34"/>
        </w:rPr>
        <w:t xml:space="preserve">Appendix D — Pool Instruments</w:t>
      </w:r>
    </w:p>
    <w:p>
      <w:pPr>
        <w:pStyle w:val="Heading2"/>
        <w:spacing w:before="320" w:after="160"/>
      </w:pPr>
      <w:r>
        <w:rPr>
          <w:rFonts w:ascii="Arial" w:cs="Arial" w:eastAsia="Arial" w:hAnsi="Arial"/>
          <w:b/>
          <w:bCs/>
          <w:color w:val="2E75B6"/>
          <w:sz w:val="26"/>
          <w:szCs w:val="26"/>
        </w:rPr>
        <w:t xml:space="preserve">D.1 TYPE P-F — Fully Reserved Pool</w:t>
      </w:r>
    </w:p>
    <w:p>
      <w:pPr>
        <w:spacing w:before="100" w:after="100"/>
        <w:jc w:val="both"/>
      </w:pPr>
      <w:r>
        <w:rPr>
          <w:rFonts w:ascii="Arial" w:cs="Arial" w:eastAsia="Arial" w:hAnsi="Arial"/>
          <w:sz w:val="22"/>
          <w:szCs w:val="22"/>
        </w:rPr>
        <w:t xml:space="preserve">Total reserved must always be &lt;= pool balance. No fractional reserve. No leverage. No access requirements. Use cases: construction escrow (full project amount reserved from day one), vesting pool (employee allocations fully backed).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D.2 TYPE P-R — Fractional Reserve Pool</w:t>
      </w:r>
    </w:p>
    <w:p>
      <w:pPr>
        <w:spacing w:before="100" w:after="100"/>
        <w:jc w:val="both"/>
      </w:pPr>
      <w:r>
        <w:rPr>
          <w:rFonts w:ascii="Arial" w:cs="Arial" w:eastAsia="Arial" w:hAnsi="Arial"/>
          <w:sz w:val="22"/>
          <w:szCs w:val="22"/>
        </w:rPr>
        <w:t xml:space="preserve">Operates with a coverage ratio. Pool holds less KX than total face value of obligations. coverage_ratio_at_registration is immutable per claimant. Access requirements: BANK, INSURANCE, or GOVERNMENT badge from CPNX plus active TYPE A authority grant from KXGC.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D.4 TYPE W — Waterfall Routing</w:t>
      </w:r>
    </w:p>
    <w:p>
      <w:pPr>
        <w:spacing w:before="100" w:after="10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r>
        <w:br w:type="page"/>
      </w:r>
    </w:p>
    <w:p>
      <w:pPr>
        <w:pStyle w:val="Heading1"/>
        <w:spacing w:before="480" w:after="240"/>
      </w:pPr>
      <w:r>
        <w:rPr>
          <w:rFonts w:ascii="Arial" w:cs="Arial" w:eastAsia="Arial" w:hAnsi="Arial"/>
          <w:b/>
          <w:bCs/>
          <w:color w:val="1F4E79"/>
          <w:sz w:val="34"/>
          <w:szCs w:val="34"/>
        </w:rPr>
        <w:t xml:space="preserve">Appendix E — Bond Instruments (TYPE B)</w:t>
      </w:r>
    </w:p>
    <w:p>
      <w:pPr>
        <w:spacing w:before="100" w:after="100"/>
        <w:jc w:val="both"/>
      </w:pPr>
      <w:r>
        <w:rPr>
          <w:rFonts w:ascii="Arial" w:cs="Arial" w:eastAsia="Arial" w:hAnsi="Arial"/>
          <w:sz w:val="22"/>
          <w:szCs w:val="22"/>
        </w:rPr>
        <w:t xml:space="preserve">Each EPP lends its performance bond to the Foundation. 100-year, 0% interest loan. Foundation holds DrawRequest right. DrawRequest auto-executes on lock_until. Foundation cannot accelerate. Board cannot override. Published on DAG immediately.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E.1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200"/>
        <w:gridCol w:w="1400"/>
        <w:gridCol w:w="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verifas.io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300,000,000</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kxgc.io</w:t>
            </w:r>
          </w:p>
        </w:tc>
        <w:tc>
          <w:tcPr>
            <w:tcW w:type="dxa" w:w="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30 days</w:t>
            </w:r>
          </w:p>
        </w:tc>
      </w:tr>
    </w:tbl>
    <w:p>
      <w:r>
        <w:br w:type="page"/>
      </w:r>
    </w:p>
    <w:p>
      <w:pPr>
        <w:pStyle w:val="Heading2"/>
        <w:spacing w:before="320" w:after="160"/>
      </w:pPr>
      <w:r>
        <w:rPr>
          <w:rFonts w:ascii="Arial" w:cs="Arial" w:eastAsia="Arial" w:hAnsi="Arial"/>
          <w:b/>
          <w:bCs/>
          <w:color w:val="1F4E79"/>
          <w:sz w:val="28"/>
          <w:szCs w:val="28"/>
        </w:rPr>
        <w:t xml:space="preserve">E.2 Bond vs Operating Capital — The Distinction</w:t>
      </w:r>
    </w:p>
    <w:p>
      <w:pPr>
        <w:spacing w:before="100" w:after="100"/>
      </w:pPr>
    </w:p>
    <w:p>
      <w:pPr>
        <w:spacing w:before="100" w:after="100"/>
        <w:jc w:val="both"/>
      </w:pPr>
      <w:r>
        <w:rPr>
          <w:rFonts w:ascii="Arial" w:cs="Arial" w:eastAsia="Arial" w:hAnsi="Arial"/>
          <w:sz w:val="22"/>
          <w:szCs w:val="22"/>
        </w:rPr>
        <w:t xml:space="preserve">The EPP bond table above lists bond KX only — the 100-year TYPE B locks lent to the Foundation. This is distinct from EPP operating capital.</w:t>
      </w:r>
    </w:p>
    <w:p>
      <w:pPr>
        <w:spacing w:before="100" w:after="100"/>
      </w:pPr>
    </w:p>
    <w:p>
      <w:pPr>
        <w:spacing w:before="100" w:after="100"/>
        <w:jc w:val="both"/>
      </w:pPr>
      <w:r>
        <w:rPr>
          <w:rFonts w:ascii="Arial" w:cs="Arial" w:eastAsia="Arial" w:hAnsi="Arial"/>
          <w:sz w:val="22"/>
          <w:szCs w:val="22"/>
        </w:rPr>
        <w:t xml:space="preserve">EPP bond KX: TYPE B lock. 100-year term. 0% interest. Held by Foundation. Cannot be sold, moved, or accessed by the EPP for any purpose. Subject to DrawRequest slashing only.</w:t>
      </w:r>
    </w:p>
    <w:p>
      <w:pPr>
        <w:spacing w:before="100" w:after="100"/>
      </w:pPr>
    </w:p>
    <w:p>
      <w:pPr>
        <w:spacing w:before="100" w:after="100"/>
        <w:jc w:val="both"/>
      </w:pPr>
      <w:r>
        <w:rPr>
          <w:rFonts w:ascii="Arial" w:cs="Arial" w:eastAsia="Arial" w:hAnsi="Arial"/>
          <w:sz w:val="22"/>
          <w:szCs w:val="22"/>
        </w:rPr>
        <w:t xml:space="preserve">EPP operating capital KX: Cascade time-locks. 5—10 year vesting. Held by EPP operations wallet. Released in annual tranches. Subject to governance reasonable-use mandate. See Section 4.9 for complete protection framework.</w:t>
      </w:r>
    </w:p>
    <w:p>
      <w:pPr>
        <w:spacing w:before="100" w:after="100"/>
      </w:pPr>
    </w:p>
    <w:p>
      <w:pPr>
        <w:spacing w:before="100" w:after="100"/>
        <w:jc w:val="both"/>
      </w:pPr>
      <w:r>
        <w:rPr>
          <w:rFonts w:ascii="Arial" w:cs="Arial" w:eastAsia="Arial" w:hAnsi="Arial"/>
          <w:sz w:val="22"/>
          <w:szCs w:val="22"/>
        </w:rPr>
        <w:t xml:space="preserve">Current EPP operating capital allocations:</w:t>
      </w:r>
    </w:p>
    <w:p>
      <w:pPr>
        <w:spacing w:before="100" w:after="100"/>
      </w:pPr>
    </w:p>
    <w:p>
      <w:pPr>
        <w:spacing w:before="100" w:after="100"/>
        <w:jc w:val="both"/>
      </w:pPr>
      <w:r>
        <w:rPr>
          <w:rFonts w:ascii="Arial" w:cs="Arial" w:eastAsia="Arial" w:hAnsi="Arial"/>
          <w:sz w:val="22"/>
          <w:szCs w:val="22"/>
        </w:rPr>
        <w:t xml:space="preserve">HedgeKX: 50,000,000 KX. Wallet: 5zjp4YM7RkBWk8hHN5kdv3xYhjsnXmYUJuL2vgqxHBE1. Schedule: 5 annual tranches 2027—2031. Tranches: 5M / 7.5M / 10M / 12.5M / 15M KX.</w:t>
      </w:r>
    </w:p>
    <w:p>
      <w:pPr>
        <w:spacing w:before="100" w:after="100"/>
      </w:pPr>
    </w:p>
    <w:p>
      <w:pPr>
        <w:spacing w:before="100" w:after="100"/>
        <w:jc w:val="both"/>
      </w:pPr>
      <w:r>
        <w:rPr>
          <w:rFonts w:ascii="Arial" w:cs="Arial" w:eastAsia="Arial" w:hAnsi="Arial"/>
          <w:sz w:val="22"/>
          <w:szCs w:val="22"/>
        </w:rPr>
        <w:t xml:space="preserve">KXGC: 200,000,000 KX. Wallet: G2aH9NfRFo5gdLTMjNqCRv4PkcKKEHLD99Y8vhQwSgeV. Schedule: 10 annual tranches 2027—2036. Tranches: 5M / 5M / 10M / 15M / 20M / 20M / 25M / 25M / 35M / 40M KX.</w:t>
      </w:r>
    </w:p>
    <w:p>
      <w:pPr>
        <w:spacing w:before="100" w:after="100"/>
      </w:pPr>
    </w:p>
    <w:p>
      <w:pPr>
        <w:pStyle w:val="Heading1"/>
        <w:spacing w:before="480" w:after="240"/>
      </w:pPr>
      <w:r>
        <w:rPr>
          <w:rFonts w:ascii="Arial" w:cs="Arial" w:eastAsia="Arial" w:hAnsi="Arial"/>
          <w:b/>
          <w:bCs/>
          <w:color w:val="1F4E79"/>
          <w:sz w:val="34"/>
          <w:szCs w:val="34"/>
        </w:rPr>
        <w:t xml:space="preserve">Appendix F — Authority Grants (TYPE A)</w:t>
      </w:r>
    </w:p>
    <w:p>
      <w:pPr>
        <w:spacing w:before="100" w:after="100"/>
        <w:jc w:val="both"/>
      </w:pPr>
      <w:r>
        <w:rPr>
          <w:rFonts w:ascii="Arial" w:cs="Arial" w:eastAsia="Arial" w:hAnsi="Arial"/>
          <w:sz w:val="22"/>
          <w:szCs w:val="22"/>
        </w:rPr>
        <w:t xml:space="preserve">TYPE A grants establish the KXGC reinsurance hierarchy. Parameters flow down but cannot be amplified. Tier 1 grant: sender must be KXGC bond wallet. Tier 2 grant: sender must have active Tier 1 with can_subgrant: true. Sub-grant limits must be &lt;= grantor's own limits. TYPE P-R pool creation requires an active TYPE A grant.</w:t>
      </w:r>
    </w:p>
    <w:p>
      <w:r>
        <w:br w:type="page"/>
      </w:r>
    </w:p>
    <w:p>
      <w:pPr>
        <w:pStyle w:val="Heading1"/>
        <w:spacing w:before="480" w:after="240"/>
      </w:pPr>
      <w:r>
        <w:rPr>
          <w:rFonts w:ascii="Arial" w:cs="Arial" w:eastAsia="Arial" w:hAnsi="Arial"/>
          <w:b/>
          <w:bCs/>
          <w:color w:val="1F4E79"/>
          <w:sz w:val="34"/>
          <w:szCs w:val="34"/>
        </w:rPr>
        <w:t xml:space="preserve">Appendix G — Complete Governance Parameters</w:t>
      </w:r>
    </w:p>
    <w:p>
      <w:pPr>
        <w:spacing w:before="100" w:after="100"/>
        <w:jc w:val="both"/>
      </w:pPr>
      <w:r>
        <w:rPr>
          <w:rFonts w:ascii="Arial" w:cs="Arial" w:eastAsia="Arial" w:hAnsi="Arial"/>
          <w:sz w:val="22"/>
          <w:szCs w:val="22"/>
        </w:rPr>
        <w:t xml:space="preserve">Live values from genesis-params.json as of Genesis Zero. All changes require a Foundation governance vote.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G.1 Rate Limiting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400"/>
        <w:gridCol w:w="1080"/>
        <w:gridCol w:w="900"/>
        <w:gridCol w:w="1080"/>
        <w:gridCol w:w="3000"/>
      </w:tblGrid>
      <w:tr>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10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1,000</w:t>
            </w:r>
          </w:p>
        </w:tc>
        <w:tc>
          <w:tcPr>
            <w:tcW w:type="dxa" w:w="3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G.2 Sweep Timing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3,600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G.3 Fees (Immutable)</w:t>
      </w:r>
    </w:p>
    <w:p>
      <w:pPr>
        <w:spacing w:before="100" w:after="100"/>
        <w:jc w:val="both"/>
      </w:pPr>
      <w:r>
        <w:rPr>
          <w:rFonts w:ascii="Arial" w:cs="Arial" w:eastAsia="Arial" w:hAnsi="Arial"/>
          <w:sz w:val="22"/>
          <w:szCs w:val="22"/>
        </w:rPr>
        <w:t xml:space="preserve">All transaction fees: 0. IMMUTABLE — Zero forever. This applies to all instrument types (I, C, Y, V, L, S, M, 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G.4 Executor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0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2,592,000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G.5 Loan Safeguards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4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10.0%</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G.6 PAY_AS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$250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G.7 HedgeKX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40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24-hour maximum duration.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LIVE — sweep evaluates every 60s against oracle price cache.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4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savings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friendly_loan_hedge_fee_pct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hedge fee rate for friendly loans.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friendly_loan_max_duration_days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friendly loan duration in days. Governance-adjustable.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friendly_loan_priority_enabled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Friendly loan hedge requests served first when HedgeKX capacity is limited.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G.8 KXGC</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6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6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0.00</w:t>
            </w:r>
          </w:p>
        </w:tc>
        <w:tc>
          <w:tcPr>
            <w:tcW w:type="dxa" w:w="46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G.9 MISAI</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0.50</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G.10 Privacy</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G.11 Emergency Switches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pStyle w:val="Heading2"/>
        <w:spacing w:before="320" w:after="160"/>
      </w:pPr>
      <w:r>
        <w:rPr>
          <w:rFonts w:ascii="Arial" w:cs="Arial" w:eastAsia="Arial" w:hAnsi="Arial"/>
          <w:b/>
          <w:bCs/>
          <w:color w:val="1F4E79"/>
          <w:sz w:val="28"/>
          <w:szCs w:val="28"/>
        </w:rPr>
        <w:t xml:space="preserve">G.13 Verifas Suspense System</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426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Parameter</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Current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color w:val="FFFFFF"/>
                <w:sz w:val="20"/>
                <w:szCs w:val="20"/>
              </w:rPr>
              <w:t xml:space="preserve">Description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verifas_long_duration_threshold_days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Locks with unlock_at above this threshold are subject to the three-stage Verifas suspense system rather than simple RevertToSender.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verifas_stage1_days_wallet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 wallet-recipient long-duration lock enters Stage 2 (two-party). Minimum: 0.</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verifas_stage1_days_email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after maturity before an email-recipient long-duration lock enters Stage 2. Default 0 — email locks enter two-party mode immediately on maturity to protect against future email infrastructure compromise.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verifas_stage2_days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2555</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Stage 2 (two-party lock) before sole custody transfers to Verifas. Default ~7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verifas_custody_days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36500</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Days in Verifas sole custody before KX transfers to Humanity Stake. Default ~100 years.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verifas_fee_basis_points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TBD</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Governance-approved fee paid to Verifas bonded attestor at successful Stage 2 or Stage 3 release. Paid from the lock value at time of release.</w:t>
            </w:r>
          </w:p>
        </w:tc>
      </w:tr>
    </w:tbl>
    <w:p>
      <w:r>
        <w:br w:type="page"/>
      </w:r>
    </w:p>
    <w:p>
      <w:pPr>
        <w:pStyle w:val="Heading1"/>
        <w:spacing w:before="480" w:after="240"/>
      </w:pPr>
      <w:r>
        <w:rPr>
          <w:rFonts w:ascii="Arial" w:cs="Arial" w:eastAsia="Arial" w:hAnsi="Arial"/>
          <w:b/>
          <w:bCs/>
          <w:color w:val="1F4E79"/>
          <w:sz w:val="34"/>
          <w:szCs w:val="34"/>
        </w:rPr>
        <w:t xml:space="preserve">Appendix H — Use Case Playbooks</w:t>
      </w:r>
    </w:p>
    <w:p>
      <w:pPr>
        <w:spacing w:before="100" w:after="10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H.1 — I Want to Issue Debt</w:t>
      </w:r>
    </w:p>
    <w:p>
      <w:pPr>
        <w:spacing w:before="100" w:after="100"/>
        <w:jc w:val="both"/>
      </w:pPr>
      <w:r>
        <w:rPr>
          <w:rFonts w:ascii="Arial" w:cs="Arial" w:eastAsia="Arial" w:hAnsi="Arial"/>
          <w:i/>
          <w:iCs/>
          <w:sz w:val="22"/>
          <w:szCs w:val="22"/>
        </w:rPr>
        <w:t xml:space="preserve">Who this is for: corporations, real estate developers, municipalities, private lenders.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80" w:after="80"/>
      </w:pPr>
      <w:r>
        <w:t xml:space="preserve"/>
      </w:r>
    </w:p>
    <w:p>
      <w:pPr>
        <w:spacing w:before="100" w:after="10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H.2 — I Want to Build a Marketplace</w:t>
      </w:r>
    </w:p>
    <w:p>
      <w:pPr>
        <w:spacing w:before="100" w:after="100"/>
        <w:jc w:val="both"/>
      </w:pPr>
      <w:r>
        <w:rPr>
          <w:rFonts w:ascii="Arial" w:cs="Arial" w:eastAsia="Arial" w:hAnsi="Arial"/>
          <w:i/>
          <w:iCs/>
          <w:sz w:val="22"/>
          <w:szCs w:val="22"/>
        </w:rPr>
        <w:t xml:space="preserve">Who this is for: fintech developers, exchange operators, DeFi builders.</w:t>
      </w:r>
    </w:p>
    <w:p>
      <w:pPr>
        <w:spacing w:before="80" w:after="80"/>
      </w:pPr>
      <w:r>
        <w:t xml:space="preserve"/>
      </w:r>
    </w:p>
    <w:p>
      <w:pPr>
        <w:spacing w:before="100" w:after="100"/>
        <w:jc w:val="both"/>
      </w:pPr>
      <w:r>
        <w:rPr>
          <w:rFonts w:ascii="Arial" w:cs="Arial" w:eastAsia="Arial" w:hAnsi="Arial"/>
          <w:sz w:val="22"/>
          <w:szCs w:val="22"/>
        </w:rPr>
        <w:t xml:space="preserve">Key RPC methods: chronx_getYieldInputs, chronx_getObligationsByOwner, chronx_getTransferHistory, chronx_getTranches. Full method reference: Appendix I.</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H.3 — I Want to Rate Loans</w:t>
      </w:r>
    </w:p>
    <w:p>
      <w:pPr>
        <w:spacing w:before="100" w:after="100"/>
        <w:jc w:val="both"/>
      </w:pPr>
      <w:r>
        <w:rPr>
          <w:rFonts w:ascii="Arial" w:cs="Arial" w:eastAsia="Arial" w:hAnsi="Arial"/>
          <w:i/>
          <w:iCs/>
          <w:sz w:val="22"/>
          <w:szCs w:val="22"/>
        </w:rPr>
        <w:t xml:space="preserve">Who this is for: credit rating analysts, risk modelers, financial data companies.</w:t>
      </w:r>
    </w:p>
    <w:p>
      <w:pPr>
        <w:spacing w:before="80" w:after="80"/>
      </w:pPr>
      <w:r>
        <w:t xml:space="preserve"/>
      </w:r>
    </w:p>
    <w:p>
      <w:pPr>
        <w:spacing w:before="100" w:after="10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H.4 — I Have 20 Years of Insurance Experience</w:t>
      </w:r>
    </w:p>
    <w:p>
      <w:pPr>
        <w:spacing w:before="100" w:after="100"/>
        <w:jc w:val="both"/>
      </w:pPr>
      <w:r>
        <w:rPr>
          <w:rFonts w:ascii="Arial" w:cs="Arial" w:eastAsia="Arial" w:hAnsi="Arial"/>
          <w:i/>
          <w:iCs/>
          <w:sz w:val="22"/>
          <w:szCs w:val="22"/>
        </w:rPr>
        <w:t xml:space="preserve">Who this is for: insurance underwriters, surplus lines operators, reinsurance professionals.</w:t>
      </w:r>
    </w:p>
    <w:p>
      <w:pPr>
        <w:spacing w:before="80" w:after="80"/>
      </w:pPr>
      <w:r>
        <w:t xml:space="preserve"/>
      </w:r>
    </w:p>
    <w:p>
      <w:pPr>
        <w:spacing w:before="100" w:after="100"/>
        <w:jc w:val="both"/>
      </w:pPr>
      <w:r>
        <w:rPr>
          <w:rFonts w:ascii="Arial" w:cs="Arial" w:eastAsia="Arial" w:hAnsi="Arial"/>
          <w:sz w:val="22"/>
          <w:szCs w:val="22"/>
        </w:rPr>
        <w:t xml:space="preserve">Major insurers are exiting California. Homeowners with paid-off properties are legally self-insurable. KXGC provides 300,000,000 KX in fully-reserved capital — permanently on the DAG, queryable by anyone. No audit required. No regulatory filing. The DAG is the proof.</w:t>
      </w:r>
    </w:p>
    <w:p>
      <w:pPr>
        <w:spacing w:before="80" w:after="80"/>
      </w:pPr>
      <w:r>
        <w:t xml:space="preserve"/>
      </w:r>
    </w:p>
    <w:p>
      <w:pPr>
        <w:spacing w:before="100" w:after="100"/>
        <w:jc w:val="both"/>
      </w:pPr>
      <w:r>
        <w:rPr>
          <w:rFonts w:ascii="Arial" w:cs="Arial" w:eastAsia="Arial" w:hAnsi="Arial"/>
          <w:b/>
          <w:bCs/>
          <w:sz w:val="22"/>
          <w:szCs w:val="22"/>
        </w:rPr>
        <w:t xml:space="preserve">How to get started:</w:t>
      </w:r>
    </w:p>
    <w:p>
      <w:pPr>
        <w:pStyle w:val="ListParagraph"/>
        <w:numPr>
          <w:ilvl w:val="0"/>
          <w:numId w:val="3"/>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3"/>
        </w:numPr>
        <w:spacing w:before="60" w:after="60"/>
      </w:pPr>
      <w:r>
        <w:rPr>
          <w:rFonts w:ascii="Arial" w:cs="Arial" w:eastAsia="Arial" w:hAnsi="Arial"/>
          <w:sz w:val="22"/>
          <w:szCs w:val="22"/>
        </w:rPr>
        <w:t xml:space="preserve">KXGC issues TYPE A authority grant</w:t>
      </w:r>
    </w:p>
    <w:p>
      <w:pPr>
        <w:pStyle w:val="ListParagraph"/>
        <w:numPr>
          <w:ilvl w:val="0"/>
          <w:numId w:val="3"/>
        </w:numPr>
        <w:spacing w:before="60" w:after="60"/>
      </w:pPr>
      <w:r>
        <w:rPr>
          <w:rFonts w:ascii="Arial" w:cs="Arial" w:eastAsia="Arial" w:hAnsi="Arial"/>
          <w:sz w:val="22"/>
          <w:szCs w:val="22"/>
        </w:rPr>
        <w:t xml:space="preserve">Get INSURANCE badge from CPNX</w:t>
      </w:r>
    </w:p>
    <w:p>
      <w:pPr>
        <w:pStyle w:val="ListParagraph"/>
        <w:numPr>
          <w:ilvl w:val="0"/>
          <w:numId w:val="3"/>
        </w:numPr>
        <w:spacing w:before="60" w:after="60"/>
      </w:pPr>
      <w:r>
        <w:rPr>
          <w:rFonts w:ascii="Arial" w:cs="Arial" w:eastAsia="Arial" w:hAnsi="Arial"/>
          <w:sz w:val="22"/>
          <w:szCs w:val="22"/>
        </w:rPr>
        <w:t xml:space="preserve">Create TYPE P-R pool with mandatory disclosure_text</w:t>
      </w:r>
    </w:p>
    <w:p>
      <w:pPr>
        <w:pStyle w:val="ListParagraph"/>
        <w:numPr>
          <w:ilvl w:val="0"/>
          <w:numId w:val="3"/>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3"/>
        </w:numPr>
        <w:spacing w:before="60" w:after="60"/>
      </w:pPr>
      <w:r>
        <w:rPr>
          <w:rFonts w:ascii="Arial" w:cs="Arial" w:eastAsia="Arial" w:hAnsi="Arial"/>
          <w:sz w:val="22"/>
          <w:szCs w:val="22"/>
        </w:rPr>
        <w:t xml:space="preserve">Design attestor group as TYPE G with min_attestors_pct</w:t>
      </w:r>
    </w:p>
    <w:p>
      <w:pPr>
        <w:pStyle w:val="ListParagraph"/>
        <w:numPr>
          <w:ilvl w:val="0"/>
          <w:numId w:val="3"/>
        </w:numPr>
        <w:spacing w:before="60" w:after="60"/>
      </w:pPr>
      <w:r>
        <w:rPr>
          <w:rFonts w:ascii="Arial" w:cs="Arial" w:eastAsia="Arial" w:hAnsi="Arial"/>
          <w:sz w:val="22"/>
          <w:szCs w:val="22"/>
        </w:rPr>
        <w:t xml:space="preserve">KXGC backstops via TYPE W waterfall</w:t>
      </w:r>
    </w:p>
    <w:p>
      <w:pPr>
        <w:spacing w:before="80" w:after="80"/>
      </w:pPr>
      <w:r>
        <w:t xml:space="preserve"/>
      </w:r>
    </w:p>
    <w:p>
      <w:pPr>
        <w:spacing w:before="100" w:after="100"/>
        <w:jc w:val="both"/>
      </w:pPr>
      <w:r>
        <w:rPr>
          <w:rFonts w:ascii="Arial" w:cs="Arial" w:eastAsia="Arial" w:hAnsi="Arial"/>
          <w:sz w:val="22"/>
          <w:szCs w:val="22"/>
        </w:rPr>
        <w:t xml:space="preserve">Regulatory note: Homes owned free and clear are legally self-insurable in most US jurisdictions. Consult qualified legal counsel before operating.</w:t>
      </w:r>
    </w:p>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H.5 — I Want to Write Homeowner Insurance as a Mutual Benefit Company</w:t>
      </w:r>
    </w:p>
    <w:p>
      <w:pPr>
        <w:spacing w:before="100" w:after="100"/>
        <w:jc w:val="both"/>
      </w:pPr>
      <w:r>
        <w:rPr>
          <w:rFonts w:ascii="Arial" w:cs="Arial" w:eastAsia="Arial" w:hAnsi="Arial"/>
          <w:i/>
          <w:iCs/>
          <w:sz w:val="22"/>
          <w:szCs w:val="22"/>
        </w:rPr>
        <w:t xml:space="preserve">Who this is for: founders building a blockchain-native insurance mutual for free-and-clear homeowners.</w:t>
      </w:r>
    </w:p>
    <w:p>
      <w:pPr>
        <w:spacing w:before="80" w:after="80"/>
      </w:pPr>
      <w:r>
        <w:t xml:space="preserve"/>
      </w:r>
    </w:p>
    <w:p>
      <w:pPr>
        <w:spacing w:before="100" w:after="10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Consult a surplus lines attorney before writing policy #1.</w:t>
      </w:r>
    </w:p>
    <w:p>
      <w:pPr>
        <w:spacing w:before="80" w:after="80"/>
      </w:pPr>
      <w:r>
        <w:t xml:space="preserve"/>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5260"/>
      </w:tblGrid>
      <w:tr>
        <w:tc>
          <w:tcPr>
            <w:tcW w:type="dxa" w:w="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w:t>
            </w:r>
          </w:p>
        </w:tc>
        <w:tc>
          <w:tcPr>
            <w:tcW w:type="dxa" w:w="5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2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80" w:after="80"/>
      </w:pPr>
      <w:r>
        <w:t xml:space="preserve"/>
      </w:r>
    </w:p>
    <w:p>
      <w:pPr>
        <w:spacing w:before="100" w:after="100"/>
        <w:jc w:val="both"/>
      </w:pPr>
      <w:r>
        <w:rPr>
          <w:rFonts w:ascii="Arial" w:cs="Arial" w:eastAsia="Arial" w:hAnsi="Arial"/>
          <w:sz w:val="22"/>
          <w:szCs w:val="22"/>
        </w:rPr>
        <w:t xml:space="preserve">Contact: contact@kxgc.io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H.6 — I Want to Run a Node</w:t>
      </w:r>
    </w:p>
    <w:p>
      <w:pPr>
        <w:spacing w:before="100" w:after="100"/>
        <w:jc w:val="both"/>
      </w:pPr>
      <w:r>
        <w:rPr>
          <w:rFonts w:ascii="Arial" w:cs="Arial" w:eastAsia="Arial" w:hAnsi="Arial"/>
          <w:i/>
          <w:iCs/>
          <w:sz w:val="22"/>
          <w:szCs w:val="22"/>
        </w:rPr>
        <w:t xml:space="preserve">Who this is for: technical operators, infrastructure providers, community participants.</w:t>
      </w:r>
    </w:p>
    <w:p>
      <w:pPr>
        <w:spacing w:before="80" w:after="80"/>
      </w:pPr>
      <w:r>
        <w:t xml:space="preserve"/>
      </w:r>
    </w:p>
    <w:p>
      <w:pPr>
        <w:spacing w:before="100" w:after="100"/>
        <w:jc w:val="both"/>
      </w:pPr>
      <w:r>
        <w:rPr>
          <w:rFonts w:ascii="Arial" w:cs="Arial" w:eastAsia="Arial" w:hAnsi="Arial"/>
          <w:b/>
          <w:bCs/>
          <w:sz w:val="22"/>
          <w:szCs w:val="22"/>
        </w:rPr>
        <w:t xml:space="preserve">What you get from January 1, 2029:</w:t>
      </w:r>
    </w:p>
    <w:p>
      <w:pPr>
        <w:spacing w:before="100" w:after="100"/>
        <w:jc w:val="both"/>
      </w:pPr>
      <w:r>
        <w:rPr>
          <w:rFonts w:ascii="Arial" w:cs="Arial" w:eastAsia="Arial" w:hAnsi="Arial"/>
          <w:sz w:val="22"/>
          <w:szCs w:val="22"/>
        </w:rPr>
        <w:t xml:space="preserve">Proportional share of Node Rewards harmonic release (1,000,000,000 KX over 100 years). Year 1 release at ICO price ($0.00319): approximately $2.8M USD distributed across all active operators.</w:t>
      </w:r>
    </w:p>
    <w:p>
      <w:pPr>
        <w:spacing w:before="80" w:after="80"/>
      </w:pPr>
      <w:r>
        <w:t xml:space="preserve"/>
      </w:r>
    </w:p>
    <w:p>
      <w:pPr>
        <w:spacing w:before="100" w:after="10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80" w:after="80"/>
      </w:pPr>
      <w:r>
        <w:t xml:space="preserve"/>
      </w:r>
    </w:p>
    <w:p>
      <w:pPr>
        <w:spacing w:before="100" w:after="100"/>
        <w:jc w:val="both"/>
      </w:pPr>
      <w:r>
        <w:rPr>
          <w:rFonts w:ascii="Arial" w:cs="Arial" w:eastAsia="Arial" w:hAnsi="Arial"/>
          <w:sz w:val="22"/>
          <w:szCs w:val="22"/>
        </w:rPr>
        <w:t xml:space="preserve">Contact: contact@chronx.io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H.7 — I Want to Build an AI Agent on ChronX</w:t>
      </w:r>
    </w:p>
    <w:p>
      <w:pPr>
        <w:spacing w:before="100" w:after="100"/>
        <w:jc w:val="both"/>
      </w:pPr>
      <w:r>
        <w:rPr>
          <w:rFonts w:ascii="Arial" w:cs="Arial" w:eastAsia="Arial" w:hAnsi="Arial"/>
          <w:i/>
          <w:iCs/>
          <w:sz w:val="22"/>
          <w:szCs w:val="22"/>
        </w:rPr>
        <w:t xml:space="preserve">Who this is for: AI developers, quant funds, autonomous agent builders.</w:t>
      </w:r>
    </w:p>
    <w:p>
      <w:pPr>
        <w:spacing w:before="80" w:after="80"/>
      </w:pPr>
      <w:r>
        <w:t xml:space="preserve"/>
      </w:r>
    </w:p>
    <w:p>
      <w:pPr>
        <w:spacing w:before="100" w:after="10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authorisations: pre-authorised draws, no per-transaction approval</w:t>
      </w:r>
    </w:p>
    <w:p>
      <w:pPr>
        <w:spacing w:before="80" w:after="80"/>
      </w:pPr>
      <w:r>
        <w:t xml:space="preserve"/>
      </w:r>
    </w:p>
    <w:p>
      <w:pPr>
        <w:spacing w:before="100" w:after="100"/>
        <w:jc w:val="both"/>
      </w:pPr>
      <w:r>
        <w:rPr>
          <w:rFonts w:ascii="Arial" w:cs="Arial" w:eastAsia="Arial" w:hAnsi="Arial"/>
          <w:sz w:val="22"/>
          <w:szCs w:val="22"/>
        </w:rPr>
        <w:t xml:space="preserve">Contact: contact@misai.io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H.8 — I Want to Hedge KX/USD Exposure</w:t>
      </w:r>
    </w:p>
    <w:p>
      <w:pPr>
        <w:spacing w:before="100" w:after="100"/>
        <w:jc w:val="both"/>
      </w:pPr>
      <w:r>
        <w:rPr>
          <w:rFonts w:ascii="Arial" w:cs="Arial" w:eastAsia="Arial" w:hAnsi="Arial"/>
          <w:i/>
          <w:iCs/>
          <w:sz w:val="22"/>
          <w:szCs w:val="22"/>
        </w:rPr>
        <w:t xml:space="preserve">Who this is for: KX holders who want USD stability, insurance mutuals needing currency risk coverage, long-horizon promise creators.</w:t>
      </w:r>
    </w:p>
    <w:p>
      <w:pPr>
        <w:spacing w:before="80" w:after="80"/>
      </w:pPr>
      <w:r>
        <w:t xml:space="preserve"/>
      </w:r>
    </w:p>
    <w:p>
      <w:pPr>
        <w:spacing w:before="100" w:after="10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A hedger who loses money on a correctly-executed instrument has no claim against HedgeKX or any other party. The instrument executed as designed.</w:t>
      </w:r>
    </w:p>
    <w:p>
      <w:pPr>
        <w:spacing w:before="80" w:after="80"/>
      </w:pPr>
      <w:r>
        <w:t xml:space="preserve"/>
      </w:r>
    </w:p>
    <w:p>
      <w:pPr>
        <w:spacing w:before="100" w:after="100"/>
        <w:jc w:val="both"/>
      </w:pPr>
      <w:r>
        <w:rPr>
          <w:rFonts w:ascii="Arial" w:cs="Arial" w:eastAsia="Arial" w:hAnsi="Arial"/>
          <w:b/>
          <w:bCs/>
          <w:sz w:val="22"/>
          <w:szCs w:val="22"/>
        </w:rPr>
        <w:t xml:space="preserve">Available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80" w:after="80"/>
      </w:pPr>
      <w:r>
        <w:t xml:space="preserve"/>
      </w:r>
    </w:p>
    <w:p>
      <w:pPr>
        <w:spacing w:before="100" w:after="100"/>
        <w:jc w:val="both"/>
      </w:pPr>
      <w:r>
        <w:rPr>
          <w:rFonts w:ascii="Arial" w:cs="Arial" w:eastAsia="Arial" w:hAnsi="Arial"/>
          <w:b/>
          <w:bCs/>
          <w:sz w:val="22"/>
          <w:szCs w:val="22"/>
        </w:rPr>
        <w:t xml:space="preserve">Planned:</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as CompoundAND and LinkedSpring are built</w:t>
      </w:r>
    </w:p>
    <w:p>
      <w:pPr>
        <w:spacing w:before="80" w:after="80"/>
      </w:pPr>
      <w:r>
        <w:t xml:space="preserve"/>
      </w:r>
    </w:p>
    <w:p>
      <w:pPr>
        <w:spacing w:before="100" w:after="100"/>
        <w:jc w:val="both"/>
      </w:pPr>
      <w:r>
        <w:rPr>
          <w:rFonts w:ascii="Arial" w:cs="Arial" w:eastAsia="Arial" w:hAnsi="Arial"/>
          <w:sz w:val="22"/>
          <w:szCs w:val="22"/>
        </w:rPr>
        <w:t xml:space="preserve">Contact: contact@hedgekx.io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H.9 — I Want to Use Verifas for Long-Horizon Delivery</w:t>
      </w:r>
    </w:p>
    <w:p>
      <w:pPr>
        <w:spacing w:before="100" w:after="100"/>
        <w:jc w:val="both"/>
      </w:pPr>
      <w:r>
        <w:rPr>
          <w:rFonts w:ascii="Arial" w:cs="Arial" w:eastAsia="Arial" w:hAnsi="Arial"/>
          <w:sz w:val="22"/>
          <w:szCs w:val="22"/>
        </w:rPr>
        <w:t xml:space="preserve">Who this is for: estate planners, trust attorneys, family offices, anyone making promises that outlast contact information.</w:t>
      </w:r>
    </w:p>
    <w:p>
      <w:pPr>
        <w:spacing w:before="100" w:after="100"/>
      </w:pPr>
    </w:p>
    <w:p>
      <w:pPr>
        <w:spacing w:before="100" w:after="100"/>
        <w:jc w:val="both"/>
      </w:pPr>
      <w:r>
        <w:rPr>
          <w:rFonts w:ascii="Arial" w:cs="Arial" w:eastAsia="Arial" w:hAnsi="Arial"/>
          <w:sz w:val="22"/>
          <w:szCs w:val="22"/>
        </w:rPr>
        <w:t xml:space="preserve">What happens at maturity:</w:t>
      </w:r>
    </w:p>
    <w:p>
      <w:pPr>
        <w:spacing w:before="100" w:after="100"/>
      </w:pPr>
    </w:p>
    <w:p>
      <w:pPr>
        <w:spacing w:before="100" w:after="100"/>
        <w:jc w:val="both"/>
      </w:pPr>
      <w:r>
        <w:rPr>
          <w:rFonts w:ascii="Arial" w:cs="Arial" w:eastAsia="Arial" w:hAnsi="Arial"/>
          <w:sz w:val="22"/>
          <w:szCs w:val="22"/>
        </w:rPr>
        <w:t xml:space="preserve">Lock matures. Recipient has the Stage 1 window to self-claim (governance-set: default 90 days for wallet locks, default 0 days for email locks).</w:t>
      </w:r>
    </w:p>
    <w:p>
      <w:pPr>
        <w:spacing w:before="100" w:after="100"/>
      </w:pPr>
    </w:p>
    <w:p>
      <w:pPr>
        <w:spacing w:before="100" w:after="100"/>
        <w:jc w:val="both"/>
      </w:pPr>
      <w:r>
        <w:rPr>
          <w:rFonts w:ascii="Arial" w:cs="Arial" w:eastAsia="Arial" w:hAnsi="Arial"/>
          <w:sz w:val="22"/>
          <w:szCs w:val="22"/>
        </w:rPr>
        <w:t xml:space="preserve">After Stage 1: The lock automatically converts to a two-party lock requiring both the recipient’s signature and a Verifas bonded attestor’s co-signature. Neither party has custody. The KX has not moved. The recipient can still claim at any time during Stage 2 — they simply need Verifas attestation to co-sign.</w:t>
      </w:r>
    </w:p>
    <w:p>
      <w:pPr>
        <w:spacing w:before="100" w:after="100"/>
      </w:pPr>
    </w:p>
    <w:p>
      <w:pPr>
        <w:spacing w:before="100" w:after="100"/>
        <w:jc w:val="both"/>
      </w:pPr>
      <w:r>
        <w:rPr>
          <w:rFonts w:ascii="Arial" w:cs="Arial" w:eastAsia="Arial" w:hAnsi="Arial"/>
          <w:sz w:val="22"/>
          <w:szCs w:val="22"/>
        </w:rPr>
        <w:t xml:space="preserve">After Stage 2 (governance-set extended inactivity, default 7 years): Sole custody transfers to Verifas for active estate resolution.</w:t>
      </w:r>
    </w:p>
    <w:p>
      <w:pPr>
        <w:spacing w:before="100" w:after="100"/>
      </w:pPr>
    </w:p>
    <w:p>
      <w:pPr>
        <w:spacing w:before="100" w:after="100"/>
        <w:jc w:val="both"/>
      </w:pPr>
      <w:r>
        <w:rPr>
          <w:rFonts w:ascii="Arial" w:cs="Arial" w:eastAsia="Arial" w:hAnsi="Arial"/>
          <w:sz w:val="22"/>
          <w:szCs w:val="22"/>
        </w:rPr>
        <w:t xml:space="preserve">If unclaimed after Verifas custody window (default 100 years): KX transfers to Humanity Stake.</w:t>
      </w:r>
    </w:p>
    <w:p>
      <w:pPr>
        <w:spacing w:before="100" w:after="100"/>
      </w:pPr>
    </w:p>
    <w:p>
      <w:pPr>
        <w:spacing w:before="100" w:after="100"/>
        <w:jc w:val="both"/>
      </w:pPr>
      <w:r>
        <w:rPr>
          <w:rFonts w:ascii="Arial" w:cs="Arial" w:eastAsia="Arial" w:hAnsi="Arial"/>
          <w:sz w:val="22"/>
          <w:szCs w:val="22"/>
        </w:rPr>
        <w:t xml:space="preserve">A note on the beneficiary_package: Attaching a beneficiary_package at lock creation — even a minimal one containing just an email address or identifier — gives Verifas richer information to work with. It is not required to trigger the two-party lock or the Verifas process. But it increases the probability of successful delivery. For high-value long-duration locks, a complete beneficiary package is strongly recommended.</w:t>
      </w:r>
    </w:p>
    <w:p>
      <w:pPr>
        <w:spacing w:before="100" w:after="100"/>
      </w:pPr>
    </w:p>
    <w:p>
      <w:pPr>
        <w:spacing w:before="100" w:after="100"/>
        <w:jc w:val="both"/>
      </w:pPr>
      <w:r>
        <w:rPr>
          <w:rFonts w:ascii="Arial" w:cs="Arial" w:eastAsia="Arial" w:hAnsi="Arial"/>
          <w:sz w:val="22"/>
          <w:szCs w:val="22"/>
        </w:rPr>
        <w:t xml:space="preserve">When creating a long-duration email lock in the wallet, the following notice is displayed: “Due to the extended duration of this promise, if the recipient does not claim within the standard window, Verifas identity verification MAY be required before the promise can be released. Verifas will make reasonable efforts to locate the recipient — but delivery is not guaranteed for all promises.”</w:t>
      </w:r>
    </w:p>
    <w:p>
      <w:pPr>
        <w:spacing w:before="100" w:after="100"/>
      </w:pPr>
    </w:p>
    <w:p>
      <w:pPr>
        <w:spacing w:before="100" w:after="100"/>
        <w:jc w:val="both"/>
      </w:pPr>
      <w:r>
        <w:rPr>
          <w:rFonts w:ascii="Arial" w:cs="Arial" w:eastAsia="Arial" w:hAnsi="Arial"/>
          <w:sz w:val="22"/>
          <w:szCs w:val="22"/>
        </w:rPr>
        <w:t xml:space="preserve">Contact: contact@verifas.io</w:t>
      </w:r>
    </w:p>
    <w:p>
      <w:r>
        <w:br w:type="page"/>
      </w:r>
    </w:p>
    <w:p>
      <w:pPr>
        <w:pStyle w:val="Heading1"/>
        <w:spacing w:before="480" w:after="240"/>
      </w:pPr>
      <w:r>
        <w:rPr>
          <w:rFonts w:ascii="Arial" w:cs="Arial" w:eastAsia="Arial" w:hAnsi="Arial"/>
          <w:b/>
          <w:bCs/>
          <w:color w:val="1F4E79"/>
          <w:sz w:val="34"/>
          <w:szCs w:val="34"/>
        </w:rPr>
        <w:t xml:space="preserve">Appendix I — RPC Method Reference</w:t>
      </w:r>
    </w:p>
    <w:p>
      <w:pPr>
        <w:spacing w:before="100" w:after="10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80" w:after="80"/>
      </w:pPr>
      <w:r>
        <w:t xml:space="preserve"/>
      </w:r>
    </w:p>
    <w:p>
      <w:pPr>
        <w:spacing w:before="100" w:after="100"/>
        <w:jc w:val="both"/>
      </w:pPr>
      <w:r>
        <w:rPr>
          <w:rFonts w:ascii="Arial" w:cs="Arial" w:eastAsia="Arial" w:hAnsi="Arial"/>
          <w:sz w:val="22"/>
          <w:szCs w:val="22"/>
        </w:rPr>
        <w:t xml:space="preserve">Note: rpc.chronx.io is a legacy alias. Always use https://api.chronx.io/rpc.</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2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Time-Lock and Promise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Locks with required_hedge_ids referencing pool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Loan</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Default record if filed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Payment Types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Identity, Badges, and Governance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Bond balance, obligations, capacity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Example Request</w:t>
      </w:r>
    </w:p>
    <w:p>
      <w:pPr>
        <w:spacing w:before="100" w:after="100"/>
        <w:jc w:val="both"/>
      </w:pPr>
      <w:r>
        <w:rPr>
          <w:rFonts w:ascii="Arial" w:cs="Arial" w:eastAsia="Arial" w:hAnsi="Arial"/>
          <w:sz w:val="22"/>
          <w:szCs w:val="22"/>
        </w:rPr>
        <w:t xml:space="preserve">{ "jsonrpc": "2.0", "method": "chronx_getBalance", "params": ["BqjGDbhzLJJgzpVywRxug4wTa2Qqtwipc1hkcLLJsWzF"], "id": 1 }</w:t>
      </w:r>
    </w:p>
    <w:p>
      <w:r>
        <w:br w:type="page"/>
      </w:r>
    </w:p>
    <w:p>
      <w:pPr>
        <w:pStyle w:val="Heading1"/>
        <w:spacing w:before="480" w:after="240"/>
      </w:pPr>
      <w:r>
        <w:rPr>
          <w:rFonts w:ascii="Arial" w:cs="Arial" w:eastAsia="Arial" w:hAnsi="Arial"/>
          <w:b/>
          <w:bCs/>
          <w:color w:val="1F4E79"/>
          <w:sz w:val="34"/>
          <w:szCs w:val="34"/>
        </w:rPr>
        <w:t xml:space="preserve">Appendix J — The Axioms (Complete)</w:t>
      </w:r>
    </w:p>
    <w:p>
      <w:pPr>
        <w:spacing w:before="100" w:after="10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spacing w:before="80" w:after="80"/>
      </w:pPr>
      <w:r>
        <w:t xml:space="preserve"/>
      </w:r>
    </w:p>
    <w:p>
      <w:pPr>
        <w:spacing w:before="100" w:after="100"/>
        <w:jc w:val="both"/>
      </w:pPr>
      <w:r>
        <w:rPr>
          <w:rFonts w:ascii="Arial" w:cs="Arial" w:eastAsia="Arial" w:hAnsi="Arial"/>
          <w:b/>
          <w:bCs/>
          <w:sz w:val="22"/>
          <w:szCs w:val="22"/>
        </w:rPr>
        <w:t xml:space="preserve">Axiom I — Intent</w:t>
      </w:r>
    </w:p>
    <w:p>
      <w:pPr>
        <w:spacing w:before="100" w:after="100"/>
        <w:jc w:val="both"/>
      </w:pPr>
      <w:r>
        <w:rPr>
          <w:rFonts w:ascii="Arial" w:cs="Arial" w:eastAsia="Arial" w:hAnsi="Arial"/>
          <w:sz w:val="22"/>
          <w:szCs w:val="22"/>
        </w:rPr>
        <w:t xml:space="preserve">The grantor's intent governs.</w:t>
      </w:r>
    </w:p>
    <w:p>
      <w:pPr>
        <w:spacing w:before="80" w:after="80"/>
      </w:pPr>
      <w:r>
        <w:t xml:space="preserve"/>
      </w:r>
    </w:p>
    <w:p>
      <w:pPr>
        <w:spacing w:before="100" w:after="100"/>
        <w:jc w:val="both"/>
      </w:pPr>
      <w:r>
        <w:rPr>
          <w:rFonts w:ascii="Arial" w:cs="Arial" w:eastAsia="Arial" w:hAnsi="Arial"/>
          <w:b/>
          <w:bCs/>
          <w:sz w:val="22"/>
          <w:szCs w:val="22"/>
        </w:rPr>
        <w:t xml:space="preserve">Axiom II — Safety</w:t>
      </w:r>
    </w:p>
    <w:p>
      <w:pPr>
        <w:spacing w:before="100" w:after="100"/>
        <w:jc w:val="both"/>
      </w:pPr>
      <w:r>
        <w:rPr>
          <w:rFonts w:ascii="Arial" w:cs="Arial" w:eastAsia="Arial" w:hAnsi="Arial"/>
          <w:sz w:val="22"/>
          <w:szCs w:val="22"/>
        </w:rPr>
        <w:t xml:space="preserve">Promised funds are never lost.</w:t>
      </w:r>
    </w:p>
    <w:p>
      <w:pPr>
        <w:spacing w:before="80" w:after="80"/>
      </w:pPr>
      <w:r>
        <w:t xml:space="preserve"/>
      </w:r>
    </w:p>
    <w:p>
      <w:pPr>
        <w:spacing w:before="100" w:after="100"/>
        <w:jc w:val="both"/>
      </w:pPr>
      <w:r>
        <w:rPr>
          <w:rFonts w:ascii="Arial" w:cs="Arial" w:eastAsia="Arial" w:hAnsi="Arial"/>
          <w:b/>
          <w:bCs/>
          <w:sz w:val="22"/>
          <w:szCs w:val="22"/>
        </w:rPr>
        <w:t xml:space="preserve">Axiom III — Delivery</w:t>
      </w:r>
    </w:p>
    <w:p>
      <w:pPr>
        <w:spacing w:before="100" w:after="100"/>
        <w:jc w:val="both"/>
      </w:pPr>
      <w:r>
        <w:rPr>
          <w:rFonts w:ascii="Arial" w:cs="Arial" w:eastAsia="Arial" w:hAnsi="Arial"/>
          <w:sz w:val="22"/>
          <w:szCs w:val="22"/>
        </w:rPr>
        <w:t xml:space="preserve">The protocol delivers.</w:t>
      </w:r>
    </w:p>
    <w:p>
      <w:pPr>
        <w:spacing w:before="80" w:after="80"/>
      </w:pPr>
      <w:r>
        <w:t xml:space="preserve"/>
      </w:r>
    </w:p>
    <w:p>
      <w:pPr>
        <w:spacing w:before="100" w:after="100"/>
        <w:jc w:val="both"/>
      </w:pPr>
      <w:r>
        <w:rPr>
          <w:rFonts w:ascii="Arial" w:cs="Arial" w:eastAsia="Arial" w:hAnsi="Arial"/>
          <w:b/>
          <w:bCs/>
          <w:sz w:val="22"/>
          <w:szCs w:val="22"/>
        </w:rPr>
        <w:t xml:space="preserve">Axiom IV — Consent</w:t>
      </w:r>
    </w:p>
    <w:p>
      <w:pPr>
        <w:spacing w:before="100" w:after="10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80"/>
      </w:pPr>
      <w:r>
        <w:t xml:space="preserve"/>
      </w:r>
    </w:p>
    <w:p>
      <w:pPr>
        <w:spacing w:before="100" w:after="100"/>
        <w:jc w:val="both"/>
      </w:pPr>
      <w:r>
        <w:rPr>
          <w:rFonts w:ascii="Arial" w:cs="Arial" w:eastAsia="Arial" w:hAnsi="Arial"/>
          <w:b/>
          <w:bCs/>
          <w:sz w:val="22"/>
          <w:szCs w:val="22"/>
        </w:rPr>
        <w:t xml:space="preserve">Axiom V — Jurisdiction</w:t>
      </w:r>
    </w:p>
    <w:p>
      <w:pPr>
        <w:spacing w:before="100" w:after="100"/>
        <w:jc w:val="both"/>
      </w:pPr>
      <w:r>
        <w:rPr>
          <w:rFonts w:ascii="Arial" w:cs="Arial" w:eastAsia="Arial" w:hAnsi="Arial"/>
          <w:sz w:val="22"/>
          <w:szCs w:val="22"/>
        </w:rPr>
        <w:t xml:space="preserve">External agreements may govern additional terms. Collection remains between the parties and the law.</w:t>
      </w:r>
    </w:p>
    <w:p>
      <w:pPr>
        <w:spacing w:before="80" w:after="80"/>
      </w:pPr>
      <w:r>
        <w:t xml:space="preserve"/>
      </w:r>
    </w:p>
    <w:p>
      <w:pPr>
        <w:spacing w:before="100" w:after="100"/>
        <w:jc w:val="both"/>
      </w:pPr>
      <w:r>
        <w:rPr>
          <w:rFonts w:ascii="Arial" w:cs="Arial" w:eastAsia="Arial" w:hAnsi="Arial"/>
          <w:b/>
          <w:bCs/>
          <w:sz w:val="22"/>
          <w:szCs w:val="22"/>
        </w:rPr>
        <w:t xml:space="preserve">Axiom VI — Conditions</w:t>
      </w:r>
    </w:p>
    <w:p>
      <w:pPr>
        <w:spacing w:before="100" w:after="10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80" w:after="80"/>
      </w:pPr>
      <w:r>
        <w:t xml:space="preserve"/>
      </w:r>
    </w:p>
    <w:p>
      <w:pPr>
        <w:spacing w:before="100" w:after="100"/>
        <w:jc w:val="both"/>
      </w:pPr>
      <w:r>
        <w:rPr>
          <w:rFonts w:ascii="Arial" w:cs="Arial" w:eastAsia="Arial" w:hAnsi="Arial"/>
          <w:b/>
          <w:bCs/>
          <w:sz w:val="22"/>
          <w:szCs w:val="22"/>
        </w:rPr>
        <w:t xml:space="preserve">Axiom VII — Mandate</w:t>
      </w:r>
    </w:p>
    <w:p>
      <w:pPr>
        <w:spacing w:before="100" w:after="10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80"/>
      </w:pPr>
      <w:r>
        <w:t xml:space="preserve"/>
      </w:r>
    </w:p>
    <w:p>
      <w:pPr>
        <w:spacing w:before="100" w:after="100"/>
        <w:jc w:val="both"/>
      </w:pPr>
      <w:r>
        <w:rPr>
          <w:rFonts w:ascii="Arial" w:cs="Arial" w:eastAsia="Arial" w:hAnsi="Arial"/>
          <w:b/>
          <w:bCs/>
          <w:sz w:val="22"/>
          <w:szCs w:val="22"/>
        </w:rPr>
        <w:t xml:space="preserve">Axiom VIII — Transparency</w:t>
      </w:r>
    </w:p>
    <w:p>
      <w:pPr>
        <w:spacing w:before="100" w:after="10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80"/>
      </w:pPr>
      <w:r>
        <w:t xml:space="preserve"/>
      </w:r>
    </w:p>
    <w:p>
      <w:pPr>
        <w:spacing w:before="100" w:after="100"/>
        <w:jc w:val="both"/>
      </w:pPr>
      <w:r>
        <w:rPr>
          <w:rFonts w:ascii="Arial" w:cs="Arial" w:eastAsia="Arial" w:hAnsi="Arial"/>
          <w:b/>
          <w:bCs/>
          <w:sz w:val="22"/>
          <w:szCs w:val="22"/>
        </w:rPr>
        <w:t xml:space="preserve">Axiom IX — Risk</w:t>
      </w:r>
    </w:p>
    <w:p>
      <w:pPr>
        <w:spacing w:before="100" w:after="10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80"/>
      </w:pPr>
      <w:r>
        <w:t xml:space="preserve"/>
      </w:r>
    </w:p>
    <w:p>
      <w:pPr>
        <w:spacing w:before="100" w:after="100"/>
        <w:jc w:val="both"/>
      </w:pPr>
      <w:r>
        <w:rPr>
          <w:rFonts w:ascii="Arial" w:cs="Arial" w:eastAsia="Arial" w:hAnsi="Arial"/>
          <w:b/>
          <w:bCs/>
          <w:sz w:val="22"/>
          <w:szCs w:val="22"/>
        </w:rPr>
        <w:t xml:space="preserve">Axiom X — Separation</w:t>
      </w:r>
    </w:p>
    <w:p>
      <w:pPr>
        <w:spacing w:before="100" w:after="100"/>
        <w:jc w:val="both"/>
      </w:pPr>
      <w:r>
        <w:rPr>
          <w:rFonts w:ascii="Arial" w:cs="Arial" w:eastAsia="Arial" w:hAnsi="Arial"/>
          <w:sz w:val="22"/>
          <w:szCs w:val="22"/>
        </w:rPr>
        <w:t xml:space="preserve">The agent that decides does not hold funds. The agent that holds does not decide.</w:t>
      </w:r>
    </w:p>
    <w:p>
      <w:pPr>
        <w:spacing w:before="80" w:after="80"/>
      </w:pPr>
      <w:r>
        <w:t xml:space="preserve"/>
      </w:r>
    </w:p>
    <w:p>
      <w:pPr>
        <w:spacing w:before="100" w:after="100"/>
        <w:jc w:val="both"/>
      </w:pPr>
      <w:r>
        <w:rPr>
          <w:rFonts w:ascii="Arial" w:cs="Arial" w:eastAsia="Arial" w:hAnsi="Arial"/>
          <w:b/>
          <w:bCs/>
          <w:sz w:val="22"/>
          <w:szCs w:val="22"/>
        </w:rPr>
        <w:t xml:space="preserve">Axiom XI — Coordination</w:t>
      </w:r>
    </w:p>
    <w:p>
      <w:pPr>
        <w:spacing w:before="100" w:after="10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80"/>
      </w:pPr>
      <w:r>
        <w:t xml:space="preserve"/>
      </w:r>
    </w:p>
    <w:p>
      <w:pPr>
        <w:spacing w:before="100" w:after="100"/>
        <w:jc w:val="both"/>
      </w:pPr>
      <w:r>
        <w:rPr>
          <w:rFonts w:ascii="Arial" w:cs="Arial" w:eastAsia="Arial" w:hAnsi="Arial"/>
          <w:b/>
          <w:bCs/>
          <w:sz w:val="22"/>
          <w:szCs w:val="22"/>
        </w:rPr>
        <w:t xml:space="preserve">Axiom XII — The Law</w:t>
      </w:r>
    </w:p>
    <w:p>
      <w:pPr>
        <w:spacing w:before="100" w:after="100"/>
        <w:jc w:val="both"/>
      </w:pPr>
      <w:r>
        <w:rPr>
          <w:rFonts w:ascii="Arial" w:cs="Arial" w:eastAsia="Arial" w:hAnsi="Arial"/>
          <w:sz w:val="22"/>
          <w:szCs w:val="22"/>
        </w:rPr>
        <w:t xml:space="preserve">All agent actions, mandates, and their fulfillment remain subject to the laws of applicable jurisdictions.</w:t>
      </w:r>
    </w:p>
    <w:p>
      <w:pPr>
        <w:spacing w:before="80" w:after="80"/>
      </w:pPr>
      <w:r>
        <w:t xml:space="preserve"/>
      </w:r>
    </w:p>
    <w:p>
      <w:pPr>
        <w:spacing w:before="100" w:after="100"/>
        <w:jc w:val="both"/>
      </w:pPr>
      <w:r>
        <w:rPr>
          <w:rFonts w:ascii="Arial" w:cs="Arial" w:eastAsia="Arial" w:hAnsi="Arial"/>
          <w:b/>
          <w:bCs/>
          <w:sz w:val="22"/>
          <w:szCs w:val="22"/>
        </w:rPr>
        <w:t xml:space="preserve">Axiom XIII — Supremacy of Law</w:t>
      </w:r>
    </w:p>
    <w:p>
      <w:pPr>
        <w:spacing w:before="100" w:after="100"/>
        <w:jc w:val="both"/>
      </w:pPr>
      <w:r>
        <w:rPr>
          <w:rFonts w:ascii="Arial" w:cs="Arial" w:eastAsia="Arial" w:hAnsi="Arial"/>
          <w:sz w:val="22"/>
          <w:szCs w:val="22"/>
        </w:rPr>
        <w:t xml:space="preserve">All axioms remain subject to applicable law.</w:t>
      </w:r>
    </w:p>
    <w:p>
      <w:pPr>
        <w:spacing w:before="80" w:after="80"/>
      </w:pPr>
      <w:r>
        <w:t xml:space="preserve"/>
      </w:r>
    </w:p>
    <w:p>
      <w:pPr>
        <w:spacing w:before="100" w:after="100"/>
        <w:jc w:val="both"/>
      </w:pPr>
      <w:r>
        <w:rPr>
          <w:rFonts w:ascii="Arial" w:cs="Arial" w:eastAsia="Arial" w:hAnsi="Arial"/>
          <w:b/>
          <w:bCs/>
          <w:sz w:val="22"/>
          <w:szCs w:val="22"/>
        </w:rPr>
        <w:t xml:space="preserve">What final_genesis: true means</w:t>
      </w:r>
    </w:p>
    <w:p>
      <w:pPr>
        <w:spacing w:before="100" w:after="10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r>
        <w:br w:type="page"/>
      </w:r>
    </w:p>
    <w:p>
      <w:pPr>
        <w:pStyle w:val="Heading1"/>
        <w:spacing w:before="480" w:after="240"/>
      </w:pPr>
      <w:r>
        <w:rPr>
          <w:rFonts w:ascii="Arial" w:cs="Arial" w:eastAsia="Arial" w:hAnsi="Arial"/>
          <w:b/>
          <w:bCs/>
          <w:color w:val="1F4E79"/>
          <w:sz w:val="34"/>
          <w:szCs w:val="34"/>
        </w:rPr>
        <w:t xml:space="preserve">Appendix K — CPNX Badge System</w:t>
      </w:r>
    </w:p>
    <w:p>
      <w:pPr>
        <w:spacing w:before="100" w:after="10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K.1 Badge Catalog</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1800"/>
        <w:gridCol w:w="20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INSURANCE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CPNX</w:t>
            </w:r>
          </w:p>
        </w:tc>
        <w:tc>
          <w:tcPr>
            <w:tcW w:type="dxa" w:w="2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K.2 Badge Lifecycle</w:t>
      </w:r>
    </w:p>
    <w:p>
      <w:pPr>
        <w:spacing w:before="100" w:after="100"/>
        <w:jc w:val="both"/>
      </w:pPr>
      <w:r>
        <w:rPr>
          <w:rFonts w:ascii="Arial" w:cs="Arial" w:eastAsia="Arial" w:hAnsi="Arial"/>
          <w:sz w:val="22"/>
          <w:szCs w:val="22"/>
        </w:rPr>
        <w:t xml:space="preserve">Application: Submit at cpnx.com. CPNX reviews independently. CPNX submits TYPE L IdentityVerified entry to DAG using CPNX bond wallet. Badge queryable via RPC.</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71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Revocation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fraud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71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K.3 Developer Integration</w:t>
      </w:r>
    </w:p>
    <w:p>
      <w:pPr>
        <w:spacing w:before="100" w:after="100"/>
        <w:jc w:val="both"/>
      </w:pPr>
      <w:r>
        <w:rPr>
          <w:rFonts w:ascii="Arial" w:cs="Arial" w:eastAsia="Arial" w:hAnsi="Arial"/>
          <w:sz w:val="22"/>
          <w:szCs w:val="22"/>
        </w:rPr>
        <w:t xml:space="preserve">Public API: GET https://api.chronx.io/wallet/badges/:wallet_address. Returns: [{badge_type, color, issued_by, expires_at}]. Expired badges automatically filtered.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K.4 CPNX Bond and Accountability</w:t>
      </w:r>
    </w:p>
    <w:p>
      <w:pPr>
        <w:spacing w:before="100" w:after="10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r>
        <w:br w:type="page"/>
      </w:r>
    </w:p>
    <w:p>
      <w:pPr>
        <w:pStyle w:val="Heading1"/>
        <w:spacing w:before="480" w:after="240"/>
      </w:pPr>
      <w:r>
        <w:rPr>
          <w:rFonts w:ascii="Arial" w:cs="Arial" w:eastAsia="Arial" w:hAnsi="Arial"/>
          <w:b/>
          <w:bCs/>
          <w:color w:val="1F4E79"/>
          <w:sz w:val="34"/>
          <w:szCs w:val="34"/>
        </w:rPr>
        <w:t xml:space="preserve">Appendix L — HedgeKX Complete Reference</w:t>
      </w:r>
    </w:p>
    <w:p>
      <w:pPr>
        <w:spacing w:before="100" w:after="100"/>
        <w:jc w:val="both"/>
      </w:pPr>
      <w:r>
        <w:rPr>
          <w:rFonts w:ascii="Arial" w:cs="Arial" w:eastAsia="Arial" w:hAnsi="Arial"/>
          <w:sz w:val="22"/>
          <w:szCs w:val="22"/>
        </w:rPr>
        <w:t xml:space="preserve">HedgeKX is an Essential Protocol Partner and forward exchange facilitator. This appendix is the operational technical reference for HedgeKX participants, instrument designers, and developers. For the complete risk reference including attack vectors, settlement mechanics, and USDC holder risk assessment, see Appendix 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 Mandate</w:t>
      </w:r>
    </w:p>
    <w:p>
      <w:pPr>
        <w:spacing w:before="100" w:after="100"/>
        <w:jc w:val="both"/>
      </w:pPr>
      <w:r>
        <w:rPr>
          <w:rFonts w:ascii="Arial" w:cs="Arial" w:eastAsia="Arial" w:hAnsi="Arial"/>
          <w:sz w:val="22"/>
          <w:szCs w:val="22"/>
        </w:rPr>
        <w:t xml:space="preserve">HedgeKX does exactly three things in its current phase:</w:t>
      </w:r>
    </w:p>
    <w:p>
      <w:pPr>
        <w:pStyle w:val="ListParagraph"/>
        <w:numPr>
          <w:ilvl w:val="0"/>
          <w:numId w:val="2"/>
        </w:numPr>
        <w:spacing w:before="60" w:after="60"/>
      </w:pPr>
      <w:r>
        <w:rPr>
          <w:rFonts w:ascii="Arial" w:cs="Arial" w:eastAsia="Arial" w:hAnsi="Arial"/>
          <w:sz w:val="22"/>
          <w:szCs w:val="22"/>
        </w:rPr>
        <w:t xml:space="preserve">Operates a matching platform where Exchange Buyers and Currency B Committers find each other</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80" w:after="80"/>
      </w:pPr>
      <w:r>
        <w:t xml:space="preserve"/>
      </w:r>
    </w:p>
    <w:p>
      <w:pPr>
        <w:spacing w:before="100" w:after="100"/>
        <w:jc w:val="both"/>
      </w:pPr>
      <w:r>
        <w:rPr>
          <w:rFonts w:ascii="Arial" w:cs="Arial" w:eastAsia="Arial" w:hAnsi="Arial"/>
          <w:sz w:val="22"/>
          <w:szCs w:val="22"/>
        </w:rPr>
        <w:t xml:space="preserve">HedgeKX does not hold funds. Does not price instruments. Does not take positions in normal operation. Does not manage pools. Does not guarantee outcomes. Does not make any decision about any instrument. Every hedge instrument is a bilateral contract between two wallets. HedgeKX is the venue and the settlement coordinator, not the counterparty.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L.2 Current Governance Parameters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8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86,400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r>
        <w:tc>
          <w:tcPr>
            <w:tcW w:type="dxa" w:w="3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savings_max_annual_yield_pct</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5.0</w:t>
            </w:r>
          </w:p>
        </w:tc>
        <w:tc>
          <w:tcPr>
            <w:tcW w:type="dxa" w:w="38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ceiling on annual yield rate.</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savings_hedgekx_yield_enabled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YubiHSM activation.</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L.3 Standard Overnight Hedge Instrument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Return</w:t>
            </w:r>
          </w:p>
        </w:tc>
        <w:tc>
          <w:tcPr>
            <w:tcW w:type="dxa" w:w="4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L.4 The Hedge Tower (Insurance Use Case)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800"/>
        <w:gridCol w:w="1400"/>
        <w:gridCol w:w="1200"/>
        <w:gridCol w:w="14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 year</w:t>
            </w:r>
          </w:p>
        </w:tc>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~12%/year</w:t>
            </w:r>
          </w:p>
        </w:tc>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L.5 PAY_AS Long-Horizon Hedging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760"/>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Dynamic</w:t>
            </w:r>
          </w:p>
        </w:tc>
        <w:tc>
          <w:tcPr>
            <w:tcW w:type="dxa" w:w="4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L.6 HedgeKX Evolution Roadmap</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200"/>
        <w:gridCol w:w="30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Founding developer as test participant. SingleAttestation condition type.</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4</w:t>
            </w:r>
          </w:p>
        </w:tc>
        <w:tc>
          <w:tcPr>
            <w:tcW w:type="dxa" w:w="5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L.7 Liability and Disclosure</w:t>
      </w:r>
    </w:p>
    <w:p>
      <w:pPr>
        <w:spacing w:before="100" w:after="10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 this instrument will pay out if the specified condition is met — a payout is the instrument working as designed; loss on a correctly-executed hedge instrument is not fraud; HedgeKX is a platform operator and is not a party to the instrument; maximum loss is the amount committed, known and agreed to at creation.</w:t>
      </w:r>
    </w:p>
    <w:p>
      <w:pPr>
        <w:spacing w:before="80" w:after="80"/>
      </w:pPr>
      <w:r>
        <w:t xml:space="preserve"/>
      </w:r>
    </w:p>
    <w:p>
      <w:pPr>
        <w:spacing w:before="100" w:after="100"/>
        <w:jc w:val="both"/>
      </w:pPr>
      <w:r>
        <w:rPr>
          <w:rFonts w:ascii="Arial" w:cs="Arial" w:eastAsia="Arial" w:hAnsi="Arial"/>
          <w:sz w:val="22"/>
          <w:szCs w:val="22"/>
        </w:rPr>
        <w:t xml:space="preserve">All hedge instrument terms, trigger conditions, oracle sources, and payout histories are permanently recorded on the ChronX DAG and publicly queryable.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L.8 Synthetic Positions Disclosure</w:t>
      </w:r>
    </w:p>
    <w:p>
      <w:pPr>
        <w:spacing w:before="100" w:after="100"/>
        <w:jc w:val="both"/>
      </w:pPr>
      <w:r>
        <w:rPr>
          <w:rFonts w:ascii="Arial" w:cs="Arial" w:eastAsia="Arial" w:hAnsi="Arial"/>
          <w:sz w:val="22"/>
          <w:szCs w:val="22"/>
        </w:rPr>
        <w:t xml:space="preserve">A participant holding two wallets 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HedgeKX does not operate as a derivatives exchange. Participants constructing synthetic positions do so as bilateral counterparties under standard instrument terms.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L.9 Principal-Protected Savings</w:t>
      </w:r>
    </w:p>
    <w:p>
      <w:pPr>
        <w:spacing w:before="100" w:after="100"/>
        <w:jc w:val="both"/>
      </w:pPr>
      <w:r>
        <w:rPr>
          <w:rFonts w:ascii="Arial" w:cs="Arial" w:eastAsia="Arial" w:hAnsi="Arial"/>
          <w:sz w:val="22"/>
          <w:szCs w:val="22"/>
        </w:rPr>
        <w:t xml:space="preserve">KX holders may designate a portion of their wallet balance as savings. Savings balances are excluded from Auto-Sweep and loan repayment obligations. TYPE_Y locks automatically grant HedgeKX a minting mandate unless yield_opt_out is set at creation.</w:t>
      </w:r>
    </w:p>
    <w:p>
      <w:pPr>
        <w:spacing w:before="80" w:after="80"/>
      </w:pPr>
      <w:r>
        <w:t xml:space="preserve"/>
      </w:r>
    </w:p>
    <w:p>
      <w:pPr>
        <w:spacing w:before="100" w:after="100"/>
        <w:jc w:val="both"/>
      </w:pPr>
      <w:r>
        <w:rPr>
          <w:rFonts w:ascii="Arial" w:cs="Arial" w:eastAsia="Arial" w:hAnsi="Arial"/>
          <w:sz w:val="22"/>
          <w:szCs w:val="22"/>
        </w:rPr>
        <w:t xml:space="preserve">The yield structure operates via HedgeKX's forward exchange matching activity. The savings depositor's locked KX backs h1KX minting. A superseding hedger commits USDC collateral. When a match is made, facilitation income is shared with the lock's beneficiary as yield. If no superseding hedger is available, the savings balance earns zero and holds KX without risk. Principal is never reduced.</w:t>
      </w:r>
    </w:p>
    <w:p>
      <w:pPr>
        <w:spacing w:before="80" w:after="80"/>
      </w:pPr>
      <w:r>
        <w:t xml:space="preserve"/>
      </w:r>
    </w:p>
    <w:p>
      <w:pPr>
        <w:spacing w:before="100" w:after="100"/>
        <w:jc w:val="both"/>
      </w:pPr>
      <w:r>
        <w:rPr>
          <w:rFonts w:ascii="Arial" w:cs="Arial" w:eastAsia="Arial" w:hAnsi="Arial"/>
          <w:sz w:val="22"/>
          <w:szCs w:val="22"/>
        </w:rPr>
        <w:t xml:space="preserve">Governance parameters control the maximum annual yield (savings_max_annual_yield_pct: 5.0) and whether yield is active (savings_hedgekx_yield_enabled). The feature requires YubiHSM activation before public yield is enabled.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L.10 wKX Provenance Architecture</w:t>
      </w:r>
    </w:p>
    <w:p>
      <w:pPr>
        <w:spacing w:before="100" w:after="100"/>
        <w:jc w:val="both"/>
      </w:pPr>
      <w:r>
        <w:rPr>
          <w:rFonts w:ascii="Arial" w:cs="Arial" w:eastAsia="Arial" w:hAnsi="Arial"/>
          <w:sz w:val="22"/>
          <w:szCs w:val="22"/>
        </w:rPr>
        <w:t xml:space="preserve">wKX is the public XChan token — a standard ERC-20 on Base, transferable, Uniswap-listed, backed by XChan conversion locks on the ChronX DAG. It is distinct from h1KX, which is HedgeKX's internal non-transferable 24-hour settlement token.</w:t>
      </w:r>
    </w:p>
    <w:p>
      <w:pPr>
        <w:spacing w:before="80" w:after="80"/>
      </w:pPr>
      <w:r>
        <w:t xml:space="preserve"/>
      </w:r>
    </w:p>
    <w:p>
      <w:pPr>
        <w:spacing w:before="100" w:after="100"/>
        <w:jc w:val="both"/>
      </w:pPr>
      <w:r>
        <w:rPr>
          <w:rFonts w:ascii="Arial" w:cs="Arial" w:eastAsia="Arial" w:hAnsi="Arial"/>
          <w:sz w:val="22"/>
          <w:szCs w:val="22"/>
        </w:rPr>
        <w:t xml:space="preserve">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80"/>
      </w:pPr>
      <w:r>
        <w:t xml:space="preserve"/>
      </w:r>
    </w:p>
    <w:p>
      <w:pPr>
        <w:spacing w:before="100" w:after="100"/>
        <w:jc w:val="both"/>
      </w:pPr>
      <w:r>
        <w:rPr>
          <w:rFonts w:ascii="Arial" w:cs="Arial" w:eastAsia="Arial" w:hAnsi="Arial"/>
          <w:sz w:val="22"/>
          <w:szCs w:val="22"/>
        </w:rPr>
        <w:t xml:space="preserve">Two-key security model: Key 1 (HedgeKX minting key, YubiHSM slot 1) and Key 2 (ChronX node attestation key, YubiHSM slot 2). Neither key alone can mint wKX.</w:t>
      </w:r>
    </w:p>
    <w:p>
      <w:pPr>
        <w:spacing w:before="80" w:after="80"/>
      </w:pPr>
      <w:r>
        <w:t xml:space="preserve"/>
      </w:r>
    </w:p>
    <w:p>
      <w:pPr>
        <w:spacing w:before="100" w:after="100"/>
        <w:jc w:val="both"/>
      </w:pPr>
      <w:r>
        <w:rPr>
          <w:rFonts w:ascii="Arial" w:cs="Arial" w:eastAsia="Arial" w:hAnsi="Arial"/>
          <w:sz w:val="22"/>
          <w:szCs w:val="22"/>
        </w:rPr>
        <w:t xml:space="preserve">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Saver outcome in all scenarios: full principal returned.</w:t>
      </w:r>
    </w:p>
    <w:p>
      <w:pPr>
        <w:spacing w:before="80" w:after="80"/>
      </w:pPr>
      <w:r>
        <w:t xml:space="preserve"/>
      </w:r>
    </w:p>
    <w:p>
      <w:pPr>
        <w:spacing w:before="100" w:after="100"/>
        <w:jc w:val="both"/>
      </w:pPr>
      <w:r>
        <w:rPr>
          <w:rFonts w:ascii="Arial" w:cs="Arial" w:eastAsia="Arial" w:hAnsi="Arial"/>
          <w:sz w:val="22"/>
          <w:szCs w:val="22"/>
        </w:rPr>
        <w:t xml:space="preserve">Public auditability: the isRedeemable(lock_id) function allows anyone — journalists, regulators, users — to verify that any wKX in existence is backed by an active ChronX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L.11 Friendly Loans</w:t>
      </w:r>
    </w:p>
    <w:p>
      <w:pPr>
        <w:spacing w:before="100" w:after="100"/>
        <w:jc w:val="both"/>
      </w:pPr>
      <w:r>
        <w:rPr>
          <w:rFonts w:ascii="Arial" w:cs="Arial" w:eastAsia="Arial" w:hAnsi="Arial"/>
          <w:sz w:val="22"/>
          <w:szCs w:val="22"/>
        </w:rPr>
        <w:t xml:space="preserve">A friendly loan is a send variant where the recipient is expected to return the value within a set number of days. Zero protocol interest — the only cost is the 1% hedge premium for 30 days (annualised ~12%). This is a hedge premium, not interest. HedgeKX is the sole oracle for pricing, drawing exclusively from XChan.</w:t>
      </w:r>
    </w:p>
    <w:p>
      <w:pPr>
        <w:spacing w:before="80" w:after="80"/>
      </w:pPr>
      <w:r>
        <w:t xml:space="preserve"/>
      </w:r>
    </w:p>
    <w:p>
      <w:pPr>
        <w:spacing w:before="100" w:after="100"/>
        <w:jc w:val="both"/>
      </w:pPr>
      <w:r>
        <w:rPr>
          <w:rFonts w:ascii="Arial" w:cs="Arial" w:eastAsia="Arial" w:hAnsi="Arial"/>
          <w:sz w:val="22"/>
          <w:szCs w:val="22"/>
        </w:rPr>
        <w:t xml:space="preserve">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80"/>
      </w:pPr>
      <w:r>
        <w:t xml:space="preserve"/>
      </w:r>
    </w:p>
    <w:p>
      <w:pPr>
        <w:spacing w:before="100" w:after="100"/>
        <w:jc w:val="both"/>
      </w:pPr>
      <w:r>
        <w:rPr>
          <w:rFonts w:ascii="Arial" w:cs="Arial" w:eastAsia="Arial" w:hAnsi="Arial"/>
          <w:sz w:val="22"/>
          <w:szCs w:val="22"/>
        </w:rPr>
        <w:t xml:space="preserve">Governance priority: friendly loan hedge requests are served first when multiple requests arrive simultaneously. Dynamic loan cap: effective maximum is min(friendly_loan_max_usd_per_tx, hedgekx_available_capacity_usd × 0.80). As the open order book deepens post-ICO, the cap rises automatically.</w:t>
      </w:r>
    </w:p>
    <w:p>
      <w:pPr>
        <w:spacing w:before="80" w:after="80"/>
      </w:pPr>
      <w:r>
        <w:t xml:space="preserve"/>
      </w:r>
    </w:p>
    <w:p>
      <w:pPr>
        <w:spacing w:before="100" w:after="100"/>
        <w:jc w:val="both"/>
      </w:pPr>
      <w:r>
        <w:rPr>
          <w:rFonts w:ascii="Arial" w:cs="Arial" w:eastAsia="Arial" w:hAnsi="Arial"/>
          <w:sz w:val="22"/>
          <w:szCs w:val="22"/>
        </w:rPr>
        <w:t xml:space="preserve">Friendly loans require a live HedgeKX hedge. If HedgeKX is paused, friendly loans are unavailable. This is correct: a loan that cannot be hedged cannot be made.</w:t>
      </w:r>
    </w:p>
    <w:p>
      <w:r>
        <w:br w:type="page"/>
      </w:r>
    </w:p>
    <w:p>
      <w:pPr>
        <w:pStyle w:val="Heading1"/>
        <w:spacing w:before="480" w:after="240"/>
      </w:pPr>
      <w:r>
        <w:rPr>
          <w:rFonts w:ascii="Arial" w:cs="Arial" w:eastAsia="Arial" w:hAnsi="Arial"/>
          <w:b/>
          <w:bCs/>
          <w:color w:val="1F4E79"/>
          <w:sz w:val="34"/>
          <w:szCs w:val="34"/>
        </w:rPr>
        <w:t xml:space="preserve">Appendix M — Savings Lock Technical Reference</w:t>
      </w:r>
    </w:p>
    <w:p>
      <w:pPr>
        <w:pStyle w:val="Heading2"/>
        <w:spacing w:before="320" w:after="160"/>
      </w:pPr>
      <w:r>
        <w:rPr>
          <w:rFonts w:ascii="Arial" w:cs="Arial" w:eastAsia="Arial" w:hAnsi="Arial"/>
          <w:b/>
          <w:bCs/>
          <w:color w:val="2E75B6"/>
          <w:sz w:val="26"/>
          <w:szCs w:val="26"/>
        </w:rPr>
        <w:t xml:space="preserve">M.1 CreateSavingsLock Fields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Type/Value</w:t>
            </w:r>
          </w:p>
        </w:tc>
        <w:tc>
          <w:tcPr>
            <w:tcW w:type="dxa" w:w="5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SAVINGS</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Identifies savings lock.</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savings_duration_days</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1–365</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Lock duration in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hedgekx_mandate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true. Set false for yield_opt_out.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hedgekx_investable_fraction</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max 0.90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Fraction of lock available for HedgeKX minting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auto_renew</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Auto-renew at maturity. Sled-only update — no DAG vertex written on renewal.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savings_reserve_pct</w:t>
            </w:r>
          </w:p>
        </w:tc>
        <w:tc>
          <w:tcPr>
            <w:tcW w:type="dxa" w:w="20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min 0.10</w:t>
            </w:r>
          </w:p>
        </w:tc>
        <w:tc>
          <w:tcPr>
            <w:tcW w:type="dxa" w:w="50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Reserve fraction not available for minting.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yield_opt_out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 Set true to suppress HedgeKX mandate and yield accrual.</w:t>
            </w:r>
          </w:p>
        </w:tc>
      </w:tr>
    </w:tbl>
    <w:p>
      <w:pPr>
        <w:spacing w:before="80" w:after="80"/>
      </w:pPr>
      <w:r>
        <w:t xml:space="preserve"/>
      </w:r>
    </w:p>
    <w:p>
      <w:pPr>
        <w:spacing w:before="100" w:after="100"/>
        <w:jc w:val="both"/>
      </w:pPr>
      <w:r>
        <w:rPr>
          <w:rFonts w:ascii="Arial" w:cs="Arial" w:eastAsia="Arial" w:hAnsi="Arial"/>
          <w:sz w:val="22"/>
          <w:szCs w:val="22"/>
        </w:rPr>
        <w:t xml:space="preserve">CreateSavingsLock debits spendable_balance and credits savings_balance. Savings locks are exempt from auto-sweep and loan obligations. Principal cannot be seized by any protocol action.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M.2 XChanConversionLock</w:t>
      </w:r>
    </w:p>
    <w:p>
      <w:pPr>
        <w:spacing w:before="100" w:after="100"/>
        <w:jc w:val="both"/>
      </w:pPr>
      <w:r>
        <w:rPr>
          <w:rFonts w:ascii="Arial" w:cs="Arial" w:eastAsia="Arial" w:hAnsi="Arial"/>
          <w:sz w:val="22"/>
          <w:szCs w:val="22"/>
        </w:rPr>
        <w:t xml:space="preserve">lock_type XCHAN_CONVERSION. 60-second duration. Created automatically when KX arrives at bridge wallet. Establishes provenance for wKX minting. If mint fails, lock expires and KX returns to sender. Creates permanent DAG record of every XChan conversion.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M.3 wKX v3 Contract</w:t>
      </w:r>
    </w:p>
    <w:p>
      <w:pPr>
        <w:spacing w:before="100" w:after="100"/>
        <w:jc w:val="both"/>
      </w:pPr>
      <w:r>
        <w:rPr>
          <w:rFonts w:ascii="Arial" w:cs="Arial" w:eastAsia="Arial" w:hAnsi="Arial"/>
          <w:sz w:val="22"/>
          <w:szCs w:val="22"/>
        </w:rPr>
        <w:t xml:space="preserve">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M.4 Build Sequence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200"/>
        <w:gridCol w:w="5800"/>
        <w:gridCol w:w="24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5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 HSM)</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CreateSavingsLock and XChanConversionLock actions in transaction.rs, savings wallet UI, savings_wkx_mint_enabled: false.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w:t>
            </w:r>
          </w:p>
        </w:tc>
      </w:tr>
      <w:tr>
        <w:tc>
          <w:tcPr>
            <w:tcW w:type="dxa" w:w="1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Phase 2 (YubiHSM)</w:t>
            </w:r>
          </w:p>
        </w:tc>
        <w:tc>
          <w:tcPr>
            <w:tcW w:type="dxa" w:w="5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Generate keys on HSM, deploy wKX v3 contract on Base, test end-to-end, enable savings yield.</w:t>
            </w:r>
          </w:p>
        </w:tc>
        <w:tc>
          <w:tcPr>
            <w:tcW w:type="dxa" w:w="2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Pending YubiHSM arrival ~March 29–31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 (Post-ICO)</w:t>
            </w:r>
          </w:p>
        </w:tc>
        <w:tc>
          <w:tcPr>
            <w:tcW w:type="dxa" w:w="5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HedgeKX order book, enable friendly loans, raise governance caps.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M.5 Yield Balance Architecture</w:t>
      </w:r>
    </w:p>
    <w:p>
      <w:pPr>
        <w:spacing w:before="100" w:after="100"/>
        <w:jc w:val="both"/>
      </w:pPr>
      <w:r>
        <w:rPr>
          <w:rFonts w:ascii="Arial" w:cs="Arial" w:eastAsia="Arial" w:hAnsi="Arial"/>
          <w:sz w:val="22"/>
          <w:szCs w:val="22"/>
        </w:rPr>
        <w:t xml:space="preserve">Yield does not accrue inside the TYPE_Y lock. The lock's principal amount is fixed forever at creation. Yield accumulates in a separate yield balance on the ChronX DAG attributed to the beneficiary's account, funded by HedgeKX from facilitation income on days when the mandate is actively used.</w:t>
      </w:r>
    </w:p>
    <w:p>
      <w:pPr>
        <w:spacing w:before="80" w:after="80"/>
      </w:pPr>
      <w:r>
        <w:t xml:space="preserve"/>
      </w:r>
    </w:p>
    <w:p>
      <w:pPr>
        <w:spacing w:before="100" w:after="100"/>
        <w:jc w:val="both"/>
      </w:pPr>
      <w:r>
        <w:rPr>
          <w:rFonts w:ascii="Arial" w:cs="Arial" w:eastAsia="Arial" w:hAnsi="Arial"/>
          <w:sz w:val="22"/>
          <w:szCs w:val="22"/>
        </w:rPr>
        <w:t xml:space="preserve">HedgeKX settles yield once per day across all active mandates in a single batch transaction. Each beneficiary's share is recorded as a small credit to their yield balance. The yield balance is additive only — it never decreases. Already-credited yield cannot be revoked. The beneficiary can claim their yield balance (move it to spendable) at any time. At lock maturity, both principal and unclaimed yield become fully spendable automatically.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M.6 The YubiHSM Heartbeat Oracle</w:t>
      </w:r>
    </w:p>
    <w:p>
      <w:pPr>
        <w:spacing w:before="100" w:after="100"/>
        <w:jc w:val="both"/>
      </w:pPr>
      <w:r>
        <w:rPr>
          <w:rFonts w:ascii="Arial" w:cs="Arial" w:eastAsia="Arial" w:hAnsi="Arial"/>
          <w:sz w:val="22"/>
          <w:szCs w:val="22"/>
        </w:rPr>
        <w:t xml:space="preserve">The YubiHSM 2 FIPS generates a cryptographic sign of life every 30 seconds using a key that never leaves the hardware. This heartbeat is published to the wKX contract on Base via a lightweight relayer on the Mac Mini.</w:t>
      </w:r>
    </w:p>
    <w:p>
      <w:pPr>
        <w:spacing w:before="80" w:after="80"/>
      </w:pPr>
      <w:r>
        <w:t xml:space="preserve"/>
      </w:r>
    </w:p>
    <w:p>
      <w:pPr>
        <w:spacing w:before="100" w:after="100"/>
        <w:jc w:val="both"/>
      </w:pPr>
      <w:r>
        <w:rPr>
          <w:rFonts w:ascii="Arial" w:cs="Arial" w:eastAsia="Arial" w:hAnsi="Arial"/>
          <w:sz w:val="22"/>
          <w:szCs w:val="22"/>
        </w:rPr>
        <w:t xml:space="preserve">The wKX contract enforces: if heartbeat age exceeds 120 seconds, mint() reverts automatically. No governance action required. No human decision needed. The halt is enforced by the contract itself.</w:t>
      </w:r>
    </w:p>
    <w:p>
      <w:pPr>
        <w:spacing w:before="80" w:after="80"/>
      </w:pPr>
      <w:r>
        <w:t xml:space="preserve"/>
      </w:r>
    </w:p>
    <w:p>
      <w:pPr>
        <w:spacing w:before="100" w:after="100"/>
        <w:jc w:val="both"/>
      </w:pPr>
      <w:r>
        <w:rPr>
          <w:rFonts w:ascii="Arial" w:cs="Arial" w:eastAsia="Arial" w:hAnsi="Arial"/>
          <w:sz w:val="22"/>
          <w:szCs w:val="22"/>
        </w:rPr>
        <w:t xml:space="preserve">If the Mac Mini goes offline, the heartbeat stops. Minting halts automatically within 120 seconds. This is a feature, not a bug. A system that stops cleanly is more secure than one that continues operating under uncertain conditions.</w:t>
      </w:r>
    </w:p>
    <w:p>
      <w:pPr>
        <w:spacing w:before="80" w:after="80"/>
      </w:pPr>
      <w:r>
        <w:t xml:space="preserve"/>
      </w:r>
    </w:p>
    <w:p>
      <w:pPr>
        <w:spacing w:before="100" w:after="100"/>
        <w:jc w:val="both"/>
      </w:pPr>
      <w:r>
        <w:rPr>
          <w:rFonts w:ascii="Arial" w:cs="Arial" w:eastAsia="Arial" w:hAnsi="Arial"/>
          <w:sz w:val="22"/>
          <w:szCs w:val="22"/>
        </w:rPr>
        <w:t xml:space="preserve">A thief who steals the YubiHSM faces: a contract that has already halted within 120 seconds, an HSM that is a brick without the PIN, zero ability to generate valid signatures, and zero ability to mint wKX. Existing savings locks are completely unaffected by any halt. They mature on schedule and return principal automatically regardless of the heartbeat status.</w:t>
      </w:r>
    </w:p>
    <w:p>
      <w:pPr>
        <w:spacing w:before="80" w:after="80"/>
      </w:pPr>
      <w:r>
        <w:t xml:space="preserve"/>
      </w:r>
    </w:p>
    <w:p>
      <w:pPr>
        <w:spacing w:before="100" w:after="100"/>
        <w:jc w:val="both"/>
      </w:pPr>
      <w:r>
        <w:rPr>
          <w:rFonts w:ascii="Arial" w:cs="Arial" w:eastAsia="Arial" w:hAnsi="Arial"/>
          <w:sz w:val="22"/>
          <w:szCs w:val="22"/>
        </w:rPr>
        <w:t xml:space="preserve">Governance params: hsm_heartbeat_interval_seconds: 30. hsm_heartbeat_max_age_seconds: 120.</w:t>
      </w:r>
    </w:p>
    <w:p>
      <w:r>
        <w:br w:type="page"/>
      </w:r>
    </w:p>
    <w:p>
      <w:pPr>
        <w:pStyle w:val="Heading1"/>
        <w:spacing w:before="480" w:after="240"/>
      </w:pPr>
      <w:r>
        <w:rPr>
          <w:rFonts w:ascii="Arial" w:cs="Arial" w:eastAsia="Arial" w:hAnsi="Arial"/>
          <w:b/>
          <w:bCs/>
          <w:color w:val="1F4E79"/>
          <w:sz w:val="34"/>
          <w:szCs w:val="34"/>
        </w:rPr>
        <w:t xml:space="preserve">Appendix N — The Savings Guarantee: Technical and Legal Basis</w:t>
      </w:r>
    </w:p>
    <w:p>
      <w:pPr>
        <w:pStyle w:val="Heading2"/>
        <w:spacing w:before="320" w:after="160"/>
      </w:pPr>
      <w:r>
        <w:rPr>
          <w:rFonts w:ascii="Arial" w:cs="Arial" w:eastAsia="Arial" w:hAnsi="Arial"/>
          <w:b/>
          <w:bCs/>
          <w:color w:val="2E75B6"/>
          <w:sz w:val="26"/>
          <w:szCs w:val="26"/>
        </w:rPr>
        <w:t xml:space="preserve">Why the Principal Guarantee is Absolute</w:t>
      </w:r>
    </w:p>
    <w:p>
      <w:pPr>
        <w:pStyle w:val="ListParagraph"/>
        <w:numPr>
          <w:ilvl w:val="0"/>
          <w:numId w:val="2"/>
        </w:numPr>
        <w:spacing w:before="60" w:after="60"/>
      </w:pPr>
      <w:r>
        <w:rPr>
          <w:rFonts w:ascii="Arial" w:cs="Arial" w:eastAsia="Arial" w:hAnsi="Arial"/>
          <w:sz w:val="22"/>
          <w:szCs w:val="22"/>
        </w:rPr>
        <w:t xml:space="preserve">The KX is on the DAG, not in anyone's custody. The DAG is append-only — no entity can modify a lock.</w:t>
      </w:r>
    </w:p>
    <w:p>
      <w:pPr>
        <w:pStyle w:val="ListParagraph"/>
        <w:numPr>
          <w:ilvl w:val="0"/>
          <w:numId w:val="2"/>
        </w:numPr>
        <w:spacing w:before="60" w:after="60"/>
      </w:pPr>
      <w:r>
        <w:rPr>
          <w:rFonts w:ascii="Arial" w:cs="Arial" w:eastAsia="Arial" w:hAnsi="Arial"/>
          <w:sz w:val="22"/>
          <w:szCs w:val="22"/>
        </w:rPr>
        <w:t xml:space="preserve">Maturity is time-triggered, not human-triggered.</w:t>
      </w:r>
    </w:p>
    <w:p>
      <w:pPr>
        <w:pStyle w:val="ListParagraph"/>
        <w:numPr>
          <w:ilvl w:val="0"/>
          <w:numId w:val="2"/>
        </w:numPr>
        <w:spacing w:before="60" w:after="60"/>
      </w:pPr>
      <w:r>
        <w:rPr>
          <w:rFonts w:ascii="Arial" w:cs="Arial" w:eastAsia="Arial" w:hAnsi="Arial"/>
          <w:sz w:val="22"/>
          <w:szCs w:val="22"/>
        </w:rPr>
        <w:t xml:space="preserve">Post-quantum cryptography (CRYSTALS-Dilithium2) protects against computational attacks.</w:t>
      </w:r>
    </w:p>
    <w:p>
      <w:pPr>
        <w:pStyle w:val="ListParagraph"/>
        <w:numPr>
          <w:ilvl w:val="0"/>
          <w:numId w:val="2"/>
        </w:numPr>
        <w:spacing w:before="60" w:after="60"/>
      </w:pPr>
      <w:r>
        <w:rPr>
          <w:rFonts w:ascii="Arial" w:cs="Arial" w:eastAsia="Arial" w:hAnsi="Arial"/>
          <w:sz w:val="22"/>
          <w:szCs w:val="22"/>
        </w:rPr>
        <w:t xml:space="preserve">HedgeKX holds a mandate permission only — not custody, not collateral, not a lien. The mandate expires automatically.</w:t>
      </w:r>
    </w:p>
    <w:p>
      <w:pPr>
        <w:pStyle w:val="ListParagraph"/>
        <w:numPr>
          <w:ilvl w:val="0"/>
          <w:numId w:val="2"/>
        </w:numPr>
        <w:spacing w:before="60" w:after="60"/>
      </w:pPr>
      <w:r>
        <w:rPr>
          <w:rFonts w:ascii="Arial" w:cs="Arial" w:eastAsia="Arial" w:hAnsi="Arial"/>
          <w:sz w:val="22"/>
          <w:szCs w:val="22"/>
        </w:rPr>
        <w:t xml:space="preserve">If the mandate expires without being exercised, the ChronX lock releases regardless.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What HedgeKX Receives</w:t>
      </w:r>
    </w:p>
    <w:p>
      <w:pPr>
        <w:spacing w:before="100" w:after="100"/>
        <w:jc w:val="both"/>
      </w:pPr>
      <w:r>
        <w:rPr>
          <w:rFonts w:ascii="Arial" w:cs="Arial" w:eastAsia="Arial" w:hAnsi="Arial"/>
          <w:sz w:val="22"/>
          <w:szCs w:val="22"/>
        </w:rPr>
        <w:t xml:space="preserve">HedgeKX holds a time-limited permission to mint h1KX. HedgeKX never holds the underlying KX. The mandate grants the right to create an internal accounting token on Base — not to move, sell, or encumber the locked KX in any way. The KX belongs to the lock holder throughout the entire lock period.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Minting is Not Inflation</w:t>
      </w:r>
    </w:p>
    <w:p>
      <w:pPr>
        <w:spacing w:before="100" w:after="100"/>
        <w:jc w:val="both"/>
      </w:pPr>
      <w:r>
        <w:rPr>
          <w:rFonts w:ascii="Arial" w:cs="Arial" w:eastAsia="Arial" w:hAnsi="Arial"/>
          <w:sz w:val="22"/>
          <w:szCs w:val="22"/>
        </w:rPr>
        <w:t xml:space="preserve">wKX is 1:1 backed by locked KX (XChan conversion locks). h1KX is 1:1 backed by locked KX (TYPE_Y mandate locks). Both are temporary representations, not new supply. Total KX on ChronX DAG + total wKX on Base + total h1KX on Base = 8,270,000,000 always. At lock maturity: wKX or h1KX burns, ChronX lock releases — net change: zero.</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Why wKX and h1KX Cannot Be Defaulted On</w:t>
      </w:r>
    </w:p>
    <w:p>
      <w:pPr>
        <w:spacing w:before="100" w:after="100"/>
        <w:jc w:val="both"/>
      </w:pPr>
      <w:r>
        <w:rPr>
          <w:rFonts w:ascii="Arial" w:cs="Arial" w:eastAsia="Arial" w:hAnsi="Arial"/>
          <w:sz w:val="22"/>
          <w:szCs w:val="22"/>
        </w:rPr>
        <w:t xml:space="preserve">wKX is a bridge token backed by XChan conversion locks — not a debt instrument. h1KX is a non-transferable internal settlement token — never held by external parties. Neither represents a promise to pay. If wKX circulates without a corresponding active lock, it is unredeemable and worthless by contract enforcement.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Friendly Loan Default Risk</w:t>
      </w:r>
    </w:p>
    <w:p>
      <w:pPr>
        <w:spacing w:before="100" w:after="100"/>
        <w:jc w:val="both"/>
      </w:pPr>
      <w:r>
        <w:rPr>
          <w:rFonts w:ascii="Arial" w:cs="Arial" w:eastAsia="Arial" w:hAnsi="Arial"/>
          <w:sz w:val="22"/>
          <w:szCs w:val="22"/>
        </w:rPr>
        <w:t xml:space="preserve">A friendly loan default falls on the lender, not the saver. The saver's principal is protected regardless of whether borrowers repay. The HedgeKX hedge protects the lender against KX/USD price risk. Borrower credit risk remains with the lender — ChronX is not a credit guarantee system.</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Comparison to Traditional Banking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Traditional Bank CD</w:t>
            </w:r>
          </w:p>
        </w:tc>
        <w:tc>
          <w:tcPr>
            <w:tcW w:type="dxa" w:w="3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ChronX Savings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(capped at $250K, exhaustible, discretionary)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(uncapped, inexhaustible, mathematical)</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Yield guarantee</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Contractual (can default)</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Not guaranteed (zero if no market activity, principal unaffected)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holds your deposit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retain cryptographic ownership throughout</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Audit</w:t>
            </w:r>
          </w:p>
        </w:tc>
        <w:tc>
          <w:tcPr>
            <w:tcW w:type="dxa" w:w="3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Annual audit of bank</w:t>
            </w:r>
          </w:p>
        </w:tc>
        <w:tc>
          <w:tcPr>
            <w:tcW w:type="dxa" w:w="37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Real-time queryable on public DAG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Regulatory protection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FDIC, banking regulation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Cryptographic mathematics</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Legal Note</w:t>
      </w:r>
    </w:p>
    <w:p>
      <w:pPr>
        <w:spacing w:before="100" w:after="100"/>
        <w:jc w:val="both"/>
      </w:pPr>
      <w:r>
        <w:rPr>
          <w:rFonts w:ascii="Arial" w:cs="Arial" w:eastAsia="Arial" w:hAnsi="Arial"/>
          <w:sz w:val="22"/>
          <w:szCs w:val="22"/>
        </w:rPr>
        <w:t xml:space="preserve">KX is a utility token. This is not a deposit account, not a security, and not FDIC-insured. The guarantees described in this whitepaper are cryptographic and protocol guarantees, not legal or financial guarantees under any jurisdiction's banking law. Regulatory characterisation of KX and ChronX instruments varies by jurisdiction. Consult qualified legal counsel in your jurisdiction before participating.</w:t>
      </w:r>
    </w:p>
    <w:p>
      <w:r>
        <w:br w:type="page"/>
      </w:r>
    </w:p>
    <w:p>
      <w:pPr>
        <w:pStyle w:val="Heading1"/>
        <w:spacing w:before="480" w:after="240"/>
      </w:pPr>
      <w:r>
        <w:rPr>
          <w:rFonts w:ascii="Arial" w:cs="Arial" w:eastAsia="Arial" w:hAnsi="Arial"/>
          <w:b/>
          <w:bCs/>
          <w:color w:val="1F4E79"/>
          <w:sz w:val="34"/>
          <w:szCs w:val="34"/>
        </w:rPr>
        <w:t xml:space="preserve">Appendix O — HedgeKX, wKX, h1KX, and TYPE_Y: Complete Technical and Risk Reference</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jc w:val="both"/>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complete answer is in sections O.2, O.3, and O.11.</w:t>
      </w:r>
    </w:p>
    <w:p>
      <w:pPr>
        <w:spacing w:before="80" w:after="80"/>
      </w:pPr>
      <w:r>
        <w:t xml:space="preserve"/>
      </w:r>
    </w:p>
    <w:p>
      <w:pPr>
        <w:spacing w:before="100" w:after="100"/>
        <w:jc w:val="both"/>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The complete answer is in sections O.6 through O.10, O.13, and O.15.</w:t>
      </w:r>
    </w:p>
    <w:p>
      <w:pPr>
        <w:spacing w:before="80" w:after="80"/>
      </w:pPr>
      <w:r>
        <w:t xml:space="preserve"/>
      </w:r>
    </w:p>
    <w:p>
      <w:pPr>
        <w:spacing w:before="100" w:after="100"/>
        <w:jc w:val="both"/>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Every constraint, every named attack surface, and every residual risk is documented in sections O.4 through O.12. Nothing has been omitted to make the protocol appear stronger than it is.</w:t>
      </w:r>
    </w:p>
    <w:p>
      <w:pPr>
        <w:spacing w:before="80" w:after="80"/>
      </w:pPr>
      <w:r>
        <w:t xml:space="preserve"/>
      </w:r>
    </w:p>
    <w:p>
      <w:pPr>
        <w:pBdr>
          <w:left w:val="single" w:color="2E75B6" w:sz="8"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O.2 The Foundation: TYPE_Y Savings Locks</w:t>
      </w:r>
    </w:p>
    <w:p>
      <w:pPr>
        <w:pStyle w:val="Heading3"/>
        <w:spacing w:before="200" w:after="100"/>
      </w:pPr>
      <w:r>
        <w:rPr>
          <w:rFonts w:ascii="Arial" w:cs="Arial" w:eastAsia="Arial" w:hAnsi="Arial"/>
          <w:b/>
          <w:bCs/>
          <w:sz w:val="22"/>
          <w:szCs w:val="22"/>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pStyle w:val="ListParagraph"/>
        <w:numPr>
          <w:ilvl w:val="0"/>
          <w:numId w:val="2"/>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2"/>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2"/>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 HedgeKX's presence is not required.</w:t>
      </w:r>
    </w:p>
    <w:p>
      <w:pPr>
        <w:pStyle w:val="ListParagraph"/>
        <w:numPr>
          <w:ilvl w:val="0"/>
          <w:numId w:val="2"/>
        </w:numPr>
        <w:spacing w:before="60" w:after="60"/>
      </w:pPr>
      <w:r>
        <w:rPr>
          <w:rFonts w:ascii="Arial" w:cs="Arial" w:eastAsia="Arial" w:hAnsi="Arial"/>
          <w:sz w:val="22"/>
          <w:szCs w:val="22"/>
        </w:rPr>
        <w:t xml:space="preserve">Independence from Base network. If Base ceases to exist, TYPE_Y locks are completely unaffected. They live on the ChronX DAG, not on Base.</w:t>
      </w:r>
    </w:p>
    <w:p>
      <w:pPr>
        <w:spacing w:before="80" w:after="80"/>
      </w:pPr>
      <w:r>
        <w:t xml:space="preserve"/>
      </w:r>
    </w:p>
    <w:p>
      <w:pPr>
        <w:pStyle w:val="Heading3"/>
        <w:spacing w:before="200" w:after="100"/>
      </w:pPr>
      <w:r>
        <w:rPr>
          <w:rFonts w:ascii="Arial" w:cs="Arial" w:eastAsia="Arial" w:hAnsi="Arial"/>
          <w:b/>
          <w:bCs/>
          <w:sz w:val="22"/>
          <w:szCs w:val="22"/>
        </w:rPr>
        <w:t xml:space="preserve">What Is Not Guaranteed</w:t>
      </w:r>
    </w:p>
    <w:p>
      <w:pPr>
        <w:pStyle w:val="ListParagraph"/>
        <w:numPr>
          <w:ilvl w:val="0"/>
          <w:numId w:val="2"/>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2"/>
        </w:numPr>
        <w:spacing w:before="60" w:after="60"/>
      </w:pPr>
      <w:r>
        <w:rPr>
          <w:rFonts w:ascii="Arial" w:cs="Arial" w:eastAsia="Arial" w:hAnsi="Arial"/>
          <w:sz w:val="22"/>
          <w:szCs w:val="22"/>
        </w:rPr>
        <w:t xml:space="preserve">Yield rate. Market-determined. Fluctuates based on HedgeKX's matching activity and general market conditions.</w:t>
      </w:r>
    </w:p>
    <w:p>
      <w:pPr>
        <w:pStyle w:val="ListParagraph"/>
        <w:numPr>
          <w:ilvl w:val="0"/>
          <w:numId w:val="2"/>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spacing w:before="80" w:after="80"/>
      </w:pPr>
      <w:r>
        <w:t xml:space="preserve"/>
      </w:r>
    </w:p>
    <w:p>
      <w:pPr>
        <w:pStyle w:val="Heading3"/>
        <w:spacing w:before="200" w:after="100"/>
      </w:pPr>
      <w:r>
        <w:rPr>
          <w:rFonts w:ascii="Arial" w:cs="Arial" w:eastAsia="Arial" w:hAnsi="Arial"/>
          <w:b/>
          <w:bCs/>
          <w:sz w:val="22"/>
          <w:szCs w:val="22"/>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Example: Bob makes a 20-year promise locking 10,000 KX for Mary. HedgeKX uses that lock's mandate for active matching. The yield credits to Mary's yield balance — not to Bob's. Yield accumulates separately as daily credit transactions from HedgeKX's operating wallet to Mary's yield balance. The yield balance never goes down. Once credited, yield is permanent. Mary can claim it at any time.</w:t>
      </w:r>
    </w:p>
    <w:p>
      <w:pPr>
        <w:spacing w:before="80" w:after="80"/>
      </w:pPr>
      <w:r>
        <w:t xml:space="preserve"/>
      </w:r>
    </w:p>
    <w:p>
      <w:pPr>
        <w:pStyle w:val="Heading3"/>
        <w:spacing w:before="200" w:after="100"/>
      </w:pPr>
      <w:r>
        <w:rPr>
          <w:rFonts w:ascii="Arial" w:cs="Arial" w:eastAsia="Arial" w:hAnsi="Arial"/>
          <w:b/>
          <w:bCs/>
          <w:sz w:val="22"/>
          <w:szCs w:val="22"/>
        </w:rPr>
        <w:t xml:space="preserve">Yield Opt-Out</w:t>
      </w:r>
    </w:p>
    <w:p>
      <w:pPr>
        <w:spacing w:before="100" w:after="100"/>
        <w:jc w:val="both"/>
      </w:pPr>
      <w:r>
        <w:rPr>
          <w:rFonts w:ascii="Arial" w:cs="Arial" w:eastAsia="Arial" w:hAnsi="Arial"/>
          <w:sz w:val="22"/>
          <w:szCs w:val="22"/>
        </w:rPr>
        <w:t xml:space="preserve">Grantors may set yield_opt_out at lock creation. No mandate is granted. No yield accrues. The principal guarantee is identical. This is appropriate for grantors with tax concerns or who prefer the simplicity of a standard time-lock.</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O.3 The Minting Mandate</w:t>
      </w:r>
    </w:p>
    <w:p>
      <w:pPr>
        <w:pStyle w:val="Heading3"/>
        <w:spacing w:before="200" w:after="100"/>
      </w:pPr>
      <w:r>
        <w:rPr>
          <w:rFonts w:ascii="Arial" w:cs="Arial" w:eastAsia="Arial" w:hAnsi="Arial"/>
          <w:b/>
          <w:bCs/>
          <w:sz w:val="22"/>
          <w:szCs w:val="22"/>
        </w:rPr>
        <w:t xml:space="preserve">What the Mandate Permits</w:t>
      </w:r>
    </w:p>
    <w:p>
      <w:pPr>
        <w:spacing w:before="100" w:after="100"/>
        <w:jc w:val="both"/>
      </w:pPr>
      <w:r>
        <w:rPr>
          <w:rFonts w:ascii="Arial" w:cs="Arial" w:eastAsia="Arial" w:hAnsi="Arial"/>
          <w:sz w:val="22"/>
          <w:szCs w:val="22"/>
        </w:rPr>
        <w:t xml:space="preserve">Every TYPE_Y lock (unless yield_opt_out is set) automatically grants HedgeKX one permission: to create h1KX tokens on the Base network in a quantity up to the locked KX amount, for periods not exceeding 24 hours at a time. That is the complete scope of the mandate. Nothing else.</w:t>
      </w:r>
    </w:p>
    <w:p>
      <w:pPr>
        <w:spacing w:before="80" w:after="80"/>
      </w:pPr>
      <w:r>
        <w:t xml:space="preserve"/>
      </w:r>
    </w:p>
    <w:p>
      <w:pPr>
        <w:pStyle w:val="Heading3"/>
        <w:spacing w:before="200" w:after="100"/>
      </w:pPr>
      <w:r>
        <w:rPr>
          <w:rFonts w:ascii="Arial" w:cs="Arial" w:eastAsia="Arial" w:hAnsi="Arial"/>
          <w:b/>
          <w:bCs/>
          <w:sz w:val="22"/>
          <w:szCs w:val="22"/>
        </w:rPr>
        <w:t xml:space="preserve">What the Mandate Does Not Permit</w:t>
      </w:r>
    </w:p>
    <w:p>
      <w:pPr>
        <w:pStyle w:val="ListParagraph"/>
        <w:numPr>
          <w:ilvl w:val="0"/>
          <w:numId w:val="2"/>
        </w:numPr>
        <w:spacing w:before="60" w:after="60"/>
      </w:pPr>
      <w:r>
        <w:rPr>
          <w:rFonts w:ascii="Arial" w:cs="Arial" w:eastAsia="Arial" w:hAnsi="Arial"/>
          <w:sz w:val="22"/>
          <w:szCs w:val="22"/>
        </w:rPr>
        <w:t xml:space="preserve">Transfer of ownership — HedgeKX does not own, control, or have any claim on the locked KX at any point.</w:t>
      </w:r>
    </w:p>
    <w:p>
      <w:pPr>
        <w:pStyle w:val="ListParagraph"/>
        <w:numPr>
          <w:ilvl w:val="0"/>
          <w:numId w:val="2"/>
        </w:numPr>
        <w:spacing w:before="60" w:after="60"/>
      </w:pPr>
      <w:r>
        <w:rPr>
          <w:rFonts w:ascii="Arial" w:cs="Arial" w:eastAsia="Arial" w:hAnsi="Arial"/>
          <w:sz w:val="22"/>
          <w:szCs w:val="22"/>
        </w:rPr>
        <w:t xml:space="preserve">Movement of locked KX — the KX stays on the ChronX DAG.</w:t>
      </w:r>
    </w:p>
    <w:p>
      <w:pPr>
        <w:pStyle w:val="ListParagraph"/>
        <w:numPr>
          <w:ilvl w:val="0"/>
          <w:numId w:val="2"/>
        </w:numPr>
        <w:spacing w:before="60" w:after="60"/>
      </w:pPr>
      <w:r>
        <w:rPr>
          <w:rFonts w:ascii="Arial" w:cs="Arial" w:eastAsia="Arial" w:hAnsi="Arial"/>
          <w:sz w:val="22"/>
          <w:szCs w:val="22"/>
        </w:rPr>
        <w:t xml:space="preserve">Liquidation of locked KX — even if HedgeKX faces losses, is sued, or is ordered by a court to pay a debt, the locked KX cannot be seized.</w:t>
      </w:r>
    </w:p>
    <w:p>
      <w:pPr>
        <w:pStyle w:val="ListParagraph"/>
        <w:numPr>
          <w:ilvl w:val="0"/>
          <w:numId w:val="2"/>
        </w:numPr>
        <w:spacing w:before="60" w:after="60"/>
      </w:pPr>
      <w:r>
        <w:rPr>
          <w:rFonts w:ascii="Arial" w:cs="Arial" w:eastAsia="Arial" w:hAnsi="Arial"/>
          <w:sz w:val="22"/>
          <w:szCs w:val="22"/>
        </w:rPr>
        <w:t xml:space="preserve">Obligation to mint — on days with no matching activity, no h1KX is minted and the mandate sits unused.</w:t>
      </w:r>
    </w:p>
    <w:p>
      <w:pPr>
        <w:spacing w:before="80" w:after="80"/>
      </w:pPr>
      <w:r>
        <w:t xml:space="preserve"/>
      </w:r>
    </w:p>
    <w:p>
      <w:pPr>
        <w:pStyle w:val="Heading3"/>
        <w:spacing w:before="200" w:after="100"/>
      </w:pPr>
      <w:r>
        <w:rPr>
          <w:rFonts w:ascii="Arial" w:cs="Arial" w:eastAsia="Arial" w:hAnsi="Arial"/>
          <w:b/>
          <w:bCs/>
          <w:sz w:val="22"/>
          <w:szCs w:val="22"/>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Merkle inclusion proof against the ChronX DAG's committed state root. The contract verifies the proof's mathematics directly — it does not trust HedgeKX's word, it does not rely on any oracle's interpretation. It checks the proof against publicly available cryptographic commitments from the ChronX network.</w:t>
      </w:r>
    </w:p>
    <w:p>
      <w:pPr>
        <w:spacing w:before="80" w:after="80"/>
      </w:pPr>
      <w:r>
        <w:t xml:space="preserve"/>
      </w:r>
    </w:p>
    <w:p>
      <w:pPr>
        <w:pStyle w:val="Heading3"/>
        <w:spacing w:before="200" w:after="100"/>
      </w:pPr>
      <w:r>
        <w:rPr>
          <w:rFonts w:ascii="Arial" w:cs="Arial" w:eastAsia="Arial" w:hAnsi="Arial"/>
          <w:b/>
          <w:bCs/>
          <w:sz w:val="22"/>
          <w:szCs w:val="22"/>
        </w:rPr>
        <w:t xml:space="preserve">Multi-Currency Mandate Routing</w:t>
      </w:r>
    </w:p>
    <w:p>
      <w:pPr>
        <w:spacing w:before="100" w:after="100"/>
        <w:jc w:val="both"/>
      </w:pPr>
      <w:r>
        <w:rPr>
          <w:rFonts w:ascii="Arial" w:cs="Arial" w:eastAsia="Arial" w:hAnsi="Arial"/>
          <w:sz w:val="22"/>
          <w:szCs w:val="22"/>
        </w:rPr>
        <w:t xml:space="preserve">All TYPE_Y locks automatically become available as mandate sources for all governance-approved hedge pairs. HedgeKX internally routes mandate capacity to whichever pair has active demand. Lock holders do not specify which pair their mandate supports. Yield reflects aggregate facilitation income from all pairs that used their mandate capacity on a given day.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O.4 The Token Family — wKX, h1KX, and hNKX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wKX (XChan Public Token)</w:t>
            </w:r>
          </w:p>
        </w:tc>
        <w:tc>
          <w:tcPr>
            <w:tcW w:type="dxa" w:w="34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h1KX (HedgeKX Internal Token)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Purpose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Retail KX/USDC conversion on Base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Internal settlement bridge for forward exchanges</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Transferable?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standard ERC-20</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 — transfer function disabled by contract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 Uniswap, exchanges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 never leaves HedgeKX settlement system</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Expiry</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redeemable anytime via unwrap</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24 hours — passive expiry, balanceOf returns zero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Backed by</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conversion locks (60-second)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TYPE_Y mandate locks (lock duration)</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User sees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Yes — they buy, hold, trade it</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Never — purely internal infrastructure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Burns when?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When user unwraps for KX</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Automatically, 24 hours after minting</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Retail risk</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Standard ERC-20 + peg maintenance</w:t>
            </w:r>
          </w:p>
        </w:tc>
        <w:tc>
          <w:tcPr>
            <w:tcW w:type="dxa" w:w="348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None — retail users never interact with it</w:t>
            </w:r>
          </w:p>
        </w:tc>
      </w:tr>
    </w:tbl>
    <w:p>
      <w:pPr>
        <w:spacing w:before="80" w:after="80"/>
      </w:pPr>
      <w:r>
        <w:t xml:space="preserve"/>
      </w:r>
    </w:p>
    <w:p>
      <w:pPr>
        <w:pStyle w:val="Heading3"/>
        <w:spacing w:before="200" w:after="100"/>
      </w:pPr>
      <w:r>
        <w:rPr>
          <w:rFonts w:ascii="Arial" w:cs="Arial" w:eastAsia="Arial" w:hAnsi="Arial"/>
          <w:b/>
          <w:bCs/>
          <w:sz w:val="22"/>
          <w:szCs w:val="22"/>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w:t>
      </w:r>
    </w:p>
    <w:p>
      <w:pPr>
        <w:pStyle w:val="ListParagraph"/>
        <w:numPr>
          <w:ilvl w:val="0"/>
          <w:numId w:val="2"/>
        </w:numPr>
        <w:spacing w:before="60" w:after="60"/>
      </w:pPr>
      <w:r>
        <w:rPr>
          <w:rFonts w:ascii="Arial" w:cs="Arial" w:eastAsia="Arial" w:hAnsi="Arial"/>
          <w:sz w:val="22"/>
          <w:szCs w:val="22"/>
        </w:rPr>
        <w:t xml:space="preserve">h1KX:  KX ↔ USDC — first pair, the foundation, deployed at HedgeKX launch</w:t>
      </w:r>
    </w:p>
    <w:p>
      <w:pPr>
        <w:pStyle w:val="ListParagraph"/>
        <w:numPr>
          <w:ilvl w:val="0"/>
          <w:numId w:val="2"/>
        </w:numPr>
        <w:spacing w:before="60" w:after="60"/>
      </w:pPr>
      <w:r>
        <w:rPr>
          <w:rFonts w:ascii="Arial" w:cs="Arial" w:eastAsia="Arial" w:hAnsi="Arial"/>
          <w:sz w:val="22"/>
          <w:szCs w:val="22"/>
        </w:rPr>
        <w:t xml:space="preserve">h2KX:  KX ↔ BTC — second pair, requires governance vote to deploy</w:t>
      </w:r>
    </w:p>
    <w:p>
      <w:pPr>
        <w:pStyle w:val="ListParagraph"/>
        <w:numPr>
          <w:ilvl w:val="0"/>
          <w:numId w:val="2"/>
        </w:numPr>
        <w:spacing w:before="60" w:after="60"/>
      </w:pPr>
      <w:r>
        <w:rPr>
          <w:rFonts w:ascii="Arial" w:cs="Arial" w:eastAsia="Arial" w:hAnsi="Arial"/>
          <w:sz w:val="22"/>
          <w:szCs w:val="22"/>
        </w:rPr>
        <w:t xml:space="preserve">h3KX:  KX ↔ ETH — third pair (hypothetical future)</w:t>
      </w:r>
    </w:p>
    <w:p>
      <w:pPr>
        <w:pStyle w:val="ListParagraph"/>
        <w:numPr>
          <w:ilvl w:val="0"/>
          <w:numId w:val="2"/>
        </w:numPr>
        <w:spacing w:before="60" w:after="60"/>
      </w:pPr>
      <w:r>
        <w:rPr>
          <w:rFonts w:ascii="Arial" w:cs="Arial" w:eastAsia="Arial" w:hAnsi="Arial"/>
          <w:sz w:val="22"/>
          <w:szCs w:val="22"/>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Each hNKX contract is independent — its own supply, its own escrow counterpart, its own 24-hour burn cycle. Adding a new pair never modifies any existing contract.</w:t>
      </w:r>
    </w:p>
    <w:p>
      <w:pPr>
        <w:spacing w:before="80" w:after="80"/>
      </w:pPr>
      <w:r>
        <w:t xml:space="preserve"/>
      </w:r>
    </w:p>
    <w:p>
      <w:pPr>
        <w:pStyle w:val="Heading3"/>
        <w:spacing w:before="200" w:after="100"/>
      </w:pPr>
      <w:r>
        <w:rPr>
          <w:rFonts w:ascii="Arial" w:cs="Arial" w:eastAsia="Arial" w:hAnsi="Arial"/>
          <w:b/>
          <w:bCs/>
          <w:sz w:val="22"/>
          <w:szCs w:val="22"/>
        </w:rPr>
        <w:t xml:space="preserve">h1KX Protocol-Enforced Properties</w:t>
      </w:r>
    </w:p>
    <w:p>
      <w:pPr>
        <w:pStyle w:val="ListParagraph"/>
        <w:numPr>
          <w:ilvl w:val="0"/>
          <w:numId w:val="2"/>
        </w:numPr>
        <w:spacing w:before="60" w:after="60"/>
      </w:pPr>
      <w:r>
        <w:rPr>
          <w:rFonts w:ascii="Arial" w:cs="Arial" w:eastAsia="Arial" w:hAnsi="Arial"/>
          <w:sz w:val="22"/>
          <w:szCs w:val="22"/>
        </w:rPr>
        <w:t xml:space="preserve">Non-transferability. The transfer function is disabled at the code level. h1KX cannot appear on any exchange.</w:t>
      </w:r>
    </w:p>
    <w:p>
      <w:pPr>
        <w:pStyle w:val="ListParagraph"/>
        <w:numPr>
          <w:ilvl w:val="0"/>
          <w:numId w:val="2"/>
        </w:numPr>
        <w:spacing w:before="60" w:after="60"/>
      </w:pPr>
      <w:r>
        <w:rPr>
          <w:rFonts w:ascii="Arial" w:cs="Arial" w:eastAsia="Arial" w:hAnsi="Arial"/>
          <w:sz w:val="22"/>
          <w:szCs w:val="22"/>
        </w:rPr>
        <w:t xml:space="preserve">24-hour passive expiry. The balanceOf function returns zero for any h1KX older than 24 hours. Mathematically dead without requiring a burn transaction — works even during chain outages.</w:t>
      </w:r>
    </w:p>
    <w:p>
      <w:pPr>
        <w:pStyle w:val="ListParagraph"/>
        <w:numPr>
          <w:ilvl w:val="0"/>
          <w:numId w:val="2"/>
        </w:numPr>
        <w:spacing w:before="60" w:after="60"/>
      </w:pPr>
      <w:r>
        <w:rPr>
          <w:rFonts w:ascii="Arial" w:cs="Arial" w:eastAsia="Arial" w:hAnsi="Arial"/>
          <w:sz w:val="22"/>
          <w:szCs w:val="22"/>
        </w:rPr>
        <w:t xml:space="preserve">Supply cap. Total h1KX cannot exceed total verified mandate capacity. Enforced by minting contract proof verification.</w:t>
      </w:r>
    </w:p>
    <w:p>
      <w:pPr>
        <w:pStyle w:val="ListParagraph"/>
        <w:numPr>
          <w:ilvl w:val="0"/>
          <w:numId w:val="2"/>
        </w:numPr>
        <w:spacing w:before="60" w:after="60"/>
      </w:pPr>
      <w:r>
        <w:rPr>
          <w:rFonts w:ascii="Arial" w:cs="Arial" w:eastAsia="Arial" w:hAnsi="Arial"/>
          <w:sz w:val="22"/>
          <w:szCs w:val="22"/>
        </w:rPr>
        <w:t xml:space="preserve">Heartbeat requirement. If the HSM heartbeat stops, all new minting halts automatically within 120 seconds.</w:t>
      </w:r>
    </w:p>
    <w:p>
      <w:pPr>
        <w:pStyle w:val="ListParagraph"/>
        <w:numPr>
          <w:ilvl w:val="0"/>
          <w:numId w:val="2"/>
        </w:numPr>
        <w:spacing w:before="60" w:after="60"/>
      </w:pPr>
      <w:r>
        <w:rPr>
          <w:rFonts w:ascii="Arial" w:cs="Arial" w:eastAsia="Arial" w:hAnsi="Arial"/>
          <w:sz w:val="22"/>
          <w:szCs w:val="22"/>
        </w:rPr>
        <w:t xml:space="preserve">Cannot pay claims. h1KX is not USDC. It represents the KX commitment on the ChronX side. USDC is held separately in the Currency B Committer's escrow.</w:t>
      </w:r>
    </w:p>
    <w:p>
      <w:pPr>
        <w:pStyle w:val="ListParagraph"/>
        <w:numPr>
          <w:ilvl w:val="0"/>
          <w:numId w:val="2"/>
        </w:numPr>
        <w:spacing w:before="60" w:after="60"/>
      </w:pPr>
      <w:r>
        <w:rPr>
          <w:rFonts w:ascii="Arial" w:cs="Arial" w:eastAsia="Arial" w:hAnsi="Arial"/>
          <w:sz w:val="22"/>
          <w:szCs w:val="22"/>
        </w:rPr>
        <w:t xml:space="preserve">Cannot inflate KX supply. Total KX on ChronX plus total h1KX on Base never exceeds 8,270,000,000.</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O.5 The State Root Verification System</w:t>
      </w:r>
    </w:p>
    <w:p>
      <w:pPr>
        <w:spacing w:before="100" w:after="100"/>
      </w:pPr>
    </w:p>
    <w:p>
      <w:pPr>
        <w:spacing w:before="100" w:after="100"/>
        <w:jc w:val="both"/>
      </w:pPr>
      <w:r>
        <w:rPr>
          <w:rFonts w:ascii="Arial" w:cs="Arial" w:eastAsia="Arial" w:hAnsi="Arial"/>
          <w:sz w:val="22"/>
          <w:szCs w:val="22"/>
        </w:rPr>
        <w:t xml:space="preserve">CURRENT IMPLEMENTATION NOTE: The ZK light client described below is the TARGET architecture — it is not yet deployed. The current implementation uses the multi-relayer threshold scheme (3-of-5 independent relayers). The ZK light client is a near-term build priority on the post-ICO roadmap. Until it is deployed, the state root verification trust assumption is the multi-relayer scheme, not pure mathematics. The two models are described below with their respective trust assumptions clearly distinguished.</w:t>
      </w:r>
    </w:p>
    <w:p>
      <w:pPr>
        <w:spacing w:before="100" w:after="100"/>
      </w:pPr>
    </w:p>
    <w:p>
      <w:pPr>
        <w:pStyle w:val="Heading3"/>
        <w:spacing w:before="200" w:after="100"/>
      </w:pPr>
      <w:r>
        <w:rPr>
          <w:rFonts w:ascii="Arial" w:cs="Arial" w:eastAsia="Arial" w:hAnsi="Arial"/>
          <w:b/>
          <w:bCs/>
          <w:sz w:val="22"/>
          <w:szCs w:val="22"/>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authorising a mint. It cannot trust HedgeKX's word. It verifies the mandate independently using Merkle inclusion proofs against ChronX's committed state root.</w:t>
      </w:r>
    </w:p>
    <w:p>
      <w:pPr>
        <w:spacing w:before="80"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9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4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Trust Assumption</w:t>
            </w:r>
          </w:p>
        </w:tc>
        <w:tc>
          <w:tcPr>
            <w:tcW w:type="dxa" w:w="2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 Requirement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Current (multi-relayer)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majority of 3-of-5 independent relayers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Compromise 3 of 5 relayers simultaneously</w:t>
            </w:r>
          </w:p>
        </w:tc>
      </w:tr>
      <w:tr>
        <w:tc>
          <w:tcPr>
            <w:tcW w:type="dxa" w:w="24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Target (ZK light client)</w:t>
            </w:r>
          </w:p>
        </w:tc>
        <w:tc>
          <w:tcPr>
            <w:tcW w:type="dxa" w:w="4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Cryptographic security of hash functions + ChronX consensus validity</w:t>
            </w:r>
          </w:p>
        </w:tc>
        <w:tc>
          <w:tcPr>
            <w:tcW w:type="dxa" w:w="2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Break SHA-3 or compromise ChronX validator majority</w:t>
            </w:r>
          </w:p>
        </w:tc>
      </w:tr>
    </w:tbl>
    <w:p>
      <w:pPr>
        <w:spacing w:before="80" w:after="80"/>
      </w:pPr>
      <w:r>
        <w:t xml:space="preserve"/>
      </w:r>
    </w:p>
    <w:p>
      <w:pPr>
        <w:spacing w:before="100" w:after="100"/>
        <w:jc w:val="both"/>
      </w:pPr>
      <w:r>
        <w:rPr>
          <w:rFonts w:ascii="Arial" w:cs="Arial" w:eastAsia="Arial" w:hAnsi="Arial"/>
          <w:sz w:val="22"/>
          <w:szCs w:val="22"/>
        </w:rPr>
        <w:t xml:space="preserve">The ZK light client runs inside the Base minting contract, independently verifying ChronX consensus using ZK-SNARKs. No relayer trust required. This is a build priority for the post-ICO roadmap.</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O.6 The Matched Forward Exchange — Complete Mechanics</w:t>
      </w:r>
    </w:p>
    <w:p>
      <w:pPr>
        <w:pStyle w:val="Heading3"/>
        <w:spacing w:before="200" w:after="100"/>
      </w:pPr>
      <w:r>
        <w:rPr>
          <w:rFonts w:ascii="Arial" w:cs="Arial" w:eastAsia="Arial" w:hAnsi="Arial"/>
          <w:b/>
          <w:bCs/>
          <w:sz w:val="22"/>
          <w:szCs w:val="22"/>
        </w:rPr>
        <w:t xml:space="preserve">The Two Parties</w:t>
      </w:r>
    </w:p>
    <w:p>
      <w:pPr>
        <w:spacing w:before="100" w:after="100"/>
        <w:jc w:val="both"/>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ChronX at a pre-agreed exchange rate. Pays a premium to HedgeKX at inception. Receives the right to deliver that KX and receive the pre-agreed quantity of USDC at a future date or triggering event, regardless of KX's market price at that moment.</w:t>
      </w:r>
    </w:p>
    <w:p>
      <w:pPr>
        <w:spacing w:before="80" w:after="80"/>
      </w:pPr>
      <w:r>
        <w:t xml:space="preserve"/>
      </w:r>
    </w:p>
    <w:p>
      <w:pPr>
        <w:spacing w:before="100" w:after="100"/>
        <w:jc w:val="both"/>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At maturity, receives the pre-agreed quantity of KX. Accepts KX's directional price risk in exchange for yield.</w:t>
      </w:r>
    </w:p>
    <w:p>
      <w:pPr>
        <w:spacing w:before="80" w:after="80"/>
      </w:pPr>
      <w:r>
        <w:t xml:space="preserve"/>
      </w:r>
    </w:p>
    <w:p>
      <w:pPr>
        <w:spacing w:before="100" w:after="100"/>
        <w:jc w:val="both"/>
      </w:pPr>
      <w:r>
        <w:rPr>
          <w:rFonts w:ascii="Arial" w:cs="Arial" w:eastAsia="Arial" w:hAnsi="Arial"/>
          <w:b/>
          <w:bCs/>
          <w:sz w:val="22"/>
          <w:szCs w:val="22"/>
        </w:rPr>
        <w:t xml:space="preserve">The pre-agreed rate is fixed at inception. It cannot change. All price risk during the term is borne entirely by the Currency B Committer.</w:t>
      </w:r>
    </w:p>
    <w:p>
      <w:pPr>
        <w:spacing w:before="80" w:after="80"/>
      </w:pPr>
      <w:r>
        <w:t xml:space="preserve"/>
      </w:r>
    </w:p>
    <w:p>
      <w:pPr>
        <w:pStyle w:val="Heading3"/>
        <w:spacing w:before="200" w:after="100"/>
      </w:pPr>
      <w:r>
        <w:rPr>
          <w:rFonts w:ascii="Arial" w:cs="Arial" w:eastAsia="Arial" w:hAnsi="Arial"/>
          <w:b/>
          <w:bCs/>
          <w:sz w:val="22"/>
          <w:szCs w:val="22"/>
        </w:rPr>
        <w:t xml:space="preserve">Operating Modes</w:t>
      </w:r>
    </w:p>
    <w:p>
      <w:pPr>
        <w:spacing w:before="100" w:after="100"/>
        <w:jc w:val="both"/>
      </w:pPr>
      <w:r>
        <w:rPr>
          <w:rFonts w:ascii="Arial" w:cs="Arial" w:eastAsia="Arial" w:hAnsi="Arial"/>
          <w:b/>
          <w:bCs/>
          <w:sz w:val="22"/>
          <w:szCs w:val="22"/>
        </w:rPr>
        <w:t xml:space="preserve">Mode 1 — Pure Matching (preferred):</w:t>
      </w:r>
    </w:p>
    <w:p>
      <w:pPr>
        <w:spacing w:before="100" w:after="100"/>
        <w:jc w:val="both"/>
      </w:pPr>
      <w:r>
        <w:rPr>
          <w:rFonts w:ascii="Arial" w:cs="Arial" w:eastAsia="Arial" w:hAnsi="Arial"/>
          <w:sz w:val="22"/>
          <w:szCs w:val="22"/>
        </w:rPr>
        <w:t xml:space="preserve">Exchange Buyer submits intent with up to 5-day fulfillment window. HedgeKX broadcasts to Currency B Committer pool. Natural match found. HedgeKX earns facilitation fee. Takes zero directional risk.</w:t>
      </w:r>
    </w:p>
    <w:p>
      <w:pPr>
        <w:spacing w:before="80" w:after="80"/>
      </w:pPr>
      <w:r>
        <w:t xml:space="preserve"/>
      </w:r>
    </w:p>
    <w:p>
      <w:pPr>
        <w:spacing w:before="100" w:after="100"/>
        <w:jc w:val="both"/>
      </w:pPr>
      <w:r>
        <w:rPr>
          <w:rFonts w:ascii="Arial" w:cs="Arial" w:eastAsia="Arial" w:hAnsi="Arial"/>
          <w:b/>
          <w:bCs/>
          <w:sz w:val="22"/>
          <w:szCs w:val="22"/>
        </w:rPr>
        <w:t xml:space="preserve">Mode 2 — Temporary Market Making (bounded, exceptional):</w:t>
      </w:r>
    </w:p>
    <w:p>
      <w:pPr>
        <w:spacing w:before="100" w:after="100"/>
        <w:jc w:val="both"/>
      </w:pPr>
      <w:r>
        <w:rPr>
          <w:rFonts w:ascii="Arial" w:cs="Arial" w:eastAsia="Arial" w:hAnsi="Arial"/>
          <w:sz w:val="22"/>
          <w:szCs w:val="22"/>
        </w:rPr>
        <w:t xml:space="preserve">If no natural match available within the window, HedgeKX may temporarily take the other side from its own operating capital. Mode 2 is subject to hard protocol-enforced caps (see O.8).</w:t>
      </w:r>
    </w:p>
    <w:p>
      <w:pPr>
        <w:spacing w:before="80" w:after="80"/>
      </w:pPr>
      <w:r>
        <w:t xml:space="preserve"/>
      </w:r>
    </w:p>
    <w:p>
      <w:pPr>
        <w:pStyle w:val="Heading3"/>
        <w:spacing w:before="200" w:after="100"/>
      </w:pPr>
      <w:r>
        <w:rPr>
          <w:rFonts w:ascii="Arial" w:cs="Arial" w:eastAsia="Arial" w:hAnsi="Arial"/>
          <w:b/>
          <w:bCs/>
          <w:sz w:val="22"/>
          <w:szCs w:val="22"/>
        </w:rPr>
        <w:t xml:space="preserve">Instrument Duration and Governance Restriction</w:t>
      </w:r>
    </w:p>
    <w:p>
      <w:pPr>
        <w:spacing w:before="100" w:after="100"/>
        <w:jc w:val="both"/>
      </w:pPr>
      <w:r>
        <w:rPr>
          <w:rFonts w:ascii="Arial" w:cs="Arial" w:eastAsia="Arial" w:hAnsi="Arial"/>
          <w:sz w:val="22"/>
          <w:szCs w:val="22"/>
        </w:rPr>
        <w:t xml:space="preserve">At launch: overnight instruments only. Pricing 365 days of volatility for a new asset is irrational — premiums would be enormous and unattractive. One night's volatility is small, calculable, and rationally priceable.</w:t>
      </w:r>
    </w:p>
    <w:p>
      <w:pPr>
        <w:spacing w:before="80" w:after="80"/>
      </w:pPr>
      <w:r>
        <w:t xml:space="preserve"/>
      </w:r>
    </w:p>
    <w:p>
      <w:pPr>
        <w:spacing w:before="100" w:after="100"/>
        <w:jc w:val="both"/>
      </w:pPr>
      <w:r>
        <w:rPr>
          <w:rFonts w:ascii="Arial" w:cs="Arial" w:eastAsia="Arial" w:hAnsi="Arial"/>
          <w:sz w:val="22"/>
          <w:szCs w:val="22"/>
        </w:rPr>
        <w:t xml:space="preserve">Governance extends duration in stages when four conditions are simultaneously true for 30 consecutive days: volatility stability, minimum matched volume, minimum participant diversity, and zero settlement failures. The approximate sequence:</w:t>
      </w:r>
    </w:p>
    <w:p>
      <w:pPr>
        <w:pStyle w:val="ListParagraph"/>
        <w:numPr>
          <w:ilvl w:val="0"/>
          <w:numId w:val="2"/>
        </w:numPr>
        <w:spacing w:before="60" w:after="60"/>
      </w:pPr>
      <w:r>
        <w:rPr>
          <w:rFonts w:ascii="Arial" w:cs="Arial" w:eastAsia="Arial" w:hAnsi="Arial"/>
          <w:sz w:val="22"/>
          <w:szCs w:val="22"/>
        </w:rPr>
        <w:t xml:space="preserve">Launch: Overnight instruments only</w:t>
      </w:r>
    </w:p>
    <w:p>
      <w:pPr>
        <w:pStyle w:val="ListParagraph"/>
        <w:numPr>
          <w:ilvl w:val="0"/>
          <w:numId w:val="2"/>
        </w:numPr>
        <w:spacing w:before="60" w:after="60"/>
      </w:pPr>
      <w:r>
        <w:rPr>
          <w:rFonts w:ascii="Arial" w:cs="Arial" w:eastAsia="Arial" w:hAnsi="Arial"/>
          <w:sz w:val="22"/>
          <w:szCs w:val="22"/>
        </w:rPr>
        <w:t xml:space="preserve">Months later: 7-day instruments (when overnight market stable)</w:t>
      </w:r>
    </w:p>
    <w:p>
      <w:pPr>
        <w:pStyle w:val="ListParagraph"/>
        <w:numPr>
          <w:ilvl w:val="0"/>
          <w:numId w:val="2"/>
        </w:numPr>
        <w:spacing w:before="60" w:after="60"/>
      </w:pPr>
      <w:r>
        <w:rPr>
          <w:rFonts w:ascii="Arial" w:cs="Arial" w:eastAsia="Arial" w:hAnsi="Arial"/>
          <w:sz w:val="22"/>
          <w:szCs w:val="22"/>
        </w:rPr>
        <w:t xml:space="preserve">Later: 30-day, 90-day instruments</w:t>
      </w:r>
    </w:p>
    <w:p>
      <w:pPr>
        <w:pStyle w:val="ListParagraph"/>
        <w:numPr>
          <w:ilvl w:val="0"/>
          <w:numId w:val="2"/>
        </w:numPr>
        <w:spacing w:before="60" w:after="60"/>
      </w:pPr>
      <w:r>
        <w:rPr>
          <w:rFonts w:ascii="Arial" w:cs="Arial" w:eastAsia="Arial" w:hAnsi="Arial"/>
          <w:sz w:val="22"/>
          <w:szCs w:val="22"/>
        </w:rPr>
        <w:t xml:space="preserve">Eventually: Multi-year instruments for institutional use cases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O.7 Settlement Mechanics and Cross-Chain Considerations</w:t>
      </w:r>
    </w:p>
    <w:p>
      <w:pPr>
        <w:pStyle w:val="Heading3"/>
        <w:spacing w:before="200" w:after="100"/>
      </w:pPr>
      <w:r>
        <w:rPr>
          <w:rFonts w:ascii="Arial" w:cs="Arial" w:eastAsia="Arial" w:hAnsi="Arial"/>
          <w:b/>
          <w:bCs/>
          <w:sz w:val="22"/>
          <w:szCs w:val="22"/>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ChronX and a USDC transfer on Base. True mathematical atomicity across two independent systems is impossible. This is acknowledged explicitly.</w:t>
      </w:r>
    </w:p>
    <w:p>
      <w:pPr>
        <w:spacing w:before="80" w:after="80"/>
      </w:pPr>
      <w:r>
        <w:t xml:space="preserve"/>
      </w:r>
    </w:p>
    <w:p>
      <w:pPr>
        <w:pStyle w:val="Heading3"/>
        <w:spacing w:before="200" w:after="100"/>
      </w:pPr>
      <w:r>
        <w:rPr>
          <w:rFonts w:ascii="Arial" w:cs="Arial" w:eastAsia="Arial" w:hAnsi="Arial"/>
          <w:b/>
          <w:bCs/>
          <w:sz w:val="22"/>
          <w:szCs w:val="22"/>
        </w:rPr>
        <w:t xml:space="preserve">The Settlement Process</w:t>
      </w:r>
    </w:p>
    <w:p>
      <w:pPr>
        <w:pStyle w:val="ListParagraph"/>
        <w:numPr>
          <w:ilvl w:val="0"/>
          <w:numId w:val="3"/>
        </w:numPr>
        <w:spacing w:before="60" w:after="60"/>
      </w:pPr>
      <w:r>
        <w:rPr>
          <w:rFonts w:ascii="Arial" w:cs="Arial" w:eastAsia="Arial" w:hAnsi="Arial"/>
          <w:sz w:val="22"/>
          <w:szCs w:val="22"/>
        </w:rPr>
        <w:t xml:space="preserve">Exchange Buyer sends KX to HedgeKX's settlement escrow on ChronX. Confirmed to finality threshold.</w:t>
      </w:r>
    </w:p>
    <w:p>
      <w:pPr>
        <w:pStyle w:val="ListParagraph"/>
        <w:numPr>
          <w:ilvl w:val="0"/>
          <w:numId w:val="3"/>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3"/>
        </w:numPr>
        <w:spacing w:before="60" w:after="60"/>
      </w:pPr>
      <w:r>
        <w:rPr>
          <w:rFonts w:ascii="Arial" w:cs="Arial" w:eastAsia="Arial" w:hAnsi="Arial"/>
          <w:sz w:val="22"/>
          <w:szCs w:val="22"/>
        </w:rPr>
        <w:t xml:space="preserve">HedgeKX confirms both sides present and valid.</w:t>
      </w:r>
    </w:p>
    <w:p>
      <w:pPr>
        <w:pStyle w:val="ListParagraph"/>
        <w:numPr>
          <w:ilvl w:val="0"/>
          <w:numId w:val="3"/>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3"/>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confirmed transactions do not reorg. If either leg fails to arrive within the settlement window, smart contract timeout returns it to the sender automatically.</w:t>
      </w:r>
    </w:p>
    <w:p>
      <w:pPr>
        <w:spacing w:before="80" w:after="80"/>
      </w:pPr>
      <w:r>
        <w:t xml:space="preserve"/>
      </w:r>
    </w:p>
    <w:p>
      <w:pPr>
        <w:pStyle w:val="Heading3"/>
        <w:spacing w:before="200" w:after="100"/>
      </w:pPr>
      <w:r>
        <w:rPr>
          <w:rFonts w:ascii="Arial" w:cs="Arial" w:eastAsia="Arial" w:hAnsi="Arial"/>
          <w:b/>
          <w:bCs/>
          <w:sz w:val="22"/>
          <w:szCs w:val="22"/>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O.8 Protocol-Enforced Constraints on HedgeKX</w:t>
      </w:r>
    </w:p>
    <w:p>
      <w:pPr>
        <w:spacing w:before="100" w:after="100"/>
        <w:jc w:val="both"/>
      </w:pPr>
      <w:r>
        <w:rPr>
          <w:rFonts w:ascii="Arial" w:cs="Arial" w:eastAsia="Arial" w:hAnsi="Arial"/>
          <w:sz w:val="22"/>
          <w:szCs w:val="22"/>
        </w:rPr>
        <w:t xml:space="preserve">These are not policies HedgeKX follows. They are conditions the protocol enforces upon it:</w:t>
      </w:r>
    </w:p>
    <w:p>
      <w:pPr>
        <w:pStyle w:val="ListParagraph"/>
        <w:numPr>
          <w:ilvl w:val="0"/>
          <w:numId w:val="2"/>
        </w:numPr>
        <w:spacing w:before="60" w:after="60"/>
      </w:pPr>
      <w:r>
        <w:rPr>
          <w:rFonts w:ascii="Arial" w:cs="Arial" w:eastAsia="Arial" w:hAnsi="Arial"/>
          <w:sz w:val="22"/>
          <w:szCs w:val="22"/>
        </w:rPr>
        <w:t xml:space="preserve">h1KX cannot exceed verified mandate pool. Minting contract enforces this via Merkle proof verification.</w:t>
      </w:r>
    </w:p>
    <w:p>
      <w:pPr>
        <w:pStyle w:val="ListParagraph"/>
        <w:numPr>
          <w:ilvl w:val="0"/>
          <w:numId w:val="2"/>
        </w:numPr>
        <w:spacing w:before="60" w:after="60"/>
      </w:pPr>
      <w:r>
        <w:rPr>
          <w:rFonts w:ascii="Arial" w:cs="Arial" w:eastAsia="Arial" w:hAnsi="Arial"/>
          <w:sz w:val="22"/>
          <w:szCs w:val="22"/>
        </w:rPr>
        <w:t xml:space="preserve">h1KX burns within 24 hours. Smart contract balanceOf returns zero after 24 hours. Unstoppable.</w:t>
      </w:r>
    </w:p>
    <w:p>
      <w:pPr>
        <w:pStyle w:val="ListParagraph"/>
        <w:numPr>
          <w:ilvl w:val="0"/>
          <w:numId w:val="2"/>
        </w:numPr>
        <w:spacing w:before="60" w:after="60"/>
      </w:pPr>
      <w:r>
        <w:rPr>
          <w:rFonts w:ascii="Arial" w:cs="Arial" w:eastAsia="Arial" w:hAnsi="Arial"/>
          <w:sz w:val="22"/>
          <w:szCs w:val="22"/>
        </w:rPr>
        <w:t xml:space="preserve">h1KX cannot be transferred. Transfer function disabled at code level.</w:t>
      </w:r>
    </w:p>
    <w:p>
      <w:pPr>
        <w:pStyle w:val="ListParagraph"/>
        <w:numPr>
          <w:ilvl w:val="0"/>
          <w:numId w:val="2"/>
        </w:numPr>
        <w:spacing w:before="60" w:after="60"/>
      </w:pPr>
      <w:r>
        <w:rPr>
          <w:rFonts w:ascii="Arial" w:cs="Arial" w:eastAsia="Arial" w:hAnsi="Arial"/>
          <w:sz w:val="22"/>
          <w:szCs w:val="22"/>
        </w:rPr>
        <w:t xml:space="preserve">Locked KX cannot move. Native chain consensus enforces this. HedgeKX has no access.</w:t>
      </w:r>
    </w:p>
    <w:p>
      <w:pPr>
        <w:pStyle w:val="ListParagraph"/>
        <w:numPr>
          <w:ilvl w:val="0"/>
          <w:numId w:val="2"/>
        </w:numPr>
        <w:spacing w:before="60" w:after="60"/>
      </w:pPr>
      <w:r>
        <w:rPr>
          <w:rFonts w:ascii="Arial" w:cs="Arial" w:eastAsia="Arial" w:hAnsi="Arial"/>
          <w:sz w:val="22"/>
          <w:szCs w:val="22"/>
        </w:rPr>
        <w:t xml:space="preserve">Mode 2 position cap. Encoded in settlement contract. Cannot be exceeded regardless of demand.</w:t>
      </w:r>
    </w:p>
    <w:p>
      <w:pPr>
        <w:pStyle w:val="ListParagraph"/>
        <w:numPr>
          <w:ilvl w:val="0"/>
          <w:numId w:val="2"/>
        </w:numPr>
        <w:spacing w:before="60" w:after="60"/>
      </w:pPr>
      <w:r>
        <w:rPr>
          <w:rFonts w:ascii="Arial" w:cs="Arial" w:eastAsia="Arial" w:hAnsi="Arial"/>
          <w:sz w:val="22"/>
          <w:szCs w:val="22"/>
        </w:rPr>
        <w:t xml:space="preserve">Mode 2 72-hour suspension. If any Mode 2 position remains open more than 72 hours, contract automatically suspends all new Mode 2 activity.</w:t>
      </w:r>
    </w:p>
    <w:p>
      <w:pPr>
        <w:pStyle w:val="ListParagraph"/>
        <w:numPr>
          <w:ilvl w:val="0"/>
          <w:numId w:val="2"/>
        </w:numPr>
        <w:spacing w:before="60" w:after="60"/>
      </w:pPr>
      <w:r>
        <w:rPr>
          <w:rFonts w:ascii="Arial" w:cs="Arial" w:eastAsia="Arial" w:hAnsi="Arial"/>
          <w:sz w:val="22"/>
          <w:szCs w:val="22"/>
        </w:rPr>
        <w:t xml:space="preserve">HSM heartbeat halt. If heartbeat stops, new minting halts within 120 seconds.</w:t>
      </w:r>
    </w:p>
    <w:p>
      <w:pPr>
        <w:pStyle w:val="ListParagraph"/>
        <w:numPr>
          <w:ilvl w:val="0"/>
          <w:numId w:val="2"/>
        </w:numPr>
        <w:spacing w:before="60" w:after="60"/>
      </w:pPr>
      <w:r>
        <w:rPr>
          <w:rFonts w:ascii="Arial" w:cs="Arial" w:eastAsia="Arial" w:hAnsi="Arial"/>
          <w:sz w:val="22"/>
          <w:szCs w:val="22"/>
        </w:rPr>
        <w:t xml:space="preserve">Currency B Committer cannot exit early. Smart contract timelock on withdrawal function.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O.9 Governance-Restricted Instrument Duration — The Full Rationale</w:t>
      </w:r>
    </w:p>
    <w:p>
      <w:pPr>
        <w:spacing w:before="100" w:after="100"/>
        <w:jc w:val="both"/>
      </w:pPr>
      <w:r>
        <w:rPr>
          <w:rFonts w:ascii="Arial" w:cs="Arial" w:eastAsia="Arial" w:hAnsi="Arial"/>
          <w:sz w:val="22"/>
          <w:szCs w:val="22"/>
        </w:rPr>
        <w:t xml:space="preserve">The overnight-only restriction at launch is not a limitation — it is the honest recognition that rational markets require rational pricing inputs. Extension from overnight to 7-day instruments requires all four conditions simultaneously true for 30 consecutive days:</w:t>
      </w:r>
    </w:p>
    <w:p>
      <w:pPr>
        <w:pStyle w:val="ListParagraph"/>
        <w:numPr>
          <w:ilvl w:val="0"/>
          <w:numId w:val="2"/>
        </w:numPr>
        <w:spacing w:before="60" w:after="60"/>
      </w:pPr>
      <w:r>
        <w:rPr>
          <w:rFonts w:ascii="Arial" w:cs="Arial" w:eastAsia="Arial" w:hAnsi="Arial"/>
          <w:sz w:val="22"/>
          <w:szCs w:val="22"/>
        </w:rPr>
        <w:t xml:space="preserve">Realized volatility stability: 30-day rolling volatility within a governance-set band</w:t>
      </w:r>
    </w:p>
    <w:p>
      <w:pPr>
        <w:pStyle w:val="ListParagraph"/>
        <w:numPr>
          <w:ilvl w:val="0"/>
          <w:numId w:val="2"/>
        </w:numPr>
        <w:spacing w:before="60" w:after="60"/>
      </w:pPr>
      <w:r>
        <w:rPr>
          <w:rFonts w:ascii="Arial" w:cs="Arial" w:eastAsia="Arial" w:hAnsi="Arial"/>
          <w:sz w:val="22"/>
          <w:szCs w:val="22"/>
        </w:rPr>
        <w:t xml:space="preserve">Volume sufficiency: average daily matched notional above governance-set minimum</w:t>
      </w:r>
    </w:p>
    <w:p>
      <w:pPr>
        <w:pStyle w:val="ListParagraph"/>
        <w:numPr>
          <w:ilvl w:val="0"/>
          <w:numId w:val="2"/>
        </w:numPr>
        <w:spacing w:before="60" w:after="60"/>
      </w:pPr>
      <w:r>
        <w:rPr>
          <w:rFonts w:ascii="Arial" w:cs="Arial" w:eastAsia="Arial" w:hAnsi="Arial"/>
          <w:sz w:val="22"/>
          <w:szCs w:val="22"/>
        </w:rPr>
        <w:t xml:space="preserve">Participant diversity: unique Exchange Buyers and Currency B Committers above minimum</w:t>
      </w:r>
    </w:p>
    <w:p>
      <w:pPr>
        <w:pStyle w:val="ListParagraph"/>
        <w:numPr>
          <w:ilvl w:val="0"/>
          <w:numId w:val="2"/>
        </w:numPr>
        <w:spacing w:before="60" w:after="60"/>
      </w:pPr>
      <w:r>
        <w:rPr>
          <w:rFonts w:ascii="Arial" w:cs="Arial" w:eastAsia="Arial" w:hAnsi="Arial"/>
          <w:sz w:val="22"/>
          <w:szCs w:val="22"/>
        </w:rPr>
        <w:t xml:space="preserve">Settlement reliability: zero or near-zero timeout recovery events during the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for 30 days is prohibitively expensive and publicly visible on-chain.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O.10 The Currency B Committer's Complete Risk Profile</w:t>
      </w:r>
    </w:p>
    <w:p>
      <w:pPr>
        <w:pStyle w:val="Heading3"/>
        <w:spacing w:before="200" w:after="100"/>
      </w:pPr>
      <w:r>
        <w:rPr>
          <w:rFonts w:ascii="Arial" w:cs="Arial" w:eastAsia="Arial" w:hAnsi="Arial"/>
          <w:b/>
          <w:bCs/>
          <w:sz w:val="22"/>
          <w:szCs w:val="22"/>
        </w:rPr>
        <w:t xml:space="preserve">What You Are Doing</w:t>
      </w:r>
    </w:p>
    <w:p>
      <w:pPr>
        <w:spacing w:before="100" w:after="100"/>
        <w:jc w:val="both"/>
      </w:pPr>
      <w:r>
        <w:rPr>
          <w:rFonts w:ascii="Arial" w:cs="Arial" w:eastAsia="Arial" w:hAnsi="Arial"/>
          <w:sz w:val="22"/>
          <w:szCs w:val="22"/>
        </w:rPr>
        <w:t xml:space="preserve">You commit USDC into a smart contract escrow for a defined period. You cannot exit early. At the end of the term, you receive a pre-agreed quantity of KX. You are accepting KX's directional price risk for the duration of your commitment. The yield earned is your compensation for this risk.</w:t>
      </w:r>
    </w:p>
    <w:p>
      <w:pPr>
        <w:spacing w:before="80" w:after="80"/>
      </w:pPr>
      <w:r>
        <w:t xml:space="preserve"/>
      </w:r>
    </w:p>
    <w:p>
      <w:pPr>
        <w:pStyle w:val="Heading3"/>
        <w:spacing w:before="200" w:after="100"/>
      </w:pPr>
      <w:r>
        <w:rPr>
          <w:rFonts w:ascii="Arial" w:cs="Arial" w:eastAsia="Arial" w:hAnsi="Arial"/>
          <w:b/>
          <w:bCs/>
          <w:sz w:val="22"/>
          <w:szCs w:val="22"/>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you receive KX worth less than the USDC you committed. At overnight durations this risk is small. At longer durations it grows. The yield premium reflects the price risk accepted. This is not a protocol failure — this is the instrument working as designed.</w:t>
      </w:r>
    </w:p>
    <w:p>
      <w:pPr>
        <w:spacing w:before="80" w:after="80"/>
      </w:pPr>
      <w:r>
        <w:t xml:space="preserve"/>
      </w:r>
    </w:p>
    <w:p>
      <w:pPr>
        <w:pStyle w:val="Heading3"/>
        <w:spacing w:before="200" w:after="100"/>
      </w:pPr>
      <w:r>
        <w:rPr>
          <w:rFonts w:ascii="Arial" w:cs="Arial" w:eastAsia="Arial" w:hAnsi="Arial"/>
          <w:b/>
          <w:bCs/>
          <w:sz w:val="22"/>
          <w:szCs w:val="22"/>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or no activity, yield is zero for that period. Your USDC remains locked. Yield is variable. No minimum is promised.</w:t>
      </w:r>
    </w:p>
    <w:p>
      <w:pPr>
        <w:spacing w:before="80" w:after="80"/>
      </w:pPr>
      <w:r>
        <w:t xml:space="preserve"/>
      </w:r>
    </w:p>
    <w:p>
      <w:pPr>
        <w:pStyle w:val="Heading3"/>
        <w:spacing w:before="200" w:after="100"/>
      </w:pPr>
      <w:r>
        <w:rPr>
          <w:rFonts w:ascii="Arial" w:cs="Arial" w:eastAsia="Arial" w:hAnsi="Arial"/>
          <w:b/>
          <w:bCs/>
          <w:sz w:val="22"/>
          <w:szCs w:val="22"/>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spacing w:before="80" w:after="80"/>
      </w:pPr>
      <w:r>
        <w:t xml:space="preserve"/>
      </w:r>
    </w:p>
    <w:p>
      <w:pPr>
        <w:pStyle w:val="Heading3"/>
        <w:spacing w:before="200" w:after="100"/>
      </w:pPr>
      <w:r>
        <w:rPr>
          <w:rFonts w:ascii="Arial" w:cs="Arial" w:eastAsia="Arial" w:hAnsi="Arial"/>
          <w:b/>
          <w:bCs/>
          <w:sz w:val="22"/>
          <w:szCs w:val="22"/>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Mitigated by public audits, open-source publication, and conservative initial deployment.</w:t>
      </w:r>
    </w:p>
    <w:p>
      <w:pPr>
        <w:spacing w:before="80" w:after="80"/>
      </w:pPr>
      <w:r>
        <w:t xml:space="preserve"/>
      </w:r>
    </w:p>
    <w:p>
      <w:pPr>
        <w:pStyle w:val="Heading3"/>
        <w:spacing w:before="200" w:after="100"/>
      </w:pPr>
      <w:r>
        <w:rPr>
          <w:rFonts w:ascii="Arial" w:cs="Arial" w:eastAsia="Arial" w:hAnsi="Arial"/>
          <w:b/>
          <w:bCs/>
          <w:sz w:val="22"/>
          <w:szCs w:val="22"/>
        </w:rPr>
        <w:t xml:space="preserve">Risk 5 — Base Network Risk</w:t>
      </w:r>
    </w:p>
    <w:p>
      <w:pPr>
        <w:spacing w:before="100" w:after="100"/>
        <w:jc w:val="both"/>
      </w:pPr>
      <w:r>
        <w:rPr>
          <w:rFonts w:ascii="Arial" w:cs="Arial" w:eastAsia="Arial" w:hAnsi="Arial"/>
          <w:sz w:val="22"/>
          <w:szCs w:val="22"/>
        </w:rPr>
        <w:t xml:space="preserve">Base outage delays settlement; USDC is not lost. A hostile Base governance change could theoretically alter contract behavior. These are inherited risks of using any external network.</w:t>
      </w:r>
    </w:p>
    <w:p>
      <w:pPr>
        <w:spacing w:before="80" w:after="80"/>
      </w:pPr>
      <w:r>
        <w:t xml:space="preserve"/>
      </w:r>
    </w:p>
    <w:p>
      <w:pPr>
        <w:pStyle w:val="Heading3"/>
        <w:spacing w:before="200" w:after="100"/>
      </w:pPr>
      <w:r>
        <w:rPr>
          <w:rFonts w:ascii="Arial" w:cs="Arial" w:eastAsia="Arial" w:hAnsi="Arial"/>
          <w:b/>
          <w:bCs/>
          <w:sz w:val="22"/>
          <w:szCs w:val="22"/>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Legal risk beyond the protocol's control.</w:t>
      </w:r>
    </w:p>
    <w:p>
      <w:pPr>
        <w:spacing w:before="80" w:after="80"/>
      </w:pPr>
      <w:r>
        <w:t xml:space="preserve"/>
      </w:r>
    </w:p>
    <w:p>
      <w:pPr>
        <w:pStyle w:val="Heading3"/>
        <w:spacing w:before="200" w:after="100"/>
      </w:pPr>
      <w:r>
        <w:rPr>
          <w:rFonts w:ascii="Arial" w:cs="Arial" w:eastAsia="Arial" w:hAnsi="Arial"/>
          <w:b/>
          <w:bCs/>
          <w:sz w:val="22"/>
          <w:szCs w:val="22"/>
        </w:rPr>
        <w:t xml:space="preserve">What Cannot Happen to You</w:t>
      </w:r>
    </w:p>
    <w:p>
      <w:pPr>
        <w:pStyle w:val="ListParagraph"/>
        <w:numPr>
          <w:ilvl w:val="0"/>
          <w:numId w:val="2"/>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2"/>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2"/>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2"/>
        </w:numPr>
        <w:spacing w:before="60" w:after="60"/>
      </w:pPr>
      <w:r>
        <w:rPr>
          <w:rFonts w:ascii="Arial" w:cs="Arial" w:eastAsia="Arial" w:hAnsi="Arial"/>
          <w:sz w:val="22"/>
          <w:szCs w:val="22"/>
        </w:rPr>
        <w:t xml:space="preserve">You cannot receive less KX than the pre-agreed rate specifies.</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O.11 The TYPE_Y Lock Holder's Complete Risk Profile</w:t>
      </w:r>
    </w:p>
    <w:p>
      <w:pPr>
        <w:pStyle w:val="Heading3"/>
        <w:spacing w:before="200" w:after="100"/>
      </w:pPr>
      <w:r>
        <w:rPr>
          <w:rFonts w:ascii="Arial" w:cs="Arial" w:eastAsia="Arial" w:hAnsi="Arial"/>
          <w:b/>
          <w:bCs/>
          <w:sz w:val="22"/>
          <w:szCs w:val="22"/>
        </w:rPr>
        <w:t xml:space="preserve">The Principal Guarantee — What 'Absolute' Means</w:t>
      </w:r>
    </w:p>
    <w:p>
      <w:pPr>
        <w:pBdr>
          <w:left w:val="single" w:color="2E75B6" w:sz="8"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underlying hash functions, and a community-consensus hard fork that deliberately rewrites lock logic. These are base-layer security assumptions of any blockchain system.</w:t>
      </w:r>
    </w:p>
    <w:p>
      <w:pPr>
        <w:spacing w:before="80" w:after="80"/>
      </w:pPr>
      <w:r>
        <w:t xml:space="preserve"/>
      </w:r>
    </w:p>
    <w:p>
      <w:pPr>
        <w:pStyle w:val="Heading3"/>
        <w:spacing w:before="200" w:after="100"/>
      </w:pPr>
      <w:r>
        <w:rPr>
          <w:rFonts w:ascii="Arial" w:cs="Arial" w:eastAsia="Arial" w:hAnsi="Arial"/>
          <w:b/>
          <w:bCs/>
          <w:sz w:val="22"/>
          <w:szCs w:val="22"/>
        </w:rPr>
        <w:t xml:space="preserve">What Yield Variability Means</w:t>
      </w:r>
    </w:p>
    <w:p>
      <w:pPr>
        <w:spacing w:before="100" w:after="100"/>
        <w:jc w:val="both"/>
      </w:pPr>
      <w:r>
        <w:rPr>
          <w:rFonts w:ascii="Arial" w:cs="Arial" w:eastAsia="Arial" w:hAnsi="Arial"/>
          <w:sz w:val="22"/>
          <w:szCs w:val="22"/>
        </w:rPr>
        <w:t xml:space="preserve">Days with zero yield, periods of low yield, the yield rate changing over time — all are normal and expected. None of these affect principal.</w:t>
      </w:r>
    </w:p>
    <w:p>
      <w:pPr>
        <w:spacing w:before="80" w:after="80"/>
      </w:pPr>
      <w:r>
        <w:t xml:space="preserve"/>
      </w:r>
    </w:p>
    <w:p>
      <w:pPr>
        <w:pStyle w:val="Heading3"/>
        <w:spacing w:before="200" w:after="100"/>
      </w:pPr>
      <w:r>
        <w:rPr>
          <w:rFonts w:ascii="Arial" w:cs="Arial" w:eastAsia="Arial" w:hAnsi="Arial"/>
          <w:b/>
          <w:bCs/>
          <w:sz w:val="22"/>
          <w:szCs w:val="22"/>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O.12 Named Attack Vectors and Their Status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4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Attack</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54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minting by compromised Facilitator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Minting contract verifies Merkle proofs. HedgeKX cannot mint without verified backing. h1KX non-transferable, expires in 24h.</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State root manipulation for false mints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Mitigated → 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Multi-relayer interim; ZK light client target. Forging valid proof requires breaking hash functions.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Settlement timing exploitation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Residual, bounded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legs held in escrow before either releases. Finality threshold prevents premature release. Bounded to one settlement.</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passive expiry bypass</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balanceOf returns zero after 24h regardless of stored state. No code path allows expired h1KX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Coordinated mandate withdrawal mid-settlement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viable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Active h1KX authorized at mandate grant time. Withdrawal reduces future capacity only.</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Mode 2 exhaustion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Bounded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Hard cap limits total exposure. 72h suspension prevents accumulation. Max loss bounded and known in advance.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HSM theft / hardware compromise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120-second window, then halted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Heartbeat halt stops new minting within 120s. Any unauthorized h1KX burns in 24h, non-transferable, no value to attacker.</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External chain governance attack</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Contained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non-transferable, never held externally. TYPE_Y principals on ChronX unaffected.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attack via Mode 2 signaling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prevent, can survive</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 functions correctly within caps. Transparency allows participants to verify true state on-chain.</w:t>
            </w:r>
          </w:p>
        </w:tc>
      </w:tr>
      <w:tr>
        <w:tc>
          <w:tcPr>
            <w:tcW w:type="dxa" w:w="22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Phantom liquidity / signaling</w:t>
            </w:r>
          </w:p>
        </w:tc>
        <w:tc>
          <w:tcPr>
            <w:tcW w:type="dxa" w:w="18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w:t>
            </w:r>
          </w:p>
        </w:tc>
        <w:tc>
          <w:tcPr>
            <w:tcW w:type="dxa" w:w="54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h1KX internal, non-transferable, invisible externally. Any false claims immediately falsifiable by DAG query.</w:t>
            </w:r>
          </w:p>
        </w:tc>
      </w:tr>
    </w:tbl>
    <w:p>
      <w:pPr>
        <w:spacing w:before="80" w:after="80"/>
      </w:pPr>
      <w:r>
        <w:t xml:space="preserve"/>
      </w:r>
    </w:p>
    <w:p>
      <w:pPr>
        <w:pStyle w:val="Heading2"/>
        <w:spacing w:before="320" w:after="160"/>
      </w:pPr>
      <w:r>
        <w:rPr>
          <w:rFonts w:ascii="Arial" w:cs="Arial" w:eastAsia="Arial" w:hAnsi="Arial"/>
          <w:b/>
          <w:bCs/>
          <w:color w:val="2E75B6"/>
          <w:sz w:val="26"/>
          <w:szCs w:val="26"/>
        </w:rPr>
        <w:t xml:space="preserve">O.13 Market Failure Scenarios — Why Some Failures Are Not Failures</w:t>
      </w:r>
    </w:p>
    <w:p>
      <w:pPr>
        <w:pStyle w:val="Heading3"/>
        <w:spacing w:before="200" w:after="100"/>
      </w:pPr>
      <w:r>
        <w:rPr>
          <w:rFonts w:ascii="Arial" w:cs="Arial" w:eastAsia="Arial" w:hAnsi="Arial"/>
          <w:b/>
          <w:bCs/>
          <w:sz w:val="22"/>
          <w:szCs w:val="22"/>
        </w:rPr>
        <w:t xml:space="preserve">Scenario 1 — Currency B Committers Disappear</w:t>
      </w:r>
    </w:p>
    <w:p>
      <w:pPr>
        <w:spacing w:before="100" w:after="100"/>
        <w:jc w:val="both"/>
      </w:pPr>
      <w:r>
        <w:rPr>
          <w:rFonts w:ascii="Arial" w:cs="Arial" w:eastAsia="Arial" w:hAnsi="Arial"/>
          <w:sz w:val="22"/>
          <w:szCs w:val="22"/>
        </w:rPr>
        <w:t xml:space="preserve">A global stress event causes capital to flee risk assets. Currency B Committers do not renew. Existing contracts settle normally at maturity. Mode 2 activates briefly, hits cap, suspends. New matching halts. Yield drops to zero. HedgeKX enters dormancy. No principal is lost. No contract is violated. The market has temporarily paused — exactly as any financial market can pause during stress. When conditions improve, the market resumes. The overnight governance restriction makes this scenario far more recoverable than longer-duration instruments would be.</w:t>
      </w:r>
    </w:p>
    <w:p>
      <w:pPr>
        <w:spacing w:before="80" w:after="80"/>
      </w:pPr>
      <w:r>
        <w:t xml:space="preserve"/>
      </w:r>
    </w:p>
    <w:p>
      <w:pPr>
        <w:pStyle w:val="Heading3"/>
        <w:spacing w:before="200" w:after="100"/>
      </w:pPr>
      <w:r>
        <w:rPr>
          <w:rFonts w:ascii="Arial" w:cs="Arial" w:eastAsia="Arial" w:hAnsi="Arial"/>
          <w:b/>
          <w:bCs/>
          <w:sz w:val="22"/>
          <w:szCs w:val="22"/>
        </w:rPr>
        <w:t xml:space="preserve">Scenario 2 — HedgeKX Becomes Insolvent</w:t>
      </w:r>
    </w:p>
    <w:p>
      <w:pPr>
        <w:spacing w:before="100" w:after="100"/>
        <w:jc w:val="both"/>
      </w:pPr>
      <w:r>
        <w:rPr>
          <w:rFonts w:ascii="Arial" w:cs="Arial" w:eastAsia="Arial" w:hAnsi="Arial"/>
          <w:sz w:val="22"/>
          <w:szCs w:val="22"/>
        </w:rPr>
        <w:t xml:space="preserve">Mode 2 losses deplete HedgeKX's operating capital. Mode 2 suspends at minimum capital floor. All existing contracts settle automatically via smart contract logic. New matching requires a Successor Facilitator elected by governance. Insolvency affects HedgeKX's own capital only. No participant loses principal.</w:t>
      </w:r>
    </w:p>
    <w:p>
      <w:pPr>
        <w:spacing w:before="80" w:after="80"/>
      </w:pPr>
      <w:r>
        <w:t xml:space="preserve"/>
      </w:r>
    </w:p>
    <w:p>
      <w:pPr>
        <w:pStyle w:val="Heading3"/>
        <w:spacing w:before="200" w:after="100"/>
      </w:pPr>
      <w:r>
        <w:rPr>
          <w:rFonts w:ascii="Arial" w:cs="Arial" w:eastAsia="Arial" w:hAnsi="Arial"/>
          <w:b/>
          <w:bCs/>
          <w:sz w:val="22"/>
          <w:szCs w:val="22"/>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Stress causes Currency B Committers to flee. Existing 90-day contracts run to maturity and settle normally. New 90-day matching stops. Exchange Buyers who needed 90-day hedges pay higher premiums to entice Committers back, or revert to shorter instruments. When risk increases, the price of risk management increases. The protocol does not guarantee any particular instrument duration will always be available. It guarantees all existing contracts will settle as agreed.</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O.14 Multi-Currency Extension Architecture</w:t>
      </w:r>
    </w:p>
    <w:p>
      <w:pPr>
        <w:spacing w:before="100" w:after="100"/>
        <w:jc w:val="both"/>
      </w:pPr>
      <w:r>
        <w:rPr>
          <w:rFonts w:ascii="Arial" w:cs="Arial" w:eastAsia="Arial" w:hAnsi="Arial"/>
          <w:sz w:val="22"/>
          <w:szCs w:val="22"/>
        </w:rPr>
        <w:t xml:space="preserve">The h-family is designed for extensibility across 100 years. When governance approves a new pair (e.g. h2KX for BTC):</w:t>
      </w:r>
    </w:p>
    <w:p>
      <w:pPr>
        <w:pStyle w:val="ListParagraph"/>
        <w:numPr>
          <w:ilvl w:val="0"/>
          <w:numId w:val="2"/>
        </w:numPr>
        <w:spacing w:before="60" w:after="60"/>
      </w:pPr>
      <w:r>
        <w:rPr>
          <w:rFonts w:ascii="Arial" w:cs="Arial" w:eastAsia="Arial" w:hAnsi="Arial"/>
          <w:sz w:val="22"/>
          <w:szCs w:val="22"/>
        </w:rPr>
        <w:t xml:space="preserve">New contract deployed on the relevant external chain — identical properties to h1KX</w:t>
      </w:r>
    </w:p>
    <w:p>
      <w:pPr>
        <w:pStyle w:val="ListParagraph"/>
        <w:numPr>
          <w:ilvl w:val="0"/>
          <w:numId w:val="2"/>
        </w:numPr>
        <w:spacing w:before="60" w:after="60"/>
      </w:pPr>
      <w:r>
        <w:rPr>
          <w:rFonts w:ascii="Arial" w:cs="Arial" w:eastAsia="Arial" w:hAnsi="Arial"/>
          <w:sz w:val="22"/>
          <w:szCs w:val="22"/>
        </w:rPr>
        <w:t xml:space="preserve">New state root relay infrastructure for that chain's finality model</w:t>
      </w:r>
    </w:p>
    <w:p>
      <w:pPr>
        <w:pStyle w:val="ListParagraph"/>
        <w:numPr>
          <w:ilvl w:val="0"/>
          <w:numId w:val="2"/>
        </w:numPr>
        <w:spacing w:before="60" w:after="60"/>
      </w:pPr>
      <w:r>
        <w:rPr>
          <w:rFonts w:ascii="Arial" w:cs="Arial" w:eastAsia="Arial" w:hAnsi="Arial"/>
          <w:sz w:val="22"/>
          <w:szCs w:val="22"/>
        </w:rPr>
        <w:t xml:space="preserve">TYPE_Y mandate pool automatically routes capacity to the new pair — no lock holder action required</w:t>
      </w:r>
    </w:p>
    <w:p>
      <w:pPr>
        <w:pStyle w:val="ListParagraph"/>
        <w:numPr>
          <w:ilvl w:val="0"/>
          <w:numId w:val="2"/>
        </w:numPr>
        <w:spacing w:before="60" w:after="60"/>
      </w:pPr>
      <w:r>
        <w:rPr>
          <w:rFonts w:ascii="Arial" w:cs="Arial" w:eastAsia="Arial" w:hAnsi="Arial"/>
          <w:sz w:val="22"/>
          <w:szCs w:val="22"/>
        </w:rPr>
        <w:t xml:space="preserve">New pair launches with overnight-only restriction and its own governance parameters</w:t>
      </w:r>
    </w:p>
    <w:p>
      <w:pPr>
        <w:pStyle w:val="ListParagraph"/>
        <w:numPr>
          <w:ilvl w:val="0"/>
          <w:numId w:val="2"/>
        </w:numPr>
        <w:spacing w:before="60" w:after="60"/>
      </w:pPr>
      <w:r>
        <w:rPr>
          <w:rFonts w:ascii="Arial" w:cs="Arial" w:eastAsia="Arial" w:hAnsi="Arial"/>
          <w:sz w:val="22"/>
          <w:szCs w:val="22"/>
        </w:rPr>
        <w:t xml:space="preserve">h1KX operations completely unaffected by h2KX deployment</w:t>
      </w:r>
    </w:p>
    <w:p>
      <w:pPr>
        <w:spacing w:before="80" w:after="80"/>
      </w:pPr>
      <w:r>
        <w:t xml:space="preserve"/>
      </w:r>
    </w:p>
    <w:p>
      <w:pPr>
        <w:spacing w:before="100" w:after="100"/>
        <w:jc w:val="both"/>
      </w:pPr>
      <w:r>
        <w:rPr>
          <w:rFonts w:ascii="Arial" w:cs="Arial" w:eastAsia="Arial" w:hAnsi="Arial"/>
          <w:b/>
          <w:bCs/>
          <w:sz w:val="22"/>
          <w:szCs w:val="22"/>
        </w:rPr>
        <w:t xml:space="preserve">What never changes with each new pair:</w:t>
      </w:r>
    </w:p>
    <w:p>
      <w:pPr>
        <w:pStyle w:val="ListParagraph"/>
        <w:numPr>
          <w:ilvl w:val="0"/>
          <w:numId w:val="2"/>
        </w:numPr>
        <w:spacing w:before="60" w:after="60"/>
      </w:pPr>
      <w:r>
        <w:rPr>
          <w:rFonts w:ascii="Arial" w:cs="Arial" w:eastAsia="Arial" w:hAnsi="Arial"/>
          <w:sz w:val="22"/>
          <w:szCs w:val="22"/>
        </w:rPr>
        <w:t xml:space="preserve">The TYPE_Y lock architecture on ChronX</w:t>
      </w:r>
    </w:p>
    <w:p>
      <w:pPr>
        <w:pStyle w:val="ListParagraph"/>
        <w:numPr>
          <w:ilvl w:val="0"/>
          <w:numId w:val="2"/>
        </w:numPr>
        <w:spacing w:before="60" w:after="60"/>
      </w:pPr>
      <w:r>
        <w:rPr>
          <w:rFonts w:ascii="Arial" w:cs="Arial" w:eastAsia="Arial" w:hAnsi="Arial"/>
          <w:sz w:val="22"/>
          <w:szCs w:val="22"/>
        </w:rPr>
        <w:t xml:space="preserve">The mandate pool (simply becomes available to more pairs)</w:t>
      </w:r>
    </w:p>
    <w:p>
      <w:pPr>
        <w:pStyle w:val="ListParagraph"/>
        <w:numPr>
          <w:ilvl w:val="0"/>
          <w:numId w:val="2"/>
        </w:numPr>
        <w:spacing w:before="60" w:after="60"/>
      </w:pPr>
      <w:r>
        <w:rPr>
          <w:rFonts w:ascii="Arial" w:cs="Arial" w:eastAsia="Arial" w:hAnsi="Arial"/>
          <w:sz w:val="22"/>
          <w:szCs w:val="22"/>
        </w:rPr>
        <w:t xml:space="preserve">The h1KX contract and all h1KX operations</w:t>
      </w:r>
    </w:p>
    <w:p>
      <w:pPr>
        <w:pStyle w:val="ListParagraph"/>
        <w:numPr>
          <w:ilvl w:val="0"/>
          <w:numId w:val="2"/>
        </w:numPr>
        <w:spacing w:before="60" w:after="60"/>
      </w:pPr>
      <w:r>
        <w:rPr>
          <w:rFonts w:ascii="Arial" w:cs="Arial" w:eastAsia="Arial" w:hAnsi="Arial"/>
          <w:sz w:val="22"/>
          <w:szCs w:val="22"/>
        </w:rPr>
        <w:t xml:space="preserve">Any existing forward exchange contract</w:t>
      </w:r>
    </w:p>
    <w:p>
      <w:pPr>
        <w:pStyle w:val="ListParagraph"/>
        <w:numPr>
          <w:ilvl w:val="0"/>
          <w:numId w:val="2"/>
        </w:numPr>
        <w:spacing w:before="60" w:after="60"/>
      </w:pPr>
      <w:r>
        <w:rPr>
          <w:rFonts w:ascii="Arial" w:cs="Arial" w:eastAsia="Arial" w:hAnsi="Arial"/>
          <w:sz w:val="22"/>
          <w:szCs w:val="22"/>
        </w:rPr>
        <w:t xml:space="preserve">Any TYPE_Y lock holder's principal or yield rights</w:t>
      </w:r>
    </w:p>
    <w:p>
      <w:pPr>
        <w:pStyle w:val="ListParagraph"/>
        <w:numPr>
          <w:ilvl w:val="0"/>
          <w:numId w:val="2"/>
        </w:numPr>
        <w:spacing w:before="60" w:after="60"/>
      </w:pPr>
      <w:r>
        <w:rPr>
          <w:rFonts w:ascii="Arial" w:cs="Arial" w:eastAsia="Arial" w:hAnsi="Arial"/>
          <w:sz w:val="22"/>
          <w:szCs w:val="22"/>
        </w:rPr>
        <w:t xml:space="preserve">The 8,270,000,000 KX fixed supply</w:t>
      </w:r>
    </w:p>
    <w:p>
      <w:pPr>
        <w:spacing w:before="80" w:after="80"/>
      </w:pPr>
      <w:r>
        <w:t xml:space="preserve"/>
      </w:r>
    </w:p>
    <w:p>
      <w:pPr>
        <w:pStyle w:val="Heading2"/>
        <w:spacing w:before="320" w:after="160"/>
      </w:pPr>
      <w:r>
        <w:rPr>
          <w:rFonts w:ascii="Arial" w:cs="Arial" w:eastAsia="Arial" w:hAnsi="Arial"/>
          <w:b/>
          <w:bCs/>
          <w:color w:val="2E75B6"/>
          <w:sz w:val="26"/>
          <w:szCs w:val="26"/>
        </w:rPr>
        <w:t xml:space="preserve">O.15 For USDC Holders: Is This Worth Participating In?</w:t>
      </w:r>
    </w:p>
    <w:p>
      <w:pPr>
        <w:pStyle w:val="Heading3"/>
        <w:spacing w:before="200" w:after="100"/>
      </w:pPr>
      <w:r>
        <w:rPr>
          <w:rFonts w:ascii="Arial" w:cs="Arial" w:eastAsia="Arial" w:hAnsi="Arial"/>
          <w:b/>
          <w:bCs/>
          <w:sz w:val="22"/>
          <w:szCs w:val="22"/>
        </w:rPr>
        <w:t xml:space="preserve">What Can Cause You to Lose Money Beyond KX Price Risk</w:t>
      </w:r>
    </w:p>
    <w:p>
      <w:pPr>
        <w:pStyle w:val="ListParagraph"/>
        <w:numPr>
          <w:ilvl w:val="0"/>
          <w:numId w:val="2"/>
        </w:numPr>
        <w:spacing w:before="60" w:after="60"/>
      </w:pPr>
      <w:r>
        <w:rPr>
          <w:rFonts w:ascii="Arial" w:cs="Arial" w:eastAsia="Arial" w:hAnsi="Arial"/>
          <w:sz w:val="22"/>
          <w:szCs w:val="22"/>
        </w:rPr>
        <w:t xml:space="preserve">Smart contract bug in the Base escrow contract. Mitigated by public audits, bug bounties, conservative deployment.</w:t>
      </w:r>
    </w:p>
    <w:p>
      <w:pPr>
        <w:pStyle w:val="ListParagraph"/>
        <w:numPr>
          <w:ilvl w:val="0"/>
          <w:numId w:val="2"/>
        </w:numPr>
        <w:spacing w:before="60" w:after="60"/>
      </w:pPr>
      <w:r>
        <w:rPr>
          <w:rFonts w:ascii="Arial" w:cs="Arial" w:eastAsia="Arial" w:hAnsi="Arial"/>
          <w:sz w:val="22"/>
          <w:szCs w:val="22"/>
        </w:rPr>
        <w:t xml:space="preserve">Base network failure — settlement delayed, USDC not lost.</w:t>
      </w:r>
    </w:p>
    <w:p>
      <w:pPr>
        <w:pStyle w:val="ListParagraph"/>
        <w:numPr>
          <w:ilvl w:val="0"/>
          <w:numId w:val="2"/>
        </w:numPr>
        <w:spacing w:before="60" w:after="60"/>
      </w:pPr>
      <w:r>
        <w:rPr>
          <w:rFonts w:ascii="Arial" w:cs="Arial" w:eastAsia="Arial" w:hAnsi="Arial"/>
          <w:sz w:val="22"/>
          <w:szCs w:val="22"/>
        </w:rPr>
        <w:t xml:space="preserve">Settlement coordination failure in extreme edge case — timeout recovery returns funds automatically.</w:t>
      </w:r>
    </w:p>
    <w:p>
      <w:pPr>
        <w:pStyle w:val="ListParagraph"/>
        <w:numPr>
          <w:ilvl w:val="0"/>
          <w:numId w:val="2"/>
        </w:numPr>
        <w:spacing w:before="60" w:after="60"/>
      </w:pPr>
      <w:r>
        <w:rPr>
          <w:rFonts w:ascii="Arial" w:cs="Arial" w:eastAsia="Arial" w:hAnsi="Arial"/>
          <w:sz w:val="22"/>
          <w:szCs w:val="22"/>
        </w:rPr>
        <w:t xml:space="preserve">Regulatory action in your jurisdiction.</w:t>
      </w:r>
    </w:p>
    <w:p>
      <w:pPr>
        <w:spacing w:before="80" w:after="80"/>
      </w:pPr>
      <w:r>
        <w:t xml:space="preserve"/>
      </w:r>
    </w:p>
    <w:p>
      <w:pPr>
        <w:pStyle w:val="Heading3"/>
        <w:spacing w:before="200" w:after="100"/>
      </w:pPr>
      <w:r>
        <w:rPr>
          <w:rFonts w:ascii="Arial" w:cs="Arial" w:eastAsia="Arial" w:hAnsi="Arial"/>
          <w:b/>
          <w:bCs/>
          <w:sz w:val="22"/>
          <w:szCs w:val="22"/>
        </w:rPr>
        <w:t xml:space="preserve">What Cannot Cause You to Lose Money</w:t>
      </w:r>
    </w:p>
    <w:p>
      <w:pPr>
        <w:pStyle w:val="ListParagraph"/>
        <w:numPr>
          <w:ilvl w:val="0"/>
          <w:numId w:val="2"/>
        </w:numPr>
        <w:spacing w:before="60" w:after="60"/>
      </w:pPr>
      <w:r>
        <w:rPr>
          <w:rFonts w:ascii="Arial" w:cs="Arial" w:eastAsia="Arial" w:hAnsi="Arial"/>
          <w:sz w:val="22"/>
          <w:szCs w:val="22"/>
        </w:rPr>
        <w:t xml:space="preserve">HedgeKX insolvency — your escrow is a separate contract HedgeKX cannot access.</w:t>
      </w:r>
    </w:p>
    <w:p>
      <w:pPr>
        <w:pStyle w:val="ListParagraph"/>
        <w:numPr>
          <w:ilvl w:val="0"/>
          <w:numId w:val="2"/>
        </w:numPr>
        <w:spacing w:before="60" w:after="60"/>
      </w:pPr>
      <w:r>
        <w:rPr>
          <w:rFonts w:ascii="Arial" w:cs="Arial" w:eastAsia="Arial" w:hAnsi="Arial"/>
          <w:sz w:val="22"/>
          <w:szCs w:val="22"/>
        </w:rPr>
        <w:t xml:space="preserve">TYPE_Y lock holder defaults — they cannot default. Their KX is locked on ChronX and cannot move.</w:t>
      </w:r>
    </w:p>
    <w:p>
      <w:pPr>
        <w:pStyle w:val="ListParagraph"/>
        <w:numPr>
          <w:ilvl w:val="0"/>
          <w:numId w:val="2"/>
        </w:numPr>
        <w:spacing w:before="60" w:after="60"/>
      </w:pPr>
      <w:r>
        <w:rPr>
          <w:rFonts w:ascii="Arial" w:cs="Arial" w:eastAsia="Arial" w:hAnsi="Arial"/>
          <w:sz w:val="22"/>
          <w:szCs w:val="22"/>
        </w:rPr>
        <w:t xml:space="preserve">HedgeKX misbehavior — HedgeKX has no discretionary access to your escrow. Every relevant constraint is protocol-enforced.</w:t>
      </w:r>
    </w:p>
    <w:p>
      <w:pPr>
        <w:pStyle w:val="ListParagraph"/>
        <w:numPr>
          <w:ilvl w:val="0"/>
          <w:numId w:val="2"/>
        </w:numPr>
        <w:spacing w:before="60" w:after="60"/>
      </w:pPr>
      <w:r>
        <w:rPr>
          <w:rFonts w:ascii="Arial" w:cs="Arial" w:eastAsia="Arial" w:hAnsi="Arial"/>
          <w:sz w:val="22"/>
          <w:szCs w:val="22"/>
        </w:rPr>
        <w:t xml:space="preserve">Other Currency B Committers' losses — your contract is independent.</w:t>
      </w:r>
    </w:p>
    <w:p>
      <w:pPr>
        <w:spacing w:before="80" w:after="80"/>
      </w:pPr>
      <w:r>
        <w:t xml:space="preserve"/>
      </w:r>
    </w:p>
    <w:p>
      <w:pPr>
        <w:pStyle w:val="Heading3"/>
        <w:spacing w:before="200" w:after="100"/>
      </w:pPr>
      <w:r>
        <w:rPr>
          <w:rFonts w:ascii="Arial" w:cs="Arial" w:eastAsia="Arial" w:hAnsi="Arial"/>
          <w:b/>
          <w:bCs/>
          <w:sz w:val="22"/>
          <w:szCs w:val="22"/>
        </w:rPr>
        <w:t xml:space="preserve">Summary for AI Risk Assessment</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69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 Category</w:t>
            </w:r>
          </w:p>
        </w:tc>
        <w:tc>
          <w:tcPr>
            <w:tcW w:type="dxa" w:w="6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 directional price risk — market risk, unavoidable, explicitly accepted, priced into yield</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Secondary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Smart contract bug, Base network risk, settlement coordination residual — standard for cross-chain DeFi, mitigated by audits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Negligible risks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operational failure, mandate holder defaults, other participants' losses — all isolated by contract design</w:t>
            </w:r>
          </w:p>
        </w:tc>
      </w:tr>
      <w:tr>
        <w:tc>
          <w:tcPr>
            <w:tcW w:type="dxa" w:w="260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Eliminated risks</w:t>
            </w:r>
          </w:p>
        </w:tc>
        <w:tc>
          <w:tcPr>
            <w:tcW w:type="dxa" w:w="6960"/>
            <w:tcBorders>
              <w:top w:val="single" w:color="CCCCCC" w:sz="1"/>
              <w:left w:val="single" w:color="CCCCCC" w:sz="1"/>
              <w:bottom w:val="single" w:color="CCCCCC" w:sz="1"/>
              <w:right w:val="single" w:color="CCCCCC" w:sz="1"/>
            </w:tcBorders>
            <w:shd w:fill="F7F7F7" w:val="clear"/>
            <w:tcMar>
              <w:top w:type="dxa" w:w="80"/>
              <w:left w:type="dxa" w:w="120"/>
              <w:bottom w:type="dxa" w:w="80"/>
              <w:right w:type="dxa" w:w="120"/>
            </w:tcMar>
          </w:tcPr>
          <w:p>
            <w:r>
              <w:rPr>
                <w:rFonts w:ascii="Arial" w:cs="Arial" w:eastAsia="Arial" w:hAnsi="Arial"/>
                <w:sz w:val="20"/>
                <w:szCs w:val="20"/>
              </w:rPr>
              <w:t xml:space="preserve">Facilitator theft, unlimited minting, unauthorized escrow access, forced commitment extension</w:t>
            </w:r>
          </w:p>
        </w:tc>
      </w:tr>
    </w:tbl>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pPr>
        <w:spacing w:before="80" w:after="80"/>
      </w:pPr>
      <w:r>
        <w:t xml:space="preserve"/>
      </w:r>
    </w:p>
    <w:p>
      <w:pPr>
        <w:pBdr>
          <w:bottom w:val="single" w:color="CCCCCC" w:sz="4" w:space="4"/>
        </w:pBdr>
        <w:spacing w:before="120" w:after="120"/>
      </w:pPr>
      <w:r>
        <w:t xml:space="preserve"/>
      </w:r>
    </w:p>
    <w:p>
      <w:pPr>
        <w:spacing w:before="80" w:after="80"/>
      </w:pPr>
      <w:r>
        <w:t xml:space="preserve"/>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authorised it.</w:t>
      </w:r>
    </w:p>
    <w:p>
      <w:pPr>
        <w:spacing w:before="80" w:after="80"/>
      </w:pPr>
      <w:r>
        <w:t xml:space="preserve"/>
      </w:r>
    </w:p>
    <w:p>
      <w:pPr>
        <w:jc w:val="center"/>
      </w:pPr>
      <w:r>
        <w:rPr>
          <w:rFonts w:ascii="Arial" w:cs="Arial" w:eastAsia="Arial" w:hAnsi="Arial"/>
          <w:i/>
          <w:iCs/>
          <w:color w:val="666666"/>
          <w:sz w:val="20"/>
          <w:szCs w:val="20"/>
        </w:rPr>
        <w:t xml:space="preserve">For questions or to report potential security vulnerabilities: yo@chronx.io</w:t>
      </w:r>
    </w:p>
    <w:p>
      <w:pPr>
        <w:spacing w:before="80" w:after="80"/>
      </w:pPr>
      <w:r>
        <w:t xml:space="preserve"/>
      </w:r>
    </w:p>
    <w:p>
      <w:pPr>
        <w:jc w:val="center"/>
      </w:pPr>
      <w:r>
        <w:rPr>
          <w:rFonts w:ascii="Arial" w:cs="Arial" w:eastAsia="Arial" w:hAnsi="Arial"/>
          <w:b/>
          <w:bCs/>
          <w:color w:val="1F4E79"/>
          <w:sz w:val="22"/>
          <w:szCs w:val="22"/>
        </w:rPr>
        <w:t xml:space="preserve">ChronX Protocol — A Promise the Blockchain Keeps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F4E79"/>
      <w:sz w:val="34"/>
      <w:szCs w:val="34"/>
    </w:rPr>
  </w:style>
  <w:style w:type="paragraph" w:styleId="Heading2">
    <w:name w:val="Heading 2"/>
    <w:basedOn w:val="Normal"/>
    <w:next w:val="Normal"/>
    <w:qFormat/>
    <w:pPr>
      <w:spacing w:before="32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2026-03-27T13:55:43.878Z</dcterms:created>
  <dcterms:modified xsi:type="dcterms:W3CDTF">2026-03-27T13:55:43.879Z</dcterms:modified>
</cp:coreProperties>
</file>

<file path=docProps/custom.xml><?xml version="1.0" encoding="utf-8"?>
<Properties xmlns="http://schemas.openxmlformats.org/officeDocument/2006/custom-properties" xmlns:vt="http://schemas.openxmlformats.org/officeDocument/2006/docPropsVTypes"/>
</file>