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C9A84C"/>
          <w:sz w:val="52"/>
          <w:szCs w:val="52"/>
        </w:rPr>
        <w:t xml:space="preserve">CHRONX PROTOCOL</w:t>
      </w:r>
    </w:p>
    <w:p>
      <w:pPr>
        <w:spacing w:before="0" w:after="80"/>
        <w:jc w:val="center"/>
      </w:pPr>
      <w:r>
        <w:rPr>
          <w:rFonts w:ascii="Arial" w:cs="Arial" w:eastAsia="Arial" w:hAnsi="Arial"/>
          <w:color w:val="666666"/>
          <w:sz w:val="28"/>
          <w:szCs w:val="28"/>
        </w:rPr>
        <w:t xml:space="preserve">Whitepaper v6.4</w:t>
      </w:r>
    </w:p>
    <w:p>
      <w:pPr>
        <w:spacing w:before="0" w:after="240"/>
        <w:jc w:val="center"/>
      </w:pPr>
      <w:r>
        <w:rPr>
          <w:rFonts w:ascii="Georgia" w:cs="Georgia" w:eastAsia="Georgia" w:hAnsi="Georgia"/>
          <w:i/>
          <w:iCs/>
          <w:sz w:val="26"/>
          <w:szCs w:val="26"/>
        </w:rPr>
        <w:t xml:space="preserve">The Ledger for Long-Horizon Human Promises</w:t>
      </w:r>
    </w:p>
    <w:p>
      <w:pPr>
        <w:pBdr>
          <w:bottom w:val="single" w:color="C9A84C" w:sz="6" w:space="1"/>
        </w:pBdr>
        <w:spacing w:before="200" w:after="200"/>
      </w:pPr>
    </w:p>
    <w:p>
      <w:pPr>
        <w:spacing w:before="160" w:after="80"/>
        <w:jc w:val="center"/>
      </w:pPr>
      <w:r>
        <w:rPr>
          <w:rFonts w:ascii="Arial" w:cs="Arial" w:eastAsia="Arial" w:hAnsi="Arial"/>
          <w:color w:val="666666"/>
          <w:sz w:val="20"/>
          <w:szCs w:val="20"/>
        </w:rPr>
        <w:t xml:space="preserve">Genesis 10  •  Post-Quantum Cryptography  •  Zero Fees</w:t>
      </w:r>
    </w:p>
    <w:p>
      <w:pPr>
        <w:spacing w:before="80" w:after="80"/>
        <w:jc w:val="center"/>
      </w:pPr>
      <w:r>
        <w:rPr>
          <w:rFonts w:ascii="Arial" w:cs="Arial" w:eastAsia="Arial" w:hAnsi="Arial"/>
          <w:b/>
          <w:bCs/>
          <w:sz w:val="20"/>
          <w:szCs w:val="20"/>
        </w:rPr>
        <w:t xml:space="preserve">ICO: September 22, 2026  •  $0.00319 per KX</w:t>
      </w:r>
    </w:p>
    <w:p>
      <w:pPr>
        <w:spacing w:before="80" w:after="0"/>
        <w:jc w:val="center"/>
      </w:pPr>
      <w:r>
        <w:rPr>
          <w:rFonts w:ascii="Arial" w:cs="Arial" w:eastAsia="Arial" w:hAnsi="Arial"/>
          <w:color w:val="C9A84C"/>
          <w:sz w:val="20"/>
          <w:szCs w:val="20"/>
        </w:rPr>
        <w:t xml:space="preserve">chronx.io</w:t>
      </w:r>
    </w:p>
    <w:p>
      <w:r>
        <w:br w:type="page"/>
      </w:r>
    </w:p>
    <w:p>
      <w:pPr>
        <w:spacing w:before="160" w:after="160"/>
        <w:ind w:left="720" w:right="720"/>
        <w:jc w:val="center"/>
      </w:pPr>
      <w:r>
        <w:rPr>
          <w:rFonts w:ascii="Georgia" w:cs="Georgia" w:eastAsia="Georgia" w:hAnsi="Georgia"/>
          <w:i/>
          <w:iCs/>
          <w:color w:val="C9A84C"/>
          <w:sz w:val="22"/>
          <w:szCs w:val="22"/>
        </w:rPr>
        <w:t xml:space="preserve">"ChronX does not merely record that a promise was made. ChronX makes the promise inevitable."</w:t>
      </w:r>
    </w:p>
    <w:p>
      <w:pPr>
        <w:spacing w:before="160" w:after="0"/>
      </w:pPr>
    </w:p>
    <w:p>
      <w:pPr>
        <w:pStyle w:val="Heading1"/>
        <w:spacing w:before="360" w:after="120"/>
      </w:pPr>
      <w:r>
        <w:rPr>
          <w:rFonts w:ascii="Arial" w:cs="Arial" w:eastAsia="Arial" w:hAnsi="Arial"/>
          <w:b/>
          <w:bCs/>
          <w:sz w:val="32"/>
          <w:szCs w:val="32"/>
        </w:rPr>
        <w:t xml:space="preserve">1. The Promise</w:t>
      </w:r>
    </w:p>
    <w:p>
      <w:pPr>
        <w:spacing w:before="80" w:after="120"/>
        <w:jc w:val="both"/>
      </w:pPr>
      <w:r>
        <w:rPr>
          <w:rFonts w:ascii="Arial" w:cs="Arial" w:eastAsia="Arial" w:hAnsi="Arial"/>
          <w:sz w:val="22"/>
          <w:szCs w:val="22"/>
        </w:rPr>
        <w:t xml:space="preserve">Every financial system in the world is built on promises. A mortgage is a promise to pay monthly for thirty years. Child support is a promise enforced by a court. A charitable pledge is a promise to give when conditions are met. An inheritance is a promise that outlives the person who made it.</w:t>
      </w:r>
    </w:p>
    <w:p>
      <w:pPr>
        <w:spacing w:before="80" w:after="120"/>
        <w:jc w:val="both"/>
      </w:pPr>
      <w:r>
        <w:rPr>
          <w:rFonts w:ascii="Arial" w:cs="Arial" w:eastAsia="Arial" w:hAnsi="Arial"/>
          <w:sz w:val="22"/>
          <w:szCs w:val="22"/>
        </w:rPr>
        <w:t xml:space="preserve">These promises share one vulnerability: they depend on human institutions to enforce them. Banks, courts, lawyers, collection agencies. When those institutions fail or simply cannot reach across time — the promises fail too.</w:t>
      </w:r>
    </w:p>
    <w:p>
      <w:pPr>
        <w:spacing w:before="80" w:after="120"/>
        <w:jc w:val="both"/>
      </w:pPr>
      <w:r>
        <w:rPr>
          <w:rFonts w:ascii="Arial" w:cs="Arial" w:eastAsia="Arial" w:hAnsi="Arial"/>
          <w:sz w:val="22"/>
          <w:szCs w:val="22"/>
        </w:rPr>
        <w:t xml:space="preserve">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pPr>
        <w:spacing w:before="80" w:after="120"/>
        <w:jc w:val="both"/>
      </w:pPr>
      <w:r>
        <w:rPr>
          <w:rFonts w:ascii="Arial" w:cs="Arial" w:eastAsia="Arial" w:hAnsi="Arial"/>
          <w:sz w:val="22"/>
          <w:szCs w:val="22"/>
        </w:rPr>
        <w:t xml:space="preserve">This is what ChronX is for. Not fast transactions — blockchains that focus on speed already exist. ChronX solves the opposite problem: promises that must be honored across years and decades, with complete certainty, at zero cost.</w:t>
      </w:r>
    </w:p>
    <w:p>
      <w:pPr>
        <w:spacing w:before="80" w:after="0"/>
      </w:pPr>
    </w:p>
    <w:p>
      <w:pPr>
        <w:pStyle w:val="Heading2"/>
        <w:spacing w:before="280" w:after="80"/>
      </w:pPr>
      <w:r>
        <w:rPr>
          <w:rFonts w:ascii="Arial" w:cs="Arial" w:eastAsia="Arial" w:hAnsi="Arial"/>
          <w:b/>
          <w:bCs/>
          <w:sz w:val="26"/>
          <w:szCs w:val="26"/>
        </w:rPr>
        <w:t xml:space="preserve">What ChronX delivers</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Zero fees: </w:t>
      </w:r>
      <w:r>
        <w:rPr>
          <w:rFonts w:ascii="Arial" w:cs="Arial" w:eastAsia="Arial" w:hAnsi="Arial"/>
          <w:sz w:val="22"/>
          <w:szCs w:val="22"/>
        </w:rPr>
        <w:t xml:space="preserve">Every transfer, promise, and loan settlement costs nothing. This is not a promotional offer — it is a protocol invariant. A promise scheduled one hundred years in the future cannot carry an unknown future fee burden.</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Post-quantum security: </w:t>
      </w:r>
      <w:r>
        <w:rPr>
          <w:rFonts w:ascii="Arial" w:cs="Arial" w:eastAsia="Arial" w:hAnsi="Arial"/>
          <w:sz w:val="22"/>
          <w:szCs w:val="22"/>
        </w:rPr>
        <w:t xml:space="preserve">All wallets use CRYSTALS-Dilithium2, a NIST-standardized post-quantum cryptographic standard. Promises made today remain secure against future quantum computers.</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Any time horizon: </w:t>
      </w:r>
      <w:r>
        <w:rPr>
          <w:rFonts w:ascii="Arial" w:cs="Arial" w:eastAsia="Arial" w:hAnsi="Arial"/>
          <w:sz w:val="22"/>
          <w:szCs w:val="22"/>
        </w:rPr>
        <w:t xml:space="preserve">A promise can be scheduled from one second to one hundred years in the future. The protocol enforces all of them identically.</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Any currency: </w:t>
      </w:r>
      <w:r>
        <w:rPr>
          <w:rFonts w:ascii="Arial" w:cs="Arial" w:eastAsia="Arial" w:hAnsi="Arial"/>
          <w:sz w:val="22"/>
          <w:szCs w:val="22"/>
        </w:rPr>
        <w:t xml:space="preserve">Through PAY_AS and XChan, a promise can be made in KX, USD, BTC, or any governance-approved currency and delivered in the recipient's preferred currency at settlement.</w:t>
      </w:r>
    </w:p>
    <w:p>
      <w:pPr>
        <w:spacing w:before="40" w:after="40"/>
        <w:ind w:left="480" w:hanging="240"/>
      </w:pPr>
      <w:r>
        <w:rPr>
          <w:rFonts w:ascii="Arial" w:cs="Arial" w:eastAsia="Arial" w:hAnsi="Arial"/>
          <w:color w:val="C9A84C"/>
          <w:sz w:val="22"/>
          <w:szCs w:val="22"/>
        </w:rPr>
        <w:t xml:space="preserve">•  </w:t>
      </w:r>
      <w:r>
        <w:rPr>
          <w:rFonts w:ascii="Arial" w:cs="Arial" w:eastAsia="Arial" w:hAnsi="Arial"/>
          <w:b/>
          <w:bCs/>
          <w:sz w:val="22"/>
          <w:szCs w:val="22"/>
        </w:rPr>
        <w:t xml:space="preserve">Permanent record: </w:t>
      </w:r>
      <w:r>
        <w:rPr>
          <w:rFonts w:ascii="Arial" w:cs="Arial" w:eastAsia="Arial" w:hAnsi="Arial"/>
          <w:sz w:val="22"/>
          <w:szCs w:val="22"/>
        </w:rPr>
        <w:t xml:space="preserve">Every promise, every payment, every default, every resolution lives permanently on the blockchain. Nothing can be backdated, edited, or erased.</w:t>
      </w:r>
    </w:p>
    <w:p>
      <w:r>
        <w:br w:type="page"/>
      </w:r>
    </w:p>
    <w:p>
      <w:pPr>
        <w:pStyle w:val="Heading1"/>
        <w:spacing w:before="360" w:after="120"/>
      </w:pPr>
      <w:r>
        <w:rPr>
          <w:rFonts w:ascii="Arial" w:cs="Arial" w:eastAsia="Arial" w:hAnsi="Arial"/>
          <w:b/>
          <w:bCs/>
          <w:sz w:val="32"/>
          <w:szCs w:val="32"/>
        </w:rPr>
        <w:t xml:space="preserve">2. How ChronX Works</w:t>
      </w:r>
    </w:p>
    <w:p>
      <w:pPr>
        <w:spacing w:before="80" w:after="120"/>
        <w:jc w:val="both"/>
      </w:pPr>
      <w:r>
        <w:rPr>
          <w:rFonts w:ascii="Arial" w:cs="Arial" w:eastAsia="Arial" w:hAnsi="Arial"/>
          <w:sz w:val="22"/>
          <w:szCs w:val="22"/>
        </w:rPr>
        <w:t xml:space="preserve">A ChronX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pPr>
        <w:pStyle w:val="Heading2"/>
        <w:spacing w:before="280" w:after="80"/>
      </w:pPr>
      <w:r>
        <w:rPr>
          <w:rFonts w:ascii="Arial" w:cs="Arial" w:eastAsia="Arial" w:hAnsi="Arial"/>
          <w:b/>
          <w:bCs/>
          <w:sz w:val="26"/>
          <w:szCs w:val="26"/>
        </w:rPr>
        <w:t xml:space="preserve">2.1 Making a Promise</w:t>
      </w:r>
    </w:p>
    <w:p>
      <w:pPr>
        <w:spacing w:before="80" w:after="120"/>
        <w:jc w:val="both"/>
      </w:pPr>
      <w:r>
        <w:rPr>
          <w:rFonts w:ascii="Arial" w:cs="Arial" w:eastAsia="Arial" w:hAnsi="Arial"/>
          <w:sz w:val="22"/>
          <w:szCs w:val="22"/>
        </w:rPr>
        <w:t xml:space="preserve">Anyone with a ChronX wallet can make a promise. The sender specifies the recipient's wallet address or email address, the amount in KX, and when it should be available. For email recipients, the protocol generates a secure claim code and emails it — the recipient never needs a wallet in advance. When funds mature, they enter the recipient's wallet automatically.</w:t>
      </w:r>
    </w:p>
    <w:p>
      <w:pPr>
        <w:pStyle w:val="Heading2"/>
        <w:spacing w:before="280" w:after="80"/>
      </w:pPr>
      <w:r>
        <w:rPr>
          <w:rFonts w:ascii="Arial" w:cs="Arial" w:eastAsia="Arial" w:hAnsi="Arial"/>
          <w:b/>
          <w:bCs/>
          <w:sz w:val="26"/>
          <w:szCs w:val="26"/>
        </w:rPr>
        <w:t xml:space="preserve">2.2 Long-Horizon Delivery</w:t>
      </w:r>
    </w:p>
    <w:p>
      <w:pPr>
        <w:spacing w:before="80" w:after="120"/>
        <w:jc w:val="both"/>
      </w:pPr>
      <w:r>
        <w:rPr>
          <w:rFonts w:ascii="Arial" w:cs="Arial" w:eastAsia="Arial" w:hAnsi="Arial"/>
          <w:sz w:val="22"/>
          <w:szCs w:val="22"/>
        </w:rPr>
        <w:t xml:space="preserve">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pPr>
        <w:spacing w:before="80" w:after="120"/>
        <w:jc w:val="both"/>
      </w:pPr>
      <w:r>
        <w:rPr>
          <w:rFonts w:ascii="Arial" w:cs="Arial" w:eastAsia="Arial" w:hAnsi="Arial"/>
          <w:sz w:val="22"/>
          <w:szCs w:val="22"/>
        </w:rPr>
        <w:t xml:space="preserve">Funds unclaimed for 90 days after maturity enter the Verified Delivery Protocol. Funds unclaimed for 100 years after maturity transfer to the Humanity Stake — a pool governed for the benefit of all. No funds are ever lost.</w:t>
      </w:r>
    </w:p>
    <w:p>
      <w:pPr>
        <w:pStyle w:val="Heading2"/>
        <w:spacing w:before="280" w:after="80"/>
      </w:pPr>
      <w:r>
        <w:rPr>
          <w:rFonts w:ascii="Arial" w:cs="Arial" w:eastAsia="Arial" w:hAnsi="Arial"/>
          <w:b/>
          <w:bCs/>
          <w:sz w:val="26"/>
          <w:szCs w:val="26"/>
        </w:rPr>
        <w:t xml:space="preserve">2.3 Cascade Promises</w:t>
      </w:r>
    </w:p>
    <w:p>
      <w:pPr>
        <w:spacing w:before="80" w:after="120"/>
        <w:jc w:val="both"/>
      </w:pPr>
      <w:r>
        <w:rPr>
          <w:rFonts w:ascii="Arial" w:cs="Arial" w:eastAsia="Arial" w:hAnsi="Arial"/>
          <w:sz w:val="22"/>
          <w:szCs w:val="22"/>
        </w:rPr>
        <w:t xml:space="preserve">A single claim code can unlock a series of promises at different dates — a welcome gift that releases 100 KX immediately, 250 KX in a week, 500 KX in a month. The sender creates it once. The protocol delivers each stage automatically.</w:t>
      </w:r>
    </w:p>
    <w:p>
      <w:pPr>
        <w:pStyle w:val="Heading2"/>
        <w:spacing w:before="280" w:after="80"/>
      </w:pPr>
      <w:r>
        <w:rPr>
          <w:rFonts w:ascii="Arial" w:cs="Arial" w:eastAsia="Arial" w:hAnsi="Arial"/>
          <w:b/>
          <w:bCs/>
          <w:sz w:val="26"/>
          <w:szCs w:val="26"/>
        </w:rPr>
        <w:t xml:space="preserve">2.4 Privacy</w:t>
      </w:r>
    </w:p>
    <w:p>
      <w:pPr>
        <w:spacing w:before="80" w:after="120"/>
        <w:jc w:val="both"/>
      </w:pPr>
      <w:r>
        <w:rPr>
          <w:rFonts w:ascii="Arial" w:cs="Arial" w:eastAsia="Arial" w:hAnsi="Arial"/>
          <w:sz w:val="22"/>
          <w:szCs w:val="22"/>
        </w:rPr>
        <w:t xml:space="preserve">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pPr>
        <w:spacing w:before="80" w:after="120"/>
        <w:jc w:val="both"/>
      </w:pPr>
      <w:r>
        <w:rPr>
          <w:rFonts w:ascii="Arial" w:cs="Arial" w:eastAsia="Arial" w:hAnsi="Arial"/>
          <w:sz w:val="22"/>
          <w:szCs w:val="22"/>
        </w:rPr>
        <w:t xml:space="preserve">Verified businesses and institutions may choose to make their payment memos publicly visible, creating an auditable record for regulatory or organizational purposes. This is a deliberate choice, not the default. Privacy is the baseline.</w:t>
      </w:r>
    </w:p>
    <w:p>
      <w:r>
        <w:br w:type="page"/>
      </w:r>
    </w:p>
    <w:p>
      <w:pPr>
        <w:pStyle w:val="Heading1"/>
        <w:spacing w:before="360" w:after="120"/>
      </w:pPr>
      <w:r>
        <w:rPr>
          <w:rFonts w:ascii="Arial" w:cs="Arial" w:eastAsia="Arial" w:hAnsi="Arial"/>
          <w:b/>
          <w:bCs/>
          <w:sz w:val="32"/>
          <w:szCs w:val="32"/>
        </w:rPr>
        <w:t xml:space="preserve">3. KX — The Token That Moves Value Through Time</w:t>
      </w:r>
    </w:p>
    <w:p>
      <w:pPr>
        <w:spacing w:before="80" w:after="120"/>
        <w:jc w:val="both"/>
      </w:pPr>
      <w:r>
        <w:rPr>
          <w:rFonts w:ascii="Arial" w:cs="Arial" w:eastAsia="Arial" w:hAnsi="Arial"/>
          <w:sz w:val="22"/>
          <w:szCs w:val="22"/>
        </w:rPr>
        <w:t xml:space="preserve">KX is the unit of value on the ChronX protocol. It is what moves when a promise is fulfilled, what settles when a loan payment is made, and what powers the protocol's ecosystem of services. KX has a fixed supply of 8,270,000,000 tokens. There is no inflation, no minting, and no burning — ever.</w:t>
      </w:r>
    </w:p>
    <w:p>
      <w:pPr>
        <w:spacing w:before="80" w:after="120"/>
        <w:jc w:val="both"/>
      </w:pPr>
      <w:r>
        <w:rPr>
          <w:rFonts w:ascii="Arial" w:cs="Arial" w:eastAsia="Arial" w:hAnsi="Arial"/>
          <w:sz w:val="22"/>
          <w:szCs w:val="22"/>
        </w:rPr>
        <w:t xml:space="preserve">KX is a utility token. It is the fuel that moves promises from sender to recipient. Participants who use ChronX for its intended purpose — making and receiving financial promises — use KX the way they use postage: as the cost of delivery, except the cost is zero.</w:t>
      </w:r>
    </w:p>
    <w:p>
      <w:pPr>
        <w:spacing w:before="80" w:after="0"/>
      </w:pPr>
    </w:p>
    <w:p>
      <w:pPr>
        <w:pStyle w:val="Heading2"/>
        <w:spacing w:before="280" w:after="80"/>
      </w:pPr>
      <w:r>
        <w:rPr>
          <w:rFonts w:ascii="Arial" w:cs="Arial" w:eastAsia="Arial" w:hAnsi="Arial"/>
          <w:b/>
          <w:bCs/>
          <w:sz w:val="26"/>
          <w:szCs w:val="26"/>
        </w:rPr>
        <w:t xml:space="preserve">3.1 PAY_AS: Promises in Any Currency</w:t>
      </w:r>
    </w:p>
    <w:p>
      <w:pPr>
        <w:spacing w:before="80" w:after="120"/>
        <w:jc w:val="both"/>
      </w:pPr>
      <w:r>
        <w:rPr>
          <w:rFonts w:ascii="Arial" w:cs="Arial" w:eastAsia="Arial" w:hAnsi="Arial"/>
          <w:sz w:val="22"/>
          <w:szCs w:val="22"/>
        </w:rPr>
        <w:t xml:space="preserve">PAY_AS is one of ChronX's most practically useful features, and genuinely novel in the blockchain space. It solves a problem that anyone who has ever sent an international payment or made a long-term financial commitment has encountered: the currency problem.</w:t>
      </w:r>
    </w:p>
    <w:p>
      <w:pPr>
        <w:spacing w:before="80" w:after="120"/>
        <w:jc w:val="both"/>
      </w:pPr>
      <w:r>
        <w:rPr>
          <w:rFonts w:ascii="Arial" w:cs="Arial" w:eastAsia="Arial" w:hAnsi="Arial"/>
          <w:sz w:val="22"/>
          <w:szCs w:val="22"/>
        </w:rPr>
        <w:t xml:space="preserve">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pPr>
        <w:spacing w:before="80" w:after="120"/>
        <w:jc w:val="both"/>
      </w:pPr>
      <w:r>
        <w:rPr>
          <w:rFonts w:ascii="Arial" w:cs="Arial" w:eastAsia="Arial" w:hAnsi="Arial"/>
          <w:sz w:val="22"/>
          <w:szCs w:val="22"/>
        </w:rPr>
        <w:t xml:space="preserve">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pPr>
        <w:spacing w:before="80" w:after="120"/>
        <w:jc w:val="both"/>
      </w:pPr>
      <w:r>
        <w:rPr>
          <w:rFonts w:ascii="Arial" w:cs="Arial" w:eastAsia="Arial" w:hAnsi="Arial"/>
          <w:sz w:val="22"/>
          <w:szCs w:val="22"/>
        </w:rPr>
        <w:t xml:space="preserve">The sender promises $500 per month. The recipient receives yen. The protocol handles the conversion at delivery. Neither party needs to think about exchange rates at the time the promise is made.</w:t>
      </w:r>
    </w:p>
    <w:p>
      <w:pPr>
        <w:spacing w:before="160" w:after="160"/>
        <w:ind w:left="720" w:right="720"/>
        <w:jc w:val="center"/>
      </w:pPr>
      <w:r>
        <w:rPr>
          <w:rFonts w:ascii="Georgia" w:cs="Georgia" w:eastAsia="Georgia" w:hAnsi="Georgia"/>
          <w:i/>
          <w:iCs/>
          <w:color w:val="C9A84C"/>
          <w:sz w:val="22"/>
          <w:szCs w:val="22"/>
        </w:rPr>
        <w:t xml:space="preserve">"The denomination is the sender's intent. The delivery currency is the recipient's preference. PAY_AS bridges the two automatically."</w:t>
      </w:r>
    </w:p>
    <w:p>
      <w:pPr>
        <w:spacing w:before="80" w:after="120"/>
        <w:jc w:val="both"/>
      </w:pPr>
      <w:r>
        <w:rPr>
          <w:rFonts w:ascii="Arial" w:cs="Arial" w:eastAsia="Arial" w:hAnsi="Arial"/>
          <w:sz w:val="22"/>
          <w:szCs w:val="22"/>
        </w:rPr>
        <w:t xml:space="preserve">Today, in 2026, this means promising in KX and delivering in USD, or promising in USD and delivering in BTC.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pPr>
        <w:spacing w:before="80" w:after="0"/>
      </w:pPr>
    </w:p>
    <w:p>
      <w:pPr>
        <w:pStyle w:val="Heading2"/>
        <w:spacing w:before="280" w:after="80"/>
      </w:pPr>
      <w:r>
        <w:rPr>
          <w:rFonts w:ascii="Arial" w:cs="Arial" w:eastAsia="Arial" w:hAnsi="Arial"/>
          <w:b/>
          <w:bCs/>
          <w:sz w:val="26"/>
          <w:szCs w:val="26"/>
        </w:rPr>
        <w:t xml:space="preserve">3.2 XChan: The Protocol's Exchange Layer</w:t>
      </w:r>
    </w:p>
    <w:p>
      <w:pPr>
        <w:spacing w:before="80" w:after="120"/>
        <w:jc w:val="both"/>
      </w:pPr>
      <w:r>
        <w:rPr>
          <w:rFonts w:ascii="Arial" w:cs="Arial" w:eastAsia="Arial" w:hAnsi="Arial"/>
          <w:sz w:val="22"/>
          <w:szCs w:val="22"/>
        </w:rPr>
        <w:t xml:space="preserve">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 liquidity pool that the Foundation is committed to maintaining as a protocol priority.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pPr>
        <w:spacing w:before="80" w:after="120"/>
        <w:jc w:val="both"/>
      </w:pPr>
      <w:r>
        <w:rPr>
          <w:rFonts w:ascii="Arial" w:cs="Arial" w:eastAsia="Arial" w:hAnsi="Arial"/>
          <w:sz w:val="22"/>
          <w:szCs w:val="22"/>
        </w:rPr>
        <w:t xml:space="preserve">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pPr>
        <w:spacing w:before="80" w:after="0"/>
      </w:pPr>
    </w:p>
    <w:p>
      <w:pPr>
        <w:pStyle w:val="Heading2"/>
        <w:spacing w:before="280" w:after="80"/>
      </w:pPr>
      <w:r>
        <w:rPr>
          <w:rFonts w:ascii="Arial" w:cs="Arial" w:eastAsia="Arial" w:hAnsi="Arial"/>
          <w:b/>
          <w:bCs/>
          <w:sz w:val="26"/>
          <w:szCs w:val="26"/>
        </w:rPr>
        <w:t xml:space="preserve">3.3 What KX Is Not</w:t>
      </w:r>
    </w:p>
    <w:p>
      <w:pPr>
        <w:spacing w:before="80" w:after="120"/>
        <w:jc w:val="both"/>
      </w:pPr>
      <w:r>
        <w:rPr>
          <w:rFonts w:ascii="Arial" w:cs="Arial" w:eastAsia="Arial" w:hAnsi="Arial"/>
          <w:sz w:val="22"/>
          <w:szCs w:val="22"/>
        </w:rPr>
        <w:t xml:space="preserve">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pPr>
        <w:spacing w:before="80" w:after="120"/>
        <w:jc w:val="both"/>
      </w:pPr>
      <w:r>
        <w:rPr>
          <w:rFonts w:ascii="Arial" w:cs="Arial" w:eastAsia="Arial" w:hAnsi="Arial"/>
          <w:sz w:val="22"/>
          <w:szCs w:val="22"/>
        </w:rPr>
        <w:t xml:space="preserve">All participants are encouraged to seek independent legal and financial advice regarding the regulatory status of KX in their jurisdiction before participating in the ICO or acquiring KX for any purpose.</w:t>
      </w:r>
    </w:p>
    <w:p>
      <w:r>
        <w:br w:type="page"/>
      </w:r>
    </w:p>
    <w:p>
      <w:pPr>
        <w:pStyle w:val="Heading1"/>
        <w:spacing w:before="360" w:after="120"/>
      </w:pPr>
      <w:r>
        <w:rPr>
          <w:rFonts w:ascii="Arial" w:cs="Arial" w:eastAsia="Arial" w:hAnsi="Arial"/>
          <w:b/>
          <w:bCs/>
          <w:sz w:val="32"/>
          <w:szCs w:val="32"/>
        </w:rPr>
        <w:t xml:space="preserve">4. The ChronX Ecosystem</w:t>
      </w:r>
    </w:p>
    <w:p>
      <w:pPr>
        <w:spacing w:before="80" w:after="120"/>
        <w:jc w:val="both"/>
      </w:pPr>
      <w:r>
        <w:rPr>
          <w:rFonts w:ascii="Arial" w:cs="Arial" w:eastAsia="Arial" w:hAnsi="Arial"/>
          <w:sz w:val="22"/>
          <w:szCs w:val="22"/>
        </w:rPr>
        <w:t xml:space="preserve">ChronX is the protocol. Around it, four bonded organizations extend its capabilities into specialized domains. Each is independent, each posts a 10,000,000 KX performance bond to the protocol, and each operates under the governance of the ChronX Protocol Foundation. Third-party developers build additional applications on top of these foundations without bonded status.</w:t>
      </w:r>
    </w:p>
    <w:p>
      <w:pPr>
        <w:spacing w:before="80" w:after="0"/>
      </w:pPr>
    </w:p>
    <w:p>
      <w:pPr>
        <w:pStyle w:val="Heading2"/>
        <w:spacing w:before="280" w:after="80"/>
      </w:pPr>
      <w:r>
        <w:rPr>
          <w:rFonts w:ascii="Arial" w:cs="Arial" w:eastAsia="Arial" w:hAnsi="Arial"/>
          <w:b/>
          <w:bCs/>
          <w:sz w:val="26"/>
          <w:szCs w:val="26"/>
        </w:rPr>
        <w:t xml:space="preserve">4.1 MISAI — The AI Executor</w:t>
      </w:r>
    </w:p>
    <w:p>
      <w:pPr>
        <w:spacing w:before="80" w:after="120"/>
        <w:jc w:val="both"/>
      </w:pPr>
      <w:r>
        <w:rPr>
          <w:rFonts w:ascii="Arial" w:cs="Arial" w:eastAsia="Arial" w:hAnsi="Arial"/>
          <w:sz w:val="22"/>
          <w:szCs w:val="22"/>
        </w:rPr>
        <w:t xml:space="preserve">MISAI is an AI-powered executor that manages financial obligations on behalf of participants. It serves two roles.</w:t>
      </w:r>
    </w:p>
    <w:p>
      <w:pPr>
        <w:spacing w:before="80" w:after="120"/>
        <w:jc w:val="both"/>
      </w:pPr>
      <w:r>
        <w:rPr>
          <w:rFonts w:ascii="Arial" w:cs="Arial" w:eastAsia="Arial" w:hAnsi="Arial"/>
          <w:sz w:val="22"/>
          <w:szCs w:val="22"/>
        </w:rPr>
        <w:t xml:space="preserve">As a loan servicer, MISAI monitors payment schedules, calculates interest according to protocol-governed oracle rates, publishes DefaultRecords when payments are missed, and resumes monitoring when loans are reinstated. It does not pursue borrowers or adjudicate disputes — it maintains the record and enforces the schedule.</w:t>
      </w:r>
    </w:p>
    <w:p>
      <w:pPr>
        <w:spacing w:before="80" w:after="120"/>
        <w:jc w:val="both"/>
      </w:pPr>
      <w:r>
        <w:rPr>
          <w:rFonts w:ascii="Arial" w:cs="Arial" w:eastAsia="Arial" w:hAnsi="Arial"/>
          <w:sz w:val="22"/>
          <w:szCs w:val="22"/>
        </w:rPr>
        <w:t xml:space="preserve">As an investment executor, MISAI manages TYPE M locks — promises where the grantor instructs MISAI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pPr>
        <w:spacing w:before="80" w:after="120"/>
        <w:jc w:val="both"/>
      </w:pPr>
      <w:r>
        <w:rPr>
          <w:rFonts w:ascii="Arial" w:cs="Arial" w:eastAsia="Arial" w:hAnsi="Arial"/>
          <w:sz w:val="22"/>
          <w:szCs w:val="22"/>
        </w:rPr>
        <w:t xml:space="preserve">MISAI is domiciled in El Salvador. Its performance bond ensures it has meaningful stake in its own conduct.</w:t>
      </w:r>
    </w:p>
    <w:p>
      <w:pPr>
        <w:spacing w:before="80" w:after="0"/>
      </w:pPr>
    </w:p>
    <w:p>
      <w:pPr>
        <w:pStyle w:val="Heading2"/>
        <w:spacing w:before="280" w:after="80"/>
      </w:pPr>
      <w:r>
        <w:rPr>
          <w:rFonts w:ascii="Arial" w:cs="Arial" w:eastAsia="Arial" w:hAnsi="Arial"/>
          <w:b/>
          <w:bCs/>
          <w:sz w:val="26"/>
          <w:szCs w:val="26"/>
        </w:rPr>
        <w:t xml:space="preserve">4.2 Verifas — The Human Attestation Layer</w:t>
      </w:r>
    </w:p>
    <w:p>
      <w:pPr>
        <w:spacing w:before="80" w:after="120"/>
        <w:jc w:val="both"/>
      </w:pPr>
      <w:r>
        <w:rPr>
          <w:rFonts w:ascii="Arial" w:cs="Arial" w:eastAsia="Arial" w:hAnsi="Arial"/>
          <w:sz w:val="22"/>
          <w:szCs w:val="22"/>
        </w:rPr>
        <w:t xml:space="preserve">Verifas solves a problem unique to long-horizon promises: what happens when a promise matures fifty years from now and the recipient's original contact information no longer exists?</w:t>
      </w:r>
    </w:p>
    <w:p>
      <w:pPr>
        <w:spacing w:before="80" w:after="120"/>
        <w:jc w:val="both"/>
      </w:pPr>
      <w:r>
        <w:rPr>
          <w:rFonts w:ascii="Arial" w:cs="Arial" w:eastAsia="Arial" w:hAnsi="Arial"/>
          <w:sz w:val="22"/>
          <w:szCs w:val="22"/>
        </w:rPr>
        <w:t xml:space="preserve">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pPr>
        <w:spacing w:before="80" w:after="120"/>
        <w:jc w:val="both"/>
      </w:pPr>
      <w:r>
        <w:rPr>
          <w:rFonts w:ascii="Arial" w:cs="Arial" w:eastAsia="Arial" w:hAnsi="Arial"/>
          <w:sz w:val="22"/>
          <w:szCs w:val="22"/>
        </w:rPr>
        <w:t xml:space="preserve">When a promise remains unclaimed 90 days after maturity, Verifas receives an encrypted package containing the beneficiary context the sender provided at creation. Attestors locate and verify the recipient. The promise delivers. Nothing is lost.</w:t>
      </w:r>
    </w:p>
    <w:p>
      <w:pPr>
        <w:spacing w:before="80" w:after="0"/>
      </w:pPr>
    </w:p>
    <w:p>
      <w:pPr>
        <w:pStyle w:val="Heading2"/>
        <w:spacing w:before="280" w:after="80"/>
      </w:pPr>
      <w:r>
        <w:rPr>
          <w:rFonts w:ascii="Arial" w:cs="Arial" w:eastAsia="Arial" w:hAnsi="Arial"/>
          <w:b/>
          <w:bCs/>
          <w:sz w:val="26"/>
          <w:szCs w:val="26"/>
        </w:rPr>
        <w:t xml:space="preserve">4.3 XChan — The Protocol Exchange</w:t>
      </w:r>
    </w:p>
    <w:p>
      <w:pPr>
        <w:spacing w:before="80" w:after="120"/>
        <w:jc w:val="both"/>
      </w:pPr>
      <w:r>
        <w:rPr>
          <w:rFonts w:ascii="Arial" w:cs="Arial" w:eastAsia="Arial" w:hAnsi="Arial"/>
          <w:sz w:val="22"/>
          <w:szCs w:val="22"/>
        </w:rPr>
        <w:t xml:space="preserve">XChan is the infrastructure layer that makes PAY_AS work. Every promise or loan denominated in a currency other than KX depends on XChan's price oracle at delivery time. XChan executes the conversion, provides the moving average rate, and ensures the recipient receives the correct KX amount. Without a functioning XChan oracle, PAY_AS calculations cannot settle.</w:t>
      </w:r>
    </w:p>
    <w:p>
      <w:pPr>
        <w:spacing w:before="80" w:after="120"/>
        <w:jc w:val="both"/>
      </w:pPr>
      <w:r>
        <w:rPr>
          <w:rFonts w:ascii="Arial" w:cs="Arial" w:eastAsia="Arial" w:hAnsi="Arial"/>
          <w:sz w:val="22"/>
          <w:szCs w:val="22"/>
        </w:rPr>
        <w:t xml:space="preserve">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pPr>
        <w:spacing w:before="80" w:after="0"/>
      </w:pPr>
    </w:p>
    <w:p>
      <w:pPr>
        <w:pStyle w:val="Heading2"/>
        <w:spacing w:before="280" w:after="80"/>
      </w:pPr>
      <w:r>
        <w:rPr>
          <w:rFonts w:ascii="Arial" w:cs="Arial" w:eastAsia="Arial" w:hAnsi="Arial"/>
          <w:b/>
          <w:bCs/>
          <w:sz w:val="26"/>
          <w:szCs w:val="26"/>
        </w:rPr>
        <w:t xml:space="preserve">4.4 HedgeKX — Currency Risk Protection</w:t>
      </w:r>
    </w:p>
    <w:p>
      <w:pPr>
        <w:spacing w:before="80" w:after="120"/>
        <w:jc w:val="both"/>
      </w:pPr>
      <w:r>
        <w:rPr>
          <w:rFonts w:ascii="Arial" w:cs="Arial" w:eastAsia="Arial" w:hAnsi="Arial"/>
          <w:sz w:val="22"/>
          <w:szCs w:val="22"/>
        </w:rPr>
        <w:t xml:space="preserve">When a loan is denominated in one currency and repaid in another, both parties carry currency risk. If KX appreciates dramatically against USD during a 5-year loan, the borrower faces a repayment burden far larger than anticipated. HedgeKX addresses this.</w:t>
      </w:r>
    </w:p>
    <w:p>
      <w:pPr>
        <w:spacing w:before="80" w:after="120"/>
        <w:jc w:val="both"/>
      </w:pPr>
      <w:r>
        <w:rPr>
          <w:rFonts w:ascii="Arial" w:cs="Arial" w:eastAsia="Arial" w:hAnsi="Arial"/>
          <w:sz w:val="22"/>
          <w:szCs w:val="22"/>
        </w:rPr>
        <w:t xml:space="preserve">HedgeKX is a peer-to-peer marketplace where borrowers can purchase currency risk protection and KX holders can earn yield by providing it. A borrower posts a hedge campaign specifying the coverage needed and the premium offered. KX holders pledge to cover the risk in exchange for the premium. If the campaign fills, the hedge is funded and the loan proceeds. If it does not fill, all pledges are returned automatically.</w:t>
      </w:r>
    </w:p>
    <w:p>
      <w:pPr>
        <w:spacing w:before="80" w:after="120"/>
        <w:jc w:val="both"/>
      </w:pPr>
      <w:r>
        <w:rPr>
          <w:rFonts w:ascii="Arial" w:cs="Arial" w:eastAsia="Arial" w:hAnsi="Arial"/>
          <w:sz w:val="22"/>
          <w:szCs w:val="22"/>
        </w:rPr>
        <w:t xml:space="preserve">HedgeKX does not issue, underwrite, or guarantee any hedge contract. All contracts are directly between participants. ChronX provides the infrastructure; the market determines the terms.</w:t>
      </w:r>
    </w:p>
    <w:p>
      <w:pPr>
        <w:spacing w:before="80" w:after="0"/>
      </w:pPr>
    </w:p>
    <w:p>
      <w:pPr>
        <w:pStyle w:val="Heading2"/>
        <w:spacing w:before="280" w:after="80"/>
      </w:pPr>
      <w:r>
        <w:rPr>
          <w:rFonts w:ascii="Arial" w:cs="Arial" w:eastAsia="Arial" w:hAnsi="Arial"/>
          <w:b/>
          <w:bCs/>
          <w:sz w:val="26"/>
          <w:szCs w:val="26"/>
        </w:rPr>
        <w:t xml:space="preserve">4.5 KXGO — Gaming and Applications</w:t>
      </w:r>
    </w:p>
    <w:p>
      <w:pPr>
        <w:spacing w:before="80" w:after="120"/>
        <w:jc w:val="both"/>
      </w:pPr>
      <w:r>
        <w:rPr>
          <w:rFonts w:ascii="Arial" w:cs="Arial" w:eastAsia="Arial" w:hAnsi="Arial"/>
          <w:sz w:val="22"/>
          <w:szCs w:val="22"/>
        </w:rPr>
        <w:t xml:space="preserve">KXGO demonstrates ChronX's promise infrastructure in a gaming context. Players enter skill-based competitions using KX as the entry mechanism, with outcomes recorded on-chain via TYPE V conditional payments. KXGO illustrates that ChronX's conditional payment primitives work for any application that requires trusted, verifiable outcomes — not just financial instruments.</w:t>
      </w:r>
    </w:p>
    <w:p>
      <w:pPr>
        <w:spacing w:before="80" w:after="0"/>
      </w:pPr>
    </w:p>
    <w:p>
      <w:pPr>
        <w:pStyle w:val="Heading2"/>
        <w:spacing w:before="280" w:after="80"/>
      </w:pPr>
      <w:r>
        <w:rPr>
          <w:rFonts w:ascii="Arial" w:cs="Arial" w:eastAsia="Arial" w:hAnsi="Arial"/>
          <w:b/>
          <w:bCs/>
          <w:sz w:val="26"/>
          <w:szCs w:val="26"/>
        </w:rPr>
        <w:t xml:space="preserve">4.6 CPNX — Badge Authority</w:t>
      </w:r>
    </w:p>
    <w:p>
      <w:pPr>
        <w:spacing w:before="80" w:after="120"/>
        <w:jc w:val="both"/>
      </w:pPr>
      <w:r>
        <w:rPr>
          <w:rFonts w:ascii="Arial" w:cs="Arial" w:eastAsia="Arial" w:hAnsi="Arial"/>
          <w:sz w:val="22"/>
          <w:szCs w:val="22"/>
        </w:rPr>
        <w:t xml:space="preserve">CPNX (cpnx.com) is the independent credentialing authority for the ChronX Protocol ecosystem. CPNX issues two tiers of identity badges. Tier 1 Foundation badges are recorded permanently on-chain via TYPE L transactions, signed by a Foundation-bonded agent, and cannot be removed by any party. Tier 2 Partner badges are issued by CPNX via authenticated API and reflect current status — revocable and appropriate for dynamic credentials such as gaming performance tiers or partner affiliation. CPNX is a third-party builder, not a bonded protocol partner. Badges carry no KX value and confer no protocol rights. They are a lightweight, opt-in identity layer that enriches the human context of on-chain promises without requiring personal data on the public ledger.</w:t>
      </w:r>
    </w:p>
    <w:p>
      <w:r>
        <w:br w:type="page"/>
      </w:r>
    </w:p>
    <w:p>
      <w:pPr>
        <w:pStyle w:val="Heading1"/>
        <w:spacing w:before="360" w:after="120"/>
      </w:pPr>
      <w:r>
        <w:rPr>
          <w:rFonts w:ascii="Arial" w:cs="Arial" w:eastAsia="Arial" w:hAnsi="Arial"/>
          <w:b/>
          <w:bCs/>
          <w:sz w:val="32"/>
          <w:szCs w:val="32"/>
        </w:rPr>
        <w:t xml:space="preserve">5. Credit on ChronX</w:t>
      </w:r>
    </w:p>
    <w:p>
      <w:pPr>
        <w:spacing w:before="160" w:after="160"/>
        <w:ind w:left="720" w:right="720"/>
        <w:jc w:val="center"/>
      </w:pPr>
      <w:r>
        <w:rPr>
          <w:rFonts w:ascii="Georgia" w:cs="Georgia" w:eastAsia="Georgia" w:hAnsi="Georgia"/>
          <w:i/>
          <w:iCs/>
          <w:color w:val="C9A84C"/>
          <w:sz w:val="22"/>
          <w:szCs w:val="22"/>
        </w:rPr>
        <w:t xml:space="preserve">"ChronX does not create credit. ChronX makes the repayment of credit inevitable — on-chain."</w:t>
      </w:r>
    </w:p>
    <w:p>
      <w:pPr>
        <w:spacing w:before="80" w:after="120"/>
        <w:jc w:val="both"/>
      </w:pPr>
      <w:r>
        <w:rPr>
          <w:rFonts w:ascii="Arial" w:cs="Arial" w:eastAsia="Arial" w:hAnsi="Arial"/>
          <w:sz w:val="22"/>
          <w:szCs w:val="22"/>
        </w:rPr>
        <w:t xml:space="preserve">ChronX is not a lending platform. It does not originate loans, set rates, or make credit decisions. What ChronX provides is the enforcement infrastructure for any credit agreement that two parties choose to make between themselves.</w:t>
      </w:r>
    </w:p>
    <w:p>
      <w:pPr>
        <w:pStyle w:val="Heading2"/>
        <w:spacing w:before="280" w:after="80"/>
      </w:pPr>
      <w:r>
        <w:rPr>
          <w:rFonts w:ascii="Arial" w:cs="Arial" w:eastAsia="Arial" w:hAnsi="Arial"/>
          <w:b/>
          <w:bCs/>
          <w:sz w:val="26"/>
          <w:szCs w:val="26"/>
        </w:rPr>
        <w:t xml:space="preserve">5.1 The Two-Step Protocol</w:t>
      </w:r>
    </w:p>
    <w:p>
      <w:pPr>
        <w:spacing w:before="80" w:after="120"/>
        <w:jc w:val="both"/>
      </w:pPr>
      <w:r>
        <w:rPr>
          <w:rFonts w:ascii="Arial" w:cs="Arial" w:eastAsia="Arial" w:hAnsi="Arial"/>
          <w:sz w:val="22"/>
          <w:szCs w:val="22"/>
        </w:rPr>
        <w:t xml:space="preserve">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pPr>
        <w:spacing w:before="80" w:after="120"/>
        <w:jc w:val="both"/>
      </w:pPr>
      <w:r>
        <w:rPr>
          <w:rFonts w:ascii="Arial" w:cs="Arial" w:eastAsia="Arial" w:hAnsi="Arial"/>
          <w:sz w:val="22"/>
          <w:szCs w:val="22"/>
        </w:rPr>
        <w:t xml:space="preserve">Once active, the node enforces the payment schedule automatically. The complete loan history — every payment, every default, every resolution — is permanently recorded on the blockchain. A future lender querying a wallet address sees the unedited truth. Nothing can be backdated or disputed.</w:t>
      </w:r>
    </w:p>
    <w:p>
      <w:pPr>
        <w:pStyle w:val="Heading2"/>
        <w:spacing w:before="280" w:after="80"/>
      </w:pPr>
      <w:r>
        <w:rPr>
          <w:rFonts w:ascii="Arial" w:cs="Arial" w:eastAsia="Arial" w:hAnsi="Arial"/>
          <w:b/>
          <w:bCs/>
          <w:sz w:val="26"/>
          <w:szCs w:val="26"/>
        </w:rPr>
        <w:t xml:space="preserve">5.2 Loan Types</w:t>
      </w:r>
    </w:p>
    <w:p>
      <w:pPr>
        <w:spacing w:before="80" w:after="120"/>
        <w:jc w:val="both"/>
      </w:pPr>
      <w:r>
        <w:rPr>
          <w:rFonts w:ascii="Arial" w:cs="Arial" w:eastAsia="Arial" w:hAnsi="Arial"/>
          <w:sz w:val="22"/>
          <w:szCs w:val="22"/>
        </w:rPr>
        <w:t xml:space="preserve">ChronX supports two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a rate cap is exceeded, or a defined oracle condition fails.</w:t>
      </w:r>
    </w:p>
    <w:p>
      <w:pPr>
        <w:spacing w:before="80" w:after="120"/>
        <w:jc w:val="both"/>
      </w:pPr>
      <w:r>
        <w:rPr>
          <w:rFonts w:ascii="Arial" w:cs="Arial" w:eastAsia="Arial" w:hAnsi="Arial"/>
          <w:sz w:val="22"/>
          <w:szCs w:val="22"/>
        </w:rPr>
        <w:t xml:space="preserve">Both types support PAY_AS denomination, meaning a loan can be denominated in USD, BTC, KX, or any governance-approved currency and settled in the recipient's preferred currency at each payment date via XChan.</w:t>
      </w:r>
    </w:p>
    <w:p>
      <w:pPr>
        <w:pStyle w:val="Heading2"/>
        <w:spacing w:before="280" w:after="80"/>
      </w:pPr>
      <w:r>
        <w:rPr>
          <w:rFonts w:ascii="Arial" w:cs="Arial" w:eastAsia="Arial" w:hAnsi="Arial"/>
          <w:b/>
          <w:bCs/>
          <w:sz w:val="26"/>
          <w:szCs w:val="26"/>
        </w:rPr>
        <w:t xml:space="preserve">5.3 DefaultRecord and LenderMemo</w:t>
      </w:r>
    </w:p>
    <w:p>
      <w:pPr>
        <w:spacing w:before="80" w:after="120"/>
        <w:jc w:val="both"/>
      </w:pPr>
      <w:r>
        <w:rPr>
          <w:rFonts w:ascii="Arial" w:cs="Arial" w:eastAsia="Arial" w:hAnsi="Arial"/>
          <w:sz w:val="22"/>
          <w:szCs w:val="22"/>
        </w:rPr>
        <w:t xml:space="preserve">When a payment is missed beyond the grace period, the node publishes a DefaultRecord — a permanent, cryptographically signed, publicly visible record of the default date and outstanding balance. This record cannot be deleted.</w:t>
      </w:r>
    </w:p>
    <w:p>
      <w:pPr>
        <w:spacing w:before="80" w:after="120"/>
        <w:jc w:val="both"/>
      </w:pPr>
      <w:r>
        <w:rPr>
          <w:rFonts w:ascii="Arial" w:cs="Arial" w:eastAsia="Arial" w:hAnsi="Arial"/>
          <w:sz w:val="22"/>
          <w:szCs w:val="22"/>
        </w:rPr>
        <w:t xml:space="preserve">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pPr>
        <w:pStyle w:val="Heading2"/>
        <w:spacing w:before="280" w:after="80"/>
      </w:pPr>
      <w:r>
        <w:rPr>
          <w:rFonts w:ascii="Arial" w:cs="Arial" w:eastAsia="Arial" w:hAnsi="Arial"/>
          <w:b/>
          <w:bCs/>
          <w:sz w:val="26"/>
          <w:szCs w:val="26"/>
        </w:rPr>
        <w:t xml:space="preserve">5.4 The Credit Record of the Future</w:t>
      </w:r>
    </w:p>
    <w:p>
      <w:pPr>
        <w:spacing w:before="80" w:after="120"/>
        <w:jc w:val="both"/>
      </w:pPr>
      <w:r>
        <w:rPr>
          <w:rFonts w:ascii="Arial" w:cs="Arial" w:eastAsia="Arial" w:hAnsi="Arial"/>
          <w:sz w:val="22"/>
          <w:szCs w:val="22"/>
        </w:rPr>
        <w:t xml:space="preserve">Every loan on ChronX creates a permanent, portable, cryptographically verified credit history attached to the borrower's wallet address. This history is readable by any future lender, anywhere in the world, without a credit bureau, without a data broker, and without a reporting delay. It is simply the truth, on-chain, always available.</w:t>
      </w:r>
    </w:p>
    <w:p>
      <w:r>
        <w:br w:type="page"/>
      </w:r>
    </w:p>
    <w:p>
      <w:pPr>
        <w:pStyle w:val="Heading1"/>
        <w:spacing w:before="360" w:after="120"/>
      </w:pPr>
      <w:r>
        <w:rPr>
          <w:rFonts w:ascii="Arial" w:cs="Arial" w:eastAsia="Arial" w:hAnsi="Arial"/>
          <w:b/>
          <w:bCs/>
          <w:sz w:val="32"/>
          <w:szCs w:val="32"/>
        </w:rPr>
        <w:t xml:space="preserve">6. Privacy: Encrypted by Default, Auditable by Choice</w:t>
      </w:r>
    </w:p>
    <w:p>
      <w:pPr>
        <w:spacing w:before="80" w:after="120"/>
        <w:jc w:val="both"/>
      </w:pPr>
      <w:r>
        <w:rPr>
          <w:rFonts w:ascii="Arial" w:cs="Arial" w:eastAsia="Arial" w:hAnsi="Arial"/>
          <w:sz w:val="22"/>
          <w:szCs w:val="22"/>
        </w:rPr>
        <w:t xml:space="preserve">Bitcoin publishes every transaction detail — amounts, addresses, and any attached data — permanently and publicly to anyone who looks. ChronX takes a different approach.</w:t>
      </w:r>
    </w:p>
    <w:p>
      <w:pPr>
        <w:spacing w:before="80" w:after="120"/>
        <w:jc w:val="both"/>
      </w:pPr>
      <w:r>
        <w:rPr>
          <w:rFonts w:ascii="Arial" w:cs="Arial" w:eastAsia="Arial" w:hAnsi="Arial"/>
          <w:sz w:val="22"/>
          <w:szCs w:val="22"/>
        </w:rPr>
        <w:t xml:space="preserve">Every memo on ChronX is encrypted by default. The note attached to a promise or payment is visible only to the recipient. The blockchain records that a promise exists and was fulfilled. The details between the parties belong to them.</w:t>
      </w:r>
    </w:p>
    <w:p>
      <w:pPr>
        <w:spacing w:before="80" w:after="120"/>
        <w:jc w:val="both"/>
      </w:pPr>
      <w:r>
        <w:rPr>
          <w:rFonts w:ascii="Arial" w:cs="Arial" w:eastAsia="Arial" w:hAnsi="Arial"/>
          <w:sz w:val="22"/>
          <w:szCs w:val="22"/>
        </w:rPr>
        <w:t xml:space="preserve">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pPr>
        <w:pStyle w:val="Heading2"/>
        <w:spacing w:before="280" w:after="80"/>
      </w:pPr>
      <w:r>
        <w:rPr>
          <w:rFonts w:ascii="Arial" w:cs="Arial" w:eastAsia="Arial" w:hAnsi="Arial"/>
          <w:b/>
          <w:bCs/>
          <w:sz w:val="26"/>
          <w:szCs w:val="26"/>
        </w:rPr>
        <w:t xml:space="preserve">6.1 Voluntary Public Disclosure</w:t>
      </w:r>
    </w:p>
    <w:p>
      <w:pPr>
        <w:spacing w:before="80" w:after="120"/>
        <w:jc w:val="both"/>
      </w:pPr>
      <w:r>
        <w:rPr>
          <w:rFonts w:ascii="Arial" w:cs="Arial" w:eastAsia="Arial" w:hAnsi="Arial"/>
          <w:sz w:val="22"/>
          <w:szCs w:val="22"/>
        </w:rPr>
        <w:t xml:space="preserve">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pPr>
        <w:spacing w:before="80" w:after="120"/>
        <w:jc w:val="both"/>
      </w:pPr>
      <w:r>
        <w:rPr>
          <w:rFonts w:ascii="Arial" w:cs="Arial" w:eastAsia="Arial" w:hAnsi="Arial"/>
          <w:sz w:val="22"/>
          <w:szCs w:val="22"/>
        </w:rPr>
        <w:t xml:space="preserve">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pPr>
        <w:spacing w:before="80" w:after="120"/>
        <w:jc w:val="both"/>
      </w:pPr>
      <w:r>
        <w:rPr>
          <w:rFonts w:ascii="Arial" w:cs="Arial" w:eastAsia="Arial" w:hAnsi="Arial"/>
          <w:sz w:val="22"/>
          <w:szCs w:val="22"/>
        </w:rPr>
        <w:t xml:space="preserve">This creates a privacy hierarchy that no prior blockchain offers. Individual users get privacy by default. Verified institutions get public auditability by choice. The protocol enforces both without compromise.</w:t>
      </w:r>
    </w:p>
    <w:p>
      <w:pPr>
        <w:pStyle w:val="Heading2"/>
        <w:spacing w:before="280" w:after="80"/>
      </w:pPr>
      <w:r>
        <w:rPr>
          <w:rFonts w:ascii="Arial" w:cs="Arial" w:eastAsia="Arial" w:hAnsi="Arial"/>
          <w:b/>
          <w:bCs/>
          <w:sz w:val="26"/>
          <w:szCs w:val="26"/>
        </w:rPr>
        <w:t xml:space="preserve">6.2 Long-Horizon Privacy</w:t>
      </w:r>
    </w:p>
    <w:p>
      <w:pPr>
        <w:spacing w:before="80" w:after="120"/>
        <w:jc w:val="both"/>
      </w:pPr>
      <w:r>
        <w:rPr>
          <w:rFonts w:ascii="Arial" w:cs="Arial" w:eastAsia="Arial" w:hAnsi="Arial"/>
          <w:sz w:val="22"/>
          <w:szCs w:val="22"/>
        </w:rPr>
        <w:t xml:space="preserve">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r>
        <w:br w:type="page"/>
      </w:r>
    </w:p>
    <w:p>
      <w:pPr>
        <w:pStyle w:val="Heading1"/>
        <w:spacing w:before="360" w:after="120"/>
      </w:pPr>
      <w:r>
        <w:rPr>
          <w:rFonts w:ascii="Arial" w:cs="Arial" w:eastAsia="Arial" w:hAnsi="Arial"/>
          <w:b/>
          <w:bCs/>
          <w:sz w:val="32"/>
          <w:szCs w:val="32"/>
        </w:rPr>
        <w:t xml:space="preserve">7. The Axioms</w:t>
      </w:r>
    </w:p>
    <w:p>
      <w:pPr>
        <w:spacing w:before="80" w:after="120"/>
        <w:jc w:val="both"/>
      </w:pPr>
      <w:r>
        <w:rPr>
          <w:rFonts w:ascii="Arial" w:cs="Arial" w:eastAsia="Arial" w:hAnsi="Arial"/>
          <w:sz w:val="22"/>
          <w:szCs w:val="22"/>
        </w:rPr>
        <w:t xml:space="preserve">Two sets of axioms govern ChronX. Both are encoded immutably at genesis. They cannot be altered by any person, governance body, software update, or court order. They are the protocol's constitution.</w:t>
      </w:r>
    </w:p>
    <w:p>
      <w:pPr>
        <w:pStyle w:val="Heading2"/>
        <w:spacing w:before="280" w:after="80"/>
      </w:pPr>
      <w:r>
        <w:rPr>
          <w:rFonts w:ascii="Arial" w:cs="Arial" w:eastAsia="Arial" w:hAnsi="Arial"/>
          <w:b/>
          <w:bCs/>
          <w:sz w:val="26"/>
          <w:szCs w:val="26"/>
        </w:rPr>
        <w:t xml:space="preserve">7.1 The Promise Axioms</w:t>
      </w:r>
    </w:p>
    <w:p>
      <w:pPr>
        <w:spacing w:before="80" w:after="120"/>
        <w:jc w:val="both"/>
      </w:pPr>
      <w:r>
        <w:rPr>
          <w:rFonts w:ascii="Arial" w:cs="Arial" w:eastAsia="Arial" w:hAnsi="Arial"/>
          <w:b/>
          <w:bCs/>
          <w:sz w:val="22"/>
          <w:szCs w:val="22"/>
        </w:rPr>
        <w:t xml:space="preserve">Intent Is the Master. </w:t>
      </w:r>
      <w:r>
        <w:rPr>
          <w:rFonts w:ascii="Arial" w:cs="Arial" w:eastAsia="Arial" w:hAnsi="Arial"/>
          <w:sz w:val="22"/>
          <w:szCs w:val="22"/>
        </w:rPr>
        <w:t xml:space="preserve">The grantor's intent is the master. Once a promise is made and the cancellation window closes, it is irrevocable. No person, institution, or governance body can recall it.</w:t>
      </w:r>
    </w:p>
    <w:p>
      <w:pPr>
        <w:spacing w:before="80" w:after="120"/>
        <w:jc w:val="both"/>
      </w:pPr>
      <w:r>
        <w:rPr>
          <w:rFonts w:ascii="Arial" w:cs="Arial" w:eastAsia="Arial" w:hAnsi="Arial"/>
          <w:b/>
          <w:bCs/>
          <w:sz w:val="22"/>
          <w:szCs w:val="22"/>
        </w:rPr>
        <w:t xml:space="preserve">Funds Are Never Lost. </w:t>
      </w:r>
      <w:r>
        <w:rPr>
          <w:rFonts w:ascii="Arial" w:cs="Arial" w:eastAsia="Arial" w:hAnsi="Arial"/>
          <w:sz w:val="22"/>
          <w:szCs w:val="22"/>
        </w:rPr>
        <w:t xml:space="preserve">Promised funds are never lost. Unclaimed within 90 days of maturity: held by the Verified Delivery Protocol. Unclaimed for 100 years beyond maturity: transferred to the Humanity Stake, governed for the benefit of all.</w:t>
      </w:r>
    </w:p>
    <w:p>
      <w:pPr>
        <w:spacing w:before="80" w:after="120"/>
        <w:jc w:val="both"/>
      </w:pPr>
      <w:r>
        <w:rPr>
          <w:rFonts w:ascii="Arial" w:cs="Arial" w:eastAsia="Arial" w:hAnsi="Arial"/>
          <w:b/>
          <w:bCs/>
          <w:sz w:val="22"/>
          <w:szCs w:val="22"/>
        </w:rPr>
        <w:t xml:space="preserve">The Protocol Enforces Delivery. </w:t>
      </w:r>
      <w:r>
        <w:rPr>
          <w:rFonts w:ascii="Arial" w:cs="Arial" w:eastAsia="Arial" w:hAnsi="Arial"/>
          <w:sz w:val="22"/>
          <w:szCs w:val="22"/>
        </w:rPr>
        <w:t xml:space="preserve">No custodian, no lawyer, no intermediary is required for a promise between a sender and a reachable recipient. The blockchain is the contract.</w:t>
      </w:r>
    </w:p>
    <w:p>
      <w:pPr>
        <w:spacing w:before="80" w:after="120"/>
        <w:jc w:val="both"/>
      </w:pPr>
      <w:r>
        <w:rPr>
          <w:rFonts w:ascii="Arial" w:cs="Arial" w:eastAsia="Arial" w:hAnsi="Arial"/>
          <w:b/>
          <w:bCs/>
          <w:sz w:val="22"/>
          <w:szCs w:val="22"/>
        </w:rPr>
        <w:t xml:space="preserve">The Law. </w:t>
      </w:r>
      <w:r>
        <w:rPr>
          <w:rFonts w:ascii="Arial" w:cs="Arial" w:eastAsia="Arial" w:hAnsi="Arial"/>
          <w:sz w:val="22"/>
          <w:szCs w:val="22"/>
        </w:rPr>
        <w:t xml:space="preserve">All promises and their fulfillment remain subject to the laws of applicable jurisdictions.</w:t>
      </w:r>
    </w:p>
    <w:p>
      <w:pPr>
        <w:spacing w:before="80" w:after="0"/>
      </w:pPr>
    </w:p>
    <w:p>
      <w:pPr>
        <w:pStyle w:val="Heading2"/>
        <w:spacing w:before="280" w:after="80"/>
      </w:pPr>
      <w:r>
        <w:rPr>
          <w:rFonts w:ascii="Arial" w:cs="Arial" w:eastAsia="Arial" w:hAnsi="Arial"/>
          <w:b/>
          <w:bCs/>
          <w:sz w:val="26"/>
          <w:szCs w:val="26"/>
        </w:rPr>
        <w:t xml:space="preserve">7.2 The AI Agent Axioms</w:t>
      </w:r>
    </w:p>
    <w:p>
      <w:pPr>
        <w:spacing w:before="80" w:after="120"/>
        <w:jc w:val="both"/>
      </w:pPr>
      <w:r>
        <w:rPr>
          <w:rFonts w:ascii="Arial" w:cs="Arial" w:eastAsia="Arial" w:hAnsi="Arial"/>
          <w:b/>
          <w:bCs/>
          <w:sz w:val="22"/>
          <w:szCs w:val="22"/>
        </w:rPr>
        <w:t xml:space="preserve">Mandate. </w:t>
      </w:r>
      <w:r>
        <w:rPr>
          <w:rFonts w:ascii="Arial" w:cs="Arial" w:eastAsia="Arial" w:hAnsi="Arial"/>
          <w:sz w:val="22"/>
          <w:szCs w:val="22"/>
        </w:rPr>
        <w:t xml:space="preserve">The grantor's intent, once encoded, is carried forward by autonomous software. Algorithms may evolve. The intent does not.</w:t>
      </w:r>
    </w:p>
    <w:p>
      <w:pPr>
        <w:spacing w:before="80" w:after="120"/>
        <w:jc w:val="both"/>
      </w:pPr>
      <w:r>
        <w:rPr>
          <w:rFonts w:ascii="Arial" w:cs="Arial" w:eastAsia="Arial" w:hAnsi="Arial"/>
          <w:b/>
          <w:bCs/>
          <w:sz w:val="22"/>
          <w:szCs w:val="22"/>
        </w:rPr>
        <w:t xml:space="preserve">Transparency. </w:t>
      </w:r>
      <w:r>
        <w:rPr>
          <w:rFonts w:ascii="Arial" w:cs="Arial" w:eastAsia="Arial" w:hAnsi="Arial"/>
          <w:sz w:val="22"/>
          <w:szCs w:val="22"/>
        </w:rPr>
        <w:t xml:space="preserve">An AI agent must commit to a permanent public record before acting. Every decision is publicly verifiable. There are no private actions.</w:t>
      </w:r>
    </w:p>
    <w:p>
      <w:pPr>
        <w:spacing w:before="80" w:after="120"/>
        <w:jc w:val="both"/>
      </w:pPr>
      <w:r>
        <w:rPr>
          <w:rFonts w:ascii="Arial" w:cs="Arial" w:eastAsia="Arial" w:hAnsi="Arial"/>
          <w:b/>
          <w:bCs/>
          <w:sz w:val="22"/>
          <w:szCs w:val="22"/>
        </w:rPr>
        <w:t xml:space="preserve">Risk. </w:t>
      </w:r>
      <w:r>
        <w:rPr>
          <w:rFonts w:ascii="Arial" w:cs="Arial" w:eastAsia="Arial" w:hAnsi="Arial"/>
          <w:sz w:val="22"/>
          <w:szCs w:val="22"/>
        </w:rPr>
        <w:t xml:space="preserve">The grantor acknowledges that AI management may result in gains or losses up to and including total loss.</w:t>
      </w:r>
    </w:p>
    <w:p>
      <w:pPr>
        <w:spacing w:before="80" w:after="120"/>
        <w:jc w:val="both"/>
      </w:pPr>
      <w:r>
        <w:rPr>
          <w:rFonts w:ascii="Arial" w:cs="Arial" w:eastAsia="Arial" w:hAnsi="Arial"/>
          <w:b/>
          <w:bCs/>
          <w:sz w:val="22"/>
          <w:szCs w:val="22"/>
        </w:rPr>
        <w:t xml:space="preserve">Separation. </w:t>
      </w:r>
      <w:r>
        <w:rPr>
          <w:rFonts w:ascii="Arial" w:cs="Arial" w:eastAsia="Arial" w:hAnsi="Arial"/>
          <w:sz w:val="22"/>
          <w:szCs w:val="22"/>
        </w:rPr>
        <w:t xml:space="preserve">The agent that decides does not hold funds. The agent that holds does not decide.</w:t>
      </w:r>
    </w:p>
    <w:p>
      <w:pPr>
        <w:spacing w:before="80" w:after="120"/>
        <w:jc w:val="both"/>
      </w:pPr>
      <w:r>
        <w:rPr>
          <w:rFonts w:ascii="Arial" w:cs="Arial" w:eastAsia="Arial" w:hAnsi="Arial"/>
          <w:b/>
          <w:bCs/>
          <w:sz w:val="22"/>
          <w:szCs w:val="22"/>
        </w:rPr>
        <w:t xml:space="preserve">Coordination. </w:t>
      </w:r>
      <w:r>
        <w:rPr>
          <w:rFonts w:ascii="Arial" w:cs="Arial" w:eastAsia="Arial" w:hAnsi="Arial"/>
          <w:sz w:val="22"/>
          <w:szCs w:val="22"/>
        </w:rPr>
        <w:t xml:space="preserve">Before acting, an agent must account for the aggregate effect of similarly situated agents acting on similar instructions.</w:t>
      </w:r>
    </w:p>
    <w:p>
      <w:pPr>
        <w:spacing w:before="80" w:after="120"/>
        <w:jc w:val="both"/>
      </w:pPr>
      <w:r>
        <w:rPr>
          <w:rFonts w:ascii="Arial" w:cs="Arial" w:eastAsia="Arial" w:hAnsi="Arial"/>
          <w:b/>
          <w:bCs/>
          <w:sz w:val="22"/>
          <w:szCs w:val="22"/>
        </w:rPr>
        <w:t xml:space="preserve">The Law. </w:t>
      </w:r>
      <w:r>
        <w:rPr>
          <w:rFonts w:ascii="Arial" w:cs="Arial" w:eastAsia="Arial" w:hAnsi="Arial"/>
          <w:sz w:val="22"/>
          <w:szCs w:val="22"/>
        </w:rPr>
        <w:t xml:space="preserve">All agent actions, mandates, and their fulfillment remain subject to the laws of applicable jurisdictions.</w:t>
      </w:r>
    </w:p>
    <w:p>
      <w:r>
        <w:br w:type="page"/>
      </w:r>
    </w:p>
    <w:p>
      <w:pPr>
        <w:pStyle w:val="Heading1"/>
        <w:spacing w:before="360" w:after="120"/>
      </w:pPr>
      <w:r>
        <w:rPr>
          <w:rFonts w:ascii="Arial" w:cs="Arial" w:eastAsia="Arial" w:hAnsi="Arial"/>
          <w:b/>
          <w:bCs/>
          <w:sz w:val="32"/>
          <w:szCs w:val="32"/>
        </w:rPr>
        <w:t xml:space="preserve">8. Tokenomics</w:t>
      </w:r>
    </w:p>
    <w:p>
      <w:pPr>
        <w:spacing w:before="80" w:after="120"/>
        <w:jc w:val="both"/>
      </w:pPr>
      <w:r>
        <w:rPr>
          <w:rFonts w:ascii="Arial" w:cs="Arial" w:eastAsia="Arial" w:hAnsi="Arial"/>
          <w:sz w:val="22"/>
          <w:szCs w:val="22"/>
        </w:rPr>
        <w:t xml:space="preserve">Total supply: 8,270,000,000 KX. Fixed forever. No inflation, no minting, no burning.</w:t>
      </w:r>
    </w:p>
    <w:p>
      <w:pPr>
        <w:spacing w:before="80" w:after="0"/>
      </w:pP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800"/>
        <w:gridCol w:w="6560"/>
      </w:tblGrid>
      <w:tr>
        <w:tc>
          <w:tcPr>
            <w:tcW w:type="dxa" w:w="2800"/>
            <w:shd w:fill="1A1A2E" w:val="clear"/>
            <w:tcMar>
              <w:top w:type="dxa" w:w="80"/>
              <w:left w:type="dxa" w:w="120"/>
              <w:bottom w:type="dxa" w:w="80"/>
              <w:right w:type="dxa" w:w="120"/>
            </w:tcMar>
          </w:tcPr>
          <w:p>
            <w:r>
              <w:rPr>
                <w:rFonts w:ascii="Arial" w:cs="Arial" w:eastAsia="Arial" w:hAnsi="Arial"/>
                <w:b/>
                <w:bCs/>
                <w:color w:val="C9A84C"/>
                <w:sz w:val="18"/>
                <w:szCs w:val="18"/>
              </w:rPr>
              <w:t xml:space="preserve">Allocation</w:t>
            </w:r>
          </w:p>
        </w:tc>
        <w:tc>
          <w:tcPr>
            <w:tcW w:type="dxa" w:w="6560"/>
            <w:shd w:fill="1A1A2E" w:val="clear"/>
            <w:tcMar>
              <w:top w:type="dxa" w:w="80"/>
              <w:left w:type="dxa" w:w="120"/>
              <w:bottom w:type="dxa" w:w="80"/>
              <w:right w:type="dxa" w:w="120"/>
            </w:tcMar>
          </w:tcPr>
          <w:p>
            <w:r>
              <w:rPr>
                <w:rFonts w:ascii="Arial" w:cs="Arial" w:eastAsia="Arial" w:hAnsi="Arial"/>
                <w:b/>
                <w:bCs/>
                <w:color w:val="C9A84C"/>
                <w:sz w:val="18"/>
                <w:szCs w:val="18"/>
              </w:rPr>
              <w:t xml:space="preserve">Amount (KX)</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Public Sale</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6,093,000,000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Treasury</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Node Rewards</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Founder</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155,000,000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MISAI Bond</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Verifas Bond</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HedgeKX Bond</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XChan Bond</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10,000,000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Humanity Stake</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1,000,000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Protocol Reserve</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500,000</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Milestone 2076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500,000</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Faucet</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3,000,000</w:t>
            </w:r>
          </w:p>
        </w:tc>
      </w:tr>
    </w:tbl>
    <w:p>
      <w:pPr>
        <w:spacing w:before="120" w:after="0"/>
      </w:pPr>
    </w:p>
    <w:p>
      <w:pPr>
        <w:spacing w:before="80" w:after="120"/>
        <w:jc w:val="both"/>
      </w:pPr>
      <w:r>
        <w:rPr>
          <w:rFonts w:ascii="Arial" w:cs="Arial" w:eastAsia="Arial" w:hAnsi="Arial"/>
          <w:sz w:val="22"/>
          <w:szCs w:val="22"/>
        </w:rPr>
        <w:t xml:space="preserve">Treasury and Node Rewards are released in 100 annual harmonic installments from 2029 through 2128. The harmonic schedule ensures early participants receive larger releases while the long-term distribution remains meaningful a century from now. The four ecosystem bonds — MISAI, Verifas, HedgeKX, and XChan — are each 10,000,000 KX, held by their respective organizations as accountability collateral for their protocol roles.</w:t>
      </w:r>
    </w:p>
    <w:p>
      <w:pPr>
        <w:spacing w:before="80" w:after="0"/>
      </w:pPr>
    </w:p>
    <w:p>
      <w:pPr>
        <w:pStyle w:val="Heading2"/>
        <w:spacing w:before="280" w:after="80"/>
      </w:pPr>
      <w:r>
        <w:rPr>
          <w:rFonts w:ascii="Arial" w:cs="Arial" w:eastAsia="Arial" w:hAnsi="Arial"/>
          <w:b/>
          <w:bCs/>
          <w:sz w:val="26"/>
          <w:szCs w:val="26"/>
        </w:rPr>
        <w:t xml:space="preserve">8.1 Pre-ICO and ICO</w:t>
      </w: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800"/>
        <w:gridCol w:w="6560"/>
      </w:tblGrid>
      <w:tr>
        <w:tc>
          <w:tcPr>
            <w:tcW w:type="dxa" w:w="2800"/>
            <w:shd w:fill="1A1A2E" w:val="clear"/>
            <w:tcMar>
              <w:top w:type="dxa" w:w="80"/>
              <w:left w:type="dxa" w:w="120"/>
              <w:bottom w:type="dxa" w:w="80"/>
              <w:right w:type="dxa" w:w="120"/>
            </w:tcMar>
          </w:tcPr>
          <w:p>
            <w:r>
              <w:rPr>
                <w:rFonts w:ascii="Arial" w:cs="Arial" w:eastAsia="Arial" w:hAnsi="Arial"/>
                <w:b/>
                <w:bCs/>
                <w:color w:val="C9A84C"/>
                <w:sz w:val="18"/>
                <w:szCs w:val="18"/>
              </w:rPr>
              <w:t xml:space="preserve">Period</w:t>
            </w:r>
          </w:p>
        </w:tc>
        <w:tc>
          <w:tcPr>
            <w:tcW w:type="dxa" w:w="6560"/>
            <w:shd w:fill="1A1A2E" w:val="clear"/>
            <w:tcMar>
              <w:top w:type="dxa" w:w="80"/>
              <w:left w:type="dxa" w:w="120"/>
              <w:bottom w:type="dxa" w:w="80"/>
              <w:right w:type="dxa" w:w="120"/>
            </w:tcMar>
          </w:tcPr>
          <w:p>
            <w:r>
              <w:rPr>
                <w:rFonts w:ascii="Arial" w:cs="Arial" w:eastAsia="Arial" w:hAnsi="Arial"/>
                <w:b/>
                <w:bCs/>
                <w:color w:val="C9A84C"/>
                <w:sz w:val="18"/>
                <w:szCs w:val="18"/>
              </w:rPr>
              <w:t xml:space="preserve">Price per KX</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Pre-ICO Early (now — June 22, 2026)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$0.001755</w:t>
            </w:r>
          </w:p>
        </w:tc>
      </w:tr>
      <w:tr>
        <w:tc>
          <w:tcPr>
            <w:tcW w:type="dxa" w:w="2800"/>
            <w:shd w:fill="F7F3E8" w:val="clear"/>
            <w:tcMar>
              <w:top w:type="dxa" w:w="80"/>
              <w:left w:type="dxa" w:w="120"/>
              <w:bottom w:type="dxa" w:w="80"/>
              <w:right w:type="dxa" w:w="120"/>
            </w:tcMar>
          </w:tcPr>
          <w:p>
            <w:r>
              <w:rPr>
                <w:rFonts w:ascii="Arial" w:cs="Arial" w:eastAsia="Arial" w:hAnsi="Arial"/>
                <w:b/>
                <w:bCs/>
                <w:color w:val="000000"/>
                <w:sz w:val="18"/>
                <w:szCs w:val="18"/>
              </w:rPr>
              <w:t xml:space="preserve">Pre-ICO Standard (June 22 — Sep 22, 2026)</w:t>
            </w:r>
          </w:p>
        </w:tc>
        <w:tc>
          <w:tcPr>
            <w:tcW w:type="dxa" w:w="6560"/>
            <w:shd w:fill="F7F3E8" w:val="clear"/>
            <w:tcMar>
              <w:top w:type="dxa" w:w="80"/>
              <w:left w:type="dxa" w:w="120"/>
              <w:bottom w:type="dxa" w:w="80"/>
              <w:right w:type="dxa" w:w="120"/>
            </w:tcMar>
          </w:tcPr>
          <w:p>
            <w:r>
              <w:rPr>
                <w:rFonts w:ascii="Arial" w:cs="Arial" w:eastAsia="Arial" w:hAnsi="Arial"/>
                <w:b/>
                <w:bCs/>
                <w:color w:val="000000"/>
                <w:sz w:val="18"/>
                <w:szCs w:val="18"/>
              </w:rPr>
              <w:t xml:space="preserve">$0.002297</w:t>
            </w:r>
          </w:p>
        </w:tc>
      </w:tr>
      <w:tr>
        <w:tc>
          <w:tcPr>
            <w:tcW w:type="dxa" w:w="2800"/>
            <w:shd w:fill="FFFFFF" w:val="clear"/>
            <w:tcMar>
              <w:top w:type="dxa" w:w="80"/>
              <w:left w:type="dxa" w:w="120"/>
              <w:bottom w:type="dxa" w:w="80"/>
              <w:right w:type="dxa" w:w="120"/>
            </w:tcMar>
          </w:tcPr>
          <w:p>
            <w:r>
              <w:rPr>
                <w:rFonts w:ascii="Arial" w:cs="Arial" w:eastAsia="Arial" w:hAnsi="Arial"/>
                <w:b/>
                <w:bCs/>
                <w:color w:val="000000"/>
                <w:sz w:val="18"/>
                <w:szCs w:val="18"/>
              </w:rPr>
              <w:t xml:space="preserve">ICO (September 22, 2026)</w:t>
            </w:r>
          </w:p>
        </w:tc>
        <w:tc>
          <w:tcPr>
            <w:tcW w:type="dxa" w:w="6560"/>
            <w:shd w:fill="FFFFFF" w:val="clear"/>
            <w:tcMar>
              <w:top w:type="dxa" w:w="80"/>
              <w:left w:type="dxa" w:w="120"/>
              <w:bottom w:type="dxa" w:w="80"/>
              <w:right w:type="dxa" w:w="120"/>
            </w:tcMar>
          </w:tcPr>
          <w:p>
            <w:r>
              <w:rPr>
                <w:rFonts w:ascii="Arial" w:cs="Arial" w:eastAsia="Arial" w:hAnsi="Arial"/>
                <w:b/>
                <w:bCs/>
                <w:color w:val="000000"/>
                <w:sz w:val="18"/>
                <w:szCs w:val="18"/>
              </w:rPr>
              <w:t xml:space="preserve">$0.00319</w:t>
            </w:r>
          </w:p>
        </w:tc>
      </w:tr>
    </w:tbl>
    <w:p>
      <w:pPr>
        <w:spacing w:before="120" w:after="0"/>
      </w:pPr>
    </w:p>
    <w:p>
      <w:pPr>
        <w:spacing w:before="80" w:after="120"/>
        <w:jc w:val="both"/>
      </w:pPr>
      <w:r>
        <w:rPr>
          <w:rFonts w:ascii="Arial" w:cs="Arial" w:eastAsia="Arial" w:hAnsi="Arial"/>
          <w:sz w:val="22"/>
          <w:szCs w:val="22"/>
        </w:rPr>
        <w:t xml:space="preserve">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r>
        <w:br w:type="page"/>
      </w:r>
    </w:p>
    <w:p>
      <w:pPr>
        <w:pStyle w:val="Heading1"/>
        <w:spacing w:before="360" w:after="120"/>
      </w:pPr>
      <w:r>
        <w:rPr>
          <w:rFonts w:ascii="Arial" w:cs="Arial" w:eastAsia="Arial" w:hAnsi="Arial"/>
          <w:b/>
          <w:bCs/>
          <w:sz w:val="32"/>
          <w:szCs w:val="32"/>
        </w:rPr>
        <w:t xml:space="preserve">9. Roadmap</w:t>
      </w: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1800"/>
        <w:gridCol w:w="1800"/>
        <w:gridCol w:w="5760"/>
      </w:tblGrid>
      <w:tr>
        <w:tc>
          <w:tcPr>
            <w:tcW w:type="dxa" w:w="1800"/>
            <w:shd w:fill="1A1A2E" w:val="clear"/>
            <w:tcMar>
              <w:top w:type="dxa" w:w="80"/>
              <w:left w:type="dxa" w:w="120"/>
              <w:bottom w:type="dxa" w:w="80"/>
              <w:right w:type="dxa" w:w="120"/>
            </w:tcMar>
          </w:tcPr>
          <w:p>
            <w:r>
              <w:rPr>
                <w:rFonts w:ascii="Arial" w:cs="Arial" w:eastAsia="Arial" w:hAnsi="Arial"/>
                <w:b/>
                <w:bCs/>
                <w:color w:val="C9A84C"/>
                <w:sz w:val="18"/>
                <w:szCs w:val="18"/>
              </w:rPr>
              <w:t xml:space="preserve">Milestone</w:t>
            </w:r>
          </w:p>
        </w:tc>
        <w:tc>
          <w:tcPr>
            <w:tcW w:type="dxa" w:w="1800"/>
            <w:shd w:fill="1A1A2E" w:val="clear"/>
            <w:tcMar>
              <w:top w:type="dxa" w:w="80"/>
              <w:left w:type="dxa" w:w="120"/>
              <w:bottom w:type="dxa" w:w="80"/>
              <w:right w:type="dxa" w:w="120"/>
            </w:tcMar>
          </w:tcPr>
          <w:p>
            <w:r>
              <w:rPr>
                <w:rFonts w:ascii="Arial" w:cs="Arial" w:eastAsia="Arial" w:hAnsi="Arial"/>
                <w:b/>
                <w:bCs/>
                <w:color w:val="C9A84C"/>
                <w:sz w:val="18"/>
                <w:szCs w:val="18"/>
              </w:rPr>
              <w:t xml:space="preserve">Status</w:t>
            </w:r>
          </w:p>
        </w:tc>
        <w:tc>
          <w:tcPr>
            <w:tcW w:type="dxa" w:w="5760"/>
            <w:shd w:fill="1A1A2E"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Genesis 10</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Live — March 2026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Complete loan and credit infrastructure. First revolving loan accepted March 21, 2026.</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Wallet v2.5.x</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Live — March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iOS, Android, Windows. Loans tab, Activity tab, biometric login, seed phrases.</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Pre-ICO</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Open now</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Accredited investors. De minimis retail access via XChan.</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ICO</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Sep 22,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$0.00319/KX. Autumnal Equinox.</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HedgeKX Launch</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Q4 2026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Peer-to-peer currency risk marketplace live at hedgekx.io.</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MISAI Beta</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Q4 2026</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AI investment mandates and loan servicing automation.</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Verifas Network</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2027+</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Bonded human attestor network for long-horizon delivery.</w:t>
            </w:r>
          </w:p>
        </w:tc>
      </w:tr>
      <w:tr>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Node Rewards</w:t>
            </w:r>
          </w:p>
        </w:tc>
        <w:tc>
          <w:tcPr>
            <w:tcW w:type="dxa" w:w="1800"/>
            <w:shd w:fill="F7F3E8" w:val="clear"/>
            <w:tcMar>
              <w:top w:type="dxa" w:w="80"/>
              <w:left w:type="dxa" w:w="120"/>
              <w:bottom w:type="dxa" w:w="80"/>
              <w:right w:type="dxa" w:w="120"/>
            </w:tcMar>
          </w:tcPr>
          <w:p>
            <w:r>
              <w:rPr>
                <w:rFonts w:ascii="Arial" w:cs="Arial" w:eastAsia="Arial" w:hAnsi="Arial"/>
                <w:b/>
                <w:bCs/>
                <w:color w:val="000000"/>
                <w:sz w:val="18"/>
                <w:szCs w:val="18"/>
              </w:rPr>
              <w:t xml:space="preserve">Jan 1, 2029</w:t>
            </w:r>
          </w:p>
        </w:tc>
        <w:tc>
          <w:tcPr>
            <w:tcW w:type="dxa" w:w="5760"/>
            <w:shd w:fill="F7F3E8" w:val="clear"/>
            <w:tcMar>
              <w:top w:type="dxa" w:w="80"/>
              <w:left w:type="dxa" w:w="120"/>
              <w:bottom w:type="dxa" w:w="80"/>
              <w:right w:type="dxa" w:w="120"/>
            </w:tcMar>
          </w:tcPr>
          <w:p>
            <w:r>
              <w:rPr>
                <w:rFonts w:ascii="Arial" w:cs="Arial" w:eastAsia="Arial" w:hAnsi="Arial"/>
                <w:b/>
                <w:bCs/>
                <w:color w:val="000000"/>
                <w:sz w:val="18"/>
                <w:szCs w:val="18"/>
              </w:rPr>
              <w:t xml:space="preserve">First harmonic release of node operator rewards.</w:t>
            </w:r>
          </w:p>
        </w:tc>
      </w:tr>
      <w:tr>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Milestone 2076</w:t>
            </w:r>
          </w:p>
        </w:tc>
        <w:tc>
          <w:tcPr>
            <w:tcW w:type="dxa" w:w="1800"/>
            <w:shd w:fill="FFFFFF" w:val="clear"/>
            <w:tcMar>
              <w:top w:type="dxa" w:w="80"/>
              <w:left w:type="dxa" w:w="120"/>
              <w:bottom w:type="dxa" w:w="80"/>
              <w:right w:type="dxa" w:w="120"/>
            </w:tcMar>
          </w:tcPr>
          <w:p>
            <w:r>
              <w:rPr>
                <w:rFonts w:ascii="Arial" w:cs="Arial" w:eastAsia="Arial" w:hAnsi="Arial"/>
                <w:b/>
                <w:bCs/>
                <w:color w:val="000000"/>
                <w:sz w:val="18"/>
                <w:szCs w:val="18"/>
              </w:rPr>
              <w:t xml:space="preserve">2076</w:t>
            </w:r>
          </w:p>
        </w:tc>
        <w:tc>
          <w:tcPr>
            <w:tcW w:type="dxa" w:w="5760"/>
            <w:shd w:fill="FFFFFF" w:val="clear"/>
            <w:tcMar>
              <w:top w:type="dxa" w:w="80"/>
              <w:left w:type="dxa" w:w="120"/>
              <w:bottom w:type="dxa" w:w="80"/>
              <w:right w:type="dxa" w:w="120"/>
            </w:tcMar>
          </w:tcPr>
          <w:p>
            <w:r>
              <w:rPr>
                <w:rFonts w:ascii="Arial" w:cs="Arial" w:eastAsia="Arial" w:hAnsi="Arial"/>
                <w:b/>
                <w:bCs/>
                <w:color w:val="000000"/>
                <w:sz w:val="18"/>
                <w:szCs w:val="18"/>
              </w:rPr>
              <w:t xml:space="preserve">50-year protocol milestone. 500,000 KX released.</w:t>
            </w:r>
          </w:p>
        </w:tc>
      </w:tr>
    </w:tbl>
    <w:p>
      <w:r>
        <w:br w:type="page"/>
      </w:r>
    </w:p>
    <w:p>
      <w:pPr>
        <w:pStyle w:val="Heading1"/>
        <w:spacing w:before="360" w:after="120"/>
      </w:pPr>
      <w:r>
        <w:rPr>
          <w:rFonts w:ascii="Arial" w:cs="Arial" w:eastAsia="Arial" w:hAnsi="Arial"/>
          <w:b/>
          <w:bCs/>
          <w:sz w:val="32"/>
          <w:szCs w:val="32"/>
        </w:rPr>
        <w:t xml:space="preserve">10. Legal and Regulatory Considerations</w:t>
      </w:r>
    </w:p>
    <w:p>
      <w:pPr>
        <w:spacing w:before="80" w:after="120"/>
        <w:jc w:val="both"/>
      </w:pPr>
      <w:r>
        <w:rPr>
          <w:rFonts w:ascii="Arial" w:cs="Arial" w:eastAsia="Arial" w:hAnsi="Arial"/>
          <w:sz w:val="22"/>
          <w:szCs w:val="22"/>
        </w:rPr>
        <w:t xml:space="preserve">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pPr>
        <w:spacing w:before="80" w:after="120"/>
        <w:jc w:val="both"/>
      </w:pPr>
      <w:r>
        <w:rPr>
          <w:rFonts w:ascii="Arial" w:cs="Arial" w:eastAsia="Arial" w:hAnsi="Arial"/>
          <w:sz w:val="22"/>
          <w:szCs w:val="22"/>
        </w:rPr>
        <w:t xml:space="preserve">The ICO is generally being offered to accredited investors. De minimis access is available to retail participants via XChan for protocol exploration purposes only.</w:t>
      </w:r>
    </w:p>
    <w:p>
      <w:pPr>
        <w:spacing w:before="80" w:after="120"/>
        <w:jc w:val="both"/>
      </w:pPr>
      <w:r>
        <w:rPr>
          <w:rFonts w:ascii="Arial" w:cs="Arial" w:eastAsia="Arial" w:hAnsi="Arial"/>
          <w:sz w:val="22"/>
          <w:szCs w:val="22"/>
        </w:rPr>
        <w:t xml:space="preserve">MISAI is domiciled in El Salvador. The Executor Withdraw Delay — currently 86,400 seconds — provides a protection window before any MISAI withdrawal is finalized.</w:t>
      </w:r>
    </w:p>
    <w:p>
      <w:pPr>
        <w:spacing w:before="80" w:after="120"/>
        <w:jc w:val="both"/>
      </w:pPr>
      <w:r>
        <w:rPr>
          <w:rFonts w:ascii="Arial" w:cs="Arial" w:eastAsia="Arial" w:hAnsi="Arial"/>
          <w:sz w:val="22"/>
          <w:szCs w:val="22"/>
        </w:rPr>
        <w:t xml:space="preserve">HedgeKX operates as a peer-to-peer marketplace. ChronX is not the issuer, underwriter, guarantor, or counterparty to any hedge contract. All contracts are directly between participants.</w:t>
      </w:r>
    </w:p>
    <w:p>
      <w:pPr>
        <w:spacing w:before="80" w:after="120"/>
        <w:jc w:val="both"/>
      </w:pPr>
      <w:r>
        <w:rPr>
          <w:rFonts w:ascii="Arial" w:cs="Arial" w:eastAsia="Arial" w:hAnsi="Arial"/>
          <w:sz w:val="22"/>
          <w:szCs w:val="22"/>
        </w:rPr>
        <w:t xml:space="preserve">XChan operates as an independent decentralized exchange. ChronX is not responsible for the availability or accuracy of XChan price data beyond the governance requirements applicable to bonded protocol partners.</w:t>
      </w:r>
    </w:p>
    <w:p>
      <w:pPr>
        <w:spacing w:before="80" w:after="120"/>
        <w:jc w:val="both"/>
      </w:pPr>
      <w:r>
        <w:rPr>
          <w:rFonts w:ascii="Arial" w:cs="Arial" w:eastAsia="Arial" w:hAnsi="Arial"/>
          <w:sz w:val="22"/>
          <w:szCs w:val="22"/>
        </w:rPr>
        <w:t xml:space="preserve">ChronX is a public blockchain. All on-chain activity — transaction amounts, wallet addresses, loan offers and acceptances, DefaultRecords — is permanently public and immutable. Memo fields are encrypted by default and visible only to the recipient. Participants should understand the permanent and public nature of on-chain data before using the protocol.</w:t>
      </w:r>
    </w:p>
    <w:p>
      <w:pPr>
        <w:spacing w:before="80" w:after="120"/>
        <w:jc w:val="both"/>
      </w:pPr>
      <w:r>
        <w:rPr>
          <w:rFonts w:ascii="Arial" w:cs="Arial" w:eastAsia="Arial" w:hAnsi="Arial"/>
          <w:sz w:val="22"/>
          <w:szCs w:val="22"/>
        </w:rPr>
        <w:t xml:space="preserve">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360" w:after="120"/>
      </w:pPr>
      <w:r>
        <w:rPr>
          <w:rFonts w:ascii="Arial" w:cs="Arial" w:eastAsia="Arial" w:hAnsi="Arial"/>
          <w:b/>
          <w:bCs/>
          <w:sz w:val="32"/>
          <w:szCs w:val="32"/>
        </w:rPr>
        <w:t xml:space="preserve">11. Conclusion</w:t>
      </w:r>
    </w:p>
    <w:p>
      <w:pPr>
        <w:spacing w:before="80" w:after="120"/>
        <w:jc w:val="both"/>
      </w:pPr>
      <w:r>
        <w:rPr>
          <w:rFonts w:ascii="Arial" w:cs="Arial" w:eastAsia="Arial" w:hAnsi="Arial"/>
          <w:sz w:val="22"/>
          <w:szCs w:val="22"/>
        </w:rPr>
        <w:t xml:space="preserve">ChronX is the only blockchain built for the promises that matter most: the ones that take years or decades to fulfill.</w:t>
      </w:r>
    </w:p>
    <w:p>
      <w:pPr>
        <w:spacing w:before="80" w:after="120"/>
        <w:jc w:val="both"/>
      </w:pPr>
      <w:r>
        <w:rPr>
          <w:rFonts w:ascii="Arial" w:cs="Arial" w:eastAsia="Arial" w:hAnsi="Arial"/>
          <w:sz w:val="22"/>
          <w:szCs w:val="22"/>
        </w:rPr>
        <w:t xml:space="preserve">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pPr>
        <w:spacing w:before="80" w:after="120"/>
        <w:jc w:val="both"/>
      </w:pPr>
      <w:r>
        <w:rPr>
          <w:rFonts w:ascii="Arial" w:cs="Arial" w:eastAsia="Arial" w:hAnsi="Arial"/>
          <w:sz w:val="22"/>
          <w:szCs w:val="22"/>
        </w:rPr>
        <w:t xml:space="preserve">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pPr>
        <w:spacing w:before="80" w:after="120"/>
        <w:jc w:val="both"/>
      </w:pPr>
      <w:r>
        <w:rPr>
          <w:rFonts w:ascii="Arial" w:cs="Arial" w:eastAsia="Arial" w:hAnsi="Arial"/>
          <w:sz w:val="22"/>
          <w:szCs w:val="22"/>
        </w:rPr>
        <w:t xml:space="preserve">Privacy is the default. Public auditability is available to those who choose it. The axioms are permanent. The supply is fixed. The fees are zero.</w:t>
      </w:r>
    </w:p>
    <w:p>
      <w:pPr>
        <w:spacing w:before="80" w:after="120"/>
        <w:jc w:val="both"/>
      </w:pPr>
      <w:r>
        <w:rPr>
          <w:rFonts w:ascii="Arial" w:cs="Arial" w:eastAsia="Arial" w:hAnsi="Arial"/>
          <w:sz w:val="22"/>
          <w:szCs w:val="22"/>
        </w:rPr>
        <w:t xml:space="preserve">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spacing w:before="160" w:after="160"/>
        <w:ind w:left="720" w:right="720"/>
        <w:jc w:val="center"/>
      </w:pPr>
      <w:r>
        <w:rPr>
          <w:rFonts w:ascii="Georgia" w:cs="Georgia" w:eastAsia="Georgia" w:hAnsi="Georgia"/>
          <w:i/>
          <w:iCs/>
          <w:color w:val="C9A84C"/>
          <w:sz w:val="22"/>
          <w:szCs w:val="22"/>
        </w:rPr>
        <w:t xml:space="preserve">"ChronX does not merely record that a promise was made. ChronX makes the promise inevitable."</w:t>
      </w:r>
    </w:p>
    <w:p>
      <w:pPr>
        <w:spacing w:before="240" w:after="80"/>
        <w:jc w:val="center"/>
      </w:pPr>
      <w:r>
        <w:rPr>
          <w:rFonts w:ascii="Arial" w:cs="Arial" w:eastAsia="Arial" w:hAnsi="Arial"/>
          <w:b/>
          <w:bCs/>
          <w:sz w:val="20"/>
          <w:szCs w:val="20"/>
        </w:rPr>
        <w:t xml:space="preserve">ChronX Protocol — The Future Payment Protocol</w:t>
      </w:r>
    </w:p>
    <w:p>
      <w:pPr>
        <w:spacing w:before="80" w:after="80"/>
        <w:jc w:val="center"/>
      </w:pPr>
      <w:r>
        <w:rPr>
          <w:rFonts w:ascii="Arial" w:cs="Arial" w:eastAsia="Arial" w:hAnsi="Arial"/>
          <w:color w:val="666666"/>
          <w:sz w:val="18"/>
          <w:szCs w:val="18"/>
        </w:rPr>
        <w:t xml:space="preserve">chronx.io  |  ICO: September 22, 2026</w:t>
      </w:r>
    </w:p>
    <w:p>
      <w:pPr>
        <w:pBdr>
          <w:bottom w:val="single" w:color="C9A84C" w:sz="6" w:space="1"/>
        </w:pBdr>
        <w:spacing w:before="200" w:after="200"/>
      </w:pPr>
    </w:p>
    <w:p>
      <w:r>
        <w:br w:type="page"/>
      </w:r>
    </w:p>
    <w:p>
      <w:pPr>
        <w:spacing w:before="200" w:after="80"/>
        <w:jc w:val="center"/>
      </w:pPr>
      <w:r>
        <w:rPr>
          <w:rFonts w:ascii="Arial" w:cs="Arial" w:eastAsia="Arial" w:hAnsi="Arial"/>
          <w:b/>
          <w:bCs/>
          <w:color w:val="C9A84C"/>
          <w:sz w:val="28"/>
          <w:szCs w:val="28"/>
        </w:rPr>
        <w:t xml:space="preserve">EXHIBIT A</w:t>
      </w:r>
    </w:p>
    <w:p>
      <w:pPr>
        <w:spacing w:before="0" w:after="80"/>
        <w:jc w:val="center"/>
      </w:pPr>
      <w:r>
        <w:rPr>
          <w:rFonts w:ascii="Arial" w:cs="Arial" w:eastAsia="Arial" w:hAnsi="Arial"/>
          <w:b/>
          <w:bCs/>
          <w:sz w:val="24"/>
          <w:szCs w:val="24"/>
        </w:rPr>
        <w:t xml:space="preserve">Real-World Use Cases</w:t>
      </w:r>
    </w:p>
    <w:p>
      <w:pPr>
        <w:spacing w:before="80" w:after="80"/>
        <w:jc w:val="center"/>
      </w:pPr>
      <w:r>
        <w:rPr>
          <w:rFonts w:ascii="Arial" w:cs="Arial" w:eastAsia="Arial" w:hAnsi="Arial"/>
          <w:color w:val="666666"/>
          <w:sz w:val="18"/>
          <w:szCs w:val="18"/>
        </w:rPr>
        <w:t xml:space="preserve">Exhibit A to ChronX Protocol Whitepaper v6.4</w:t>
      </w:r>
    </w:p>
    <w:p>
      <w:pPr>
        <w:spacing w:before="160" w:after="0"/>
      </w:pPr>
    </w:p>
    <w:p>
      <w:pPr>
        <w:pStyle w:val="Heading1"/>
        <w:spacing w:before="360" w:after="120"/>
      </w:pPr>
      <w:r>
        <w:rPr>
          <w:rFonts w:ascii="Arial" w:cs="Arial" w:eastAsia="Arial" w:hAnsi="Arial"/>
          <w:b/>
          <w:bCs/>
          <w:sz w:val="32"/>
          <w:szCs w:val="32"/>
        </w:rPr>
        <w:t xml:space="preserve">A.1 Individual and Family</w:t>
      </w:r>
    </w:p>
    <w:p>
      <w:pPr>
        <w:pStyle w:val="Heading2"/>
        <w:spacing w:before="280" w:after="80"/>
      </w:pPr>
      <w:r>
        <w:rPr>
          <w:rFonts w:ascii="Arial" w:cs="Arial" w:eastAsia="Arial" w:hAnsi="Arial"/>
          <w:b/>
          <w:bCs/>
          <w:sz w:val="26"/>
          <w:szCs w:val="26"/>
        </w:rPr>
        <w:t xml:space="preserve">A.1.1 — The Birthday Gift</w:t>
      </w:r>
    </w:p>
    <w:p>
      <w:pPr>
        <w:spacing w:before="80" w:after="120"/>
        <w:jc w:val="both"/>
      </w:pPr>
      <w:r>
        <w:rPr>
          <w:rFonts w:ascii="Arial" w:cs="Arial" w:eastAsia="Arial" w:hAnsi="Arial"/>
          <w:sz w:val="22"/>
          <w:szCs w:val="22"/>
        </w:rPr>
        <w:t xml:space="preserve">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pPr>
        <w:pStyle w:val="Heading2"/>
        <w:spacing w:before="280" w:after="80"/>
      </w:pPr>
      <w:r>
        <w:rPr>
          <w:rFonts w:ascii="Arial" w:cs="Arial" w:eastAsia="Arial" w:hAnsi="Arial"/>
          <w:b/>
          <w:bCs/>
          <w:sz w:val="26"/>
          <w:szCs w:val="26"/>
        </w:rPr>
        <w:t xml:space="preserve">A.1.2 — Child Support</w:t>
      </w:r>
    </w:p>
    <w:p>
      <w:pPr>
        <w:spacing w:before="80" w:after="120"/>
        <w:jc w:val="both"/>
      </w:pPr>
      <w:r>
        <w:rPr>
          <w:rFonts w:ascii="Arial" w:cs="Arial" w:eastAsia="Arial" w:hAnsi="Arial"/>
          <w:sz w:val="22"/>
          <w:szCs w:val="22"/>
        </w:rPr>
        <w:t xml:space="preserve">A court orders monthly child support for ten years. Each payment is a time-locked transfer. Every payment received is permanently recorded. Any missed payment generates a DefaultRecord. The complete history is on-chain, always visible, cryptographically signed.</w:t>
      </w:r>
    </w:p>
    <w:p>
      <w:pPr>
        <w:pStyle w:val="Heading2"/>
        <w:spacing w:before="280" w:after="80"/>
      </w:pPr>
      <w:r>
        <w:rPr>
          <w:rFonts w:ascii="Arial" w:cs="Arial" w:eastAsia="Arial" w:hAnsi="Arial"/>
          <w:b/>
          <w:bCs/>
          <w:sz w:val="26"/>
          <w:szCs w:val="26"/>
        </w:rPr>
        <w:t xml:space="preserve">A.1.3 — The Conditional Gift</w:t>
      </w:r>
    </w:p>
    <w:p>
      <w:pPr>
        <w:spacing w:before="80" w:after="120"/>
        <w:jc w:val="both"/>
      </w:pPr>
      <w:r>
        <w:rPr>
          <w:rFonts w:ascii="Arial" w:cs="Arial" w:eastAsia="Arial" w:hAnsi="Arial"/>
          <w:sz w:val="22"/>
          <w:szCs w:val="22"/>
        </w:rPr>
        <w:t xml:space="preserve">A parent wants to give value when their child completes a college degree. TYPE V with a Verifas attestor. Funds locked until attestor verifies degree completion. No trust, no trustee, no fees.</w:t>
      </w:r>
    </w:p>
    <w:p>
      <w:pPr>
        <w:pStyle w:val="Heading2"/>
        <w:spacing w:before="280" w:after="80"/>
      </w:pPr>
      <w:r>
        <w:rPr>
          <w:rFonts w:ascii="Arial" w:cs="Arial" w:eastAsia="Arial" w:hAnsi="Arial"/>
          <w:b/>
          <w:bCs/>
          <w:sz w:val="26"/>
          <w:szCs w:val="26"/>
        </w:rPr>
        <w:t xml:space="preserve">A.1.4 — Recurring Charitable Pledge</w:t>
      </w:r>
    </w:p>
    <w:p>
      <w:pPr>
        <w:spacing w:before="80" w:after="120"/>
        <w:jc w:val="both"/>
      </w:pPr>
      <w:r>
        <w:rPr>
          <w:rFonts w:ascii="Arial" w:cs="Arial" w:eastAsia="Arial" w:hAnsi="Arial"/>
          <w:sz w:val="22"/>
          <w:szCs w:val="22"/>
        </w:rPr>
        <w:t xml:space="preserve">A donor commits to annual giving for ten years. Cascade promise, irrevocable after cancellation window. The pledge is binding without foundation administration overhead.</w:t>
      </w:r>
    </w:p>
    <w:p>
      <w:pPr>
        <w:spacing w:before="80" w:after="0"/>
      </w:pPr>
    </w:p>
    <w:p>
      <w:pPr>
        <w:pStyle w:val="Heading1"/>
        <w:spacing w:before="360" w:after="120"/>
      </w:pPr>
      <w:r>
        <w:rPr>
          <w:rFonts w:ascii="Arial" w:cs="Arial" w:eastAsia="Arial" w:hAnsi="Arial"/>
          <w:b/>
          <w:bCs/>
          <w:sz w:val="32"/>
          <w:szCs w:val="32"/>
        </w:rPr>
        <w:t xml:space="preserve">A.2 Legal and Professional</w:t>
      </w:r>
    </w:p>
    <w:p>
      <w:pPr>
        <w:pStyle w:val="Heading2"/>
        <w:spacing w:before="280" w:after="80"/>
      </w:pPr>
      <w:r>
        <w:rPr>
          <w:rFonts w:ascii="Arial" w:cs="Arial" w:eastAsia="Arial" w:hAnsi="Arial"/>
          <w:b/>
          <w:bCs/>
          <w:sz w:val="26"/>
          <w:szCs w:val="26"/>
        </w:rPr>
        <w:t xml:space="preserve">A.2.1 — Structured Settlement</w:t>
      </w:r>
    </w:p>
    <w:p>
      <w:pPr>
        <w:spacing w:before="80" w:after="120"/>
        <w:jc w:val="both"/>
      </w:pPr>
      <w:r>
        <w:rPr>
          <w:rFonts w:ascii="Arial" w:cs="Arial" w:eastAsia="Arial" w:hAnsi="Arial"/>
          <w:sz w:val="22"/>
          <w:szCs w:val="22"/>
        </w:rPr>
        <w:t xml:space="preserve">A personal injury lawsuit settles for a sum payable over 20 years. TYPE D + PAY_AS. No annuity company required. Zero administration cost, no counterparty insolvency risk.</w:t>
      </w:r>
    </w:p>
    <w:p>
      <w:pPr>
        <w:pStyle w:val="Heading2"/>
        <w:spacing w:before="280" w:after="80"/>
      </w:pPr>
      <w:r>
        <w:rPr>
          <w:rFonts w:ascii="Arial" w:cs="Arial" w:eastAsia="Arial" w:hAnsi="Arial"/>
          <w:b/>
          <w:bCs/>
          <w:sz w:val="26"/>
          <w:szCs w:val="26"/>
        </w:rPr>
        <w:t xml:space="preserve">A.2.2 — Attorney Escrow</w:t>
      </w:r>
    </w:p>
    <w:p>
      <w:pPr>
        <w:spacing w:before="80" w:after="120"/>
        <w:jc w:val="both"/>
      </w:pPr>
      <w:r>
        <w:rPr>
          <w:rFonts w:ascii="Arial" w:cs="Arial" w:eastAsia="Arial" w:hAnsi="Arial"/>
          <w:sz w:val="22"/>
          <w:szCs w:val="22"/>
        </w:rPr>
        <w:t xml:space="preserve">A law firm holds settlement funds pending resolution of conditions. TYPE V with attorney as bonded attestor. Complete chain of custody on the DAG.</w:t>
      </w:r>
    </w:p>
    <w:p>
      <w:pPr>
        <w:pStyle w:val="Heading2"/>
        <w:spacing w:before="280" w:after="80"/>
      </w:pPr>
      <w:r>
        <w:rPr>
          <w:rFonts w:ascii="Arial" w:cs="Arial" w:eastAsia="Arial" w:hAnsi="Arial"/>
          <w:b/>
          <w:bCs/>
          <w:sz w:val="26"/>
          <w:szCs w:val="26"/>
        </w:rPr>
        <w:t xml:space="preserve">A.2.3 — Deferred Compensation</w:t>
      </w:r>
    </w:p>
    <w:p>
      <w:pPr>
        <w:spacing w:before="80" w:after="120"/>
        <w:jc w:val="both"/>
      </w:pPr>
      <w:r>
        <w:rPr>
          <w:rFonts w:ascii="Arial" w:cs="Arial" w:eastAsia="Arial" w:hAnsi="Arial"/>
          <w:sz w:val="22"/>
          <w:szCs w:val="22"/>
        </w:rPr>
        <w:t xml:space="preserve">An employer grants a retention bonus vesting over four years with a one-year cliff. Cascade + TYPE V cliff condition. No stock option agreement or cap table required.</w:t>
      </w:r>
    </w:p>
    <w:p>
      <w:pPr>
        <w:spacing w:before="80" w:after="0"/>
      </w:pPr>
    </w:p>
    <w:p>
      <w:pPr>
        <w:pStyle w:val="Heading1"/>
        <w:spacing w:before="360" w:after="120"/>
      </w:pPr>
      <w:r>
        <w:rPr>
          <w:rFonts w:ascii="Arial" w:cs="Arial" w:eastAsia="Arial" w:hAnsi="Arial"/>
          <w:b/>
          <w:bCs/>
          <w:sz w:val="32"/>
          <w:szCs w:val="32"/>
        </w:rPr>
        <w:t xml:space="preserve">A.3 Business and Institutional</w:t>
      </w:r>
    </w:p>
    <w:p>
      <w:pPr>
        <w:pStyle w:val="Heading2"/>
        <w:spacing w:before="280" w:after="80"/>
      </w:pPr>
      <w:r>
        <w:rPr>
          <w:rFonts w:ascii="Arial" w:cs="Arial" w:eastAsia="Arial" w:hAnsi="Arial"/>
          <w:b/>
          <w:bCs/>
          <w:sz w:val="26"/>
          <w:szCs w:val="26"/>
        </w:rPr>
        <w:t xml:space="preserve">A.3.1 — The Bond Equivalent</w:t>
      </w:r>
    </w:p>
    <w:p>
      <w:pPr>
        <w:spacing w:before="80" w:after="120"/>
        <w:jc w:val="both"/>
      </w:pPr>
      <w:r>
        <w:rPr>
          <w:rFonts w:ascii="Arial" w:cs="Arial" w:eastAsia="Arial" w:hAnsi="Arial"/>
          <w:sz w:val="22"/>
          <w:szCs w:val="22"/>
        </w:rPr>
        <w:t xml:space="preserve">A company raises capital via a 5-year instrument paying annual coupons. TYPE Y + Cascade + PAY_AS. Bond-equivalent instrument with zero administration cost and real-time public payment status.</w:t>
      </w:r>
    </w:p>
    <w:p>
      <w:pPr>
        <w:pStyle w:val="Heading2"/>
        <w:spacing w:before="280" w:after="80"/>
      </w:pPr>
      <w:r>
        <w:rPr>
          <w:rFonts w:ascii="Arial" w:cs="Arial" w:eastAsia="Arial" w:hAnsi="Arial"/>
          <w:b/>
          <w:bCs/>
          <w:sz w:val="26"/>
          <w:szCs w:val="26"/>
        </w:rPr>
        <w:t xml:space="preserve">A.3.2 — Subscription Billing</w:t>
      </w:r>
    </w:p>
    <w:p>
      <w:pPr>
        <w:spacing w:before="80" w:after="120"/>
        <w:jc w:val="both"/>
      </w:pPr>
      <w:r>
        <w:rPr>
          <w:rFonts w:ascii="Arial" w:cs="Arial" w:eastAsia="Arial" w:hAnsi="Arial"/>
          <w:sz w:val="22"/>
          <w:szCs w:val="22"/>
        </w:rPr>
        <w:t xml:space="preserve">A service provider charges recurring fees per enterprise client. TYPE C (Credit Authorization). Client can revoke at any time. No payment processor, no chargebacks.</w:t>
      </w:r>
    </w:p>
    <w:p>
      <w:pPr>
        <w:pStyle w:val="Heading2"/>
        <w:spacing w:before="280" w:after="80"/>
      </w:pPr>
      <w:r>
        <w:rPr>
          <w:rFonts w:ascii="Arial" w:cs="Arial" w:eastAsia="Arial" w:hAnsi="Arial"/>
          <w:b/>
          <w:bCs/>
          <w:sz w:val="26"/>
          <w:szCs w:val="26"/>
        </w:rPr>
        <w:t xml:space="preserve">A.3.3 — Cross-Border Lending</w:t>
      </w:r>
    </w:p>
    <w:p>
      <w:pPr>
        <w:spacing w:before="80" w:after="120"/>
        <w:jc w:val="both"/>
      </w:pPr>
      <w:r>
        <w:rPr>
          <w:rFonts w:ascii="Arial" w:cs="Arial" w:eastAsia="Arial" w:hAnsi="Arial"/>
          <w:sz w:val="22"/>
          <w:szCs w:val="22"/>
        </w:rPr>
        <w:t xml:space="preserve">A fintech company offers USD-denominated loans globally using KX as the settlement rail via PAY_AS and XChan. DefaultRecords create portable global credit history.</w:t>
      </w:r>
    </w:p>
    <w:p>
      <w:pPr>
        <w:spacing w:before="80" w:after="0"/>
      </w:pPr>
    </w:p>
    <w:p>
      <w:pPr>
        <w:pStyle w:val="Heading1"/>
        <w:spacing w:before="360" w:after="120"/>
      </w:pPr>
      <w:r>
        <w:rPr>
          <w:rFonts w:ascii="Arial" w:cs="Arial" w:eastAsia="Arial" w:hAnsi="Arial"/>
          <w:b/>
          <w:bCs/>
          <w:sz w:val="32"/>
          <w:szCs w:val="32"/>
        </w:rPr>
        <w:t xml:space="preserve">A.4 AI and Fintech</w:t>
      </w:r>
    </w:p>
    <w:p>
      <w:pPr>
        <w:pStyle w:val="Heading2"/>
        <w:spacing w:before="280" w:after="80"/>
      </w:pPr>
      <w:r>
        <w:rPr>
          <w:rFonts w:ascii="Arial" w:cs="Arial" w:eastAsia="Arial" w:hAnsi="Arial"/>
          <w:b/>
          <w:bCs/>
          <w:sz w:val="26"/>
          <w:szCs w:val="26"/>
        </w:rPr>
        <w:t xml:space="preserve">A.4.1 — AI Micro-Loan Settlement</w:t>
      </w:r>
    </w:p>
    <w:p>
      <w:pPr>
        <w:spacing w:before="80" w:after="120"/>
        <w:jc w:val="both"/>
      </w:pPr>
      <w:r>
        <w:rPr>
          <w:rFonts w:ascii="Arial" w:cs="Arial" w:eastAsia="Arial" w:hAnsi="Arial"/>
          <w:sz w:val="22"/>
          <w:szCs w:val="22"/>
        </w:rPr>
        <w:t xml:space="preserve">An AI agent settles micro-loan obligations every second. High-frequency revolving loans with automatic renewal, interest calculated to the exact second, and settlement via the protocol sweep. Every obligation is on-chain. Nothing is off-ledger.</w:t>
      </w:r>
    </w:p>
    <w:p>
      <w:pPr>
        <w:pStyle w:val="Heading2"/>
        <w:spacing w:before="280" w:after="80"/>
      </w:pPr>
      <w:r>
        <w:rPr>
          <w:rFonts w:ascii="Arial" w:cs="Arial" w:eastAsia="Arial" w:hAnsi="Arial"/>
          <w:b/>
          <w:bCs/>
          <w:sz w:val="26"/>
          <w:szCs w:val="26"/>
        </w:rPr>
        <w:t xml:space="preserve">A.4.2 — Pay-Per-Decision AI Services</w:t>
      </w:r>
    </w:p>
    <w:p>
      <w:pPr>
        <w:spacing w:before="80" w:after="120"/>
        <w:jc w:val="both"/>
      </w:pPr>
      <w:r>
        <w:rPr>
          <w:rFonts w:ascii="Arial" w:cs="Arial" w:eastAsia="Arial" w:hAnsi="Arial"/>
          <w:sz w:val="22"/>
          <w:szCs w:val="22"/>
        </w:rPr>
        <w:t xml:space="preserve">An AI service charges per decision via TYPE C. Each draw is automatically recorded. Complete on-chain billing history without a payment processor.</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Exhibit A</w:t>
      </w:r>
    </w:p>
    <w:p>
      <w:r>
        <w:br w:type="page"/>
      </w:r>
    </w:p>
    <w:p>
      <w:pPr>
        <w:spacing w:before="200" w:after="80"/>
        <w:jc w:val="center"/>
      </w:pPr>
      <w:r>
        <w:rPr>
          <w:rFonts w:ascii="Arial" w:cs="Arial" w:eastAsia="Arial" w:hAnsi="Arial"/>
          <w:b/>
          <w:bCs/>
          <w:color w:val="C9A84C"/>
          <w:sz w:val="28"/>
          <w:szCs w:val="28"/>
        </w:rPr>
        <w:t xml:space="preserve">EXHIBIT B</w:t>
      </w:r>
    </w:p>
    <w:p>
      <w:pPr>
        <w:spacing w:before="0" w:after="80"/>
        <w:jc w:val="center"/>
      </w:pPr>
      <w:r>
        <w:rPr>
          <w:rFonts w:ascii="Arial" w:cs="Arial" w:eastAsia="Arial" w:hAnsi="Arial"/>
          <w:b/>
          <w:bCs/>
          <w:sz w:val="24"/>
          <w:szCs w:val="24"/>
        </w:rPr>
        <w:t xml:space="preserve">A Plain-English Guide to ChronX Finance</w:t>
      </w:r>
    </w:p>
    <w:p>
      <w:pPr>
        <w:spacing w:before="80" w:after="80"/>
        <w:jc w:val="center"/>
      </w:pPr>
      <w:r>
        <w:rPr>
          <w:rFonts w:ascii="Arial" w:cs="Arial" w:eastAsia="Arial" w:hAnsi="Arial"/>
          <w:color w:val="666666"/>
          <w:sz w:val="18"/>
          <w:szCs w:val="18"/>
        </w:rPr>
        <w:t xml:space="preserve">For readers who want to go deeper into how ChronX works in the real financial world.</w:t>
      </w:r>
    </w:p>
    <w:p>
      <w:pPr>
        <w:spacing w:before="160" w:after="0"/>
      </w:pPr>
    </w:p>
    <w:p>
      <w:pPr>
        <w:pStyle w:val="Heading1"/>
        <w:spacing w:before="360" w:after="120"/>
      </w:pPr>
      <w:r>
        <w:rPr>
          <w:rFonts w:ascii="Arial" w:cs="Arial" w:eastAsia="Arial" w:hAnsi="Arial"/>
          <w:b/>
          <w:bCs/>
          <w:sz w:val="32"/>
          <w:szCs w:val="32"/>
        </w:rPr>
        <w:t xml:space="preserve">B.1 Long-Term Promises and Verifas</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pPr>
        <w:pStyle w:val="Heading2"/>
        <w:spacing w:before="280" w:after="80"/>
      </w:pPr>
      <w:r>
        <w:rPr>
          <w:rFonts w:ascii="Arial" w:cs="Arial" w:eastAsia="Arial" w:hAnsi="Arial"/>
          <w:b/>
          <w:bCs/>
          <w:sz w:val="26"/>
          <w:szCs w:val="26"/>
        </w:rPr>
        <w:t xml:space="preserve">What if contact information no longer exists?</w:t>
      </w:r>
    </w:p>
    <w:p>
      <w:pPr>
        <w:spacing w:before="80" w:after="120"/>
        <w:jc w:val="both"/>
      </w:pPr>
      <w:r>
        <w:rPr>
          <w:rFonts w:ascii="Arial" w:cs="Arial" w:eastAsia="Arial" w:hAnsi="Arial"/>
          <w:sz w:val="22"/>
          <w:szCs w:val="22"/>
        </w:rPr>
        <w:t xml:space="preserve">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pPr>
        <w:spacing w:before="80" w:after="0"/>
      </w:pPr>
    </w:p>
    <w:p>
      <w:pPr>
        <w:pStyle w:val="Heading1"/>
        <w:spacing w:before="360" w:after="120"/>
      </w:pPr>
      <w:r>
        <w:rPr>
          <w:rFonts w:ascii="Arial" w:cs="Arial" w:eastAsia="Arial" w:hAnsi="Arial"/>
          <w:b/>
          <w:bCs/>
          <w:sz w:val="32"/>
          <w:szCs w:val="32"/>
        </w:rPr>
        <w:t xml:space="preserve">B.2 PAY_AS and Currency Flexibility</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pPr>
        <w:spacing w:before="80" w:after="120"/>
        <w:jc w:val="both"/>
      </w:pPr>
      <w:r>
        <w:rPr>
          <w:rFonts w:ascii="Arial" w:cs="Arial" w:eastAsia="Arial" w:hAnsi="Arial"/>
          <w:sz w:val="22"/>
          <w:szCs w:val="22"/>
        </w:rPr>
        <w:t xml:space="preserve">If Bob wants to guarantee Mary gets the full 500 USD worth of KX no matter what, HedgeKX can lock in the rate at creation. Bob pays a small premium. Mary is guaranteed. The oracle uses a 7-day moving average so a single bad market day cannot manipulate the delivery.</w:t>
      </w:r>
    </w:p>
    <w:p>
      <w:pPr>
        <w:pStyle w:val="Heading2"/>
        <w:spacing w:before="280" w:after="80"/>
      </w:pPr>
      <w:r>
        <w:rPr>
          <w:rFonts w:ascii="Arial" w:cs="Arial" w:eastAsia="Arial" w:hAnsi="Arial"/>
          <w:b/>
          <w:bCs/>
          <w:sz w:val="26"/>
          <w:szCs w:val="26"/>
        </w:rPr>
        <w:t xml:space="preserve">What currencies are supported at inception?</w:t>
      </w:r>
    </w:p>
    <w:p>
      <w:pPr>
        <w:spacing w:before="80" w:after="120"/>
        <w:jc w:val="both"/>
      </w:pPr>
      <w:r>
        <w:rPr>
          <w:rFonts w:ascii="Arial" w:cs="Arial" w:eastAsia="Arial" w:hAnsi="Arial"/>
          <w:sz w:val="22"/>
          <w:szCs w:val="22"/>
        </w:rPr>
        <w:t xml:space="preserve">KX (the default — no conversion needed) and USDC, priced via XChan. The Foundation may approve additional currencies by governance vote. No protocol change required.</w:t>
      </w:r>
    </w:p>
    <w:p>
      <w:pPr>
        <w:spacing w:before="80" w:after="0"/>
      </w:pPr>
    </w:p>
    <w:p>
      <w:pPr>
        <w:pStyle w:val="Heading1"/>
        <w:spacing w:before="360" w:after="120"/>
      </w:pPr>
      <w:r>
        <w:rPr>
          <w:rFonts w:ascii="Arial" w:cs="Arial" w:eastAsia="Arial" w:hAnsi="Arial"/>
          <w:b/>
          <w:bCs/>
          <w:sz w:val="32"/>
          <w:szCs w:val="32"/>
        </w:rPr>
        <w:t xml:space="preserve">B.3 Debt and Credit Records</w:t>
      </w:r>
    </w:p>
    <w:p>
      <w:pPr>
        <w:pStyle w:val="Heading2"/>
        <w:spacing w:before="280" w:after="80"/>
      </w:pPr>
      <w:r>
        <w:rPr>
          <w:rFonts w:ascii="Arial" w:cs="Arial" w:eastAsia="Arial" w:hAnsi="Arial"/>
          <w:b/>
          <w:bCs/>
          <w:sz w:val="26"/>
          <w:szCs w:val="26"/>
        </w:rPr>
        <w:t xml:space="preserve">What is a DefaultRecord?</w:t>
      </w:r>
    </w:p>
    <w:p>
      <w:pPr>
        <w:spacing w:before="80" w:after="120"/>
        <w:jc w:val="both"/>
      </w:pPr>
      <w:r>
        <w:rPr>
          <w:rFonts w:ascii="Arial" w:cs="Arial" w:eastAsia="Arial" w:hAnsi="Arial"/>
          <w:sz w:val="22"/>
          <w:szCs w:val="22"/>
        </w:rPr>
        <w:t xml:space="preserve">A permanent, cryptographically signed, timestamped record on the borrower's wallet address. Any future lender who queries that address sees the complete loan history — not a score, the actual record. This is the credit reporting system of the future: no bureau, no delay, no disputes about accuracy.</w:t>
      </w:r>
    </w:p>
    <w:p>
      <w:pPr>
        <w:pStyle w:val="Heading2"/>
        <w:spacing w:before="280" w:after="80"/>
      </w:pPr>
      <w:r>
        <w:rPr>
          <w:rFonts w:ascii="Arial" w:cs="Arial" w:eastAsia="Arial" w:hAnsi="Arial"/>
          <w:b/>
          <w:bCs/>
          <w:sz w:val="26"/>
          <w:szCs w:val="26"/>
        </w:rPr>
        <w:t xml:space="preserve">What is a LenderMemo?</w:t>
      </w:r>
    </w:p>
    <w:p>
      <w:pPr>
        <w:spacing w:before="80" w:after="120"/>
        <w:jc w:val="both"/>
      </w:pPr>
      <w:r>
        <w:rPr>
          <w:rFonts w:ascii="Arial" w:cs="Arial" w:eastAsia="Arial" w:hAnsi="Arial"/>
          <w:sz w:val="22"/>
          <w:szCs w:val="22"/>
        </w:rPr>
        <w:t xml:space="preserve">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pPr>
        <w:spacing w:before="80" w:after="0"/>
      </w:pPr>
    </w:p>
    <w:p>
      <w:pPr>
        <w:pStyle w:val="Heading1"/>
        <w:spacing w:before="360" w:after="120"/>
      </w:pPr>
      <w:r>
        <w:rPr>
          <w:rFonts w:ascii="Arial" w:cs="Arial" w:eastAsia="Arial" w:hAnsi="Arial"/>
          <w:b/>
          <w:bCs/>
          <w:sz w:val="32"/>
          <w:szCs w:val="32"/>
        </w:rPr>
        <w:t xml:space="preserve">B.4 AI Funds and MISAI</w:t>
      </w:r>
    </w:p>
    <w:p>
      <w:pPr>
        <w:pStyle w:val="Heading2"/>
        <w:spacing w:before="280" w:after="80"/>
      </w:pPr>
      <w:r>
        <w:rPr>
          <w:rFonts w:ascii="Arial" w:cs="Arial" w:eastAsia="Arial" w:hAnsi="Arial"/>
          <w:b/>
          <w:bCs/>
          <w:sz w:val="26"/>
          <w:szCs w:val="26"/>
        </w:rPr>
        <w:t xml:space="preserve">The Simple Version</w:t>
      </w:r>
    </w:p>
    <w:p>
      <w:pPr>
        <w:spacing w:before="80" w:after="120"/>
        <w:jc w:val="both"/>
      </w:pPr>
      <w:r>
        <w:rPr>
          <w:rFonts w:ascii="Arial" w:cs="Arial" w:eastAsia="Arial" w:hAnsi="Arial"/>
          <w:sz w:val="22"/>
          <w:szCs w:val="22"/>
        </w:rPr>
        <w:t xml:space="preserve">A TYPE M lock is a promise with a twist: instead of the KX sitting idle, MISAI is authorized to withdraw it, manage it according to your instructions, and return whatever it has grown into at maturity. Think of it as a digital endowment with an AI portfolio manager.</w:t>
      </w:r>
    </w:p>
    <w:p>
      <w:pPr>
        <w:pStyle w:val="Heading2"/>
        <w:spacing w:before="280" w:after="80"/>
      </w:pPr>
      <w:r>
        <w:rPr>
          <w:rFonts w:ascii="Arial" w:cs="Arial" w:eastAsia="Arial" w:hAnsi="Arial"/>
          <w:b/>
          <w:bCs/>
          <w:sz w:val="26"/>
          <w:szCs w:val="26"/>
        </w:rPr>
        <w:t xml:space="preserve">What does MISAI never do?</w:t>
      </w:r>
    </w:p>
    <w:p>
      <w:pPr>
        <w:spacing w:before="80" w:after="120"/>
        <w:jc w:val="both"/>
      </w:pPr>
      <w:r>
        <w:rPr>
          <w:rFonts w:ascii="Arial" w:cs="Arial" w:eastAsia="Arial" w:hAnsi="Arial"/>
          <w:sz w:val="22"/>
          <w:szCs w:val="22"/>
        </w:rPr>
        <w:t xml:space="preserve">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pPr>
        <w:spacing w:before="80" w:after="0"/>
      </w:pPr>
    </w:p>
    <w:p>
      <w:pPr>
        <w:pStyle w:val="Heading1"/>
        <w:spacing w:before="360" w:after="120"/>
      </w:pPr>
      <w:r>
        <w:rPr>
          <w:rFonts w:ascii="Arial" w:cs="Arial" w:eastAsia="Arial" w:hAnsi="Arial"/>
          <w:b/>
          <w:bCs/>
          <w:sz w:val="32"/>
          <w:szCs w:val="32"/>
        </w:rPr>
        <w:t xml:space="preserve">B.5 Badges and Identity</w:t>
      </w:r>
    </w:p>
    <w:p>
      <w:pPr>
        <w:pStyle w:val="Heading2"/>
        <w:spacing w:before="280" w:after="80"/>
      </w:pPr>
      <w:r>
        <w:rPr>
          <w:rFonts w:ascii="Arial" w:cs="Arial" w:eastAsia="Arial" w:hAnsi="Arial"/>
          <w:b/>
          <w:bCs/>
          <w:sz w:val="26"/>
          <w:szCs w:val="26"/>
        </w:rPr>
        <w:t xml:space="preserve">What are badges?</w:t>
      </w:r>
    </w:p>
    <w:p>
      <w:pPr>
        <w:spacing w:before="80" w:after="120"/>
        <w:jc w:val="both"/>
      </w:pPr>
      <w:r>
        <w:rPr>
          <w:rFonts w:ascii="Arial" w:cs="Arial" w:eastAsia="Arial" w:hAnsi="Arial"/>
          <w:sz w:val="22"/>
          <w:szCs w:val="22"/>
        </w:rPr>
        <w:t xml:space="preserve">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Exhibit B</w:t>
      </w:r>
    </w:p>
    <w:p>
      <w:r>
        <w:br w:type="page"/>
      </w:r>
    </w:p>
    <w:p>
      <w:pPr>
        <w:spacing w:before="200" w:after="80"/>
        <w:jc w:val="center"/>
      </w:pPr>
      <w:r>
        <w:rPr>
          <w:rFonts w:ascii="Arial" w:cs="Arial" w:eastAsia="Arial" w:hAnsi="Arial"/>
          <w:b/>
          <w:bCs/>
          <w:color w:val="C9A84C"/>
          <w:sz w:val="28"/>
          <w:szCs w:val="28"/>
        </w:rPr>
        <w:t xml:space="preserve">ADDENDUM C</w:t>
      </w:r>
    </w:p>
    <w:p>
      <w:pPr>
        <w:spacing w:before="0" w:after="80"/>
        <w:jc w:val="center"/>
      </w:pPr>
      <w:r>
        <w:rPr>
          <w:rFonts w:ascii="Arial" w:cs="Arial" w:eastAsia="Arial" w:hAnsi="Arial"/>
          <w:b/>
          <w:bCs/>
          <w:sz w:val="24"/>
          <w:szCs w:val="24"/>
        </w:rPr>
        <w:t xml:space="preserve">ChronX Protocol Foundation Governance</w:t>
      </w:r>
    </w:p>
    <w:p>
      <w:pPr>
        <w:spacing w:before="80" w:after="80"/>
        <w:jc w:val="center"/>
      </w:pPr>
      <w:r>
        <w:rPr>
          <w:rFonts w:ascii="Arial" w:cs="Arial" w:eastAsia="Arial" w:hAnsi="Arial"/>
          <w:color w:val="666666"/>
          <w:sz w:val="18"/>
          <w:szCs w:val="18"/>
        </w:rPr>
        <w:t xml:space="preserve">Addendum C to ChronX Protocol Whitepaper v6.4</w:t>
      </w:r>
    </w:p>
    <w:p>
      <w:pPr>
        <w:spacing w:before="160" w:after="0"/>
      </w:pPr>
    </w:p>
    <w:p>
      <w:pPr>
        <w:pStyle w:val="Heading1"/>
        <w:spacing w:before="360" w:after="120"/>
      </w:pPr>
      <w:r>
        <w:rPr>
          <w:rFonts w:ascii="Arial" w:cs="Arial" w:eastAsia="Arial" w:hAnsi="Arial"/>
          <w:b/>
          <w:bCs/>
          <w:sz w:val="32"/>
          <w:szCs w:val="32"/>
        </w:rPr>
        <w:t xml:space="preserve">C.1 Purpose and Structure</w:t>
      </w:r>
    </w:p>
    <w:p>
      <w:pPr>
        <w:spacing w:before="80" w:after="120"/>
        <w:jc w:val="both"/>
      </w:pPr>
      <w:r>
        <w:rPr>
          <w:rFonts w:ascii="Arial" w:cs="Arial" w:eastAsia="Arial" w:hAnsi="Arial"/>
          <w:sz w:val="22"/>
          <w:szCs w:val="22"/>
        </w:rPr>
        <w:t xml:space="preserve">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pPr>
        <w:spacing w:before="80" w:after="120"/>
        <w:jc w:val="both"/>
      </w:pPr>
      <w:r>
        <w:rPr>
          <w:rFonts w:ascii="Arial" w:cs="Arial" w:eastAsia="Arial" w:hAnsi="Arial"/>
          <w:sz w:val="22"/>
          <w:szCs w:val="22"/>
        </w:rPr>
        <w:t xml:space="preserve">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pPr>
        <w:spacing w:before="80" w:after="120"/>
        <w:jc w:val="both"/>
      </w:pPr>
      <w:r>
        <w:rPr>
          <w:rFonts w:ascii="Arial" w:cs="Arial" w:eastAsia="Arial" w:hAnsi="Arial"/>
          <w:sz w:val="22"/>
          <w:szCs w:val="22"/>
        </w:rPr>
        <w:t xml:space="preserve">All Foundation actions are permanently recorded on the ChronX DAG. Every vote, every parameter change, and every attestor approval is cryptographically signed and publicly verifiable. There are no private Foundation decisions.</w:t>
      </w:r>
    </w:p>
    <w:p>
      <w:pPr>
        <w:pStyle w:val="Heading1"/>
        <w:spacing w:before="360" w:after="120"/>
      </w:pPr>
      <w:r>
        <w:rPr>
          <w:rFonts w:ascii="Arial" w:cs="Arial" w:eastAsia="Arial" w:hAnsi="Arial"/>
          <w:b/>
          <w:bCs/>
          <w:sz w:val="32"/>
          <w:szCs w:val="32"/>
        </w:rPr>
        <w:t xml:space="preserve">C.2 What the Foundation Governs</w:t>
      </w:r>
    </w:p>
    <w:p>
      <w:pPr>
        <w:spacing w:before="80" w:after="120"/>
        <w:jc w:val="both"/>
      </w:pPr>
      <w:r>
        <w:rPr>
          <w:rFonts w:ascii="Arial" w:cs="Arial" w:eastAsia="Arial" w:hAnsi="Arial"/>
          <w:sz w:val="22"/>
          <w:szCs w:val="22"/>
        </w:rPr>
        <w:t xml:space="preserve">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p>
    <w:p>
      <w:pPr>
        <w:pStyle w:val="Heading1"/>
        <w:spacing w:before="360" w:after="120"/>
      </w:pPr>
      <w:r>
        <w:rPr>
          <w:rFonts w:ascii="Arial" w:cs="Arial" w:eastAsia="Arial" w:hAnsi="Arial"/>
          <w:b/>
          <w:bCs/>
          <w:sz w:val="32"/>
          <w:szCs w:val="32"/>
        </w:rPr>
        <w:t xml:space="preserve">C.3 What the Foundation Cannot Do</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Alter the total KX supply. Fixed forever at genesis.</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Impose transaction fees. Zero fees are a protocol invariant.</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Raise the executor fee ceiling above 7%. It may only be lowered.</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Modify the Promise Axioms or AI Agent Axioms. Both are permanently immutable.</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Reverse, cancel, or modify any confirmed on-chain transaction.</w:t>
      </w:r>
    </w:p>
    <w:p>
      <w:pPr>
        <w:spacing w:before="40" w:after="40"/>
        <w:ind w:left="480" w:hanging="240"/>
      </w:pPr>
      <w:r>
        <w:rPr>
          <w:rFonts w:ascii="Arial" w:cs="Arial" w:eastAsia="Arial" w:hAnsi="Arial"/>
          <w:color w:val="C9A84C"/>
          <w:sz w:val="22"/>
          <w:szCs w:val="22"/>
        </w:rPr>
        <w:t xml:space="preserve">•  </w:t>
      </w:r>
      <w:r>
        <w:rPr>
          <w:rFonts w:ascii="Arial" w:cs="Arial" w:eastAsia="Arial" w:hAnsi="Arial"/>
          <w:sz w:val="22"/>
          <w:szCs w:val="22"/>
        </w:rPr>
        <w:t xml:space="preserve">Decrypt any memo stored on the DAG. The Foundation is not a key holder.</w:t>
      </w:r>
    </w:p>
    <w:p>
      <w:pPr>
        <w:spacing w:before="80" w:after="0"/>
      </w:pPr>
    </w:p>
    <w:p>
      <w:pPr>
        <w:pStyle w:val="Heading1"/>
        <w:spacing w:before="360" w:after="120"/>
      </w:pPr>
      <w:r>
        <w:rPr>
          <w:rFonts w:ascii="Arial" w:cs="Arial" w:eastAsia="Arial" w:hAnsi="Arial"/>
          <w:b/>
          <w:bCs/>
          <w:sz w:val="32"/>
          <w:szCs w:val="32"/>
        </w:rPr>
        <w:t xml:space="preserve">C.4 Governed Parameters</w:t>
      </w:r>
    </w:p>
    <w:p>
      <w:pPr>
        <w:spacing w:before="80" w:after="120"/>
        <w:jc w:val="both"/>
      </w:pPr>
      <w:r>
        <w:rPr>
          <w:rFonts w:ascii="Arial" w:cs="Arial" w:eastAsia="Arial" w:hAnsi="Arial"/>
          <w:sz w:val="22"/>
          <w:szCs w:val="22"/>
        </w:rPr>
        <w:t xml:space="preserve">The following parameters are stored in genesis-params.json and enforced by all nodes at their current governance-approved values. Changes require a Foundation vote recorded on-chain.</w:t>
      </w:r>
    </w:p>
    <w:p>
      <w:pPr>
        <w:spacing w:before="80" w:after="0"/>
      </w:pPr>
    </w:p>
    <w:tbl>
      <w:tblPr>
        <w:tblW w:type="dxa" w:w="9360"/>
        <w:tblBorders>
          <w:top w:val="single" w:color="C9A84C" w:sz="4"/>
          <w:left w:val="single" w:color="C9A84C" w:sz="4"/>
          <w:bottom w:val="single" w:color="C9A84C" w:sz="4"/>
          <w:right w:val="single" w:color="C9A84C" w:sz="4"/>
          <w:insideH w:val="single" w:color="DDDDDD" w:sz="2"/>
          <w:insideV w:val="single" w:color="DDDDDD" w:sz="2"/>
        </w:tblBorders>
      </w:tblPr>
      <w:tblGrid>
        <w:gridCol w:w="2400"/>
        <w:gridCol w:w="1100"/>
        <w:gridCol w:w="1000"/>
        <w:gridCol w:w="1000"/>
        <w:gridCol w:w="3860"/>
      </w:tblGrid>
      <w:tr>
        <w:tc>
          <w:tcPr>
            <w:tcW w:type="dxa" w:w="2400"/>
            <w:shd w:fill="1A1A2E" w:val="clear"/>
            <w:tcMar>
              <w:top w:type="dxa" w:w="80"/>
              <w:left w:type="dxa" w:w="120"/>
              <w:bottom w:type="dxa" w:w="80"/>
              <w:right w:type="dxa" w:w="120"/>
            </w:tcMar>
          </w:tcPr>
          <w:p>
            <w:r>
              <w:rPr>
                <w:rFonts w:ascii="Arial" w:cs="Arial" w:eastAsia="Arial" w:hAnsi="Arial"/>
                <w:b/>
                <w:bCs/>
                <w:color w:val="C9A84C"/>
                <w:sz w:val="16"/>
                <w:szCs w:val="16"/>
              </w:rPr>
              <w:t xml:space="preserve">Parameter</w:t>
            </w:r>
          </w:p>
        </w:tc>
        <w:tc>
          <w:tcPr>
            <w:tcW w:type="dxa" w:w="1100"/>
            <w:shd w:fill="1A1A2E" w:val="clear"/>
            <w:tcMar>
              <w:top w:type="dxa" w:w="80"/>
              <w:left w:type="dxa" w:w="120"/>
              <w:bottom w:type="dxa" w:w="80"/>
              <w:right w:type="dxa" w:w="120"/>
            </w:tcMar>
          </w:tcPr>
          <w:p>
            <w:r>
              <w:rPr>
                <w:rFonts w:ascii="Arial" w:cs="Arial" w:eastAsia="Arial" w:hAnsi="Arial"/>
                <w:b/>
                <w:bCs/>
                <w:color w:val="C9A84C"/>
                <w:sz w:val="16"/>
                <w:szCs w:val="16"/>
              </w:rPr>
              <w:t xml:space="preserve">Current</w:t>
            </w:r>
          </w:p>
        </w:tc>
        <w:tc>
          <w:tcPr>
            <w:tcW w:type="dxa" w:w="1000"/>
            <w:shd w:fill="1A1A2E" w:val="clear"/>
            <w:tcMar>
              <w:top w:type="dxa" w:w="80"/>
              <w:left w:type="dxa" w:w="120"/>
              <w:bottom w:type="dxa" w:w="80"/>
              <w:right w:type="dxa" w:w="120"/>
            </w:tcMar>
          </w:tcPr>
          <w:p>
            <w:r>
              <w:rPr>
                <w:rFonts w:ascii="Arial" w:cs="Arial" w:eastAsia="Arial" w:hAnsi="Arial"/>
                <w:b/>
                <w:bCs/>
                <w:color w:val="C9A84C"/>
                <w:sz w:val="16"/>
                <w:szCs w:val="16"/>
              </w:rPr>
              <w:t xml:space="preserve">Floor</w:t>
            </w:r>
          </w:p>
        </w:tc>
        <w:tc>
          <w:tcPr>
            <w:tcW w:type="dxa" w:w="1000"/>
            <w:shd w:fill="1A1A2E" w:val="clear"/>
            <w:tcMar>
              <w:top w:type="dxa" w:w="80"/>
              <w:left w:type="dxa" w:w="120"/>
              <w:bottom w:type="dxa" w:w="80"/>
              <w:right w:type="dxa" w:w="120"/>
            </w:tcMar>
          </w:tcPr>
          <w:p>
            <w:r>
              <w:rPr>
                <w:rFonts w:ascii="Arial" w:cs="Arial" w:eastAsia="Arial" w:hAnsi="Arial"/>
                <w:b/>
                <w:bCs/>
                <w:color w:val="C9A84C"/>
                <w:sz w:val="16"/>
                <w:szCs w:val="16"/>
              </w:rPr>
              <w:t xml:space="preserve">Ceiling</w:t>
            </w:r>
          </w:p>
        </w:tc>
        <w:tc>
          <w:tcPr>
            <w:tcW w:type="dxa" w:w="3860"/>
            <w:shd w:fill="1A1A2E" w:val="clear"/>
            <w:tcMar>
              <w:top w:type="dxa" w:w="80"/>
              <w:left w:type="dxa" w:w="120"/>
              <w:bottom w:type="dxa" w:w="80"/>
              <w:right w:type="dxa" w:w="120"/>
            </w:tcMar>
          </w:tcPr>
          <w:p>
            <w:r>
              <w:rPr>
                <w:rFonts w:ascii="Arial" w:cs="Arial" w:eastAsia="Arial" w:hAnsi="Arial"/>
                <w:b/>
                <w:bCs/>
                <w:color w:val="C9A84C"/>
                <w:sz w:val="16"/>
                <w:szCs w:val="16"/>
              </w:rPr>
              <w:t xml:space="preserve">Purpose</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rate_limit_tx_per_wallet_per_minute</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Max transactions per wallet per minute on main chain</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rate_limit_loan_actions_per_wallet_per_day</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Combined loan offer/accept/exit per wallet per 24h</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channel_threshold_daily_tx</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Unlimited</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Daily volume above which channel mode is recommended</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channel_open_min_lock_kx</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 KX</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 KX</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No ceiling</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KX to open a Payment Channel</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sweep_loan_interval_seconds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86,400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settles accrued loan interest to DAG</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sweep_email_lock_interval_seconds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checks for expired email locks to revert</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sweep_matured_timelock_interval_seconds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60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3,600</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How often node delivers matured timelocks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loan_min_settlement_chronos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accrued interest before writing a settlement vertex</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executor_eligibility_window_days</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90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365</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Days after maturity before executor delivery protocol activates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executor_fee_cap_pct</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7%</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AA0000"/>
                <w:sz w:val="16"/>
                <w:szCs w:val="16"/>
              </w:rPr>
              <w:t xml:space="preserve">7% (genesis max)</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Maximum executor fee. Genesis ceiling cannot be raised.</w:t>
            </w:r>
          </w:p>
        </w:tc>
      </w:tr>
      <w:tr>
        <w:tc>
          <w:tcPr>
            <w:tcW w:type="dxa" w:w="24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verifier_min_bond_kx</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1,000,000 KX</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100,000</w:t>
            </w:r>
          </w:p>
        </w:tc>
        <w:tc>
          <w:tcPr>
            <w:tcW w:type="dxa" w:w="100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No ceiling</w:t>
            </w:r>
          </w:p>
        </w:tc>
        <w:tc>
          <w:tcPr>
            <w:tcW w:type="dxa" w:w="3860"/>
            <w:shd w:fill="FFFFFF" w:val="clear"/>
            <w:tcMar>
              <w:top w:type="dxa" w:w="80"/>
              <w:left w:type="dxa" w:w="120"/>
              <w:bottom w:type="dxa" w:w="80"/>
              <w:right w:type="dxa" w:w="120"/>
            </w:tcMar>
          </w:tcPr>
          <w:p>
            <w:r>
              <w:rPr>
                <w:rFonts w:ascii="Arial" w:cs="Arial" w:eastAsia="Arial" w:hAnsi="Arial"/>
                <w:b w:val="false"/>
                <w:bCs w:val="false"/>
                <w:color w:val="000000"/>
                <w:sz w:val="16"/>
                <w:szCs w:val="16"/>
              </w:rPr>
              <w:t xml:space="preserve">Minimum KX bond for registered Verifas attestors</w:t>
            </w:r>
          </w:p>
        </w:tc>
      </w:tr>
      <w:tr>
        <w:tc>
          <w:tcPr>
            <w:tcW w:type="dxa" w:w="24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long_horizon_memo_public_threshold_days</w:t>
            </w:r>
          </w:p>
        </w:tc>
        <w:tc>
          <w:tcPr>
            <w:tcW w:type="dxa" w:w="11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365</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30</w:t>
            </w:r>
          </w:p>
        </w:tc>
        <w:tc>
          <w:tcPr>
            <w:tcW w:type="dxa" w:w="100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3,650</w:t>
            </w:r>
          </w:p>
        </w:tc>
        <w:tc>
          <w:tcPr>
            <w:tcW w:type="dxa" w:w="3860"/>
            <w:shd w:fill="F7F3E8" w:val="clear"/>
            <w:tcMar>
              <w:top w:type="dxa" w:w="80"/>
              <w:left w:type="dxa" w:w="120"/>
              <w:bottom w:type="dxa" w:w="80"/>
              <w:right w:type="dxa" w:w="120"/>
            </w:tcMar>
          </w:tcPr>
          <w:p>
            <w:r>
              <w:rPr>
                <w:rFonts w:ascii="Arial" w:cs="Arial" w:eastAsia="Arial" w:hAnsi="Arial"/>
                <w:b w:val="false"/>
                <w:bCs w:val="false"/>
                <w:color w:val="000000"/>
                <w:sz w:val="16"/>
                <w:szCs w:val="16"/>
              </w:rPr>
              <w:t xml:space="preserve">Promises beyond this unlock threshold may not carry public memos</w:t>
            </w:r>
          </w:p>
        </w:tc>
      </w:tr>
    </w:tbl>
    <w:p>
      <w:pPr>
        <w:spacing w:before="120" w:after="0"/>
      </w:pPr>
    </w:p>
    <w:p>
      <w:pPr>
        <w:spacing w:before="80" w:after="120"/>
        <w:jc w:val="both"/>
      </w:pPr>
      <w:r>
        <w:rPr>
          <w:rFonts w:ascii="Arial" w:cs="Arial" w:eastAsia="Arial" w:hAnsi="Arial"/>
          <w:i/>
          <w:iCs/>
          <w:color w:val="666666"/>
          <w:sz w:val="22"/>
          <w:szCs w:val="22"/>
        </w:rPr>
        <w:t xml:space="preserve">Note: The executor_fee_cap_pct ceiling of 7% is a genesis-level constant and cannot be raised by any governance action. All other parameters may be adjusted within their stated floor and ceiling by Foundation vote.</w:t>
      </w:r>
    </w:p>
    <w:p>
      <w:pPr>
        <w:spacing w:before="80" w:after="0"/>
      </w:pPr>
    </w:p>
    <w:p>
      <w:pPr>
        <w:pStyle w:val="Heading1"/>
        <w:spacing w:before="360" w:after="120"/>
      </w:pPr>
      <w:r>
        <w:rPr>
          <w:rFonts w:ascii="Arial" w:cs="Arial" w:eastAsia="Arial" w:hAnsi="Arial"/>
          <w:b/>
          <w:bCs/>
          <w:sz w:val="32"/>
          <w:szCs w:val="32"/>
        </w:rPr>
        <w:t xml:space="preserve">C.5 Payment Channels</w:t>
      </w:r>
    </w:p>
    <w:p>
      <w:pPr>
        <w:spacing w:before="80" w:after="120"/>
        <w:jc w:val="both"/>
      </w:pPr>
      <w:r>
        <w:rPr>
          <w:rFonts w:ascii="Arial" w:cs="Arial" w:eastAsia="Arial" w:hAnsi="Arial"/>
          <w:sz w:val="22"/>
          <w:szCs w:val="22"/>
        </w:rPr>
        <w:t xml:space="preserve">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pPr>
        <w:spacing w:before="80" w:after="120"/>
        <w:jc w:val="both"/>
      </w:pPr>
      <w:r>
        <w:rPr>
          <w:rFonts w:ascii="Arial" w:cs="Arial" w:eastAsia="Arial" w:hAnsi="Arial"/>
          <w:sz w:val="22"/>
          <w:szCs w:val="22"/>
        </w:rPr>
        <w:t xml:space="preserve">The channel_threshold_daily_tx parameter defines the volume at which the protocol recommends channel mode for a given relationship. As AI transaction volumes grow, the Foundation may adjust this threshold.</w:t>
      </w:r>
    </w:p>
    <w:p>
      <w:pPr>
        <w:spacing w:before="80" w:after="0"/>
      </w:pPr>
    </w:p>
    <w:p>
      <w:pPr>
        <w:pStyle w:val="Heading1"/>
        <w:spacing w:before="360" w:after="120"/>
      </w:pPr>
      <w:r>
        <w:rPr>
          <w:rFonts w:ascii="Arial" w:cs="Arial" w:eastAsia="Arial" w:hAnsi="Arial"/>
          <w:b/>
          <w:bCs/>
          <w:sz w:val="32"/>
          <w:szCs w:val="32"/>
        </w:rPr>
        <w:t xml:space="preserve">C.6 Verifas Attestor Governance</w:t>
      </w:r>
    </w:p>
    <w:p>
      <w:pPr>
        <w:spacing w:before="80" w:after="120"/>
        <w:jc w:val="both"/>
      </w:pPr>
      <w:r>
        <w:rPr>
          <w:rFonts w:ascii="Arial" w:cs="Arial" w:eastAsia="Arial" w:hAnsi="Arial"/>
          <w:sz w:val="22"/>
          <w:szCs w:val="22"/>
        </w:rPr>
        <w:t xml:space="preserve">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pPr>
        <w:spacing w:before="80" w:after="0"/>
      </w:pPr>
    </w:p>
    <w:p>
      <w:pPr>
        <w:pStyle w:val="Heading1"/>
        <w:spacing w:before="360" w:after="120"/>
      </w:pPr>
      <w:r>
        <w:rPr>
          <w:rFonts w:ascii="Arial" w:cs="Arial" w:eastAsia="Arial" w:hAnsi="Arial"/>
          <w:b/>
          <w:bCs/>
          <w:sz w:val="32"/>
          <w:szCs w:val="32"/>
        </w:rPr>
        <w:t xml:space="preserve">C.7 Immutable Constants</w:t>
      </w:r>
    </w:p>
    <w:p>
      <w:pPr>
        <w:spacing w:before="80" w:after="120"/>
        <w:jc w:val="both"/>
      </w:pPr>
      <w:r>
        <w:rPr>
          <w:rFonts w:ascii="Arial" w:cs="Arial" w:eastAsia="Arial" w:hAnsi="Arial"/>
          <w:sz w:val="22"/>
          <w:szCs w:val="22"/>
        </w:rPr>
        <w:t xml:space="preserve">The following constants are encoded at genesis and are permanently immutable. No Foundation vote, protocol upgrade, court order, or act of any kind can alter them.</w:t>
      </w:r>
    </w:p>
    <w:p>
      <w:pPr>
        <w:spacing w:before="80" w:after="0"/>
      </w:pPr>
    </w:p>
    <w:tbl>
      <w:tblPr>
        <w:tblW w:type="dxa" w:w="9360"/>
        <w:tblBorders>
          <w:top w:val="single" w:color="AA0000" w:sz="4"/>
          <w:left w:val="single" w:color="AA0000" w:sz="4"/>
          <w:bottom w:val="single" w:color="AA0000" w:sz="4"/>
          <w:right w:val="single" w:color="AA0000" w:sz="4"/>
          <w:insideH w:val="single" w:color="DDDDDD" w:sz="2"/>
          <w:insideV w:val="single" w:color="DDDDDD" w:sz="2"/>
        </w:tblBorders>
      </w:tblPr>
      <w:tblGrid>
        <w:gridCol w:w="2800"/>
        <w:gridCol w:w="1400"/>
        <w:gridCol w:w="5160"/>
      </w:tblGrid>
      <w:tr>
        <w:tc>
          <w:tcPr>
            <w:tcW w:type="dxa" w:w="2800"/>
            <w:shd w:fill="3A0000"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1400"/>
            <w:shd w:fill="3A000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160"/>
            <w:shd w:fill="3A0000" w:val="clear"/>
            <w:tcMar>
              <w:top w:type="dxa" w:w="80"/>
              <w:left w:type="dxa" w:w="120"/>
              <w:bottom w:type="dxa" w:w="80"/>
              <w:right w:type="dxa" w:w="120"/>
            </w:tcMar>
          </w:tcPr>
          <w:p>
            <w:r>
              <w:rPr>
                <w:rFonts w:ascii="Arial" w:cs="Arial" w:eastAsia="Arial" w:hAnsi="Arial"/>
                <w:b/>
                <w:bCs/>
                <w:color w:val="FFFFFF"/>
                <w:sz w:val="18"/>
                <w:szCs w:val="18"/>
              </w:rPr>
              <w:t xml:space="preserve">Why It Cannot Change</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KX Supply</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8,270,000,000 KX</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promise on ChronX is denominated in KX. The supply is the unit of account.</w:t>
            </w:r>
          </w:p>
        </w:tc>
      </w:tr>
      <w:tr>
        <w:tc>
          <w:tcPr>
            <w:tcW w:type="dxa" w:w="28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Fees</w:t>
            </w:r>
          </w:p>
        </w:tc>
        <w:tc>
          <w:tcPr>
            <w:tcW w:type="dxa" w:w="14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 Forever.</w:t>
            </w:r>
          </w:p>
        </w:tc>
        <w:tc>
          <w:tcPr>
            <w:tcW w:type="dxa" w:w="516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A 100-year promise cannot carry an unknown future fee burden.</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Executor Fee Ceiling</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 maximum</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Grantors must trust that no future governance action will increase delivery costs. Ceiling can only move downward.</w:t>
            </w:r>
          </w:p>
        </w:tc>
      </w:tr>
      <w:tr>
        <w:tc>
          <w:tcPr>
            <w:tcW w:type="dxa" w:w="28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Promise Axioms (4)</w:t>
            </w:r>
          </w:p>
        </w:tc>
        <w:tc>
          <w:tcPr>
            <w:tcW w:type="dxa" w:w="140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Genesis-encoded</w:t>
            </w:r>
          </w:p>
        </w:tc>
        <w:tc>
          <w:tcPr>
            <w:tcW w:type="dxa" w:w="5160"/>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axioms are the protocol's constitution. A protocol that could alter its own axioms offers no meaningful guarantees.</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Agent Axioms (6)</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Genesis-encoded</w:t>
            </w:r>
          </w:p>
        </w:tc>
        <w:tc>
          <w:tcPr>
            <w:tcW w:type="dxa" w:w="5160"/>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agents managing human financial obligations must operate under rules that cannot be changed after the fact.</w:t>
            </w:r>
          </w:p>
        </w:tc>
      </w:tr>
    </w:tbl>
    <w:p>
      <w:pPr>
        <w:spacing w:before="160" w:after="0"/>
      </w:pP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Addendum C — ChronX Protocol Foundation Governance</w:t>
      </w:r>
    </w:p>
    <w:p>
      <w:r>
        <w:br w:type="page"/>
      </w:r>
    </w:p>
    <w:p>
      <w:pPr>
        <w:spacing w:before="200" w:after="80"/>
        <w:jc w:val="center"/>
      </w:pPr>
      <w:r>
        <w:rPr>
          <w:rFonts w:ascii="Arial" w:cs="Arial" w:eastAsia="Arial" w:hAnsi="Arial"/>
          <w:b/>
          <w:bCs/>
          <w:color w:val="C9A84C"/>
          <w:sz w:val="28"/>
          <w:szCs w:val="28"/>
        </w:rPr>
        <w:t xml:space="preserve">ADDENDUM D</w:t>
      </w:r>
    </w:p>
    <w:p>
      <w:pPr>
        <w:spacing w:before="0" w:after="80"/>
        <w:jc w:val="center"/>
      </w:pPr>
      <w:r>
        <w:rPr>
          <w:rFonts w:ascii="Arial" w:cs="Arial" w:eastAsia="Arial" w:hAnsi="Arial"/>
          <w:b/>
          <w:bCs/>
          <w:sz w:val="24"/>
          <w:szCs w:val="24"/>
        </w:rPr>
        <w:t xml:space="preserve">Technical Architecture</w:t>
      </w:r>
    </w:p>
    <w:p>
      <w:pPr>
        <w:spacing w:before="80" w:after="80"/>
        <w:jc w:val="center"/>
      </w:pPr>
      <w:r>
        <w:rPr>
          <w:rFonts w:ascii="Arial" w:cs="Arial" w:eastAsia="Arial" w:hAnsi="Arial"/>
          <w:color w:val="666666"/>
          <w:sz w:val="18"/>
          <w:szCs w:val="18"/>
        </w:rPr>
        <w:t xml:space="preserve">For developers building on ChronX. Full node specification, RPC reference, and action variant list.</w:t>
      </w:r>
    </w:p>
    <w:p>
      <w:pPr>
        <w:spacing w:before="160" w:after="0"/>
      </w:pPr>
    </w:p>
    <w:p>
      <w:pPr>
        <w:pStyle w:val="Heading1"/>
        <w:spacing w:before="360" w:after="120"/>
      </w:pPr>
      <w:r>
        <w:rPr>
          <w:rFonts w:ascii="Arial" w:cs="Arial" w:eastAsia="Arial" w:hAnsi="Arial"/>
          <w:b/>
          <w:bCs/>
          <w:sz w:val="32"/>
          <w:szCs w:val="32"/>
        </w:rPr>
        <w:t xml:space="preserve">D.1 DAG-Based Consensus</w:t>
      </w:r>
    </w:p>
    <w:p>
      <w:pPr>
        <w:spacing w:before="80" w:after="120"/>
        <w:jc w:val="both"/>
      </w:pPr>
      <w:r>
        <w:rPr>
          <w:rFonts w:ascii="Arial" w:cs="Arial" w:eastAsia="Arial" w:hAnsi="Arial"/>
          <w:sz w:val="22"/>
          <w:szCs w:val="22"/>
        </w:rPr>
        <w:t xml:space="preserve">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pPr>
        <w:pStyle w:val="Heading1"/>
        <w:spacing w:before="360" w:after="120"/>
      </w:pPr>
      <w:r>
        <w:rPr>
          <w:rFonts w:ascii="Arial" w:cs="Arial" w:eastAsia="Arial" w:hAnsi="Arial"/>
          <w:b/>
          <w:bCs/>
          <w:sz w:val="32"/>
          <w:szCs w:val="32"/>
        </w:rPr>
        <w:t xml:space="preserve">D.2 Post-Quantum Cryptography</w:t>
      </w:r>
    </w:p>
    <w:p>
      <w:pPr>
        <w:spacing w:before="80" w:after="120"/>
        <w:jc w:val="both"/>
      </w:pPr>
      <w:r>
        <w:rPr>
          <w:rFonts w:ascii="Arial" w:cs="Arial" w:eastAsia="Arial" w:hAnsi="Arial"/>
          <w:sz w:val="22"/>
          <w:szCs w:val="22"/>
        </w:rPr>
        <w:t xml:space="preserve">All ChronX wallets use CRYSTALS-Dilithium2 digital signatures (NIST FIPS 204). Key sizes: public key 1,312 bytes, private key 2,528 bytes, signature 2,420 bytes. Account IDs are BLAKE3(Dilithium2 public key), Base58 encoded.</w:t>
      </w:r>
    </w:p>
    <w:p>
      <w:pPr>
        <w:pStyle w:val="Heading1"/>
        <w:spacing w:before="360" w:after="120"/>
      </w:pPr>
      <w:r>
        <w:rPr>
          <w:rFonts w:ascii="Arial" w:cs="Arial" w:eastAsia="Arial" w:hAnsi="Arial"/>
          <w:b/>
          <w:bCs/>
          <w:sz w:val="32"/>
          <w:szCs w:val="32"/>
        </w:rPr>
        <w:t xml:space="preserve">D.3 Zero Transaction Fees</w:t>
      </w:r>
    </w:p>
    <w:p>
      <w:pPr>
        <w:spacing w:before="80" w:after="120"/>
        <w:jc w:val="both"/>
      </w:pPr>
      <w:r>
        <w:rPr>
          <w:rFonts w:ascii="Arial" w:cs="Arial" w:eastAsia="Arial" w:hAnsi="Arial"/>
          <w:sz w:val="22"/>
          <w:szCs w:val="22"/>
        </w:rPr>
        <w:t xml:space="preserve">ChronX has no transaction fees. Each transaction requires Proof of Work (SHA3-256, 20-bit difficulty) as spam resistance. Per-wallet rate limiting provides additional protection at the engine level, enforced in Rust with persistent state across node restarts.</w:t>
      </w:r>
    </w:p>
    <w:p>
      <w:pPr>
        <w:pStyle w:val="Heading1"/>
        <w:spacing w:before="360" w:after="120"/>
      </w:pPr>
      <w:r>
        <w:rPr>
          <w:rFonts w:ascii="Arial" w:cs="Arial" w:eastAsia="Arial" w:hAnsi="Arial"/>
          <w:b/>
          <w:bCs/>
          <w:sz w:val="32"/>
          <w:szCs w:val="32"/>
        </w:rPr>
        <w:t xml:space="preserve">D.4 Genesis 10 — Action Variants</w:t>
      </w:r>
    </w:p>
    <w:p>
      <w:pPr>
        <w:spacing w:before="80" w:after="120"/>
        <w:jc w:val="both"/>
      </w:pPr>
      <w:r>
        <w:rPr>
          <w:rFonts w:ascii="Arial" w:cs="Arial" w:eastAsia="Arial" w:hAnsi="Arial"/>
          <w:sz w:val="22"/>
          <w:szCs w:val="22"/>
        </w:rPr>
        <w:t xml:space="preserve">Genesis 10 introduces 59 Action variants covering all ten payment types, loan primitives, channel operations, group management, and governance. The complete action reference is available at chronx.io/docs. Key loan primitives: LoanOffer (lender signs only), LoanAcceptance (borrower signs only), LoanExit (pro-rata settlement to exact second), LoanDecline, LoanOfferWithdrawn. Channel primitives: ChannelOpen (locks KX, records counterparty), ChannelClose (net settlement, updates balances).</w:t>
      </w:r>
    </w:p>
    <w:p>
      <w:pPr>
        <w:pStyle w:val="Heading1"/>
        <w:spacing w:before="360" w:after="120"/>
      </w:pPr>
      <w:r>
        <w:rPr>
          <w:rFonts w:ascii="Arial" w:cs="Arial" w:eastAsia="Arial" w:hAnsi="Arial"/>
          <w:b/>
          <w:bCs/>
          <w:sz w:val="32"/>
          <w:szCs w:val="32"/>
        </w:rPr>
        <w:t xml:space="preserve">D.5 Loan Storage</w:t>
      </w:r>
    </w:p>
    <w:p>
      <w:pPr>
        <w:spacing w:before="80" w:after="120"/>
        <w:jc w:val="both"/>
      </w:pPr>
      <w:r>
        <w:rPr>
          <w:rFonts w:ascii="Arial" w:cs="Arial" w:eastAsia="Arial" w:hAnsi="Arial"/>
          <w:sz w:val="22"/>
          <w:szCs w:val="22"/>
        </w:rPr>
        <w:t xml:space="preserve">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pPr>
        <w:pStyle w:val="Heading1"/>
        <w:spacing w:before="360" w:after="120"/>
      </w:pPr>
      <w:r>
        <w:rPr>
          <w:rFonts w:ascii="Arial" w:cs="Arial" w:eastAsia="Arial" w:hAnsi="Arial"/>
          <w:b/>
          <w:bCs/>
          <w:sz w:val="32"/>
          <w:szCs w:val="32"/>
        </w:rPr>
        <w:t xml:space="preserve">D.6 Memo Privacy Implementation</w:t>
      </w:r>
    </w:p>
    <w:p>
      <w:pPr>
        <w:spacing w:before="80" w:after="120"/>
        <w:jc w:val="both"/>
      </w:pPr>
      <w:r>
        <w:rPr>
          <w:rFonts w:ascii="Arial" w:cs="Arial" w:eastAsia="Arial" w:hAnsi="Arial"/>
          <w:sz w:val="22"/>
          <w:szCs w:val="22"/>
        </w:rP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Promises with unlock &gt; 365 days reject memo_public=true at the engine level regardless of identity status.</w:t>
      </w:r>
    </w:p>
    <w:p>
      <w:pPr>
        <w:pStyle w:val="Heading1"/>
        <w:spacing w:before="360" w:after="120"/>
      </w:pPr>
      <w:r>
        <w:rPr>
          <w:rFonts w:ascii="Arial" w:cs="Arial" w:eastAsia="Arial" w:hAnsi="Arial"/>
          <w:b/>
          <w:bCs/>
          <w:sz w:val="32"/>
          <w:szCs w:val="32"/>
        </w:rPr>
        <w:t xml:space="preserve">D.7 Node Infrastructure</w:t>
      </w:r>
    </w:p>
    <w:p>
      <w:pPr>
        <w:spacing w:before="80" w:after="120"/>
        <w:jc w:val="both"/>
      </w:pPr>
      <w:r>
        <w:rPr>
          <w:rFonts w:ascii="Arial" w:cs="Arial" w:eastAsia="Arial" w:hAnsi="Arial"/>
          <w:sz w:val="22"/>
          <w:szCs w:val="22"/>
        </w:rPr>
        <w:t xml:space="preserve">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pPr>
        <w:pStyle w:val="Heading1"/>
        <w:spacing w:before="360" w:after="120"/>
      </w:pPr>
      <w:r>
        <w:rPr>
          <w:rFonts w:ascii="Arial" w:cs="Arial" w:eastAsia="Arial" w:hAnsi="Arial"/>
          <w:b/>
          <w:bCs/>
          <w:sz w:val="32"/>
          <w:szCs w:val="32"/>
        </w:rPr>
        <w:t xml:space="preserve">D.8 RPC Methods</w:t>
      </w:r>
    </w:p>
    <w:p>
      <w:pPr>
        <w:spacing w:before="80" w:after="120"/>
        <w:jc w:val="both"/>
      </w:pPr>
      <w:r>
        <w:rPr>
          <w:rFonts w:ascii="Arial" w:cs="Arial" w:eastAsia="Arial" w:hAnsi="Arial"/>
          <w:sz w:val="22"/>
          <w:szCs w:val="22"/>
        </w:rPr>
        <w:t xml:space="preserve">Public RPC prefix: chronx_. Key methods: getChainStats, getAccount, getLocks, getLockById, submitCascade, getLoansByWallet, getLoanPaymentHistory, getChannelInfo, getVerifierRegistry, getPromiseAxioms, getNetworkInfo. Full reference at chronx.io/docs.</w:t>
      </w:r>
    </w:p>
    <w:p>
      <w:pPr>
        <w:pBdr>
          <w:bottom w:val="single" w:color="C9A84C" w:sz="6" w:space="1"/>
        </w:pBdr>
        <w:spacing w:before="200" w:after="200"/>
      </w:pPr>
    </w:p>
    <w:p>
      <w:pPr>
        <w:spacing w:before="80" w:after="80"/>
        <w:jc w:val="center"/>
      </w:pPr>
      <w:r>
        <w:rPr>
          <w:rFonts w:ascii="Arial" w:cs="Arial" w:eastAsia="Arial" w:hAnsi="Arial"/>
          <w:color w:val="666666"/>
          <w:sz w:val="18"/>
          <w:szCs w:val="18"/>
        </w:rPr>
        <w:t xml:space="preserve">End of Addendum D — Technical Architecture</w:t>
      </w:r>
    </w:p>
    <w:p>
      <w:pPr>
        <w:pBdr>
          <w:bottom w:val="single" w:color="C9A84C" w:sz="6" w:space="1"/>
        </w:pBdr>
        <w:spacing w:before="200" w:after="200"/>
      </w:pPr>
    </w:p>
    <w:p>
      <w:pPr>
        <w:spacing w:before="80" w:after="0"/>
      </w:pPr>
    </w:p>
    <w:p>
      <w:pPr>
        <w:spacing w:before="80" w:after="80"/>
        <w:jc w:val="center"/>
      </w:pPr>
      <w:r>
        <w:rPr>
          <w:rFonts w:ascii="Arial" w:cs="Arial" w:eastAsia="Arial" w:hAnsi="Arial"/>
          <w:color w:val="666666"/>
          <w:sz w:val="18"/>
          <w:szCs w:val="18"/>
        </w:rPr>
        <w:t xml:space="preserve">ChronX Protocol Whitepaper v6.4  |  chronx.io  |  ICO: September 22, 2026</w:t>
      </w:r>
    </w:p>
    <w:p>
      <w:r>
        <w:br w:type="page"/>
      </w:r>
    </w:p>
    <w:p>
      <w:pPr>
        <w:pStyle w:val="Heading1"/>
        <w:spacing w:before="360" w:after="120"/>
      </w:pPr>
      <w:r>
        <w:rPr>
          <w:rFonts w:ascii="Arial" w:cs="Arial" w:eastAsia="Arial" w:hAnsi="Arial"/>
          <w:b/>
          <w:bCs/>
          <w:sz w:val="32"/>
          <w:szCs w:val="32"/>
        </w:rPr>
        <w:t xml:space="preserve">Appendix B — Loan Status Flag Reference</w:t>
      </w:r>
    </w:p>
    <w:p>
      <w:pPr>
        <w:spacing w:before="120" w:after="120"/>
      </w:pPr>
      <w:r>
        <w:rPr>
          <w:rFonts w:ascii="Arial" w:cs="Arial" w:eastAsia="Arial" w:hAnsi="Arial"/>
          <w:sz w:val="24"/>
          <w:szCs w:val="24"/>
        </w:rPr>
        <w:t xml:space="preserve">Lenders may optionally record status flags on their loan records. Flags are the unilateral declaration of the recording party and represent their position only. Flags are permanent but may be superseded by subsequent flags. The current loan status reflects the most recently recorded flag. The complete flag history is always visible on-chain. Borrowers retain the right to record a DISPUTED flag at any time. ChronX Protocol makes no independent verification of any flag, takes no position on its accuracy, and expressly disclaims any role in credit reporting, debt collection, or dispute resolution.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color="auto" w:fill="1A1A2E"/>
          </w:tcPr>
          <w:p>
            <w:r>
              <w:rPr>
                <w:rFonts w:ascii="Arial" w:cs="Arial" w:eastAsia="Arial" w:hAnsi="Arial"/>
                <w:sz w:val="18"/>
                <w:szCs w:val="18"/>
                <w:b/>
                <w:bCs/>
              </w:rPr>
              <w:t xml:space="preserve">Flag</w:t>
            </w:r>
          </w:p>
        </w:tc>
        <w:tc>
          <w:tcPr>
            <w:tcW w:w="0" w:type="auto"/>
            <w:shd w:val="clear" w:color="auto" w:fill="1A1A2E"/>
          </w:tcPr>
          <w:p>
            <w:r>
              <w:rPr>
                <w:rFonts w:ascii="Arial" w:cs="Arial" w:eastAsia="Arial" w:hAnsi="Arial"/>
                <w:sz w:val="18"/>
                <w:szCs w:val="18"/>
                <w:b/>
                <w:bCs/>
              </w:rPr>
              <w:t xml:space="preserve">Set By</w:t>
            </w:r>
          </w:p>
        </w:tc>
        <w:tc>
          <w:tcPr>
            <w:tcW w:w="0" w:type="auto"/>
            <w:shd w:val="clear" w:color="auto" w:fill="1A1A2E"/>
          </w:tcPr>
          <w:p>
            <w:r>
              <w:rPr>
                <w:rFonts w:ascii="Arial" w:cs="Arial" w:eastAsia="Arial" w:hAnsi="Arial"/>
                <w:sz w:val="18"/>
                <w:szCs w:val="18"/>
                <w:b/>
                <w:bCs/>
              </w:rPr>
              <w:t xml:space="preserve">Description</w:t>
            </w:r>
          </w:p>
        </w:tc>
      </w:tr>
      <w:tr>
        <w:tc>
          <w:tcPr>
            <w:tcW w:w="0" w:type="auto"/>
          </w:tcPr>
          <w:p>
            <w:r>
              <w:rPr>
                <w:rFonts w:ascii="Arial" w:cs="Arial" w:eastAsia="Arial" w:hAnsi="Arial"/>
                <w:sz w:val="18"/>
                <w:szCs w:val="18"/>
              </w:rPr>
              <w:t xml:space="preserve">OFFERED</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Offer created, awaiting acceptance</w:t>
            </w:r>
          </w:p>
        </w:tc>
      </w:tr>
      <w:tr>
        <w:tc>
          <w:tcPr>
            <w:tcW w:w="0" w:type="auto"/>
          </w:tcPr>
          <w:p>
            <w:r>
              <w:rPr>
                <w:rFonts w:ascii="Arial" w:cs="Arial" w:eastAsia="Arial" w:hAnsi="Arial"/>
                <w:sz w:val="18"/>
                <w:szCs w:val="18"/>
              </w:rPr>
              <w:t xml:space="preserve">ACTIVE</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Funds disbursed, payments current</w:t>
            </w:r>
          </w:p>
        </w:tc>
      </w:tr>
      <w:tr>
        <w:tc>
          <w:tcPr>
            <w:tcW w:w="0" w:type="auto"/>
          </w:tcPr>
          <w:p>
            <w:r>
              <w:rPr>
                <w:rFonts w:ascii="Arial" w:cs="Arial" w:eastAsia="Arial" w:hAnsi="Arial"/>
                <w:sz w:val="18"/>
                <w:szCs w:val="18"/>
              </w:rPr>
              <w:t xml:space="preserve">PAID_OFF</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Fully repaid</w:t>
            </w:r>
          </w:p>
        </w:tc>
      </w:tr>
      <w:tr>
        <w:tc>
          <w:tcPr>
            <w:tcW w:w="0" w:type="auto"/>
          </w:tcPr>
          <w:p>
            <w:r>
              <w:rPr>
                <w:rFonts w:ascii="Arial" w:cs="Arial" w:eastAsia="Arial" w:hAnsi="Arial"/>
                <w:sz w:val="18"/>
                <w:szCs w:val="18"/>
              </w:rPr>
              <w:t xml:space="preserve">EARLY_EXIT</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Exited before term end</w:t>
            </w:r>
          </w:p>
        </w:tc>
      </w:tr>
      <w:tr>
        <w:tc>
          <w:tcPr>
            <w:tcW w:w="0" w:type="auto"/>
          </w:tcPr>
          <w:p>
            <w:r>
              <w:rPr>
                <w:rFonts w:ascii="Arial" w:cs="Arial" w:eastAsia="Arial" w:hAnsi="Arial"/>
                <w:sz w:val="18"/>
                <w:szCs w:val="18"/>
              </w:rPr>
              <w:t xml:space="preserve">COLLATERAL_CALLED</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Collateral lock triggered</w:t>
            </w:r>
          </w:p>
        </w:tc>
      </w:tr>
      <w:tr>
        <w:tc>
          <w:tcPr>
            <w:tcW w:w="0" w:type="auto"/>
          </w:tcPr>
          <w:p>
            <w:r>
              <w:rPr>
                <w:rFonts w:ascii="Arial" w:cs="Arial" w:eastAsia="Arial" w:hAnsi="Arial"/>
                <w:sz w:val="18"/>
                <w:szCs w:val="18"/>
              </w:rPr>
              <w:t xml:space="preserve">EXPIRED</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Offer expired before acceptance</w:t>
            </w:r>
          </w:p>
        </w:tc>
      </w:tr>
      <w:tr>
        <w:tc>
          <w:tcPr>
            <w:tcW w:w="0" w:type="auto"/>
          </w:tcPr>
          <w:p>
            <w:r>
              <w:rPr>
                <w:rFonts w:ascii="Arial" w:cs="Arial" w:eastAsia="Arial" w:hAnsi="Arial"/>
                <w:sz w:val="18"/>
                <w:szCs w:val="18"/>
              </w:rPr>
              <w:t xml:space="preserve">WITHDRAWN</w:t>
            </w:r>
          </w:p>
        </w:tc>
        <w:tc>
          <w:tcPr>
            <w:tcW w:w="0" w:type="auto"/>
          </w:tcPr>
          <w:p>
            <w:r>
              <w:rPr>
                <w:rFonts w:ascii="Arial" w:cs="Arial" w:eastAsia="Arial" w:hAnsi="Arial"/>
                <w:sz w:val="18"/>
                <w:szCs w:val="18"/>
              </w:rPr>
              <w:t xml:space="preserve">Protocol</w:t>
            </w:r>
          </w:p>
        </w:tc>
        <w:tc>
          <w:tcPr>
            <w:tcW w:w="0" w:type="auto"/>
          </w:tcPr>
          <w:p>
            <w:r>
              <w:rPr>
                <w:rFonts w:ascii="Arial" w:cs="Arial" w:eastAsia="Arial" w:hAnsi="Arial"/>
                <w:sz w:val="18"/>
                <w:szCs w:val="18"/>
              </w:rPr>
              <w:t xml:space="preserve">Lender withdrew before acceptance</w:t>
            </w:r>
          </w:p>
        </w:tc>
      </w:tr>
      <w:tr>
        <w:tc>
          <w:tcPr>
            <w:tcW w:w="0" w:type="auto"/>
          </w:tcPr>
          <w:p>
            <w:r>
              <w:rPr>
                <w:rFonts w:ascii="Arial" w:cs="Arial" w:eastAsia="Arial" w:hAnsi="Arial"/>
                <w:sz w:val="18"/>
                <w:szCs w:val="18"/>
              </w:rPr>
              <w:t xml:space="preserve">LATE</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Payment past due within grace period</w:t>
            </w:r>
          </w:p>
        </w:tc>
      </w:tr>
      <w:tr>
        <w:tc>
          <w:tcPr>
            <w:tcW w:w="0" w:type="auto"/>
          </w:tcPr>
          <w:p>
            <w:r>
              <w:rPr>
                <w:rFonts w:ascii="Arial" w:cs="Arial" w:eastAsia="Arial" w:hAnsi="Arial"/>
                <w:sz w:val="18"/>
                <w:szCs w:val="18"/>
              </w:rPr>
              <w:t xml:space="preserve">DELINQUENT</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Payment significantly overdue</w:t>
            </w:r>
          </w:p>
        </w:tc>
      </w:tr>
      <w:tr>
        <w:tc>
          <w:tcPr>
            <w:tcW w:w="0" w:type="auto"/>
          </w:tcPr>
          <w:p>
            <w:r>
              <w:rPr>
                <w:rFonts w:ascii="Arial" w:cs="Arial" w:eastAsia="Arial" w:hAnsi="Arial"/>
                <w:sz w:val="18"/>
                <w:szCs w:val="18"/>
              </w:rPr>
              <w:t xml:space="preserve">DEFAULT</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Formal default declared</w:t>
            </w:r>
          </w:p>
        </w:tc>
      </w:tr>
      <w:tr>
        <w:tc>
          <w:tcPr>
            <w:tcW w:w="0" w:type="auto"/>
          </w:tcPr>
          <w:p>
            <w:r>
              <w:rPr>
                <w:rFonts w:ascii="Arial" w:cs="Arial" w:eastAsia="Arial" w:hAnsi="Arial"/>
                <w:sz w:val="18"/>
                <w:szCs w:val="18"/>
              </w:rPr>
              <w:t xml:space="preserve">ACCELERATED</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Full balance called due immediately</w:t>
            </w:r>
          </w:p>
        </w:tc>
      </w:tr>
      <w:tr>
        <w:tc>
          <w:tcPr>
            <w:tcW w:w="0" w:type="auto"/>
          </w:tcPr>
          <w:p>
            <w:r>
              <w:rPr>
                <w:rFonts w:ascii="Arial" w:cs="Arial" w:eastAsia="Arial" w:hAnsi="Arial"/>
                <w:sz w:val="18"/>
                <w:szCs w:val="18"/>
              </w:rPr>
              <w:t xml:space="preserve">WRITTEN_OFF</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Declared uncollectable</w:t>
            </w:r>
          </w:p>
        </w:tc>
      </w:tr>
      <w:tr>
        <w:tc>
          <w:tcPr>
            <w:tcW w:w="0" w:type="auto"/>
          </w:tcPr>
          <w:p>
            <w:r>
              <w:rPr>
                <w:rFonts w:ascii="Arial" w:cs="Arial" w:eastAsia="Arial" w:hAnsi="Arial"/>
                <w:sz w:val="18"/>
                <w:szCs w:val="18"/>
              </w:rPr>
              <w:t xml:space="preserve">REINSTATED</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Restored to good standing after default</w:t>
            </w:r>
          </w:p>
        </w:tc>
      </w:tr>
      <w:tr>
        <w:tc>
          <w:tcPr>
            <w:tcW w:w="0" w:type="auto"/>
          </w:tcPr>
          <w:p>
            <w:r>
              <w:rPr>
                <w:rFonts w:ascii="Arial" w:cs="Arial" w:eastAsia="Arial" w:hAnsi="Arial"/>
                <w:sz w:val="18"/>
                <w:szCs w:val="18"/>
              </w:rPr>
              <w:t xml:space="preserve">SETTLED</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Resolved for less than full balance</w:t>
            </w:r>
          </w:p>
        </w:tc>
      </w:tr>
      <w:tr>
        <w:tc>
          <w:tcPr>
            <w:tcW w:w="0" w:type="auto"/>
          </w:tcPr>
          <w:p>
            <w:r>
              <w:rPr>
                <w:rFonts w:ascii="Arial" w:cs="Arial" w:eastAsia="Arial" w:hAnsi="Arial"/>
                <w:sz w:val="18"/>
                <w:szCs w:val="18"/>
              </w:rPr>
              <w:t xml:space="preserve">FORGIVEN</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Remaining balance forgiven</w:t>
            </w:r>
          </w:p>
        </w:tc>
      </w:tr>
      <w:tr>
        <w:tc>
          <w:tcPr>
            <w:tcW w:w="0" w:type="auto"/>
          </w:tcPr>
          <w:p>
            <w:r>
              <w:rPr>
                <w:rFonts w:ascii="Arial" w:cs="Arial" w:eastAsia="Arial" w:hAnsi="Arial"/>
                <w:sz w:val="18"/>
                <w:szCs w:val="18"/>
              </w:rPr>
              <w:t xml:space="preserve">TRANSFERRED</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Assigned to new lender</w:t>
            </w:r>
          </w:p>
        </w:tc>
      </w:tr>
      <w:tr>
        <w:tc>
          <w:tcPr>
            <w:tcW w:w="0" w:type="auto"/>
          </w:tcPr>
          <w:p>
            <w:r>
              <w:rPr>
                <w:rFonts w:ascii="Arial" w:cs="Arial" w:eastAsia="Arial" w:hAnsi="Arial"/>
                <w:sz w:val="18"/>
                <w:szCs w:val="18"/>
              </w:rPr>
              <w:t xml:space="preserve">REFINANCED</w:t>
            </w:r>
          </w:p>
        </w:tc>
        <w:tc>
          <w:tcPr>
            <w:tcW w:w="0" w:type="auto"/>
          </w:tcPr>
          <w:p>
            <w:r>
              <w:rPr>
                <w:rFonts w:ascii="Arial" w:cs="Arial" w:eastAsia="Arial" w:hAnsi="Arial"/>
                <w:sz w:val="18"/>
                <w:szCs w:val="18"/>
              </w:rPr>
              <w:t xml:space="preserve">Lender</w:t>
            </w:r>
          </w:p>
        </w:tc>
        <w:tc>
          <w:tcPr>
            <w:tcW w:w="0" w:type="auto"/>
          </w:tcPr>
          <w:p>
            <w:r>
              <w:rPr>
                <w:rFonts w:ascii="Arial" w:cs="Arial" w:eastAsia="Arial" w:hAnsi="Arial"/>
                <w:sz w:val="18"/>
                <w:szCs w:val="18"/>
              </w:rPr>
              <w:t xml:space="preserve">Replaced by new loan</w:t>
            </w:r>
          </w:p>
        </w:tc>
      </w:tr>
      <w:tr>
        <w:tc>
          <w:tcPr>
            <w:tcW w:w="0" w:type="auto"/>
          </w:tcPr>
          <w:p>
            <w:r>
              <w:rPr>
                <w:rFonts w:ascii="Arial" w:cs="Arial" w:eastAsia="Arial" w:hAnsi="Arial"/>
                <w:sz w:val="18"/>
                <w:szCs w:val="18"/>
              </w:rPr>
              <w:t xml:space="preserve">BANKRUPTCY</w:t>
            </w:r>
          </w:p>
        </w:tc>
        <w:tc>
          <w:tcPr>
            <w:tcW w:w="0" w:type="auto"/>
          </w:tcPr>
          <w:p>
            <w:r>
              <w:rPr>
                <w:rFonts w:ascii="Arial" w:cs="Arial" w:eastAsia="Arial" w:hAnsi="Arial"/>
                <w:sz w:val="18"/>
                <w:szCs w:val="18"/>
              </w:rPr>
              <w:t xml:space="preserve">Borrower</w:t>
            </w:r>
          </w:p>
        </w:tc>
        <w:tc>
          <w:tcPr>
            <w:tcW w:w="0" w:type="auto"/>
          </w:tcPr>
          <w:p>
            <w:r>
              <w:rPr>
                <w:rFonts w:ascii="Arial" w:cs="Arial" w:eastAsia="Arial" w:hAnsi="Arial"/>
                <w:sz w:val="18"/>
                <w:szCs w:val="18"/>
              </w:rPr>
              <w:t xml:space="preserve">Self-reported bankruptcy filing</w:t>
            </w:r>
          </w:p>
        </w:tc>
      </w:tr>
      <w:tr>
        <w:tc>
          <w:tcPr>
            <w:tcW w:w="0" w:type="auto"/>
          </w:tcPr>
          <w:p>
            <w:r>
              <w:rPr>
                <w:rFonts w:ascii="Arial" w:cs="Arial" w:eastAsia="Arial" w:hAnsi="Arial"/>
                <w:sz w:val="18"/>
                <w:szCs w:val="18"/>
              </w:rPr>
              <w:t xml:space="preserve">BANKRUPTCY_DISCHARGED</w:t>
            </w:r>
          </w:p>
        </w:tc>
        <w:tc>
          <w:tcPr>
            <w:tcW w:w="0" w:type="auto"/>
          </w:tcPr>
          <w:p>
            <w:r>
              <w:rPr>
                <w:rFonts w:ascii="Arial" w:cs="Arial" w:eastAsia="Arial" w:hAnsi="Arial"/>
                <w:sz w:val="18"/>
                <w:szCs w:val="18"/>
              </w:rPr>
              <w:t xml:space="preserve">Borrower</w:t>
            </w:r>
          </w:p>
        </w:tc>
        <w:tc>
          <w:tcPr>
            <w:tcW w:w="0" w:type="auto"/>
          </w:tcPr>
          <w:p>
            <w:r>
              <w:rPr>
                <w:rFonts w:ascii="Arial" w:cs="Arial" w:eastAsia="Arial" w:hAnsi="Arial"/>
                <w:sz w:val="18"/>
                <w:szCs w:val="18"/>
              </w:rPr>
              <w:t xml:space="preserve">Bankruptcy case closed</w:t>
            </w:r>
          </w:p>
        </w:tc>
      </w:tr>
      <w:tr>
        <w:tc>
          <w:tcPr>
            <w:tcW w:w="0" w:type="auto"/>
          </w:tcPr>
          <w:p>
            <w:r>
              <w:rPr>
                <w:rFonts w:ascii="Arial" w:cs="Arial" w:eastAsia="Arial" w:hAnsi="Arial"/>
                <w:sz w:val="18"/>
                <w:szCs w:val="18"/>
              </w:rPr>
              <w:t xml:space="preserve">INSOLVENCY</w:t>
            </w:r>
          </w:p>
        </w:tc>
        <w:tc>
          <w:tcPr>
            <w:tcW w:w="0" w:type="auto"/>
          </w:tcPr>
          <w:p>
            <w:r>
              <w:rPr>
                <w:rFonts w:ascii="Arial" w:cs="Arial" w:eastAsia="Arial" w:hAnsi="Arial"/>
                <w:sz w:val="18"/>
                <w:szCs w:val="18"/>
              </w:rPr>
              <w:t xml:space="preserve">Borrower</w:t>
            </w:r>
          </w:p>
        </w:tc>
        <w:tc>
          <w:tcPr>
            <w:tcW w:w="0" w:type="auto"/>
          </w:tcPr>
          <w:p>
            <w:r>
              <w:rPr>
                <w:rFonts w:ascii="Arial" w:cs="Arial" w:eastAsia="Arial" w:hAnsi="Arial"/>
                <w:sz w:val="18"/>
                <w:szCs w:val="18"/>
              </w:rPr>
              <w:t xml:space="preserve">Self-reported insolvency</w:t>
            </w:r>
          </w:p>
        </w:tc>
      </w:tr>
      <w:tr>
        <w:tc>
          <w:tcPr>
            <w:tcW w:w="0" w:type="auto"/>
          </w:tcPr>
          <w:p>
            <w:r>
              <w:rPr>
                <w:rFonts w:ascii="Arial" w:cs="Arial" w:eastAsia="Arial" w:hAnsi="Arial"/>
                <w:sz w:val="18"/>
                <w:szCs w:val="18"/>
              </w:rPr>
              <w:t xml:space="preserve">DISPUTED</w:t>
            </w:r>
          </w:p>
        </w:tc>
        <w:tc>
          <w:tcPr>
            <w:tcW w:w="0" w:type="auto"/>
          </w:tcPr>
          <w:p>
            <w:r>
              <w:rPr>
                <w:rFonts w:ascii="Arial" w:cs="Arial" w:eastAsia="Arial" w:hAnsi="Arial"/>
                <w:sz w:val="18"/>
                <w:szCs w:val="18"/>
              </w:rPr>
              <w:t xml:space="preserve">Borrower</w:t>
            </w:r>
          </w:p>
        </w:tc>
        <w:tc>
          <w:tcPr>
            <w:tcW w:w="0" w:type="auto"/>
          </w:tcPr>
          <w:p>
            <w:r>
              <w:rPr>
                <w:rFonts w:ascii="Arial" w:cs="Arial" w:eastAsia="Arial" w:hAnsi="Arial"/>
                <w:sz w:val="18"/>
                <w:szCs w:val="18"/>
              </w:rPr>
              <w:t xml:space="preserve">Contests an adverse lender flag</w:t>
            </w:r>
          </w:p>
        </w:tc>
      </w:tr>
      <w:tr>
        <w:tc>
          <w:tcPr>
            <w:tcW w:w="0" w:type="auto"/>
          </w:tcPr>
          <w:p>
            <w:r>
              <w:rPr>
                <w:rFonts w:ascii="Arial" w:cs="Arial" w:eastAsia="Arial" w:hAnsi="Arial"/>
                <w:sz w:val="18"/>
                <w:szCs w:val="18"/>
              </w:rPr>
              <w:t xml:space="preserve">LITIGATION_PENDING</w:t>
            </w:r>
          </w:p>
        </w:tc>
        <w:tc>
          <w:tcPr>
            <w:tcW w:w="0" w:type="auto"/>
          </w:tcPr>
          <w:p>
            <w:r>
              <w:rPr>
                <w:rFonts w:ascii="Arial" w:cs="Arial" w:eastAsia="Arial" w:hAnsi="Arial"/>
                <w:sz w:val="18"/>
                <w:szCs w:val="18"/>
              </w:rPr>
              <w:t xml:space="preserve">Either party</w:t>
            </w:r>
          </w:p>
        </w:tc>
        <w:tc>
          <w:tcPr>
            <w:tcW w:w="0" w:type="auto"/>
          </w:tcPr>
          <w:p>
            <w:r>
              <w:rPr>
                <w:rFonts w:ascii="Arial" w:cs="Arial" w:eastAsia="Arial" w:hAnsi="Arial"/>
                <w:sz w:val="18"/>
                <w:szCs w:val="18"/>
              </w:rPr>
              <w:t xml:space="preserve">Legal proceedings initiated</w:t>
            </w:r>
          </w:p>
        </w:tc>
      </w:tr>
      <w:tr>
        <w:tc>
          <w:tcPr>
            <w:tcW w:w="0" w:type="auto"/>
          </w:tcPr>
          <w:p>
            <w:r>
              <w:rPr>
                <w:rFonts w:ascii="Arial" w:cs="Arial" w:eastAsia="Arial" w:hAnsi="Arial"/>
                <w:sz w:val="18"/>
                <w:szCs w:val="18"/>
              </w:rPr>
              <w:t xml:space="preserve">JUDGMENT</w:t>
            </w:r>
          </w:p>
        </w:tc>
        <w:tc>
          <w:tcPr>
            <w:tcW w:w="0" w:type="auto"/>
          </w:tcPr>
          <w:p>
            <w:r>
              <w:rPr>
                <w:rFonts w:ascii="Arial" w:cs="Arial" w:eastAsia="Arial" w:hAnsi="Arial"/>
                <w:sz w:val="18"/>
                <w:szCs w:val="18"/>
              </w:rPr>
              <w:t xml:space="preserve">Either party</w:t>
            </w:r>
          </w:p>
        </w:tc>
        <w:tc>
          <w:tcPr>
            <w:tcW w:w="0" w:type="auto"/>
          </w:tcPr>
          <w:p>
            <w:r>
              <w:rPr>
                <w:rFonts w:ascii="Arial" w:cs="Arial" w:eastAsia="Arial" w:hAnsi="Arial"/>
                <w:sz w:val="18"/>
                <w:szCs w:val="18"/>
              </w:rPr>
              <w:t xml:space="preserve">Court ruling self-reported</w:t>
            </w:r>
          </w:p>
        </w:tc>
      </w:tr>
      <w:tr>
        <w:tc>
          <w:tcPr>
            <w:tcW w:w="0" w:type="auto"/>
          </w:tcPr>
          <w:p>
            <w:r>
              <w:rPr>
                <w:rFonts w:ascii="Arial" w:cs="Arial" w:eastAsia="Arial" w:hAnsi="Arial"/>
                <w:sz w:val="18"/>
                <w:szCs w:val="18"/>
              </w:rPr>
              <w:t xml:space="preserve">GARNISHMENT</w:t>
            </w:r>
          </w:p>
        </w:tc>
        <w:tc>
          <w:tcPr>
            <w:tcW w:w="0" w:type="auto"/>
          </w:tcPr>
          <w:p>
            <w:r>
              <w:rPr>
                <w:rFonts w:ascii="Arial" w:cs="Arial" w:eastAsia="Arial" w:hAnsi="Arial"/>
                <w:sz w:val="18"/>
                <w:szCs w:val="18"/>
              </w:rPr>
              <w:t xml:space="preserve">Either party</w:t>
            </w:r>
          </w:p>
        </w:tc>
        <w:tc>
          <w:tcPr>
            <w:tcW w:w="0" w:type="auto"/>
          </w:tcPr>
          <w:p>
            <w:r>
              <w:rPr>
                <w:rFonts w:ascii="Arial" w:cs="Arial" w:eastAsia="Arial" w:hAnsi="Arial"/>
                <w:sz w:val="18"/>
                <w:szCs w:val="18"/>
              </w:rPr>
              <w:t xml:space="preserve">Court-ordered collection</w:t>
            </w:r>
          </w:p>
        </w:tc>
      </w:tr>
      <w:tr>
        <w:tc>
          <w:tcPr>
            <w:tcW w:w="0" w:type="auto"/>
          </w:tcPr>
          <w:p>
            <w:r>
              <w:rPr>
                <w:rFonts w:ascii="Arial" w:cs="Arial" w:eastAsia="Arial" w:hAnsi="Arial"/>
                <w:sz w:val="18"/>
                <w:szCs w:val="18"/>
              </w:rPr>
              <w:t xml:space="preserve">AMENDED</w:t>
            </w:r>
          </w:p>
        </w:tc>
        <w:tc>
          <w:tcPr>
            <w:tcW w:w="0" w:type="auto"/>
          </w:tcPr>
          <w:p>
            <w:r>
              <w:rPr>
                <w:rFonts w:ascii="Arial" w:cs="Arial" w:eastAsia="Arial" w:hAnsi="Arial"/>
                <w:sz w:val="18"/>
                <w:szCs w:val="18"/>
              </w:rPr>
              <w:t xml:space="preserve">Both parties</w:t>
            </w:r>
          </w:p>
        </w:tc>
        <w:tc>
          <w:tcPr>
            <w:tcW w:w="0" w:type="auto"/>
          </w:tcPr>
          <w:p>
            <w:r>
              <w:rPr>
                <w:rFonts w:ascii="Arial" w:cs="Arial" w:eastAsia="Arial" w:hAnsi="Arial"/>
                <w:sz w:val="18"/>
                <w:szCs w:val="18"/>
              </w:rPr>
              <w:t xml:space="preserve">Terms modified by mutual consent</w:t>
            </w:r>
          </w:p>
        </w:tc>
      </w:tr>
      <w:tr>
        <w:tc>
          <w:tcPr>
            <w:tcW w:w="0" w:type="auto"/>
          </w:tcPr>
          <w:p>
            <w:r>
              <w:rPr>
                <w:rFonts w:ascii="Arial" w:cs="Arial" w:eastAsia="Arial" w:hAnsi="Arial"/>
                <w:sz w:val="18"/>
                <w:szCs w:val="18"/>
              </w:rPr>
              <w:t xml:space="preserve">FORBEARANCE</w:t>
            </w:r>
          </w:p>
        </w:tc>
        <w:tc>
          <w:tcPr>
            <w:tcW w:w="0" w:type="auto"/>
          </w:tcPr>
          <w:p>
            <w:r>
              <w:rPr>
                <w:rFonts w:ascii="Arial" w:cs="Arial" w:eastAsia="Arial" w:hAnsi="Arial"/>
                <w:sz w:val="18"/>
                <w:szCs w:val="18"/>
              </w:rPr>
              <w:t xml:space="preserve">Both parties</w:t>
            </w:r>
          </w:p>
        </w:tc>
        <w:tc>
          <w:tcPr>
            <w:tcW w:w="0" w:type="auto"/>
          </w:tcPr>
          <w:p>
            <w:r>
              <w:rPr>
                <w:rFonts w:ascii="Arial" w:cs="Arial" w:eastAsia="Arial" w:hAnsi="Arial"/>
                <w:sz w:val="18"/>
                <w:szCs w:val="18"/>
              </w:rPr>
              <w:t xml:space="preserve">Temporary payment relief</w:t>
            </w:r>
          </w:p>
        </w:tc>
      </w:tr>
      <w:tr>
        <w:tc>
          <w:tcPr>
            <w:tcW w:w="0" w:type="auto"/>
          </w:tcPr>
          <w:p>
            <w:r>
              <w:rPr>
                <w:rFonts w:ascii="Arial" w:cs="Arial" w:eastAsia="Arial" w:hAnsi="Arial"/>
                <w:sz w:val="18"/>
                <w:szCs w:val="18"/>
              </w:rPr>
              <w:t xml:space="preserve">DEFERRAL</w:t>
            </w:r>
          </w:p>
        </w:tc>
        <w:tc>
          <w:tcPr>
            <w:tcW w:w="0" w:type="auto"/>
          </w:tcPr>
          <w:p>
            <w:r>
              <w:rPr>
                <w:rFonts w:ascii="Arial" w:cs="Arial" w:eastAsia="Arial" w:hAnsi="Arial"/>
                <w:sz w:val="18"/>
                <w:szCs w:val="18"/>
              </w:rPr>
              <w:t xml:space="preserve">Both parties</w:t>
            </w:r>
          </w:p>
        </w:tc>
        <w:tc>
          <w:tcPr>
            <w:tcW w:w="0" w:type="auto"/>
          </w:tcPr>
          <w:p>
            <w:r>
              <w:rPr>
                <w:rFonts w:ascii="Arial" w:cs="Arial" w:eastAsia="Arial" w:hAnsi="Arial"/>
                <w:sz w:val="18"/>
                <w:szCs w:val="18"/>
              </w:rPr>
              <w:t xml:space="preserve">Specific payments postponed</w:t>
            </w:r>
          </w:p>
        </w:tc>
      </w:tr>
      <w:tr>
        <w:tc>
          <w:tcPr>
            <w:tcW w:w="0" w:type="auto"/>
          </w:tcPr>
          <w:p>
            <w:r>
              <w:rPr>
                <w:rFonts w:ascii="Arial" w:cs="Arial" w:eastAsia="Arial" w:hAnsi="Arial"/>
                <w:sz w:val="18"/>
                <w:szCs w:val="18"/>
              </w:rPr>
              <w:t xml:space="preserve">FROZEN</w:t>
            </w:r>
          </w:p>
        </w:tc>
        <w:tc>
          <w:tcPr>
            <w:tcW w:w="0" w:type="auto"/>
          </w:tcPr>
          <w:p>
            <w:r>
              <w:rPr>
                <w:rFonts w:ascii="Arial" w:cs="Arial" w:eastAsia="Arial" w:hAnsi="Arial"/>
                <w:sz w:val="18"/>
                <w:szCs w:val="18"/>
              </w:rPr>
              <w:t xml:space="preserve">Governance</w:t>
            </w:r>
          </w:p>
        </w:tc>
        <w:tc>
          <w:tcPr>
            <w:tcW w:w="0" w:type="auto"/>
          </w:tcPr>
          <w:p>
            <w:r>
              <w:rPr>
                <w:rFonts w:ascii="Arial" w:cs="Arial" w:eastAsia="Arial" w:hAnsi="Arial"/>
                <w:sz w:val="18"/>
                <w:szCs w:val="18"/>
              </w:rPr>
              <w:t xml:space="preserve">Suspended by Foundation action</w:t>
            </w:r>
          </w:p>
        </w:tc>
      </w:tr>
      <w:tr>
        <w:tc>
          <w:tcPr>
            <w:tcW w:w="0" w:type="auto"/>
          </w:tcPr>
          <w:p>
            <w:r>
              <w:rPr>
                <w:rFonts w:ascii="Arial" w:cs="Arial" w:eastAsia="Arial" w:hAnsi="Arial"/>
                <w:sz w:val="18"/>
                <w:szCs w:val="18"/>
              </w:rPr>
              <w:t xml:space="preserve">UNDER_REVIEW</w:t>
            </w:r>
          </w:p>
        </w:tc>
        <w:tc>
          <w:tcPr>
            <w:tcW w:w="0" w:type="auto"/>
          </w:tcPr>
          <w:p>
            <w:r>
              <w:rPr>
                <w:rFonts w:ascii="Arial" w:cs="Arial" w:eastAsia="Arial" w:hAnsi="Arial"/>
                <w:sz w:val="18"/>
                <w:szCs w:val="18"/>
              </w:rPr>
              <w:t xml:space="preserve">Governance</w:t>
            </w:r>
          </w:p>
        </w:tc>
        <w:tc>
          <w:tcPr>
            <w:tcW w:w="0" w:type="auto"/>
          </w:tcPr>
          <w:p>
            <w:r>
              <w:rPr>
                <w:rFonts w:ascii="Arial" w:cs="Arial" w:eastAsia="Arial" w:hAnsi="Arial"/>
                <w:sz w:val="18"/>
                <w:szCs w:val="18"/>
              </w:rPr>
              <w:t xml:space="preserve">Flagged for administrative review</w:t>
            </w:r>
          </w:p>
        </w:tc>
      </w:tr>
    </w:tbl>
    <w:p>
      <w:pPr>
        <w:spacing w:before="120" w:after="120"/>
      </w:pPr>
      <w:r>
        <w:rPr>
          <w:rFonts w:ascii="Arial" w:cs="Arial" w:eastAsia="Arial" w:hAnsi="Arial"/>
          <w:sz w:val="24"/>
          <w:szCs w:val="24"/>
        </w:rPr>
        <w:t xml:space="preserve"/>
      </w:r>
    </w:p>
    <w:p>
      <w:pPr>
        <w:pStyle w:val="Heading2"/>
        <w:spacing w:before="280" w:after="80"/>
      </w:pPr>
      <w:r>
        <w:rPr>
          <w:rFonts w:ascii="Arial" w:cs="Arial" w:eastAsia="Arial" w:hAnsi="Arial"/>
          <w:b/>
          <w:bCs/>
          <w:sz w:val="26"/>
          <w:szCs w:val="26"/>
        </w:rPr>
        <w:t xml:space="preserve">Signing Authority</w:t>
      </w:r>
    </w:p>
    <w:p>
      <w:pPr>
        <w:spacing w:before="120" w:after="120"/>
      </w:pPr>
      <w:r>
        <w:rPr>
          <w:rFonts w:ascii="Arial" w:cs="Arial" w:eastAsia="Arial" w:hAnsi="Arial"/>
          <w:sz w:val="20"/>
          <w:szCs w:val="20"/>
        </w:rPr>
        <w:t xml:space="preserve">Status flags are cryptographically signed by the posting wallet. The protocol enforces signing rules at the engine level — certain flags may only be posted by the lender, others only by the borrower, and some require both signatures. Automatic flags are generated by the protocol engine and cannot be posted by any wallet. A lender may optionally record various flags on loans they have issued. Borrowers may post one DISPUTED flag in response to any adverse lender flag. All flags are permanent but may be superseded. Jurisdiction-gated credit history publication is disabled by default and requires Foundation governance activation.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C9A84C" w:sz="4" w:space="4"/>
      </w:pBdr>
      <w:spacing w:before="360" w:after="120"/>
      <w:outlineLvl w:val="0"/>
    </w:pPr>
    <w:rPr>
      <w:rFonts w:ascii="Arial" w:cs="Arial" w:eastAsia="Arial" w:hAnsi="Arial"/>
      <w:b/>
      <w:bCs/>
      <w:color w:val="1A1A2E"/>
      <w:sz w:val="32"/>
      <w:szCs w:val="32"/>
    </w:rPr>
  </w:style>
  <w:style w:type="paragraph" w:styleId="Heading2">
    <w:name w:val="Heading 2"/>
    <w:basedOn w:val="Normal"/>
    <w:next w:val="Normal"/>
    <w:pPr>
      <w:spacing w:before="24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2026-03-22T16:35:58.826Z</dcterms:created>
  <dcterms:modified xsi:type="dcterms:W3CDTF">2026-03-22T16:35:58.827Z</dcterms:modified>
</cp:coreProperties>
</file>

<file path=docProps/custom.xml><?xml version="1.0" encoding="utf-8"?>
<Properties xmlns="http://schemas.openxmlformats.org/officeDocument/2006/custom-properties" xmlns:vt="http://schemas.openxmlformats.org/officeDocument/2006/docPropsVTypes"/>
</file>